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80F67">
      <w:pPr>
        <w:ind w:firstLine="480"/>
        <w:rPr>
          <w:rFonts w:hint="eastAsia"/>
          <w:highlight w:val="none"/>
        </w:rPr>
      </w:pPr>
      <w:bookmarkStart w:id="0" w:name="_Toc20490"/>
      <w:bookmarkStart w:id="1" w:name="_Toc22692"/>
      <w:bookmarkStart w:id="2" w:name="_Toc31119"/>
      <w:bookmarkStart w:id="3" w:name="_Toc28613"/>
      <w:bookmarkStart w:id="4" w:name="_Toc14946"/>
      <w:bookmarkStart w:id="5" w:name="_Toc26543"/>
      <w:bookmarkStart w:id="6" w:name="_Toc10587"/>
      <w:bookmarkStart w:id="7" w:name="_Toc223"/>
      <w:bookmarkStart w:id="8" w:name="_Toc24861"/>
      <w:bookmarkStart w:id="9" w:name="_Toc1178"/>
    </w:p>
    <w:p w14:paraId="327FDF42">
      <w:pPr>
        <w:ind w:firstLine="480"/>
        <w:rPr>
          <w:highlight w:val="none"/>
        </w:rPr>
      </w:pPr>
    </w:p>
    <w:p w14:paraId="575A882F">
      <w:pPr>
        <w:ind w:firstLine="480"/>
        <w:rPr>
          <w:highlight w:val="none"/>
        </w:rPr>
      </w:pPr>
    </w:p>
    <w:p w14:paraId="23831E6B">
      <w:pPr>
        <w:ind w:firstLine="480"/>
        <w:rPr>
          <w:highlight w:val="none"/>
        </w:rPr>
      </w:pPr>
    </w:p>
    <w:p w14:paraId="1AFD9082">
      <w:pPr>
        <w:ind w:firstLine="480"/>
        <w:rPr>
          <w:highlight w:val="none"/>
        </w:rPr>
      </w:pPr>
    </w:p>
    <w:p w14:paraId="29789836">
      <w:pPr>
        <w:spacing w:line="360" w:lineRule="auto"/>
        <w:ind w:firstLine="1687"/>
        <w:rPr>
          <w:b/>
          <w:sz w:val="84"/>
          <w:szCs w:val="84"/>
          <w:highlight w:val="none"/>
        </w:rPr>
      </w:pPr>
      <w:r>
        <w:rPr>
          <w:rFonts w:hint="eastAsia"/>
          <w:b/>
          <w:sz w:val="84"/>
          <w:szCs w:val="84"/>
          <w:highlight w:val="none"/>
        </w:rPr>
        <w:t>竞争性磋商文件</w:t>
      </w:r>
      <w:bookmarkEnd w:id="0"/>
      <w:bookmarkEnd w:id="1"/>
      <w:bookmarkEnd w:id="2"/>
      <w:bookmarkEnd w:id="3"/>
      <w:bookmarkEnd w:id="4"/>
      <w:bookmarkEnd w:id="5"/>
      <w:bookmarkEnd w:id="6"/>
      <w:bookmarkEnd w:id="7"/>
      <w:bookmarkEnd w:id="8"/>
      <w:bookmarkEnd w:id="9"/>
    </w:p>
    <w:p w14:paraId="5FC5487B">
      <w:pPr>
        <w:spacing w:line="360" w:lineRule="auto"/>
        <w:ind w:firstLine="672" w:firstLineChars="210"/>
        <w:jc w:val="center"/>
        <w:rPr>
          <w:rFonts w:hint="eastAsia" w:ascii="宋体" w:hAnsi="宋体" w:eastAsia="宋体"/>
          <w:sz w:val="32"/>
          <w:szCs w:val="32"/>
          <w:highlight w:val="none"/>
          <w:lang w:val="en-US" w:eastAsia="zh-CN"/>
        </w:rPr>
      </w:pPr>
    </w:p>
    <w:p w14:paraId="3BC170C7">
      <w:pPr>
        <w:pStyle w:val="14"/>
        <w:ind w:left="480" w:firstLine="480"/>
        <w:rPr>
          <w:highlight w:val="none"/>
          <w:lang w:val="zh-CN"/>
        </w:rPr>
      </w:pPr>
    </w:p>
    <w:p w14:paraId="6FEFFEC3">
      <w:pPr>
        <w:spacing w:line="360" w:lineRule="auto"/>
        <w:ind w:left="2320" w:leftChars="300" w:hanging="1600" w:hangingChars="500"/>
        <w:rPr>
          <w:rFonts w:ascii="宋体" w:hAnsi="宋体" w:cs="宋体"/>
          <w:color w:val="000000"/>
          <w:sz w:val="32"/>
          <w:szCs w:val="32"/>
          <w:highlight w:val="none"/>
        </w:rPr>
      </w:pPr>
      <w:r>
        <w:rPr>
          <w:rFonts w:hint="eastAsia" w:ascii="宋体" w:hAnsi="宋体" w:cs="宋体"/>
          <w:sz w:val="32"/>
          <w:szCs w:val="32"/>
          <w:highlight w:val="none"/>
          <w:lang w:val="zh-CN"/>
        </w:rPr>
        <w:t>项目名称：</w:t>
      </w:r>
      <w:r>
        <w:rPr>
          <w:rFonts w:hint="eastAsia" w:ascii="宋体" w:hAnsi="宋体" w:cs="宋体"/>
          <w:sz w:val="32"/>
          <w:szCs w:val="32"/>
          <w:highlight w:val="none"/>
          <w:lang w:val="en-US" w:eastAsia="zh-CN"/>
        </w:rPr>
        <w:t>龙游县电子政务外网网络数据安全运维服务项目（2025年）</w:t>
      </w:r>
    </w:p>
    <w:p w14:paraId="13C617D5">
      <w:pPr>
        <w:tabs>
          <w:tab w:val="left" w:pos="1260"/>
        </w:tabs>
        <w:spacing w:line="360" w:lineRule="auto"/>
        <w:ind w:firstLine="720"/>
        <w:rPr>
          <w:rFonts w:ascii="宋体" w:hAnsi="宋体" w:cs="宋体"/>
          <w:bCs/>
          <w:color w:val="000000"/>
          <w:sz w:val="36"/>
          <w:szCs w:val="36"/>
          <w:highlight w:val="none"/>
        </w:rPr>
      </w:pPr>
      <w:r>
        <w:rPr>
          <w:rFonts w:hint="eastAsia" w:ascii="宋体" w:hAnsi="宋体" w:cs="宋体"/>
          <w:sz w:val="32"/>
          <w:szCs w:val="32"/>
          <w:highlight w:val="none"/>
          <w:lang w:val="zh-CN"/>
        </w:rPr>
        <w:t>项目编号：LYJY2025006</w:t>
      </w:r>
    </w:p>
    <w:p w14:paraId="0B98502B">
      <w:pPr>
        <w:pStyle w:val="14"/>
        <w:ind w:left="480" w:firstLine="720"/>
        <w:rPr>
          <w:rFonts w:ascii="宋体" w:hAnsi="宋体" w:cs="宋体"/>
          <w:sz w:val="36"/>
          <w:szCs w:val="36"/>
          <w:highlight w:val="none"/>
        </w:rPr>
      </w:pPr>
    </w:p>
    <w:p w14:paraId="763498D1">
      <w:pPr>
        <w:pStyle w:val="14"/>
        <w:ind w:left="480" w:firstLine="720"/>
        <w:rPr>
          <w:rFonts w:ascii="宋体" w:hAnsi="宋体" w:cs="宋体"/>
          <w:sz w:val="36"/>
          <w:szCs w:val="36"/>
          <w:highlight w:val="none"/>
        </w:rPr>
      </w:pPr>
    </w:p>
    <w:p w14:paraId="2E9B5B5F">
      <w:pPr>
        <w:pStyle w:val="14"/>
        <w:ind w:left="480" w:firstLine="720"/>
        <w:rPr>
          <w:rFonts w:ascii="宋体" w:hAnsi="宋体" w:cs="宋体"/>
          <w:sz w:val="36"/>
          <w:szCs w:val="36"/>
          <w:highlight w:val="none"/>
        </w:rPr>
      </w:pPr>
    </w:p>
    <w:p w14:paraId="345252C5">
      <w:pPr>
        <w:snapToGrid w:val="0"/>
        <w:spacing w:line="360" w:lineRule="auto"/>
        <w:rPr>
          <w:rFonts w:ascii="宋体" w:hAnsi="宋体" w:cs="宋体"/>
          <w:bCs/>
          <w:color w:val="000000"/>
          <w:spacing w:val="-6"/>
          <w:sz w:val="32"/>
          <w:szCs w:val="32"/>
          <w:highlight w:val="none"/>
          <w:lang w:val="zh-CN"/>
        </w:rPr>
      </w:pPr>
      <w:r>
        <w:rPr>
          <w:rFonts w:hint="eastAsia" w:ascii="宋体" w:hAnsi="宋体" w:cs="宋体"/>
          <w:bCs/>
          <w:color w:val="000000"/>
          <w:sz w:val="32"/>
          <w:szCs w:val="32"/>
          <w:highlight w:val="none"/>
          <w:lang w:val="zh-CN"/>
        </w:rPr>
        <w:t>采购单位：龙游县人民政府办公室（龙游县数据局）</w:t>
      </w:r>
    </w:p>
    <w:p w14:paraId="1437074E">
      <w:pPr>
        <w:snapToGrid w:val="0"/>
        <w:spacing w:line="360" w:lineRule="auto"/>
        <w:ind w:firstLine="720"/>
        <w:rPr>
          <w:rFonts w:ascii="宋体" w:hAnsi="宋体" w:cs="宋体"/>
          <w:bCs/>
          <w:color w:val="000000"/>
          <w:sz w:val="36"/>
          <w:szCs w:val="36"/>
          <w:highlight w:val="none"/>
          <w:lang w:val="zh-CN"/>
        </w:rPr>
      </w:pPr>
      <w:r>
        <w:rPr>
          <w:rFonts w:hint="eastAsia" w:ascii="宋体" w:hAnsi="宋体" w:cs="宋体"/>
          <w:bCs/>
          <w:color w:val="000000"/>
          <w:sz w:val="32"/>
          <w:szCs w:val="32"/>
          <w:highlight w:val="none"/>
          <w:lang w:val="zh-CN"/>
        </w:rPr>
        <w:t>采购代理机构：龙游久圆工程管理有限公司</w:t>
      </w:r>
    </w:p>
    <w:p w14:paraId="146DCC6D">
      <w:pPr>
        <w:spacing w:line="360" w:lineRule="auto"/>
        <w:ind w:firstLine="720"/>
        <w:jc w:val="center"/>
        <w:rPr>
          <w:rFonts w:ascii="宋体" w:hAnsi="宋体" w:cs="宋体"/>
          <w:bCs/>
          <w:color w:val="000000"/>
          <w:sz w:val="36"/>
          <w:szCs w:val="36"/>
          <w:highlight w:val="none"/>
          <w:lang w:val="zh-CN"/>
        </w:rPr>
      </w:pPr>
    </w:p>
    <w:p w14:paraId="1B9ED27D">
      <w:pPr>
        <w:ind w:firstLine="0" w:firstLineChars="0"/>
        <w:jc w:val="center"/>
        <w:rPr>
          <w:rFonts w:cs="宋体" w:asciiTheme="minorEastAsia" w:hAnsiTheme="minorEastAsia" w:eastAsiaTheme="minorEastAsia"/>
          <w:b/>
          <w:bCs/>
          <w:color w:val="000000"/>
          <w:sz w:val="32"/>
          <w:szCs w:val="32"/>
          <w:highlight w:val="none"/>
        </w:rPr>
      </w:pPr>
      <w:r>
        <w:rPr>
          <w:rFonts w:hint="eastAsia" w:ascii="宋体" w:hAnsi="宋体" w:cs="宋体"/>
          <w:bCs/>
          <w:color w:val="000000"/>
          <w:sz w:val="36"/>
          <w:szCs w:val="36"/>
          <w:highlight w:val="none"/>
          <w:lang w:val="zh-CN"/>
        </w:rPr>
        <w:t>202</w:t>
      </w:r>
      <w:r>
        <w:rPr>
          <w:rFonts w:hint="eastAsia" w:ascii="宋体" w:hAnsi="宋体" w:cs="宋体"/>
          <w:bCs/>
          <w:color w:val="000000"/>
          <w:sz w:val="36"/>
          <w:szCs w:val="36"/>
          <w:highlight w:val="none"/>
          <w:lang w:val="en-US" w:eastAsia="zh-CN"/>
        </w:rPr>
        <w:t>5</w:t>
      </w:r>
      <w:r>
        <w:rPr>
          <w:rFonts w:hint="eastAsia" w:ascii="宋体" w:hAnsi="宋体" w:cs="宋体"/>
          <w:bCs/>
          <w:color w:val="000000"/>
          <w:sz w:val="36"/>
          <w:szCs w:val="36"/>
          <w:highlight w:val="none"/>
          <w:lang w:val="zh-CN"/>
        </w:rPr>
        <w:t>年</w:t>
      </w:r>
      <w:r>
        <w:rPr>
          <w:rFonts w:hint="eastAsia" w:ascii="宋体" w:hAnsi="宋体" w:cs="宋体"/>
          <w:bCs/>
          <w:color w:val="000000"/>
          <w:sz w:val="36"/>
          <w:szCs w:val="36"/>
          <w:highlight w:val="none"/>
          <w:lang w:val="en-US" w:eastAsia="zh-CN"/>
        </w:rPr>
        <w:t>3</w:t>
      </w:r>
      <w:r>
        <w:rPr>
          <w:rFonts w:hint="eastAsia" w:ascii="宋体" w:hAnsi="宋体" w:cs="宋体"/>
          <w:bCs/>
          <w:color w:val="000000"/>
          <w:sz w:val="36"/>
          <w:szCs w:val="36"/>
          <w:highlight w:val="none"/>
          <w:lang w:val="zh-CN"/>
        </w:rPr>
        <w:t>月</w:t>
      </w:r>
    </w:p>
    <w:p w14:paraId="7A8F0151">
      <w:pPr>
        <w:widowControl/>
        <w:spacing w:line="240" w:lineRule="auto"/>
        <w:ind w:firstLine="0" w:firstLineChars="0"/>
        <w:jc w:val="center"/>
        <w:rPr>
          <w:rFonts w:asciiTheme="minorEastAsia" w:hAnsiTheme="minorEastAsia" w:eastAsiaTheme="minorEastAsia"/>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0"/>
          <w:cols w:space="425" w:num="1"/>
          <w:titlePg/>
          <w:docGrid w:type="lines" w:linePitch="326" w:charSpace="0"/>
        </w:sectPr>
      </w:pPr>
    </w:p>
    <w:p w14:paraId="0FB8A954">
      <w:pPr>
        <w:widowControl/>
        <w:spacing w:line="240" w:lineRule="auto"/>
        <w:ind w:firstLine="0" w:firstLineChars="0"/>
        <w:jc w:val="center"/>
        <w:rPr>
          <w:rFonts w:asciiTheme="minorEastAsia" w:hAnsiTheme="minorEastAsia" w:eastAsiaTheme="minorEastAsia"/>
          <w:highlight w:val="none"/>
        </w:rPr>
      </w:pPr>
      <w:r>
        <w:rPr>
          <w:sz w:val="28"/>
          <w:szCs w:val="28"/>
          <w:highlight w:val="none"/>
        </w:rPr>
        <w:t>目录</w:t>
      </w:r>
    </w:p>
    <w:p w14:paraId="65C3A8A2">
      <w:pPr>
        <w:pStyle w:val="21"/>
        <w:tabs>
          <w:tab w:val="right" w:leader="dot" w:pos="8306"/>
          <w:tab w:val="clear" w:pos="1470"/>
          <w:tab w:val="clear" w:pos="8296"/>
        </w:tabs>
        <w:rPr>
          <w:highlight w:val="none"/>
        </w:rPr>
      </w:pPr>
      <w:r>
        <w:rPr>
          <w:highlight w:val="none"/>
        </w:rPr>
        <w:fldChar w:fldCharType="begin"/>
      </w:r>
      <w:r>
        <w:rPr>
          <w:highlight w:val="none"/>
        </w:rPr>
        <w:instrText xml:space="preserve"> TOC \o "1-2" \h \z \u </w:instrText>
      </w:r>
      <w:r>
        <w:rPr>
          <w:highlight w:val="none"/>
        </w:rPr>
        <w:fldChar w:fldCharType="separate"/>
      </w:r>
      <w:r>
        <w:rPr>
          <w:highlight w:val="none"/>
        </w:rPr>
        <w:fldChar w:fldCharType="begin"/>
      </w:r>
      <w:r>
        <w:rPr>
          <w:highlight w:val="none"/>
        </w:rPr>
        <w:instrText xml:space="preserve"> HYPERLINK \l _Toc27462 </w:instrText>
      </w:r>
      <w:r>
        <w:rPr>
          <w:highlight w:val="none"/>
        </w:rPr>
        <w:fldChar w:fldCharType="separate"/>
      </w:r>
      <w:r>
        <w:rPr>
          <w:highlight w:val="none"/>
        </w:rPr>
        <w:t>第一章</w:t>
      </w:r>
      <w:r>
        <w:rPr>
          <w:rFonts w:hint="eastAsia"/>
          <w:highlight w:val="none"/>
        </w:rPr>
        <w:t xml:space="preserve">  竞争性磋商公告</w:t>
      </w:r>
      <w:r>
        <w:rPr>
          <w:highlight w:val="none"/>
        </w:rPr>
        <w:tab/>
      </w:r>
      <w:r>
        <w:rPr>
          <w:highlight w:val="none"/>
        </w:rPr>
        <w:fldChar w:fldCharType="begin"/>
      </w:r>
      <w:r>
        <w:rPr>
          <w:highlight w:val="none"/>
        </w:rPr>
        <w:instrText xml:space="preserve"> PAGEREF _Toc27462 \h </w:instrText>
      </w:r>
      <w:r>
        <w:rPr>
          <w:highlight w:val="none"/>
        </w:rPr>
        <w:fldChar w:fldCharType="separate"/>
      </w:r>
      <w:r>
        <w:rPr>
          <w:highlight w:val="none"/>
        </w:rPr>
        <w:t>1</w:t>
      </w:r>
      <w:r>
        <w:rPr>
          <w:highlight w:val="none"/>
        </w:rPr>
        <w:fldChar w:fldCharType="end"/>
      </w:r>
      <w:r>
        <w:rPr>
          <w:highlight w:val="none"/>
        </w:rPr>
        <w:fldChar w:fldCharType="end"/>
      </w:r>
    </w:p>
    <w:p w14:paraId="27FA0B48">
      <w:pPr>
        <w:pStyle w:val="25"/>
        <w:tabs>
          <w:tab w:val="right" w:leader="dot" w:pos="8306"/>
        </w:tabs>
        <w:rPr>
          <w:highlight w:val="none"/>
        </w:rPr>
      </w:pPr>
      <w:r>
        <w:rPr>
          <w:highlight w:val="none"/>
        </w:rPr>
        <w:fldChar w:fldCharType="begin"/>
      </w:r>
      <w:r>
        <w:rPr>
          <w:highlight w:val="none"/>
        </w:rPr>
        <w:instrText xml:space="preserve"> HYPERLINK \l _Toc29488 </w:instrText>
      </w:r>
      <w:r>
        <w:rPr>
          <w:highlight w:val="none"/>
        </w:rPr>
        <w:fldChar w:fldCharType="separate"/>
      </w:r>
      <w:r>
        <w:rPr>
          <w:highlight w:val="none"/>
        </w:rPr>
        <w:t>一、项目基本情况</w:t>
      </w:r>
      <w:r>
        <w:rPr>
          <w:highlight w:val="none"/>
        </w:rPr>
        <w:tab/>
      </w:r>
      <w:r>
        <w:rPr>
          <w:highlight w:val="none"/>
        </w:rPr>
        <w:fldChar w:fldCharType="begin"/>
      </w:r>
      <w:r>
        <w:rPr>
          <w:highlight w:val="none"/>
        </w:rPr>
        <w:instrText xml:space="preserve"> PAGEREF _Toc29488 \h </w:instrText>
      </w:r>
      <w:r>
        <w:rPr>
          <w:highlight w:val="none"/>
        </w:rPr>
        <w:fldChar w:fldCharType="separate"/>
      </w:r>
      <w:r>
        <w:rPr>
          <w:highlight w:val="none"/>
        </w:rPr>
        <w:t>1</w:t>
      </w:r>
      <w:r>
        <w:rPr>
          <w:highlight w:val="none"/>
        </w:rPr>
        <w:fldChar w:fldCharType="end"/>
      </w:r>
      <w:r>
        <w:rPr>
          <w:highlight w:val="none"/>
        </w:rPr>
        <w:fldChar w:fldCharType="end"/>
      </w:r>
    </w:p>
    <w:p w14:paraId="4F3B86F6">
      <w:pPr>
        <w:pStyle w:val="25"/>
        <w:tabs>
          <w:tab w:val="right" w:leader="dot" w:pos="8306"/>
        </w:tabs>
        <w:rPr>
          <w:highlight w:val="none"/>
        </w:rPr>
      </w:pPr>
      <w:r>
        <w:rPr>
          <w:highlight w:val="none"/>
        </w:rPr>
        <w:fldChar w:fldCharType="begin"/>
      </w:r>
      <w:r>
        <w:rPr>
          <w:highlight w:val="none"/>
        </w:rPr>
        <w:instrText xml:space="preserve"> HYPERLINK \l _Toc26514 </w:instrText>
      </w:r>
      <w:r>
        <w:rPr>
          <w:highlight w:val="none"/>
        </w:rPr>
        <w:fldChar w:fldCharType="separate"/>
      </w:r>
      <w:r>
        <w:rPr>
          <w:rFonts w:hint="eastAsia"/>
          <w:highlight w:val="none"/>
        </w:rPr>
        <w:t>二、申请人的资格要求</w:t>
      </w:r>
      <w:r>
        <w:rPr>
          <w:highlight w:val="none"/>
        </w:rPr>
        <w:tab/>
      </w:r>
      <w:r>
        <w:rPr>
          <w:highlight w:val="none"/>
        </w:rPr>
        <w:fldChar w:fldCharType="begin"/>
      </w:r>
      <w:r>
        <w:rPr>
          <w:highlight w:val="none"/>
        </w:rPr>
        <w:instrText xml:space="preserve"> PAGEREF _Toc26514 \h </w:instrText>
      </w:r>
      <w:r>
        <w:rPr>
          <w:highlight w:val="none"/>
        </w:rPr>
        <w:fldChar w:fldCharType="separate"/>
      </w:r>
      <w:r>
        <w:rPr>
          <w:highlight w:val="none"/>
        </w:rPr>
        <w:t>1</w:t>
      </w:r>
      <w:r>
        <w:rPr>
          <w:highlight w:val="none"/>
        </w:rPr>
        <w:fldChar w:fldCharType="end"/>
      </w:r>
      <w:r>
        <w:rPr>
          <w:highlight w:val="none"/>
        </w:rPr>
        <w:fldChar w:fldCharType="end"/>
      </w:r>
    </w:p>
    <w:p w14:paraId="39DE96EC">
      <w:pPr>
        <w:pStyle w:val="25"/>
        <w:tabs>
          <w:tab w:val="right" w:leader="dot" w:pos="8306"/>
        </w:tabs>
        <w:rPr>
          <w:highlight w:val="none"/>
        </w:rPr>
      </w:pPr>
      <w:r>
        <w:rPr>
          <w:highlight w:val="none"/>
        </w:rPr>
        <w:fldChar w:fldCharType="begin"/>
      </w:r>
      <w:r>
        <w:rPr>
          <w:highlight w:val="none"/>
        </w:rPr>
        <w:instrText xml:space="preserve"> HYPERLINK \l _Toc19394 </w:instrText>
      </w:r>
      <w:r>
        <w:rPr>
          <w:highlight w:val="none"/>
        </w:rPr>
        <w:fldChar w:fldCharType="separate"/>
      </w:r>
      <w:r>
        <w:rPr>
          <w:rFonts w:hint="eastAsia"/>
          <w:highlight w:val="none"/>
        </w:rPr>
        <w:t>三、获取（下载）竞争性磋商文件</w:t>
      </w:r>
      <w:r>
        <w:rPr>
          <w:highlight w:val="none"/>
        </w:rPr>
        <w:tab/>
      </w:r>
      <w:r>
        <w:rPr>
          <w:highlight w:val="none"/>
        </w:rPr>
        <w:fldChar w:fldCharType="begin"/>
      </w:r>
      <w:r>
        <w:rPr>
          <w:highlight w:val="none"/>
        </w:rPr>
        <w:instrText xml:space="preserve"> PAGEREF _Toc19394 \h </w:instrText>
      </w:r>
      <w:r>
        <w:rPr>
          <w:highlight w:val="none"/>
        </w:rPr>
        <w:fldChar w:fldCharType="separate"/>
      </w:r>
      <w:r>
        <w:rPr>
          <w:highlight w:val="none"/>
        </w:rPr>
        <w:t>1</w:t>
      </w:r>
      <w:r>
        <w:rPr>
          <w:highlight w:val="none"/>
        </w:rPr>
        <w:fldChar w:fldCharType="end"/>
      </w:r>
      <w:r>
        <w:rPr>
          <w:highlight w:val="none"/>
        </w:rPr>
        <w:fldChar w:fldCharType="end"/>
      </w:r>
    </w:p>
    <w:p w14:paraId="069A6078">
      <w:pPr>
        <w:pStyle w:val="25"/>
        <w:tabs>
          <w:tab w:val="right" w:leader="dot" w:pos="8306"/>
        </w:tabs>
        <w:rPr>
          <w:highlight w:val="none"/>
        </w:rPr>
      </w:pPr>
      <w:r>
        <w:rPr>
          <w:highlight w:val="none"/>
        </w:rPr>
        <w:fldChar w:fldCharType="begin"/>
      </w:r>
      <w:r>
        <w:rPr>
          <w:highlight w:val="none"/>
        </w:rPr>
        <w:instrText xml:space="preserve"> HYPERLINK \l _Toc27163 </w:instrText>
      </w:r>
      <w:r>
        <w:rPr>
          <w:highlight w:val="none"/>
        </w:rPr>
        <w:fldChar w:fldCharType="separate"/>
      </w:r>
      <w:r>
        <w:rPr>
          <w:rFonts w:hint="eastAsia"/>
          <w:highlight w:val="none"/>
        </w:rPr>
        <w:t>四、响应文件提交（上传）</w:t>
      </w:r>
      <w:r>
        <w:rPr>
          <w:highlight w:val="none"/>
        </w:rPr>
        <w:tab/>
      </w:r>
      <w:r>
        <w:rPr>
          <w:highlight w:val="none"/>
        </w:rPr>
        <w:fldChar w:fldCharType="begin"/>
      </w:r>
      <w:r>
        <w:rPr>
          <w:highlight w:val="none"/>
        </w:rPr>
        <w:instrText xml:space="preserve"> PAGEREF _Toc27163 \h </w:instrText>
      </w:r>
      <w:r>
        <w:rPr>
          <w:highlight w:val="none"/>
        </w:rPr>
        <w:fldChar w:fldCharType="separate"/>
      </w:r>
      <w:r>
        <w:rPr>
          <w:highlight w:val="none"/>
        </w:rPr>
        <w:t>2</w:t>
      </w:r>
      <w:r>
        <w:rPr>
          <w:highlight w:val="none"/>
        </w:rPr>
        <w:fldChar w:fldCharType="end"/>
      </w:r>
      <w:r>
        <w:rPr>
          <w:highlight w:val="none"/>
        </w:rPr>
        <w:fldChar w:fldCharType="end"/>
      </w:r>
    </w:p>
    <w:p w14:paraId="3E8546B4">
      <w:pPr>
        <w:pStyle w:val="25"/>
        <w:tabs>
          <w:tab w:val="right" w:leader="dot" w:pos="8306"/>
        </w:tabs>
        <w:rPr>
          <w:highlight w:val="none"/>
        </w:rPr>
      </w:pPr>
      <w:r>
        <w:rPr>
          <w:highlight w:val="none"/>
        </w:rPr>
        <w:fldChar w:fldCharType="begin"/>
      </w:r>
      <w:r>
        <w:rPr>
          <w:highlight w:val="none"/>
        </w:rPr>
        <w:instrText xml:space="preserve"> HYPERLINK \l _Toc16768 </w:instrText>
      </w:r>
      <w:r>
        <w:rPr>
          <w:highlight w:val="none"/>
        </w:rPr>
        <w:fldChar w:fldCharType="separate"/>
      </w:r>
      <w:r>
        <w:rPr>
          <w:rFonts w:hint="eastAsia"/>
          <w:highlight w:val="none"/>
        </w:rPr>
        <w:t>五、开启投标文件</w:t>
      </w:r>
      <w:r>
        <w:rPr>
          <w:highlight w:val="none"/>
        </w:rPr>
        <w:tab/>
      </w:r>
      <w:r>
        <w:rPr>
          <w:highlight w:val="none"/>
        </w:rPr>
        <w:fldChar w:fldCharType="begin"/>
      </w:r>
      <w:r>
        <w:rPr>
          <w:highlight w:val="none"/>
        </w:rPr>
        <w:instrText xml:space="preserve"> PAGEREF _Toc16768 \h </w:instrText>
      </w:r>
      <w:r>
        <w:rPr>
          <w:highlight w:val="none"/>
        </w:rPr>
        <w:fldChar w:fldCharType="separate"/>
      </w:r>
      <w:r>
        <w:rPr>
          <w:highlight w:val="none"/>
        </w:rPr>
        <w:t>2</w:t>
      </w:r>
      <w:r>
        <w:rPr>
          <w:highlight w:val="none"/>
        </w:rPr>
        <w:fldChar w:fldCharType="end"/>
      </w:r>
      <w:r>
        <w:rPr>
          <w:highlight w:val="none"/>
        </w:rPr>
        <w:fldChar w:fldCharType="end"/>
      </w:r>
    </w:p>
    <w:p w14:paraId="45529533">
      <w:pPr>
        <w:pStyle w:val="25"/>
        <w:tabs>
          <w:tab w:val="right" w:leader="dot" w:pos="8306"/>
        </w:tabs>
        <w:rPr>
          <w:highlight w:val="none"/>
        </w:rPr>
      </w:pPr>
      <w:r>
        <w:rPr>
          <w:highlight w:val="none"/>
        </w:rPr>
        <w:fldChar w:fldCharType="begin"/>
      </w:r>
      <w:r>
        <w:rPr>
          <w:highlight w:val="none"/>
        </w:rPr>
        <w:instrText xml:space="preserve"> HYPERLINK \l _Toc10869 </w:instrText>
      </w:r>
      <w:r>
        <w:rPr>
          <w:highlight w:val="none"/>
        </w:rPr>
        <w:fldChar w:fldCharType="separate"/>
      </w:r>
      <w:r>
        <w:rPr>
          <w:rFonts w:hint="eastAsia"/>
          <w:highlight w:val="none"/>
        </w:rPr>
        <w:t>六、公告期限</w:t>
      </w:r>
      <w:r>
        <w:rPr>
          <w:highlight w:val="none"/>
        </w:rPr>
        <w:tab/>
      </w:r>
      <w:r>
        <w:rPr>
          <w:highlight w:val="none"/>
        </w:rPr>
        <w:fldChar w:fldCharType="begin"/>
      </w:r>
      <w:r>
        <w:rPr>
          <w:highlight w:val="none"/>
        </w:rPr>
        <w:instrText xml:space="preserve"> PAGEREF _Toc10869 \h </w:instrText>
      </w:r>
      <w:r>
        <w:rPr>
          <w:highlight w:val="none"/>
        </w:rPr>
        <w:fldChar w:fldCharType="separate"/>
      </w:r>
      <w:r>
        <w:rPr>
          <w:highlight w:val="none"/>
        </w:rPr>
        <w:t>2</w:t>
      </w:r>
      <w:r>
        <w:rPr>
          <w:highlight w:val="none"/>
        </w:rPr>
        <w:fldChar w:fldCharType="end"/>
      </w:r>
      <w:r>
        <w:rPr>
          <w:highlight w:val="none"/>
        </w:rPr>
        <w:fldChar w:fldCharType="end"/>
      </w:r>
    </w:p>
    <w:p w14:paraId="000DC87B">
      <w:pPr>
        <w:pStyle w:val="25"/>
        <w:tabs>
          <w:tab w:val="right" w:leader="dot" w:pos="8306"/>
        </w:tabs>
        <w:rPr>
          <w:highlight w:val="none"/>
        </w:rPr>
      </w:pPr>
      <w:r>
        <w:rPr>
          <w:highlight w:val="none"/>
        </w:rPr>
        <w:fldChar w:fldCharType="begin"/>
      </w:r>
      <w:r>
        <w:rPr>
          <w:highlight w:val="none"/>
        </w:rPr>
        <w:instrText xml:space="preserve"> HYPERLINK \l _Toc20187 </w:instrText>
      </w:r>
      <w:r>
        <w:rPr>
          <w:highlight w:val="none"/>
        </w:rPr>
        <w:fldChar w:fldCharType="separate"/>
      </w:r>
      <w:r>
        <w:rPr>
          <w:rFonts w:hint="eastAsia"/>
          <w:highlight w:val="none"/>
        </w:rPr>
        <w:t>七、其他补充事宜</w:t>
      </w:r>
      <w:r>
        <w:rPr>
          <w:highlight w:val="none"/>
        </w:rPr>
        <w:tab/>
      </w:r>
      <w:r>
        <w:rPr>
          <w:highlight w:val="none"/>
        </w:rPr>
        <w:fldChar w:fldCharType="begin"/>
      </w:r>
      <w:r>
        <w:rPr>
          <w:highlight w:val="none"/>
        </w:rPr>
        <w:instrText xml:space="preserve"> PAGEREF _Toc20187 \h </w:instrText>
      </w:r>
      <w:r>
        <w:rPr>
          <w:highlight w:val="none"/>
        </w:rPr>
        <w:fldChar w:fldCharType="separate"/>
      </w:r>
      <w:r>
        <w:rPr>
          <w:highlight w:val="none"/>
        </w:rPr>
        <w:t>2</w:t>
      </w:r>
      <w:r>
        <w:rPr>
          <w:highlight w:val="none"/>
        </w:rPr>
        <w:fldChar w:fldCharType="end"/>
      </w:r>
      <w:r>
        <w:rPr>
          <w:highlight w:val="none"/>
        </w:rPr>
        <w:fldChar w:fldCharType="end"/>
      </w:r>
    </w:p>
    <w:p w14:paraId="78961917">
      <w:pPr>
        <w:pStyle w:val="25"/>
        <w:tabs>
          <w:tab w:val="right" w:leader="dot" w:pos="8306"/>
        </w:tabs>
        <w:rPr>
          <w:highlight w:val="none"/>
        </w:rPr>
      </w:pPr>
      <w:r>
        <w:rPr>
          <w:highlight w:val="none"/>
        </w:rPr>
        <w:fldChar w:fldCharType="begin"/>
      </w:r>
      <w:r>
        <w:rPr>
          <w:highlight w:val="none"/>
        </w:rPr>
        <w:instrText xml:space="preserve"> HYPERLINK \l _Toc32200 </w:instrText>
      </w:r>
      <w:r>
        <w:rPr>
          <w:highlight w:val="none"/>
        </w:rPr>
        <w:fldChar w:fldCharType="separate"/>
      </w:r>
      <w:r>
        <w:rPr>
          <w:rFonts w:hint="eastAsia"/>
          <w:highlight w:val="none"/>
        </w:rPr>
        <w:t>八、对本次采购提出询问、质疑、投诉</w:t>
      </w:r>
      <w:r>
        <w:rPr>
          <w:rFonts w:hint="eastAsia"/>
          <w:highlight w:val="none"/>
          <w:lang w:eastAsia="zh-CN"/>
        </w:rPr>
        <w:t>，</w:t>
      </w:r>
      <w:r>
        <w:rPr>
          <w:rFonts w:hint="eastAsia"/>
          <w:highlight w:val="none"/>
        </w:rPr>
        <w:t>请按以下方式联系</w:t>
      </w:r>
      <w:r>
        <w:rPr>
          <w:highlight w:val="none"/>
        </w:rPr>
        <w:tab/>
      </w:r>
      <w:r>
        <w:rPr>
          <w:highlight w:val="none"/>
        </w:rPr>
        <w:fldChar w:fldCharType="begin"/>
      </w:r>
      <w:r>
        <w:rPr>
          <w:highlight w:val="none"/>
        </w:rPr>
        <w:instrText xml:space="preserve"> PAGEREF _Toc32200 \h </w:instrText>
      </w:r>
      <w:r>
        <w:rPr>
          <w:highlight w:val="none"/>
        </w:rPr>
        <w:fldChar w:fldCharType="separate"/>
      </w:r>
      <w:r>
        <w:rPr>
          <w:highlight w:val="none"/>
        </w:rPr>
        <w:t>3</w:t>
      </w:r>
      <w:r>
        <w:rPr>
          <w:highlight w:val="none"/>
        </w:rPr>
        <w:fldChar w:fldCharType="end"/>
      </w:r>
      <w:r>
        <w:rPr>
          <w:highlight w:val="none"/>
        </w:rPr>
        <w:fldChar w:fldCharType="end"/>
      </w:r>
    </w:p>
    <w:p w14:paraId="4D8CA27E">
      <w:pPr>
        <w:pStyle w:val="21"/>
        <w:tabs>
          <w:tab w:val="right" w:leader="dot" w:pos="8306"/>
          <w:tab w:val="clear" w:pos="1470"/>
          <w:tab w:val="clear" w:pos="8296"/>
        </w:tabs>
        <w:rPr>
          <w:highlight w:val="none"/>
        </w:rPr>
      </w:pPr>
      <w:r>
        <w:rPr>
          <w:highlight w:val="none"/>
        </w:rPr>
        <w:fldChar w:fldCharType="begin"/>
      </w:r>
      <w:r>
        <w:rPr>
          <w:highlight w:val="none"/>
        </w:rPr>
        <w:instrText xml:space="preserve"> HYPERLINK \l _Toc11989 </w:instrText>
      </w:r>
      <w:r>
        <w:rPr>
          <w:highlight w:val="none"/>
        </w:rPr>
        <w:fldChar w:fldCharType="separate"/>
      </w:r>
      <w:r>
        <w:rPr>
          <w:rFonts w:hint="eastAsia"/>
          <w:highlight w:val="none"/>
        </w:rPr>
        <w:t>第二章  磋商供应商须知前附表</w:t>
      </w:r>
      <w:r>
        <w:rPr>
          <w:highlight w:val="none"/>
        </w:rPr>
        <w:tab/>
      </w:r>
      <w:r>
        <w:rPr>
          <w:highlight w:val="none"/>
        </w:rPr>
        <w:fldChar w:fldCharType="begin"/>
      </w:r>
      <w:r>
        <w:rPr>
          <w:highlight w:val="none"/>
        </w:rPr>
        <w:instrText xml:space="preserve"> PAGEREF _Toc11989 \h </w:instrText>
      </w:r>
      <w:r>
        <w:rPr>
          <w:highlight w:val="none"/>
        </w:rPr>
        <w:fldChar w:fldCharType="separate"/>
      </w:r>
      <w:r>
        <w:rPr>
          <w:highlight w:val="none"/>
        </w:rPr>
        <w:t>5</w:t>
      </w:r>
      <w:r>
        <w:rPr>
          <w:highlight w:val="none"/>
        </w:rPr>
        <w:fldChar w:fldCharType="end"/>
      </w:r>
      <w:r>
        <w:rPr>
          <w:highlight w:val="none"/>
        </w:rPr>
        <w:fldChar w:fldCharType="end"/>
      </w:r>
    </w:p>
    <w:p w14:paraId="6C1E5720">
      <w:pPr>
        <w:pStyle w:val="21"/>
        <w:tabs>
          <w:tab w:val="right" w:leader="dot" w:pos="8306"/>
          <w:tab w:val="clear" w:pos="1470"/>
          <w:tab w:val="clear" w:pos="8296"/>
        </w:tabs>
        <w:rPr>
          <w:highlight w:val="none"/>
        </w:rPr>
      </w:pPr>
      <w:r>
        <w:rPr>
          <w:highlight w:val="none"/>
        </w:rPr>
        <w:fldChar w:fldCharType="begin"/>
      </w:r>
      <w:r>
        <w:rPr>
          <w:highlight w:val="none"/>
        </w:rPr>
        <w:instrText xml:space="preserve"> HYPERLINK \l _Toc27554 </w:instrText>
      </w:r>
      <w:r>
        <w:rPr>
          <w:highlight w:val="none"/>
        </w:rPr>
        <w:fldChar w:fldCharType="separate"/>
      </w:r>
      <w:r>
        <w:rPr>
          <w:rFonts w:hint="eastAsia"/>
          <w:highlight w:val="none"/>
        </w:rPr>
        <w:t>第三</w:t>
      </w:r>
      <w:r>
        <w:rPr>
          <w:highlight w:val="none"/>
        </w:rPr>
        <w:t xml:space="preserve">章 </w:t>
      </w:r>
      <w:r>
        <w:rPr>
          <w:rFonts w:hint="eastAsia"/>
          <w:highlight w:val="none"/>
        </w:rPr>
        <w:t xml:space="preserve"> 投标人须知</w:t>
      </w:r>
      <w:r>
        <w:rPr>
          <w:highlight w:val="none"/>
        </w:rPr>
        <w:tab/>
      </w:r>
      <w:r>
        <w:rPr>
          <w:highlight w:val="none"/>
        </w:rPr>
        <w:fldChar w:fldCharType="begin"/>
      </w:r>
      <w:r>
        <w:rPr>
          <w:highlight w:val="none"/>
        </w:rPr>
        <w:instrText xml:space="preserve"> PAGEREF _Toc27554 \h </w:instrText>
      </w:r>
      <w:r>
        <w:rPr>
          <w:highlight w:val="none"/>
        </w:rPr>
        <w:fldChar w:fldCharType="separate"/>
      </w:r>
      <w:r>
        <w:rPr>
          <w:highlight w:val="none"/>
        </w:rPr>
        <w:t>8</w:t>
      </w:r>
      <w:r>
        <w:rPr>
          <w:highlight w:val="none"/>
        </w:rPr>
        <w:fldChar w:fldCharType="end"/>
      </w:r>
      <w:r>
        <w:rPr>
          <w:highlight w:val="none"/>
        </w:rPr>
        <w:fldChar w:fldCharType="end"/>
      </w:r>
    </w:p>
    <w:p w14:paraId="564DF471">
      <w:pPr>
        <w:pStyle w:val="25"/>
        <w:tabs>
          <w:tab w:val="right" w:leader="dot" w:pos="8306"/>
        </w:tabs>
        <w:rPr>
          <w:highlight w:val="none"/>
        </w:rPr>
      </w:pPr>
      <w:r>
        <w:rPr>
          <w:highlight w:val="none"/>
        </w:rPr>
        <w:fldChar w:fldCharType="begin"/>
      </w:r>
      <w:r>
        <w:rPr>
          <w:highlight w:val="none"/>
        </w:rPr>
        <w:instrText xml:space="preserve"> HYPERLINK \l _Toc26891 </w:instrText>
      </w:r>
      <w:r>
        <w:rPr>
          <w:highlight w:val="none"/>
        </w:rPr>
        <w:fldChar w:fldCharType="separate"/>
      </w:r>
      <w:r>
        <w:rPr>
          <w:rFonts w:hint="eastAsia"/>
          <w:highlight w:val="none"/>
        </w:rPr>
        <w:t>一、总则</w:t>
      </w:r>
      <w:r>
        <w:rPr>
          <w:highlight w:val="none"/>
        </w:rPr>
        <w:tab/>
      </w:r>
      <w:r>
        <w:rPr>
          <w:highlight w:val="none"/>
        </w:rPr>
        <w:fldChar w:fldCharType="begin"/>
      </w:r>
      <w:r>
        <w:rPr>
          <w:highlight w:val="none"/>
        </w:rPr>
        <w:instrText xml:space="preserve"> PAGEREF _Toc26891 \h </w:instrText>
      </w:r>
      <w:r>
        <w:rPr>
          <w:highlight w:val="none"/>
        </w:rPr>
        <w:fldChar w:fldCharType="separate"/>
      </w:r>
      <w:r>
        <w:rPr>
          <w:highlight w:val="none"/>
        </w:rPr>
        <w:t>8</w:t>
      </w:r>
      <w:r>
        <w:rPr>
          <w:highlight w:val="none"/>
        </w:rPr>
        <w:fldChar w:fldCharType="end"/>
      </w:r>
      <w:r>
        <w:rPr>
          <w:highlight w:val="none"/>
        </w:rPr>
        <w:fldChar w:fldCharType="end"/>
      </w:r>
    </w:p>
    <w:p w14:paraId="51F6992D">
      <w:pPr>
        <w:pStyle w:val="25"/>
        <w:tabs>
          <w:tab w:val="right" w:leader="dot" w:pos="8306"/>
        </w:tabs>
        <w:rPr>
          <w:highlight w:val="none"/>
        </w:rPr>
      </w:pPr>
      <w:r>
        <w:rPr>
          <w:highlight w:val="none"/>
        </w:rPr>
        <w:fldChar w:fldCharType="begin"/>
      </w:r>
      <w:r>
        <w:rPr>
          <w:highlight w:val="none"/>
        </w:rPr>
        <w:instrText xml:space="preserve"> HYPERLINK \l _Toc10832 </w:instrText>
      </w:r>
      <w:r>
        <w:rPr>
          <w:highlight w:val="none"/>
        </w:rPr>
        <w:fldChar w:fldCharType="separate"/>
      </w:r>
      <w:r>
        <w:rPr>
          <w:rFonts w:hint="eastAsia"/>
          <w:highlight w:val="none"/>
        </w:rPr>
        <w:t>二、竞争性磋商文件</w:t>
      </w:r>
      <w:r>
        <w:rPr>
          <w:highlight w:val="none"/>
        </w:rPr>
        <w:tab/>
      </w:r>
      <w:r>
        <w:rPr>
          <w:highlight w:val="none"/>
        </w:rPr>
        <w:fldChar w:fldCharType="begin"/>
      </w:r>
      <w:r>
        <w:rPr>
          <w:highlight w:val="none"/>
        </w:rPr>
        <w:instrText xml:space="preserve"> PAGEREF _Toc10832 \h </w:instrText>
      </w:r>
      <w:r>
        <w:rPr>
          <w:highlight w:val="none"/>
        </w:rPr>
        <w:fldChar w:fldCharType="separate"/>
      </w:r>
      <w:r>
        <w:rPr>
          <w:highlight w:val="none"/>
        </w:rPr>
        <w:t>11</w:t>
      </w:r>
      <w:r>
        <w:rPr>
          <w:highlight w:val="none"/>
        </w:rPr>
        <w:fldChar w:fldCharType="end"/>
      </w:r>
      <w:r>
        <w:rPr>
          <w:highlight w:val="none"/>
        </w:rPr>
        <w:fldChar w:fldCharType="end"/>
      </w:r>
    </w:p>
    <w:p w14:paraId="07480FBA">
      <w:pPr>
        <w:pStyle w:val="25"/>
        <w:tabs>
          <w:tab w:val="right" w:leader="dot" w:pos="8306"/>
        </w:tabs>
        <w:rPr>
          <w:highlight w:val="none"/>
        </w:rPr>
      </w:pPr>
      <w:r>
        <w:rPr>
          <w:highlight w:val="none"/>
        </w:rPr>
        <w:fldChar w:fldCharType="begin"/>
      </w:r>
      <w:r>
        <w:rPr>
          <w:highlight w:val="none"/>
        </w:rPr>
        <w:instrText xml:space="preserve"> HYPERLINK \l _Toc31540 </w:instrText>
      </w:r>
      <w:r>
        <w:rPr>
          <w:highlight w:val="none"/>
        </w:rPr>
        <w:fldChar w:fldCharType="separate"/>
      </w:r>
      <w:r>
        <w:rPr>
          <w:rFonts w:hint="eastAsia"/>
          <w:highlight w:val="none"/>
        </w:rPr>
        <w:t>三、响应文件</w:t>
      </w:r>
      <w:r>
        <w:rPr>
          <w:highlight w:val="none"/>
        </w:rPr>
        <w:tab/>
      </w:r>
      <w:r>
        <w:rPr>
          <w:highlight w:val="none"/>
        </w:rPr>
        <w:fldChar w:fldCharType="begin"/>
      </w:r>
      <w:r>
        <w:rPr>
          <w:highlight w:val="none"/>
        </w:rPr>
        <w:instrText xml:space="preserve"> PAGEREF _Toc31540 \h </w:instrText>
      </w:r>
      <w:r>
        <w:rPr>
          <w:highlight w:val="none"/>
        </w:rPr>
        <w:fldChar w:fldCharType="separate"/>
      </w:r>
      <w:r>
        <w:rPr>
          <w:highlight w:val="none"/>
        </w:rPr>
        <w:t>12</w:t>
      </w:r>
      <w:r>
        <w:rPr>
          <w:highlight w:val="none"/>
        </w:rPr>
        <w:fldChar w:fldCharType="end"/>
      </w:r>
      <w:r>
        <w:rPr>
          <w:highlight w:val="none"/>
        </w:rPr>
        <w:fldChar w:fldCharType="end"/>
      </w:r>
    </w:p>
    <w:p w14:paraId="6081524C">
      <w:pPr>
        <w:pStyle w:val="25"/>
        <w:tabs>
          <w:tab w:val="right" w:leader="dot" w:pos="8306"/>
        </w:tabs>
        <w:rPr>
          <w:highlight w:val="none"/>
        </w:rPr>
      </w:pPr>
      <w:r>
        <w:rPr>
          <w:highlight w:val="none"/>
        </w:rPr>
        <w:fldChar w:fldCharType="begin"/>
      </w:r>
      <w:r>
        <w:rPr>
          <w:highlight w:val="none"/>
        </w:rPr>
        <w:instrText xml:space="preserve"> HYPERLINK \l _Toc18140 </w:instrText>
      </w:r>
      <w:r>
        <w:rPr>
          <w:highlight w:val="none"/>
        </w:rPr>
        <w:fldChar w:fldCharType="separate"/>
      </w:r>
      <w:r>
        <w:rPr>
          <w:highlight w:val="none"/>
        </w:rPr>
        <w:t>四</w:t>
      </w:r>
      <w:r>
        <w:rPr>
          <w:rFonts w:hint="eastAsia"/>
          <w:highlight w:val="none"/>
        </w:rPr>
        <w:t>、响应文件开启、磋商</w:t>
      </w:r>
      <w:r>
        <w:rPr>
          <w:highlight w:val="none"/>
        </w:rPr>
        <w:tab/>
      </w:r>
      <w:r>
        <w:rPr>
          <w:highlight w:val="none"/>
        </w:rPr>
        <w:fldChar w:fldCharType="begin"/>
      </w:r>
      <w:r>
        <w:rPr>
          <w:highlight w:val="none"/>
        </w:rPr>
        <w:instrText xml:space="preserve"> PAGEREF _Toc18140 \h </w:instrText>
      </w:r>
      <w:r>
        <w:rPr>
          <w:highlight w:val="none"/>
        </w:rPr>
        <w:fldChar w:fldCharType="separate"/>
      </w:r>
      <w:r>
        <w:rPr>
          <w:highlight w:val="none"/>
        </w:rPr>
        <w:t>13</w:t>
      </w:r>
      <w:r>
        <w:rPr>
          <w:highlight w:val="none"/>
        </w:rPr>
        <w:fldChar w:fldCharType="end"/>
      </w:r>
      <w:r>
        <w:rPr>
          <w:highlight w:val="none"/>
        </w:rPr>
        <w:fldChar w:fldCharType="end"/>
      </w:r>
    </w:p>
    <w:p w14:paraId="62EAC536">
      <w:pPr>
        <w:pStyle w:val="25"/>
        <w:tabs>
          <w:tab w:val="right" w:leader="dot" w:pos="8306"/>
        </w:tabs>
        <w:rPr>
          <w:highlight w:val="none"/>
        </w:rPr>
      </w:pPr>
      <w:r>
        <w:rPr>
          <w:highlight w:val="none"/>
        </w:rPr>
        <w:fldChar w:fldCharType="begin"/>
      </w:r>
      <w:r>
        <w:rPr>
          <w:highlight w:val="none"/>
        </w:rPr>
        <w:instrText xml:space="preserve"> HYPERLINK \l _Toc29596 </w:instrText>
      </w:r>
      <w:r>
        <w:rPr>
          <w:highlight w:val="none"/>
        </w:rPr>
        <w:fldChar w:fldCharType="separate"/>
      </w:r>
      <w:r>
        <w:rPr>
          <w:rFonts w:hint="eastAsia"/>
          <w:highlight w:val="none"/>
          <w:lang w:val="zh-CN"/>
        </w:rPr>
        <w:t>五、成交事项</w:t>
      </w:r>
      <w:r>
        <w:rPr>
          <w:highlight w:val="none"/>
        </w:rPr>
        <w:tab/>
      </w:r>
      <w:r>
        <w:rPr>
          <w:highlight w:val="none"/>
        </w:rPr>
        <w:fldChar w:fldCharType="begin"/>
      </w:r>
      <w:r>
        <w:rPr>
          <w:highlight w:val="none"/>
        </w:rPr>
        <w:instrText xml:space="preserve"> PAGEREF _Toc29596 \h </w:instrText>
      </w:r>
      <w:r>
        <w:rPr>
          <w:highlight w:val="none"/>
        </w:rPr>
        <w:fldChar w:fldCharType="separate"/>
      </w:r>
      <w:r>
        <w:rPr>
          <w:highlight w:val="none"/>
        </w:rPr>
        <w:t>14</w:t>
      </w:r>
      <w:r>
        <w:rPr>
          <w:highlight w:val="none"/>
        </w:rPr>
        <w:fldChar w:fldCharType="end"/>
      </w:r>
      <w:r>
        <w:rPr>
          <w:highlight w:val="none"/>
        </w:rPr>
        <w:fldChar w:fldCharType="end"/>
      </w:r>
    </w:p>
    <w:p w14:paraId="3BBF36F1">
      <w:pPr>
        <w:pStyle w:val="25"/>
        <w:tabs>
          <w:tab w:val="right" w:leader="dot" w:pos="8306"/>
        </w:tabs>
        <w:rPr>
          <w:highlight w:val="none"/>
        </w:rPr>
      </w:pPr>
      <w:r>
        <w:rPr>
          <w:highlight w:val="none"/>
        </w:rPr>
        <w:fldChar w:fldCharType="begin"/>
      </w:r>
      <w:r>
        <w:rPr>
          <w:highlight w:val="none"/>
        </w:rPr>
        <w:instrText xml:space="preserve"> HYPERLINK \l _Toc7718 </w:instrText>
      </w:r>
      <w:r>
        <w:rPr>
          <w:highlight w:val="none"/>
        </w:rPr>
        <w:fldChar w:fldCharType="separate"/>
      </w:r>
      <w:r>
        <w:rPr>
          <w:rFonts w:hint="eastAsia"/>
          <w:highlight w:val="none"/>
        </w:rPr>
        <w:t>六、合同事项</w:t>
      </w:r>
      <w:r>
        <w:rPr>
          <w:highlight w:val="none"/>
        </w:rPr>
        <w:tab/>
      </w:r>
      <w:r>
        <w:rPr>
          <w:highlight w:val="none"/>
        </w:rPr>
        <w:fldChar w:fldCharType="begin"/>
      </w:r>
      <w:r>
        <w:rPr>
          <w:highlight w:val="none"/>
        </w:rPr>
        <w:instrText xml:space="preserve"> PAGEREF _Toc7718 \h </w:instrText>
      </w:r>
      <w:r>
        <w:rPr>
          <w:highlight w:val="none"/>
        </w:rPr>
        <w:fldChar w:fldCharType="separate"/>
      </w:r>
      <w:r>
        <w:rPr>
          <w:highlight w:val="none"/>
        </w:rPr>
        <w:t>15</w:t>
      </w:r>
      <w:r>
        <w:rPr>
          <w:highlight w:val="none"/>
        </w:rPr>
        <w:fldChar w:fldCharType="end"/>
      </w:r>
      <w:r>
        <w:rPr>
          <w:highlight w:val="none"/>
        </w:rPr>
        <w:fldChar w:fldCharType="end"/>
      </w:r>
    </w:p>
    <w:p w14:paraId="5B74CB54">
      <w:pPr>
        <w:pStyle w:val="25"/>
        <w:tabs>
          <w:tab w:val="right" w:leader="dot" w:pos="8306"/>
        </w:tabs>
        <w:rPr>
          <w:highlight w:val="none"/>
        </w:rPr>
      </w:pPr>
      <w:r>
        <w:rPr>
          <w:highlight w:val="none"/>
        </w:rPr>
        <w:fldChar w:fldCharType="begin"/>
      </w:r>
      <w:r>
        <w:rPr>
          <w:highlight w:val="none"/>
        </w:rPr>
        <w:instrText xml:space="preserve"> HYPERLINK \l _Toc11354 </w:instrText>
      </w:r>
      <w:r>
        <w:rPr>
          <w:highlight w:val="none"/>
        </w:rPr>
        <w:fldChar w:fldCharType="separate"/>
      </w:r>
      <w:r>
        <w:rPr>
          <w:rFonts w:hint="eastAsia"/>
          <w:highlight w:val="none"/>
        </w:rPr>
        <w:t>七、质疑与投诉</w:t>
      </w:r>
      <w:r>
        <w:rPr>
          <w:highlight w:val="none"/>
        </w:rPr>
        <w:tab/>
      </w:r>
      <w:r>
        <w:rPr>
          <w:highlight w:val="none"/>
        </w:rPr>
        <w:fldChar w:fldCharType="begin"/>
      </w:r>
      <w:r>
        <w:rPr>
          <w:highlight w:val="none"/>
        </w:rPr>
        <w:instrText xml:space="preserve"> PAGEREF _Toc11354 \h </w:instrText>
      </w:r>
      <w:r>
        <w:rPr>
          <w:highlight w:val="none"/>
        </w:rPr>
        <w:fldChar w:fldCharType="separate"/>
      </w:r>
      <w:r>
        <w:rPr>
          <w:highlight w:val="none"/>
        </w:rPr>
        <w:t>16</w:t>
      </w:r>
      <w:r>
        <w:rPr>
          <w:highlight w:val="none"/>
        </w:rPr>
        <w:fldChar w:fldCharType="end"/>
      </w:r>
      <w:r>
        <w:rPr>
          <w:highlight w:val="none"/>
        </w:rPr>
        <w:fldChar w:fldCharType="end"/>
      </w:r>
    </w:p>
    <w:p w14:paraId="794D7A2C">
      <w:pPr>
        <w:pStyle w:val="25"/>
        <w:tabs>
          <w:tab w:val="right" w:leader="dot" w:pos="8306"/>
        </w:tabs>
        <w:rPr>
          <w:highlight w:val="none"/>
        </w:rPr>
      </w:pPr>
      <w:r>
        <w:rPr>
          <w:highlight w:val="none"/>
        </w:rPr>
        <w:fldChar w:fldCharType="begin"/>
      </w:r>
      <w:r>
        <w:rPr>
          <w:highlight w:val="none"/>
        </w:rPr>
        <w:instrText xml:space="preserve"> HYPERLINK \l _Toc14266 </w:instrText>
      </w:r>
      <w:r>
        <w:rPr>
          <w:highlight w:val="none"/>
        </w:rPr>
        <w:fldChar w:fldCharType="separate"/>
      </w:r>
      <w:r>
        <w:rPr>
          <w:rFonts w:hint="eastAsia"/>
          <w:highlight w:val="none"/>
        </w:rPr>
        <w:t>八、投标纪律要求</w:t>
      </w:r>
      <w:r>
        <w:rPr>
          <w:highlight w:val="none"/>
        </w:rPr>
        <w:tab/>
      </w:r>
      <w:r>
        <w:rPr>
          <w:highlight w:val="none"/>
        </w:rPr>
        <w:fldChar w:fldCharType="begin"/>
      </w:r>
      <w:r>
        <w:rPr>
          <w:highlight w:val="none"/>
        </w:rPr>
        <w:instrText xml:space="preserve"> PAGEREF _Toc14266 \h </w:instrText>
      </w:r>
      <w:r>
        <w:rPr>
          <w:highlight w:val="none"/>
        </w:rPr>
        <w:fldChar w:fldCharType="separate"/>
      </w:r>
      <w:r>
        <w:rPr>
          <w:highlight w:val="none"/>
        </w:rPr>
        <w:t>17</w:t>
      </w:r>
      <w:r>
        <w:rPr>
          <w:highlight w:val="none"/>
        </w:rPr>
        <w:fldChar w:fldCharType="end"/>
      </w:r>
      <w:r>
        <w:rPr>
          <w:highlight w:val="none"/>
        </w:rPr>
        <w:fldChar w:fldCharType="end"/>
      </w:r>
    </w:p>
    <w:p w14:paraId="251E0AE1">
      <w:pPr>
        <w:pStyle w:val="25"/>
        <w:tabs>
          <w:tab w:val="right" w:leader="dot" w:pos="8306"/>
        </w:tabs>
        <w:rPr>
          <w:highlight w:val="none"/>
        </w:rPr>
      </w:pPr>
      <w:r>
        <w:rPr>
          <w:highlight w:val="none"/>
        </w:rPr>
        <w:fldChar w:fldCharType="begin"/>
      </w:r>
      <w:r>
        <w:rPr>
          <w:highlight w:val="none"/>
        </w:rPr>
        <w:instrText xml:space="preserve"> HYPERLINK \l _Toc5459 </w:instrText>
      </w:r>
      <w:r>
        <w:rPr>
          <w:highlight w:val="none"/>
        </w:rPr>
        <w:fldChar w:fldCharType="separate"/>
      </w:r>
      <w:r>
        <w:rPr>
          <w:rFonts w:hint="eastAsia"/>
          <w:highlight w:val="none"/>
        </w:rPr>
        <w:t>九、落实政府采购政策需满足的要求</w:t>
      </w:r>
      <w:r>
        <w:rPr>
          <w:highlight w:val="none"/>
        </w:rPr>
        <w:tab/>
      </w:r>
      <w:r>
        <w:rPr>
          <w:highlight w:val="none"/>
        </w:rPr>
        <w:fldChar w:fldCharType="begin"/>
      </w:r>
      <w:r>
        <w:rPr>
          <w:highlight w:val="none"/>
        </w:rPr>
        <w:instrText xml:space="preserve"> PAGEREF _Toc5459 \h </w:instrText>
      </w:r>
      <w:r>
        <w:rPr>
          <w:highlight w:val="none"/>
        </w:rPr>
        <w:fldChar w:fldCharType="separate"/>
      </w:r>
      <w:r>
        <w:rPr>
          <w:highlight w:val="none"/>
        </w:rPr>
        <w:t>17</w:t>
      </w:r>
      <w:r>
        <w:rPr>
          <w:highlight w:val="none"/>
        </w:rPr>
        <w:fldChar w:fldCharType="end"/>
      </w:r>
      <w:r>
        <w:rPr>
          <w:highlight w:val="none"/>
        </w:rPr>
        <w:fldChar w:fldCharType="end"/>
      </w:r>
    </w:p>
    <w:p w14:paraId="6E9C0BE1">
      <w:pPr>
        <w:pStyle w:val="25"/>
        <w:tabs>
          <w:tab w:val="right" w:leader="dot" w:pos="8306"/>
        </w:tabs>
        <w:rPr>
          <w:highlight w:val="none"/>
        </w:rPr>
      </w:pPr>
      <w:r>
        <w:rPr>
          <w:highlight w:val="none"/>
        </w:rPr>
        <w:fldChar w:fldCharType="begin"/>
      </w:r>
      <w:r>
        <w:rPr>
          <w:highlight w:val="none"/>
        </w:rPr>
        <w:instrText xml:space="preserve"> HYPERLINK \l _Toc22602 </w:instrText>
      </w:r>
      <w:r>
        <w:rPr>
          <w:highlight w:val="none"/>
        </w:rPr>
        <w:fldChar w:fldCharType="separate"/>
      </w:r>
      <w:r>
        <w:rPr>
          <w:rFonts w:hint="eastAsia"/>
          <w:highlight w:val="none"/>
        </w:rPr>
        <w:t>十、其他</w:t>
      </w:r>
      <w:r>
        <w:rPr>
          <w:highlight w:val="none"/>
        </w:rPr>
        <w:tab/>
      </w:r>
      <w:r>
        <w:rPr>
          <w:highlight w:val="none"/>
        </w:rPr>
        <w:fldChar w:fldCharType="begin"/>
      </w:r>
      <w:r>
        <w:rPr>
          <w:highlight w:val="none"/>
        </w:rPr>
        <w:instrText xml:space="preserve"> PAGEREF _Toc22602 \h </w:instrText>
      </w:r>
      <w:r>
        <w:rPr>
          <w:highlight w:val="none"/>
        </w:rPr>
        <w:fldChar w:fldCharType="separate"/>
      </w:r>
      <w:r>
        <w:rPr>
          <w:highlight w:val="none"/>
        </w:rPr>
        <w:t>19</w:t>
      </w:r>
      <w:r>
        <w:rPr>
          <w:highlight w:val="none"/>
        </w:rPr>
        <w:fldChar w:fldCharType="end"/>
      </w:r>
      <w:r>
        <w:rPr>
          <w:highlight w:val="none"/>
        </w:rPr>
        <w:fldChar w:fldCharType="end"/>
      </w:r>
    </w:p>
    <w:p w14:paraId="32C11F31">
      <w:pPr>
        <w:pStyle w:val="21"/>
        <w:tabs>
          <w:tab w:val="right" w:leader="dot" w:pos="8306"/>
          <w:tab w:val="clear" w:pos="1470"/>
          <w:tab w:val="clear" w:pos="8296"/>
        </w:tabs>
        <w:rPr>
          <w:highlight w:val="none"/>
        </w:rPr>
      </w:pPr>
      <w:r>
        <w:rPr>
          <w:highlight w:val="none"/>
        </w:rPr>
        <w:fldChar w:fldCharType="begin"/>
      </w:r>
      <w:r>
        <w:rPr>
          <w:highlight w:val="none"/>
        </w:rPr>
        <w:instrText xml:space="preserve"> HYPERLINK \l _Toc11087 </w:instrText>
      </w:r>
      <w:r>
        <w:rPr>
          <w:highlight w:val="none"/>
        </w:rPr>
        <w:fldChar w:fldCharType="separate"/>
      </w:r>
      <w:r>
        <w:rPr>
          <w:highlight w:val="none"/>
        </w:rPr>
        <w:t>第四章</w:t>
      </w:r>
      <w:r>
        <w:rPr>
          <w:rFonts w:hint="eastAsia"/>
          <w:highlight w:val="none"/>
        </w:rPr>
        <w:t xml:space="preserve">  采购需求</w:t>
      </w:r>
      <w:r>
        <w:rPr>
          <w:highlight w:val="none"/>
        </w:rPr>
        <w:tab/>
      </w:r>
      <w:r>
        <w:rPr>
          <w:highlight w:val="none"/>
        </w:rPr>
        <w:fldChar w:fldCharType="begin"/>
      </w:r>
      <w:r>
        <w:rPr>
          <w:highlight w:val="none"/>
        </w:rPr>
        <w:instrText xml:space="preserve"> PAGEREF _Toc11087 \h </w:instrText>
      </w:r>
      <w:r>
        <w:rPr>
          <w:highlight w:val="none"/>
        </w:rPr>
        <w:fldChar w:fldCharType="separate"/>
      </w:r>
      <w:r>
        <w:rPr>
          <w:highlight w:val="none"/>
        </w:rPr>
        <w:t>20</w:t>
      </w:r>
      <w:r>
        <w:rPr>
          <w:highlight w:val="none"/>
        </w:rPr>
        <w:fldChar w:fldCharType="end"/>
      </w:r>
      <w:r>
        <w:rPr>
          <w:highlight w:val="none"/>
        </w:rPr>
        <w:fldChar w:fldCharType="end"/>
      </w:r>
    </w:p>
    <w:p w14:paraId="2BC6E2F4">
      <w:pPr>
        <w:pStyle w:val="25"/>
        <w:tabs>
          <w:tab w:val="right" w:leader="dot" w:pos="8306"/>
        </w:tabs>
        <w:rPr>
          <w:highlight w:val="none"/>
        </w:rPr>
      </w:pPr>
      <w:r>
        <w:rPr>
          <w:highlight w:val="none"/>
        </w:rPr>
        <w:fldChar w:fldCharType="begin"/>
      </w:r>
      <w:r>
        <w:rPr>
          <w:highlight w:val="none"/>
        </w:rPr>
        <w:instrText xml:space="preserve"> HYPERLINK \l _Toc4338 </w:instrText>
      </w:r>
      <w:r>
        <w:rPr>
          <w:highlight w:val="none"/>
        </w:rPr>
        <w:fldChar w:fldCharType="separate"/>
      </w:r>
      <w:r>
        <w:rPr>
          <w:rFonts w:hint="eastAsia"/>
          <w:highlight w:val="none"/>
          <w:lang w:val="en-US" w:eastAsia="zh-CN"/>
        </w:rPr>
        <w:t>一、电子政务网络安全</w:t>
      </w:r>
      <w:r>
        <w:rPr>
          <w:highlight w:val="none"/>
        </w:rPr>
        <w:tab/>
      </w:r>
      <w:r>
        <w:rPr>
          <w:highlight w:val="none"/>
        </w:rPr>
        <w:fldChar w:fldCharType="begin"/>
      </w:r>
      <w:r>
        <w:rPr>
          <w:highlight w:val="none"/>
        </w:rPr>
        <w:instrText xml:space="preserve"> PAGEREF _Toc4338 \h </w:instrText>
      </w:r>
      <w:r>
        <w:rPr>
          <w:highlight w:val="none"/>
        </w:rPr>
        <w:fldChar w:fldCharType="separate"/>
      </w:r>
      <w:r>
        <w:rPr>
          <w:highlight w:val="none"/>
        </w:rPr>
        <w:t>20</w:t>
      </w:r>
      <w:r>
        <w:rPr>
          <w:highlight w:val="none"/>
        </w:rPr>
        <w:fldChar w:fldCharType="end"/>
      </w:r>
      <w:r>
        <w:rPr>
          <w:highlight w:val="none"/>
        </w:rPr>
        <w:fldChar w:fldCharType="end"/>
      </w:r>
    </w:p>
    <w:p w14:paraId="7FE65BE8">
      <w:pPr>
        <w:pStyle w:val="25"/>
        <w:tabs>
          <w:tab w:val="right" w:leader="dot" w:pos="8306"/>
        </w:tabs>
        <w:rPr>
          <w:highlight w:val="none"/>
        </w:rPr>
      </w:pPr>
      <w:r>
        <w:rPr>
          <w:highlight w:val="none"/>
        </w:rPr>
        <w:fldChar w:fldCharType="begin"/>
      </w:r>
      <w:r>
        <w:rPr>
          <w:highlight w:val="none"/>
        </w:rPr>
        <w:instrText xml:space="preserve"> HYPERLINK \l _Toc27811 </w:instrText>
      </w:r>
      <w:r>
        <w:rPr>
          <w:highlight w:val="none"/>
        </w:rPr>
        <w:fldChar w:fldCharType="separate"/>
      </w:r>
      <w:r>
        <w:rPr>
          <w:rFonts w:hint="eastAsia"/>
          <w:highlight w:val="none"/>
          <w:lang w:val="en-US" w:eastAsia="zh-CN"/>
        </w:rPr>
        <w:t>二、 数据安全</w:t>
      </w:r>
      <w:r>
        <w:rPr>
          <w:highlight w:val="none"/>
        </w:rPr>
        <w:tab/>
      </w:r>
      <w:r>
        <w:rPr>
          <w:highlight w:val="none"/>
        </w:rPr>
        <w:fldChar w:fldCharType="begin"/>
      </w:r>
      <w:r>
        <w:rPr>
          <w:highlight w:val="none"/>
        </w:rPr>
        <w:instrText xml:space="preserve"> PAGEREF _Toc27811 \h </w:instrText>
      </w:r>
      <w:r>
        <w:rPr>
          <w:highlight w:val="none"/>
        </w:rPr>
        <w:fldChar w:fldCharType="separate"/>
      </w:r>
      <w:r>
        <w:rPr>
          <w:highlight w:val="none"/>
        </w:rPr>
        <w:t>24</w:t>
      </w:r>
      <w:r>
        <w:rPr>
          <w:highlight w:val="none"/>
        </w:rPr>
        <w:fldChar w:fldCharType="end"/>
      </w:r>
      <w:r>
        <w:rPr>
          <w:highlight w:val="none"/>
        </w:rPr>
        <w:fldChar w:fldCharType="end"/>
      </w:r>
    </w:p>
    <w:p w14:paraId="21A1CD37">
      <w:pPr>
        <w:pStyle w:val="25"/>
        <w:tabs>
          <w:tab w:val="right" w:leader="dot" w:pos="8306"/>
        </w:tabs>
        <w:rPr>
          <w:highlight w:val="none"/>
        </w:rPr>
      </w:pPr>
      <w:r>
        <w:rPr>
          <w:highlight w:val="none"/>
        </w:rPr>
        <w:fldChar w:fldCharType="begin"/>
      </w:r>
      <w:r>
        <w:rPr>
          <w:highlight w:val="none"/>
        </w:rPr>
        <w:instrText xml:space="preserve"> HYPERLINK \l _Toc31157 </w:instrText>
      </w:r>
      <w:r>
        <w:rPr>
          <w:highlight w:val="none"/>
        </w:rPr>
        <w:fldChar w:fldCharType="separate"/>
      </w:r>
      <w:r>
        <w:rPr>
          <w:rFonts w:hint="eastAsia"/>
          <w:highlight w:val="none"/>
          <w:lang w:val="en-US" w:eastAsia="zh-CN"/>
        </w:rPr>
        <w:t>三、其他要求</w:t>
      </w:r>
      <w:r>
        <w:rPr>
          <w:highlight w:val="none"/>
        </w:rPr>
        <w:tab/>
      </w:r>
      <w:r>
        <w:rPr>
          <w:highlight w:val="none"/>
        </w:rPr>
        <w:fldChar w:fldCharType="begin"/>
      </w:r>
      <w:r>
        <w:rPr>
          <w:highlight w:val="none"/>
        </w:rPr>
        <w:instrText xml:space="preserve"> PAGEREF _Toc31157 \h </w:instrText>
      </w:r>
      <w:r>
        <w:rPr>
          <w:highlight w:val="none"/>
        </w:rPr>
        <w:fldChar w:fldCharType="separate"/>
      </w:r>
      <w:r>
        <w:rPr>
          <w:highlight w:val="none"/>
        </w:rPr>
        <w:t>25</w:t>
      </w:r>
      <w:r>
        <w:rPr>
          <w:highlight w:val="none"/>
        </w:rPr>
        <w:fldChar w:fldCharType="end"/>
      </w:r>
      <w:r>
        <w:rPr>
          <w:highlight w:val="none"/>
        </w:rPr>
        <w:fldChar w:fldCharType="end"/>
      </w:r>
    </w:p>
    <w:p w14:paraId="6D77B67F">
      <w:pPr>
        <w:pStyle w:val="21"/>
        <w:tabs>
          <w:tab w:val="right" w:leader="dot" w:pos="8306"/>
          <w:tab w:val="clear" w:pos="1470"/>
          <w:tab w:val="clear" w:pos="8296"/>
        </w:tabs>
        <w:rPr>
          <w:highlight w:val="none"/>
        </w:rPr>
      </w:pPr>
      <w:r>
        <w:rPr>
          <w:highlight w:val="none"/>
        </w:rPr>
        <w:fldChar w:fldCharType="begin"/>
      </w:r>
      <w:r>
        <w:rPr>
          <w:highlight w:val="none"/>
        </w:rPr>
        <w:instrText xml:space="preserve"> HYPERLINK \l _Toc24638 </w:instrText>
      </w:r>
      <w:r>
        <w:rPr>
          <w:highlight w:val="none"/>
        </w:rPr>
        <w:fldChar w:fldCharType="separate"/>
      </w:r>
      <w:r>
        <w:rPr>
          <w:rFonts w:hint="eastAsia"/>
          <w:highlight w:val="none"/>
        </w:rPr>
        <w:t>第五章  合同</w:t>
      </w:r>
      <w:r>
        <w:rPr>
          <w:highlight w:val="none"/>
        </w:rPr>
        <w:tab/>
      </w:r>
      <w:r>
        <w:rPr>
          <w:highlight w:val="none"/>
        </w:rPr>
        <w:fldChar w:fldCharType="begin"/>
      </w:r>
      <w:r>
        <w:rPr>
          <w:highlight w:val="none"/>
        </w:rPr>
        <w:instrText xml:space="preserve"> PAGEREF _Toc24638 \h </w:instrText>
      </w:r>
      <w:r>
        <w:rPr>
          <w:highlight w:val="none"/>
        </w:rPr>
        <w:fldChar w:fldCharType="separate"/>
      </w:r>
      <w:r>
        <w:rPr>
          <w:highlight w:val="none"/>
        </w:rPr>
        <w:t>26</w:t>
      </w:r>
      <w:r>
        <w:rPr>
          <w:highlight w:val="none"/>
        </w:rPr>
        <w:fldChar w:fldCharType="end"/>
      </w:r>
      <w:r>
        <w:rPr>
          <w:highlight w:val="none"/>
        </w:rPr>
        <w:fldChar w:fldCharType="end"/>
      </w:r>
    </w:p>
    <w:p w14:paraId="3F3A58F5">
      <w:pPr>
        <w:pStyle w:val="25"/>
        <w:tabs>
          <w:tab w:val="right" w:leader="dot" w:pos="8306"/>
        </w:tabs>
        <w:rPr>
          <w:highlight w:val="none"/>
        </w:rPr>
      </w:pPr>
      <w:r>
        <w:rPr>
          <w:highlight w:val="none"/>
        </w:rPr>
        <w:fldChar w:fldCharType="begin"/>
      </w:r>
      <w:r>
        <w:rPr>
          <w:highlight w:val="none"/>
        </w:rPr>
        <w:instrText xml:space="preserve"> HYPERLINK \l _Toc30934 </w:instrText>
      </w:r>
      <w:r>
        <w:rPr>
          <w:highlight w:val="none"/>
        </w:rPr>
        <w:fldChar w:fldCharType="separate"/>
      </w:r>
      <w:r>
        <w:rPr>
          <w:rFonts w:hint="eastAsia"/>
          <w:highlight w:val="none"/>
        </w:rPr>
        <w:t>一、说明</w:t>
      </w:r>
      <w:r>
        <w:rPr>
          <w:highlight w:val="none"/>
        </w:rPr>
        <w:tab/>
      </w:r>
      <w:r>
        <w:rPr>
          <w:highlight w:val="none"/>
        </w:rPr>
        <w:fldChar w:fldCharType="begin"/>
      </w:r>
      <w:r>
        <w:rPr>
          <w:highlight w:val="none"/>
        </w:rPr>
        <w:instrText xml:space="preserve"> PAGEREF _Toc30934 \h </w:instrText>
      </w:r>
      <w:r>
        <w:rPr>
          <w:highlight w:val="none"/>
        </w:rPr>
        <w:fldChar w:fldCharType="separate"/>
      </w:r>
      <w:r>
        <w:rPr>
          <w:highlight w:val="none"/>
        </w:rPr>
        <w:t>26</w:t>
      </w:r>
      <w:r>
        <w:rPr>
          <w:highlight w:val="none"/>
        </w:rPr>
        <w:fldChar w:fldCharType="end"/>
      </w:r>
      <w:r>
        <w:rPr>
          <w:highlight w:val="none"/>
        </w:rPr>
        <w:fldChar w:fldCharType="end"/>
      </w:r>
    </w:p>
    <w:p w14:paraId="11F153C6">
      <w:pPr>
        <w:pStyle w:val="25"/>
        <w:tabs>
          <w:tab w:val="right" w:leader="dot" w:pos="8306"/>
        </w:tabs>
        <w:rPr>
          <w:highlight w:val="none"/>
        </w:rPr>
      </w:pPr>
      <w:r>
        <w:rPr>
          <w:highlight w:val="none"/>
        </w:rPr>
        <w:fldChar w:fldCharType="begin"/>
      </w:r>
      <w:r>
        <w:rPr>
          <w:highlight w:val="none"/>
        </w:rPr>
        <w:instrText xml:space="preserve"> HYPERLINK \l _Toc10785 </w:instrText>
      </w:r>
      <w:r>
        <w:rPr>
          <w:highlight w:val="none"/>
        </w:rPr>
        <w:fldChar w:fldCharType="separate"/>
      </w:r>
      <w:r>
        <w:rPr>
          <w:rFonts w:hint="eastAsia"/>
          <w:highlight w:val="none"/>
        </w:rPr>
        <w:t>二、合同金额</w:t>
      </w:r>
      <w:r>
        <w:rPr>
          <w:highlight w:val="none"/>
        </w:rPr>
        <w:tab/>
      </w:r>
      <w:r>
        <w:rPr>
          <w:highlight w:val="none"/>
        </w:rPr>
        <w:fldChar w:fldCharType="begin"/>
      </w:r>
      <w:r>
        <w:rPr>
          <w:highlight w:val="none"/>
        </w:rPr>
        <w:instrText xml:space="preserve"> PAGEREF _Toc10785 \h </w:instrText>
      </w:r>
      <w:r>
        <w:rPr>
          <w:highlight w:val="none"/>
        </w:rPr>
        <w:fldChar w:fldCharType="separate"/>
      </w:r>
      <w:r>
        <w:rPr>
          <w:highlight w:val="none"/>
        </w:rPr>
        <w:t>26</w:t>
      </w:r>
      <w:r>
        <w:rPr>
          <w:highlight w:val="none"/>
        </w:rPr>
        <w:fldChar w:fldCharType="end"/>
      </w:r>
      <w:r>
        <w:rPr>
          <w:highlight w:val="none"/>
        </w:rPr>
        <w:fldChar w:fldCharType="end"/>
      </w:r>
    </w:p>
    <w:p w14:paraId="4BF9EEA0">
      <w:pPr>
        <w:pStyle w:val="25"/>
        <w:tabs>
          <w:tab w:val="right" w:leader="dot" w:pos="8306"/>
        </w:tabs>
        <w:rPr>
          <w:highlight w:val="none"/>
        </w:rPr>
      </w:pPr>
      <w:r>
        <w:rPr>
          <w:highlight w:val="none"/>
        </w:rPr>
        <w:fldChar w:fldCharType="begin"/>
      </w:r>
      <w:r>
        <w:rPr>
          <w:highlight w:val="none"/>
        </w:rPr>
        <w:instrText xml:space="preserve"> HYPERLINK \l _Toc17911 </w:instrText>
      </w:r>
      <w:r>
        <w:rPr>
          <w:highlight w:val="none"/>
        </w:rPr>
        <w:fldChar w:fldCharType="separate"/>
      </w:r>
      <w:r>
        <w:rPr>
          <w:rFonts w:hint="eastAsia"/>
          <w:highlight w:val="none"/>
          <w:lang w:val="en-US" w:eastAsia="zh-CN"/>
        </w:rPr>
        <w:t>三</w:t>
      </w:r>
      <w:r>
        <w:rPr>
          <w:rFonts w:hint="eastAsia"/>
          <w:highlight w:val="none"/>
        </w:rPr>
        <w:t>、履约保证金</w:t>
      </w:r>
      <w:r>
        <w:rPr>
          <w:highlight w:val="none"/>
        </w:rPr>
        <w:tab/>
      </w:r>
      <w:r>
        <w:rPr>
          <w:highlight w:val="none"/>
        </w:rPr>
        <w:fldChar w:fldCharType="begin"/>
      </w:r>
      <w:r>
        <w:rPr>
          <w:highlight w:val="none"/>
        </w:rPr>
        <w:instrText xml:space="preserve"> PAGEREF _Toc17911 \h </w:instrText>
      </w:r>
      <w:r>
        <w:rPr>
          <w:highlight w:val="none"/>
        </w:rPr>
        <w:fldChar w:fldCharType="separate"/>
      </w:r>
      <w:r>
        <w:rPr>
          <w:highlight w:val="none"/>
        </w:rPr>
        <w:t>26</w:t>
      </w:r>
      <w:r>
        <w:rPr>
          <w:highlight w:val="none"/>
        </w:rPr>
        <w:fldChar w:fldCharType="end"/>
      </w:r>
      <w:r>
        <w:rPr>
          <w:highlight w:val="none"/>
        </w:rPr>
        <w:fldChar w:fldCharType="end"/>
      </w:r>
    </w:p>
    <w:p w14:paraId="65DFA224">
      <w:pPr>
        <w:pStyle w:val="25"/>
        <w:tabs>
          <w:tab w:val="right" w:leader="dot" w:pos="8306"/>
        </w:tabs>
        <w:rPr>
          <w:highlight w:val="none"/>
        </w:rPr>
      </w:pPr>
      <w:r>
        <w:rPr>
          <w:highlight w:val="none"/>
        </w:rPr>
        <w:fldChar w:fldCharType="begin"/>
      </w:r>
      <w:r>
        <w:rPr>
          <w:highlight w:val="none"/>
        </w:rPr>
        <w:instrText xml:space="preserve"> HYPERLINK \l _Toc16516 </w:instrText>
      </w:r>
      <w:r>
        <w:rPr>
          <w:highlight w:val="none"/>
        </w:rPr>
        <w:fldChar w:fldCharType="separate"/>
      </w:r>
      <w:r>
        <w:rPr>
          <w:rFonts w:hint="eastAsia"/>
          <w:highlight w:val="none"/>
          <w:lang w:val="en-US" w:eastAsia="zh-CN"/>
        </w:rPr>
        <w:t>四</w:t>
      </w:r>
      <w:r>
        <w:rPr>
          <w:rFonts w:hint="eastAsia"/>
          <w:highlight w:val="none"/>
        </w:rPr>
        <w:t>、转包或分包</w:t>
      </w:r>
      <w:r>
        <w:rPr>
          <w:highlight w:val="none"/>
        </w:rPr>
        <w:tab/>
      </w:r>
      <w:r>
        <w:rPr>
          <w:highlight w:val="none"/>
        </w:rPr>
        <w:fldChar w:fldCharType="begin"/>
      </w:r>
      <w:r>
        <w:rPr>
          <w:highlight w:val="none"/>
        </w:rPr>
        <w:instrText xml:space="preserve"> PAGEREF _Toc16516 \h </w:instrText>
      </w:r>
      <w:r>
        <w:rPr>
          <w:highlight w:val="none"/>
        </w:rPr>
        <w:fldChar w:fldCharType="separate"/>
      </w:r>
      <w:r>
        <w:rPr>
          <w:highlight w:val="none"/>
        </w:rPr>
        <w:t>26</w:t>
      </w:r>
      <w:r>
        <w:rPr>
          <w:highlight w:val="none"/>
        </w:rPr>
        <w:fldChar w:fldCharType="end"/>
      </w:r>
      <w:r>
        <w:rPr>
          <w:highlight w:val="none"/>
        </w:rPr>
        <w:fldChar w:fldCharType="end"/>
      </w:r>
    </w:p>
    <w:p w14:paraId="17492AD7">
      <w:pPr>
        <w:pStyle w:val="25"/>
        <w:tabs>
          <w:tab w:val="right" w:leader="dot" w:pos="8306"/>
        </w:tabs>
        <w:rPr>
          <w:highlight w:val="none"/>
        </w:rPr>
      </w:pPr>
      <w:r>
        <w:rPr>
          <w:highlight w:val="none"/>
        </w:rPr>
        <w:fldChar w:fldCharType="begin"/>
      </w:r>
      <w:r>
        <w:rPr>
          <w:highlight w:val="none"/>
        </w:rPr>
        <w:instrText xml:space="preserve"> HYPERLINK \l _Toc3871 </w:instrText>
      </w:r>
      <w:r>
        <w:rPr>
          <w:highlight w:val="none"/>
        </w:rPr>
        <w:fldChar w:fldCharType="separate"/>
      </w:r>
      <w:r>
        <w:rPr>
          <w:rFonts w:hint="eastAsia"/>
          <w:highlight w:val="none"/>
          <w:lang w:val="en-US" w:eastAsia="zh-CN"/>
        </w:rPr>
        <w:t>五</w:t>
      </w:r>
      <w:r>
        <w:rPr>
          <w:rFonts w:hint="eastAsia"/>
          <w:highlight w:val="none"/>
        </w:rPr>
        <w:t>、服务期限</w:t>
      </w:r>
      <w:r>
        <w:rPr>
          <w:highlight w:val="none"/>
        </w:rPr>
        <w:tab/>
      </w:r>
      <w:r>
        <w:rPr>
          <w:highlight w:val="none"/>
        </w:rPr>
        <w:fldChar w:fldCharType="begin"/>
      </w:r>
      <w:r>
        <w:rPr>
          <w:highlight w:val="none"/>
        </w:rPr>
        <w:instrText xml:space="preserve"> PAGEREF _Toc3871 \h </w:instrText>
      </w:r>
      <w:r>
        <w:rPr>
          <w:highlight w:val="none"/>
        </w:rPr>
        <w:fldChar w:fldCharType="separate"/>
      </w:r>
      <w:r>
        <w:rPr>
          <w:highlight w:val="none"/>
        </w:rPr>
        <w:t>26</w:t>
      </w:r>
      <w:r>
        <w:rPr>
          <w:highlight w:val="none"/>
        </w:rPr>
        <w:fldChar w:fldCharType="end"/>
      </w:r>
      <w:r>
        <w:rPr>
          <w:highlight w:val="none"/>
        </w:rPr>
        <w:fldChar w:fldCharType="end"/>
      </w:r>
    </w:p>
    <w:p w14:paraId="50DFE51F">
      <w:pPr>
        <w:pStyle w:val="25"/>
        <w:tabs>
          <w:tab w:val="right" w:leader="dot" w:pos="8306"/>
        </w:tabs>
        <w:rPr>
          <w:highlight w:val="none"/>
        </w:rPr>
      </w:pPr>
      <w:r>
        <w:rPr>
          <w:highlight w:val="none"/>
        </w:rPr>
        <w:fldChar w:fldCharType="begin"/>
      </w:r>
      <w:r>
        <w:rPr>
          <w:highlight w:val="none"/>
        </w:rPr>
        <w:instrText xml:space="preserve"> HYPERLINK \l _Toc12088 </w:instrText>
      </w:r>
      <w:r>
        <w:rPr>
          <w:highlight w:val="none"/>
        </w:rPr>
        <w:fldChar w:fldCharType="separate"/>
      </w:r>
      <w:r>
        <w:rPr>
          <w:rFonts w:hint="eastAsia"/>
          <w:highlight w:val="none"/>
          <w:lang w:val="en-US" w:eastAsia="zh-CN"/>
        </w:rPr>
        <w:t>六</w:t>
      </w:r>
      <w:r>
        <w:rPr>
          <w:rFonts w:hint="eastAsia"/>
          <w:highlight w:val="none"/>
        </w:rPr>
        <w:t>、资金结算和支付方式</w:t>
      </w:r>
      <w:r>
        <w:rPr>
          <w:highlight w:val="none"/>
        </w:rPr>
        <w:tab/>
      </w:r>
      <w:r>
        <w:rPr>
          <w:highlight w:val="none"/>
        </w:rPr>
        <w:fldChar w:fldCharType="begin"/>
      </w:r>
      <w:r>
        <w:rPr>
          <w:highlight w:val="none"/>
        </w:rPr>
        <w:instrText xml:space="preserve"> PAGEREF _Toc12088 \h </w:instrText>
      </w:r>
      <w:r>
        <w:rPr>
          <w:highlight w:val="none"/>
        </w:rPr>
        <w:fldChar w:fldCharType="separate"/>
      </w:r>
      <w:r>
        <w:rPr>
          <w:highlight w:val="none"/>
        </w:rPr>
        <w:t>26</w:t>
      </w:r>
      <w:r>
        <w:rPr>
          <w:highlight w:val="none"/>
        </w:rPr>
        <w:fldChar w:fldCharType="end"/>
      </w:r>
      <w:r>
        <w:rPr>
          <w:highlight w:val="none"/>
        </w:rPr>
        <w:fldChar w:fldCharType="end"/>
      </w:r>
    </w:p>
    <w:p w14:paraId="576BEEB6">
      <w:pPr>
        <w:pStyle w:val="25"/>
        <w:tabs>
          <w:tab w:val="right" w:leader="dot" w:pos="8306"/>
        </w:tabs>
        <w:rPr>
          <w:highlight w:val="none"/>
        </w:rPr>
      </w:pPr>
      <w:r>
        <w:rPr>
          <w:highlight w:val="none"/>
        </w:rPr>
        <w:fldChar w:fldCharType="begin"/>
      </w:r>
      <w:r>
        <w:rPr>
          <w:highlight w:val="none"/>
        </w:rPr>
        <w:instrText xml:space="preserve"> HYPERLINK \l _Toc5919 </w:instrText>
      </w:r>
      <w:r>
        <w:rPr>
          <w:highlight w:val="none"/>
        </w:rPr>
        <w:fldChar w:fldCharType="separate"/>
      </w:r>
      <w:r>
        <w:rPr>
          <w:rFonts w:hint="eastAsia"/>
          <w:highlight w:val="none"/>
          <w:lang w:val="en-US" w:eastAsia="zh-CN"/>
        </w:rPr>
        <w:t>七</w:t>
      </w:r>
      <w:r>
        <w:rPr>
          <w:rFonts w:hint="eastAsia"/>
          <w:highlight w:val="none"/>
        </w:rPr>
        <w:t>、税费</w:t>
      </w:r>
      <w:r>
        <w:rPr>
          <w:highlight w:val="none"/>
        </w:rPr>
        <w:tab/>
      </w:r>
      <w:r>
        <w:rPr>
          <w:highlight w:val="none"/>
        </w:rPr>
        <w:fldChar w:fldCharType="begin"/>
      </w:r>
      <w:r>
        <w:rPr>
          <w:highlight w:val="none"/>
        </w:rPr>
        <w:instrText xml:space="preserve"> PAGEREF _Toc5919 \h </w:instrText>
      </w:r>
      <w:r>
        <w:rPr>
          <w:highlight w:val="none"/>
        </w:rPr>
        <w:fldChar w:fldCharType="separate"/>
      </w:r>
      <w:r>
        <w:rPr>
          <w:highlight w:val="none"/>
        </w:rPr>
        <w:t>27</w:t>
      </w:r>
      <w:r>
        <w:rPr>
          <w:highlight w:val="none"/>
        </w:rPr>
        <w:fldChar w:fldCharType="end"/>
      </w:r>
      <w:r>
        <w:rPr>
          <w:highlight w:val="none"/>
        </w:rPr>
        <w:fldChar w:fldCharType="end"/>
      </w:r>
    </w:p>
    <w:p w14:paraId="2D55D55F">
      <w:pPr>
        <w:pStyle w:val="25"/>
        <w:tabs>
          <w:tab w:val="right" w:leader="dot" w:pos="8306"/>
        </w:tabs>
        <w:rPr>
          <w:highlight w:val="none"/>
        </w:rPr>
      </w:pPr>
      <w:r>
        <w:rPr>
          <w:highlight w:val="none"/>
        </w:rPr>
        <w:fldChar w:fldCharType="begin"/>
      </w:r>
      <w:r>
        <w:rPr>
          <w:highlight w:val="none"/>
        </w:rPr>
        <w:instrText xml:space="preserve"> HYPERLINK \l _Toc775 </w:instrText>
      </w:r>
      <w:r>
        <w:rPr>
          <w:highlight w:val="none"/>
        </w:rPr>
        <w:fldChar w:fldCharType="separate"/>
      </w:r>
      <w:r>
        <w:rPr>
          <w:rFonts w:hint="eastAsia"/>
          <w:highlight w:val="none"/>
          <w:lang w:val="en-US" w:eastAsia="zh-CN"/>
        </w:rPr>
        <w:t>八</w:t>
      </w:r>
      <w:r>
        <w:rPr>
          <w:rFonts w:hint="eastAsia"/>
          <w:highlight w:val="none"/>
        </w:rPr>
        <w:t>、合同争议与解决</w:t>
      </w:r>
      <w:r>
        <w:rPr>
          <w:highlight w:val="none"/>
        </w:rPr>
        <w:tab/>
      </w:r>
      <w:r>
        <w:rPr>
          <w:highlight w:val="none"/>
        </w:rPr>
        <w:fldChar w:fldCharType="begin"/>
      </w:r>
      <w:r>
        <w:rPr>
          <w:highlight w:val="none"/>
        </w:rPr>
        <w:instrText xml:space="preserve"> PAGEREF _Toc775 \h </w:instrText>
      </w:r>
      <w:r>
        <w:rPr>
          <w:highlight w:val="none"/>
        </w:rPr>
        <w:fldChar w:fldCharType="separate"/>
      </w:r>
      <w:r>
        <w:rPr>
          <w:highlight w:val="none"/>
        </w:rPr>
        <w:t>27</w:t>
      </w:r>
      <w:r>
        <w:rPr>
          <w:highlight w:val="none"/>
        </w:rPr>
        <w:fldChar w:fldCharType="end"/>
      </w:r>
      <w:r>
        <w:rPr>
          <w:highlight w:val="none"/>
        </w:rPr>
        <w:fldChar w:fldCharType="end"/>
      </w:r>
    </w:p>
    <w:p w14:paraId="395A761D">
      <w:pPr>
        <w:pStyle w:val="25"/>
        <w:tabs>
          <w:tab w:val="right" w:leader="dot" w:pos="8306"/>
        </w:tabs>
        <w:rPr>
          <w:highlight w:val="none"/>
        </w:rPr>
      </w:pPr>
      <w:r>
        <w:rPr>
          <w:highlight w:val="none"/>
        </w:rPr>
        <w:fldChar w:fldCharType="begin"/>
      </w:r>
      <w:r>
        <w:rPr>
          <w:highlight w:val="none"/>
        </w:rPr>
        <w:instrText xml:space="preserve"> HYPERLINK \l _Toc8170 </w:instrText>
      </w:r>
      <w:r>
        <w:rPr>
          <w:highlight w:val="none"/>
        </w:rPr>
        <w:fldChar w:fldCharType="separate"/>
      </w:r>
      <w:r>
        <w:rPr>
          <w:rFonts w:hint="eastAsia"/>
          <w:highlight w:val="none"/>
          <w:lang w:val="en-US" w:eastAsia="zh-CN"/>
        </w:rPr>
        <w:t>九</w:t>
      </w:r>
      <w:r>
        <w:rPr>
          <w:rFonts w:hint="eastAsia"/>
          <w:highlight w:val="none"/>
        </w:rPr>
        <w:t>、违约责任与赔偿损失</w:t>
      </w:r>
      <w:r>
        <w:rPr>
          <w:highlight w:val="none"/>
        </w:rPr>
        <w:tab/>
      </w:r>
      <w:r>
        <w:rPr>
          <w:highlight w:val="none"/>
        </w:rPr>
        <w:fldChar w:fldCharType="begin"/>
      </w:r>
      <w:r>
        <w:rPr>
          <w:highlight w:val="none"/>
        </w:rPr>
        <w:instrText xml:space="preserve"> PAGEREF _Toc8170 \h </w:instrText>
      </w:r>
      <w:r>
        <w:rPr>
          <w:highlight w:val="none"/>
        </w:rPr>
        <w:fldChar w:fldCharType="separate"/>
      </w:r>
      <w:r>
        <w:rPr>
          <w:highlight w:val="none"/>
        </w:rPr>
        <w:t>27</w:t>
      </w:r>
      <w:r>
        <w:rPr>
          <w:highlight w:val="none"/>
        </w:rPr>
        <w:fldChar w:fldCharType="end"/>
      </w:r>
      <w:r>
        <w:rPr>
          <w:highlight w:val="none"/>
        </w:rPr>
        <w:fldChar w:fldCharType="end"/>
      </w:r>
    </w:p>
    <w:p w14:paraId="16877558">
      <w:pPr>
        <w:pStyle w:val="25"/>
        <w:tabs>
          <w:tab w:val="right" w:leader="dot" w:pos="8306"/>
        </w:tabs>
        <w:rPr>
          <w:highlight w:val="none"/>
        </w:rPr>
      </w:pPr>
      <w:r>
        <w:rPr>
          <w:highlight w:val="none"/>
        </w:rPr>
        <w:fldChar w:fldCharType="begin"/>
      </w:r>
      <w:r>
        <w:rPr>
          <w:highlight w:val="none"/>
        </w:rPr>
        <w:instrText xml:space="preserve"> HYPERLINK \l _Toc1310 </w:instrText>
      </w:r>
      <w:r>
        <w:rPr>
          <w:highlight w:val="none"/>
        </w:rPr>
        <w:fldChar w:fldCharType="separate"/>
      </w:r>
      <w:r>
        <w:rPr>
          <w:rFonts w:hint="eastAsia"/>
          <w:highlight w:val="none"/>
        </w:rPr>
        <w:t>十、不可抗力事件处理</w:t>
      </w:r>
      <w:r>
        <w:rPr>
          <w:highlight w:val="none"/>
        </w:rPr>
        <w:tab/>
      </w:r>
      <w:r>
        <w:rPr>
          <w:highlight w:val="none"/>
        </w:rPr>
        <w:fldChar w:fldCharType="begin"/>
      </w:r>
      <w:r>
        <w:rPr>
          <w:highlight w:val="none"/>
        </w:rPr>
        <w:instrText xml:space="preserve"> PAGEREF _Toc1310 \h </w:instrText>
      </w:r>
      <w:r>
        <w:rPr>
          <w:highlight w:val="none"/>
        </w:rPr>
        <w:fldChar w:fldCharType="separate"/>
      </w:r>
      <w:r>
        <w:rPr>
          <w:highlight w:val="none"/>
        </w:rPr>
        <w:t>27</w:t>
      </w:r>
      <w:r>
        <w:rPr>
          <w:highlight w:val="none"/>
        </w:rPr>
        <w:fldChar w:fldCharType="end"/>
      </w:r>
      <w:r>
        <w:rPr>
          <w:highlight w:val="none"/>
        </w:rPr>
        <w:fldChar w:fldCharType="end"/>
      </w:r>
    </w:p>
    <w:p w14:paraId="27EEAC6E">
      <w:pPr>
        <w:pStyle w:val="25"/>
        <w:tabs>
          <w:tab w:val="right" w:leader="dot" w:pos="8306"/>
        </w:tabs>
        <w:rPr>
          <w:highlight w:val="none"/>
        </w:rPr>
      </w:pPr>
      <w:r>
        <w:rPr>
          <w:highlight w:val="none"/>
        </w:rPr>
        <w:fldChar w:fldCharType="begin"/>
      </w:r>
      <w:r>
        <w:rPr>
          <w:highlight w:val="none"/>
        </w:rPr>
        <w:instrText xml:space="preserve"> HYPERLINK \l _Toc18651 </w:instrText>
      </w:r>
      <w:r>
        <w:rPr>
          <w:highlight w:val="none"/>
        </w:rPr>
        <w:fldChar w:fldCharType="separate"/>
      </w:r>
      <w:r>
        <w:rPr>
          <w:rFonts w:hint="eastAsia"/>
          <w:highlight w:val="none"/>
        </w:rPr>
        <w:t>十</w:t>
      </w:r>
      <w:r>
        <w:rPr>
          <w:rFonts w:hint="eastAsia"/>
          <w:highlight w:val="none"/>
          <w:lang w:val="en-US" w:eastAsia="zh-CN"/>
        </w:rPr>
        <w:t>一</w:t>
      </w:r>
      <w:r>
        <w:rPr>
          <w:rFonts w:hint="eastAsia"/>
          <w:highlight w:val="none"/>
        </w:rPr>
        <w:t>、诉讼</w:t>
      </w:r>
      <w:r>
        <w:rPr>
          <w:highlight w:val="none"/>
        </w:rPr>
        <w:tab/>
      </w:r>
      <w:r>
        <w:rPr>
          <w:highlight w:val="none"/>
        </w:rPr>
        <w:fldChar w:fldCharType="begin"/>
      </w:r>
      <w:r>
        <w:rPr>
          <w:highlight w:val="none"/>
        </w:rPr>
        <w:instrText xml:space="preserve"> PAGEREF _Toc18651 \h </w:instrText>
      </w:r>
      <w:r>
        <w:rPr>
          <w:highlight w:val="none"/>
        </w:rPr>
        <w:fldChar w:fldCharType="separate"/>
      </w:r>
      <w:r>
        <w:rPr>
          <w:highlight w:val="none"/>
        </w:rPr>
        <w:t>28</w:t>
      </w:r>
      <w:r>
        <w:rPr>
          <w:highlight w:val="none"/>
        </w:rPr>
        <w:fldChar w:fldCharType="end"/>
      </w:r>
      <w:r>
        <w:rPr>
          <w:highlight w:val="none"/>
        </w:rPr>
        <w:fldChar w:fldCharType="end"/>
      </w:r>
    </w:p>
    <w:p w14:paraId="4FB5A403">
      <w:pPr>
        <w:pStyle w:val="25"/>
        <w:tabs>
          <w:tab w:val="right" w:leader="dot" w:pos="8306"/>
        </w:tabs>
        <w:rPr>
          <w:highlight w:val="none"/>
        </w:rPr>
      </w:pPr>
      <w:r>
        <w:rPr>
          <w:highlight w:val="none"/>
        </w:rPr>
        <w:fldChar w:fldCharType="begin"/>
      </w:r>
      <w:r>
        <w:rPr>
          <w:highlight w:val="none"/>
        </w:rPr>
        <w:instrText xml:space="preserve"> HYPERLINK \l _Toc28361 </w:instrText>
      </w:r>
      <w:r>
        <w:rPr>
          <w:highlight w:val="none"/>
        </w:rPr>
        <w:fldChar w:fldCharType="separate"/>
      </w:r>
      <w:r>
        <w:rPr>
          <w:rFonts w:hint="eastAsia"/>
          <w:highlight w:val="none"/>
        </w:rPr>
        <w:t>十</w:t>
      </w:r>
      <w:r>
        <w:rPr>
          <w:rFonts w:hint="eastAsia"/>
          <w:highlight w:val="none"/>
          <w:lang w:val="en-US" w:eastAsia="zh-CN"/>
        </w:rPr>
        <w:t>二</w:t>
      </w:r>
      <w:r>
        <w:rPr>
          <w:rFonts w:hint="eastAsia"/>
          <w:highlight w:val="none"/>
        </w:rPr>
        <w:t>、合同生效及其它</w:t>
      </w:r>
      <w:r>
        <w:rPr>
          <w:highlight w:val="none"/>
        </w:rPr>
        <w:tab/>
      </w:r>
      <w:r>
        <w:rPr>
          <w:highlight w:val="none"/>
        </w:rPr>
        <w:fldChar w:fldCharType="begin"/>
      </w:r>
      <w:r>
        <w:rPr>
          <w:highlight w:val="none"/>
        </w:rPr>
        <w:instrText xml:space="preserve"> PAGEREF _Toc28361 \h </w:instrText>
      </w:r>
      <w:r>
        <w:rPr>
          <w:highlight w:val="none"/>
        </w:rPr>
        <w:fldChar w:fldCharType="separate"/>
      </w:r>
      <w:r>
        <w:rPr>
          <w:highlight w:val="none"/>
        </w:rPr>
        <w:t>28</w:t>
      </w:r>
      <w:r>
        <w:rPr>
          <w:highlight w:val="none"/>
        </w:rPr>
        <w:fldChar w:fldCharType="end"/>
      </w:r>
      <w:r>
        <w:rPr>
          <w:highlight w:val="none"/>
        </w:rPr>
        <w:fldChar w:fldCharType="end"/>
      </w:r>
    </w:p>
    <w:p w14:paraId="08F7C5F4">
      <w:pPr>
        <w:pStyle w:val="25"/>
        <w:tabs>
          <w:tab w:val="right" w:leader="dot" w:pos="8306"/>
        </w:tabs>
        <w:rPr>
          <w:highlight w:val="none"/>
        </w:rPr>
      </w:pPr>
      <w:r>
        <w:rPr>
          <w:highlight w:val="none"/>
        </w:rPr>
        <w:fldChar w:fldCharType="begin"/>
      </w:r>
      <w:r>
        <w:rPr>
          <w:highlight w:val="none"/>
        </w:rPr>
        <w:instrText xml:space="preserve"> HYPERLINK \l _Toc2048 </w:instrText>
      </w:r>
      <w:r>
        <w:rPr>
          <w:highlight w:val="none"/>
        </w:rPr>
        <w:fldChar w:fldCharType="separate"/>
      </w:r>
      <w:r>
        <w:rPr>
          <w:rFonts w:hint="eastAsia"/>
          <w:highlight w:val="none"/>
          <w:lang w:val="en-US" w:eastAsia="zh-CN"/>
        </w:rPr>
        <w:t>项目绩效考核表</w:t>
      </w:r>
      <w:r>
        <w:rPr>
          <w:highlight w:val="none"/>
        </w:rPr>
        <w:tab/>
      </w:r>
      <w:r>
        <w:rPr>
          <w:highlight w:val="none"/>
        </w:rPr>
        <w:fldChar w:fldCharType="begin"/>
      </w:r>
      <w:r>
        <w:rPr>
          <w:highlight w:val="none"/>
        </w:rPr>
        <w:instrText xml:space="preserve"> PAGEREF _Toc2048 \h </w:instrText>
      </w:r>
      <w:r>
        <w:rPr>
          <w:highlight w:val="none"/>
        </w:rPr>
        <w:fldChar w:fldCharType="separate"/>
      </w:r>
      <w:r>
        <w:rPr>
          <w:highlight w:val="none"/>
        </w:rPr>
        <w:t>29</w:t>
      </w:r>
      <w:r>
        <w:rPr>
          <w:highlight w:val="none"/>
        </w:rPr>
        <w:fldChar w:fldCharType="end"/>
      </w:r>
      <w:r>
        <w:rPr>
          <w:highlight w:val="none"/>
        </w:rPr>
        <w:fldChar w:fldCharType="end"/>
      </w:r>
    </w:p>
    <w:p w14:paraId="7B0C5E28">
      <w:pPr>
        <w:pStyle w:val="21"/>
        <w:tabs>
          <w:tab w:val="right" w:leader="dot" w:pos="8306"/>
          <w:tab w:val="clear" w:pos="1470"/>
          <w:tab w:val="clear" w:pos="8296"/>
        </w:tabs>
        <w:rPr>
          <w:highlight w:val="none"/>
        </w:rPr>
      </w:pPr>
      <w:r>
        <w:rPr>
          <w:highlight w:val="none"/>
        </w:rPr>
        <w:fldChar w:fldCharType="begin"/>
      </w:r>
      <w:r>
        <w:rPr>
          <w:highlight w:val="none"/>
        </w:rPr>
        <w:instrText xml:space="preserve"> HYPERLINK \l _Toc16390 </w:instrText>
      </w:r>
      <w:r>
        <w:rPr>
          <w:highlight w:val="none"/>
        </w:rPr>
        <w:fldChar w:fldCharType="separate"/>
      </w:r>
      <w:r>
        <w:rPr>
          <w:highlight w:val="none"/>
        </w:rPr>
        <w:t>第</w:t>
      </w:r>
      <w:r>
        <w:rPr>
          <w:rFonts w:hint="eastAsia"/>
          <w:highlight w:val="none"/>
        </w:rPr>
        <w:t>六</w:t>
      </w:r>
      <w:r>
        <w:rPr>
          <w:highlight w:val="none"/>
        </w:rPr>
        <w:t>章</w:t>
      </w:r>
      <w:r>
        <w:rPr>
          <w:rFonts w:hint="eastAsia"/>
          <w:highlight w:val="none"/>
        </w:rPr>
        <w:t xml:space="preserve">  评审办法和评分标准</w:t>
      </w:r>
      <w:r>
        <w:rPr>
          <w:highlight w:val="none"/>
        </w:rPr>
        <w:tab/>
      </w:r>
      <w:r>
        <w:rPr>
          <w:highlight w:val="none"/>
        </w:rPr>
        <w:fldChar w:fldCharType="begin"/>
      </w:r>
      <w:r>
        <w:rPr>
          <w:highlight w:val="none"/>
        </w:rPr>
        <w:instrText xml:space="preserve"> PAGEREF _Toc16390 \h </w:instrText>
      </w:r>
      <w:r>
        <w:rPr>
          <w:highlight w:val="none"/>
        </w:rPr>
        <w:fldChar w:fldCharType="separate"/>
      </w:r>
      <w:r>
        <w:rPr>
          <w:highlight w:val="none"/>
        </w:rPr>
        <w:t>31</w:t>
      </w:r>
      <w:r>
        <w:rPr>
          <w:highlight w:val="none"/>
        </w:rPr>
        <w:fldChar w:fldCharType="end"/>
      </w:r>
      <w:r>
        <w:rPr>
          <w:highlight w:val="none"/>
        </w:rPr>
        <w:fldChar w:fldCharType="end"/>
      </w:r>
    </w:p>
    <w:p w14:paraId="09553F56">
      <w:pPr>
        <w:pStyle w:val="25"/>
        <w:tabs>
          <w:tab w:val="right" w:leader="dot" w:pos="8306"/>
        </w:tabs>
        <w:rPr>
          <w:highlight w:val="none"/>
        </w:rPr>
      </w:pPr>
      <w:r>
        <w:rPr>
          <w:highlight w:val="none"/>
        </w:rPr>
        <w:fldChar w:fldCharType="begin"/>
      </w:r>
      <w:r>
        <w:rPr>
          <w:highlight w:val="none"/>
        </w:rPr>
        <w:instrText xml:space="preserve"> HYPERLINK \l _Toc24288 </w:instrText>
      </w:r>
      <w:r>
        <w:rPr>
          <w:highlight w:val="none"/>
        </w:rPr>
        <w:fldChar w:fldCharType="separate"/>
      </w:r>
      <w:r>
        <w:rPr>
          <w:highlight w:val="none"/>
        </w:rPr>
        <w:t>一、总则</w:t>
      </w:r>
      <w:r>
        <w:rPr>
          <w:highlight w:val="none"/>
        </w:rPr>
        <w:tab/>
      </w:r>
      <w:r>
        <w:rPr>
          <w:highlight w:val="none"/>
        </w:rPr>
        <w:fldChar w:fldCharType="begin"/>
      </w:r>
      <w:r>
        <w:rPr>
          <w:highlight w:val="none"/>
        </w:rPr>
        <w:instrText xml:space="preserve"> PAGEREF _Toc24288 \h </w:instrText>
      </w:r>
      <w:r>
        <w:rPr>
          <w:highlight w:val="none"/>
        </w:rPr>
        <w:fldChar w:fldCharType="separate"/>
      </w:r>
      <w:r>
        <w:rPr>
          <w:highlight w:val="none"/>
        </w:rPr>
        <w:t>31</w:t>
      </w:r>
      <w:r>
        <w:rPr>
          <w:highlight w:val="none"/>
        </w:rPr>
        <w:fldChar w:fldCharType="end"/>
      </w:r>
      <w:r>
        <w:rPr>
          <w:highlight w:val="none"/>
        </w:rPr>
        <w:fldChar w:fldCharType="end"/>
      </w:r>
    </w:p>
    <w:p w14:paraId="19B095AB">
      <w:pPr>
        <w:pStyle w:val="25"/>
        <w:tabs>
          <w:tab w:val="right" w:leader="dot" w:pos="8306"/>
        </w:tabs>
        <w:rPr>
          <w:highlight w:val="none"/>
        </w:rPr>
      </w:pPr>
      <w:r>
        <w:rPr>
          <w:highlight w:val="none"/>
        </w:rPr>
        <w:fldChar w:fldCharType="begin"/>
      </w:r>
      <w:r>
        <w:rPr>
          <w:highlight w:val="none"/>
        </w:rPr>
        <w:instrText xml:space="preserve"> HYPERLINK \l _Toc30653 </w:instrText>
      </w:r>
      <w:r>
        <w:rPr>
          <w:highlight w:val="none"/>
        </w:rPr>
        <w:fldChar w:fldCharType="separate"/>
      </w:r>
      <w:r>
        <w:rPr>
          <w:highlight w:val="none"/>
        </w:rPr>
        <w:t>二、组建</w:t>
      </w:r>
      <w:r>
        <w:rPr>
          <w:rFonts w:hint="eastAsia"/>
          <w:highlight w:val="none"/>
        </w:rPr>
        <w:t>磋商小组</w:t>
      </w:r>
      <w:r>
        <w:rPr>
          <w:highlight w:val="none"/>
        </w:rPr>
        <w:tab/>
      </w:r>
      <w:r>
        <w:rPr>
          <w:highlight w:val="none"/>
        </w:rPr>
        <w:fldChar w:fldCharType="begin"/>
      </w:r>
      <w:r>
        <w:rPr>
          <w:highlight w:val="none"/>
        </w:rPr>
        <w:instrText xml:space="preserve"> PAGEREF _Toc30653 \h </w:instrText>
      </w:r>
      <w:r>
        <w:rPr>
          <w:highlight w:val="none"/>
        </w:rPr>
        <w:fldChar w:fldCharType="separate"/>
      </w:r>
      <w:r>
        <w:rPr>
          <w:highlight w:val="none"/>
        </w:rPr>
        <w:t>31</w:t>
      </w:r>
      <w:r>
        <w:rPr>
          <w:highlight w:val="none"/>
        </w:rPr>
        <w:fldChar w:fldCharType="end"/>
      </w:r>
      <w:r>
        <w:rPr>
          <w:highlight w:val="none"/>
        </w:rPr>
        <w:fldChar w:fldCharType="end"/>
      </w:r>
    </w:p>
    <w:p w14:paraId="34266153">
      <w:pPr>
        <w:pStyle w:val="25"/>
        <w:tabs>
          <w:tab w:val="right" w:leader="dot" w:pos="8306"/>
        </w:tabs>
        <w:rPr>
          <w:highlight w:val="none"/>
        </w:rPr>
      </w:pPr>
      <w:r>
        <w:rPr>
          <w:highlight w:val="none"/>
        </w:rPr>
        <w:fldChar w:fldCharType="begin"/>
      </w:r>
      <w:r>
        <w:rPr>
          <w:highlight w:val="none"/>
        </w:rPr>
        <w:instrText xml:space="preserve"> HYPERLINK \l _Toc11866 </w:instrText>
      </w:r>
      <w:r>
        <w:rPr>
          <w:highlight w:val="none"/>
        </w:rPr>
        <w:fldChar w:fldCharType="separate"/>
      </w:r>
      <w:r>
        <w:rPr>
          <w:highlight w:val="none"/>
        </w:rPr>
        <w:t>三、评审原则</w:t>
      </w:r>
      <w:r>
        <w:rPr>
          <w:highlight w:val="none"/>
        </w:rPr>
        <w:tab/>
      </w:r>
      <w:r>
        <w:rPr>
          <w:highlight w:val="none"/>
        </w:rPr>
        <w:fldChar w:fldCharType="begin"/>
      </w:r>
      <w:r>
        <w:rPr>
          <w:highlight w:val="none"/>
        </w:rPr>
        <w:instrText xml:space="preserve"> PAGEREF _Toc11866 \h </w:instrText>
      </w:r>
      <w:r>
        <w:rPr>
          <w:highlight w:val="none"/>
        </w:rPr>
        <w:fldChar w:fldCharType="separate"/>
      </w:r>
      <w:r>
        <w:rPr>
          <w:highlight w:val="none"/>
        </w:rPr>
        <w:t>31</w:t>
      </w:r>
      <w:r>
        <w:rPr>
          <w:highlight w:val="none"/>
        </w:rPr>
        <w:fldChar w:fldCharType="end"/>
      </w:r>
      <w:r>
        <w:rPr>
          <w:highlight w:val="none"/>
        </w:rPr>
        <w:fldChar w:fldCharType="end"/>
      </w:r>
    </w:p>
    <w:p w14:paraId="70E26832">
      <w:pPr>
        <w:pStyle w:val="25"/>
        <w:tabs>
          <w:tab w:val="right" w:leader="dot" w:pos="8306"/>
        </w:tabs>
        <w:rPr>
          <w:highlight w:val="none"/>
        </w:rPr>
      </w:pPr>
      <w:r>
        <w:rPr>
          <w:highlight w:val="none"/>
        </w:rPr>
        <w:fldChar w:fldCharType="begin"/>
      </w:r>
      <w:r>
        <w:rPr>
          <w:highlight w:val="none"/>
        </w:rPr>
        <w:instrText xml:space="preserve"> HYPERLINK \l _Toc8856 </w:instrText>
      </w:r>
      <w:r>
        <w:rPr>
          <w:highlight w:val="none"/>
        </w:rPr>
        <w:fldChar w:fldCharType="separate"/>
      </w:r>
      <w:r>
        <w:rPr>
          <w:highlight w:val="none"/>
        </w:rPr>
        <w:t>四、</w:t>
      </w:r>
      <w:r>
        <w:rPr>
          <w:rFonts w:hint="eastAsia"/>
          <w:highlight w:val="none"/>
        </w:rPr>
        <w:t>磋商小组</w:t>
      </w:r>
      <w:r>
        <w:rPr>
          <w:highlight w:val="none"/>
        </w:rPr>
        <w:t>履行下列职责</w:t>
      </w:r>
      <w:r>
        <w:rPr>
          <w:highlight w:val="none"/>
        </w:rPr>
        <w:tab/>
      </w:r>
      <w:r>
        <w:rPr>
          <w:highlight w:val="none"/>
        </w:rPr>
        <w:fldChar w:fldCharType="begin"/>
      </w:r>
      <w:r>
        <w:rPr>
          <w:highlight w:val="none"/>
        </w:rPr>
        <w:instrText xml:space="preserve"> PAGEREF _Toc8856 \h </w:instrText>
      </w:r>
      <w:r>
        <w:rPr>
          <w:highlight w:val="none"/>
        </w:rPr>
        <w:fldChar w:fldCharType="separate"/>
      </w:r>
      <w:r>
        <w:rPr>
          <w:highlight w:val="none"/>
        </w:rPr>
        <w:t>31</w:t>
      </w:r>
      <w:r>
        <w:rPr>
          <w:highlight w:val="none"/>
        </w:rPr>
        <w:fldChar w:fldCharType="end"/>
      </w:r>
      <w:r>
        <w:rPr>
          <w:highlight w:val="none"/>
        </w:rPr>
        <w:fldChar w:fldCharType="end"/>
      </w:r>
    </w:p>
    <w:p w14:paraId="7E4D2F78">
      <w:pPr>
        <w:pStyle w:val="25"/>
        <w:tabs>
          <w:tab w:val="right" w:leader="dot" w:pos="8306"/>
        </w:tabs>
        <w:rPr>
          <w:highlight w:val="none"/>
        </w:rPr>
      </w:pPr>
      <w:r>
        <w:rPr>
          <w:highlight w:val="none"/>
        </w:rPr>
        <w:fldChar w:fldCharType="begin"/>
      </w:r>
      <w:r>
        <w:rPr>
          <w:highlight w:val="none"/>
        </w:rPr>
        <w:instrText xml:space="preserve"> HYPERLINK \l _Toc27276 </w:instrText>
      </w:r>
      <w:r>
        <w:rPr>
          <w:highlight w:val="none"/>
        </w:rPr>
        <w:fldChar w:fldCharType="separate"/>
      </w:r>
      <w:r>
        <w:rPr>
          <w:highlight w:val="none"/>
        </w:rPr>
        <w:t>五、评审工作纪律</w:t>
      </w:r>
      <w:r>
        <w:rPr>
          <w:highlight w:val="none"/>
        </w:rPr>
        <w:tab/>
      </w:r>
      <w:r>
        <w:rPr>
          <w:highlight w:val="none"/>
        </w:rPr>
        <w:fldChar w:fldCharType="begin"/>
      </w:r>
      <w:r>
        <w:rPr>
          <w:highlight w:val="none"/>
        </w:rPr>
        <w:instrText xml:space="preserve"> PAGEREF _Toc27276 \h </w:instrText>
      </w:r>
      <w:r>
        <w:rPr>
          <w:highlight w:val="none"/>
        </w:rPr>
        <w:fldChar w:fldCharType="separate"/>
      </w:r>
      <w:r>
        <w:rPr>
          <w:highlight w:val="none"/>
        </w:rPr>
        <w:t>32</w:t>
      </w:r>
      <w:r>
        <w:rPr>
          <w:highlight w:val="none"/>
        </w:rPr>
        <w:fldChar w:fldCharType="end"/>
      </w:r>
      <w:r>
        <w:rPr>
          <w:highlight w:val="none"/>
        </w:rPr>
        <w:fldChar w:fldCharType="end"/>
      </w:r>
    </w:p>
    <w:p w14:paraId="0D6CA787">
      <w:pPr>
        <w:pStyle w:val="25"/>
        <w:tabs>
          <w:tab w:val="right" w:leader="dot" w:pos="8306"/>
        </w:tabs>
        <w:rPr>
          <w:highlight w:val="none"/>
        </w:rPr>
      </w:pPr>
      <w:r>
        <w:rPr>
          <w:highlight w:val="none"/>
        </w:rPr>
        <w:fldChar w:fldCharType="begin"/>
      </w:r>
      <w:r>
        <w:rPr>
          <w:highlight w:val="none"/>
        </w:rPr>
        <w:instrText xml:space="preserve"> HYPERLINK \l _Toc7641 </w:instrText>
      </w:r>
      <w:r>
        <w:rPr>
          <w:highlight w:val="none"/>
        </w:rPr>
        <w:fldChar w:fldCharType="separate"/>
      </w:r>
      <w:r>
        <w:rPr>
          <w:highlight w:val="none"/>
        </w:rPr>
        <w:t>六、评审程序</w:t>
      </w:r>
      <w:r>
        <w:rPr>
          <w:highlight w:val="none"/>
        </w:rPr>
        <w:tab/>
      </w:r>
      <w:r>
        <w:rPr>
          <w:highlight w:val="none"/>
        </w:rPr>
        <w:fldChar w:fldCharType="begin"/>
      </w:r>
      <w:r>
        <w:rPr>
          <w:highlight w:val="none"/>
        </w:rPr>
        <w:instrText xml:space="preserve"> PAGEREF _Toc7641 \h </w:instrText>
      </w:r>
      <w:r>
        <w:rPr>
          <w:highlight w:val="none"/>
        </w:rPr>
        <w:fldChar w:fldCharType="separate"/>
      </w:r>
      <w:r>
        <w:rPr>
          <w:highlight w:val="none"/>
        </w:rPr>
        <w:t>32</w:t>
      </w:r>
      <w:r>
        <w:rPr>
          <w:highlight w:val="none"/>
        </w:rPr>
        <w:fldChar w:fldCharType="end"/>
      </w:r>
      <w:r>
        <w:rPr>
          <w:highlight w:val="none"/>
        </w:rPr>
        <w:fldChar w:fldCharType="end"/>
      </w:r>
    </w:p>
    <w:p w14:paraId="61439F28">
      <w:pPr>
        <w:pStyle w:val="25"/>
        <w:tabs>
          <w:tab w:val="right" w:leader="dot" w:pos="8306"/>
        </w:tabs>
        <w:rPr>
          <w:highlight w:val="none"/>
        </w:rPr>
      </w:pPr>
      <w:r>
        <w:rPr>
          <w:highlight w:val="none"/>
        </w:rPr>
        <w:fldChar w:fldCharType="begin"/>
      </w:r>
      <w:r>
        <w:rPr>
          <w:highlight w:val="none"/>
        </w:rPr>
        <w:instrText xml:space="preserve"> HYPERLINK \l _Toc14053 </w:instrText>
      </w:r>
      <w:r>
        <w:rPr>
          <w:highlight w:val="none"/>
        </w:rPr>
        <w:fldChar w:fldCharType="separate"/>
      </w:r>
      <w:r>
        <w:rPr>
          <w:highlight w:val="none"/>
        </w:rPr>
        <w:t>七、澄清、说明或补正</w:t>
      </w:r>
      <w:r>
        <w:rPr>
          <w:highlight w:val="none"/>
        </w:rPr>
        <w:tab/>
      </w:r>
      <w:r>
        <w:rPr>
          <w:highlight w:val="none"/>
        </w:rPr>
        <w:fldChar w:fldCharType="begin"/>
      </w:r>
      <w:r>
        <w:rPr>
          <w:highlight w:val="none"/>
        </w:rPr>
        <w:instrText xml:space="preserve"> PAGEREF _Toc14053 \h </w:instrText>
      </w:r>
      <w:r>
        <w:rPr>
          <w:highlight w:val="none"/>
        </w:rPr>
        <w:fldChar w:fldCharType="separate"/>
      </w:r>
      <w:r>
        <w:rPr>
          <w:highlight w:val="none"/>
        </w:rPr>
        <w:t>34</w:t>
      </w:r>
      <w:r>
        <w:rPr>
          <w:highlight w:val="none"/>
        </w:rPr>
        <w:fldChar w:fldCharType="end"/>
      </w:r>
      <w:r>
        <w:rPr>
          <w:highlight w:val="none"/>
        </w:rPr>
        <w:fldChar w:fldCharType="end"/>
      </w:r>
    </w:p>
    <w:p w14:paraId="279D1EDB">
      <w:pPr>
        <w:pStyle w:val="25"/>
        <w:tabs>
          <w:tab w:val="right" w:leader="dot" w:pos="8306"/>
        </w:tabs>
        <w:rPr>
          <w:highlight w:val="none"/>
        </w:rPr>
      </w:pPr>
      <w:r>
        <w:rPr>
          <w:highlight w:val="none"/>
        </w:rPr>
        <w:fldChar w:fldCharType="begin"/>
      </w:r>
      <w:r>
        <w:rPr>
          <w:highlight w:val="none"/>
        </w:rPr>
        <w:instrText xml:space="preserve"> HYPERLINK \l _Toc5534 </w:instrText>
      </w:r>
      <w:r>
        <w:rPr>
          <w:highlight w:val="none"/>
        </w:rPr>
        <w:fldChar w:fldCharType="separate"/>
      </w:r>
      <w:r>
        <w:rPr>
          <w:highlight w:val="none"/>
        </w:rPr>
        <w:t>八、推荐成交候选人</w:t>
      </w:r>
      <w:r>
        <w:rPr>
          <w:highlight w:val="none"/>
        </w:rPr>
        <w:tab/>
      </w:r>
      <w:r>
        <w:rPr>
          <w:highlight w:val="none"/>
        </w:rPr>
        <w:fldChar w:fldCharType="begin"/>
      </w:r>
      <w:r>
        <w:rPr>
          <w:highlight w:val="none"/>
        </w:rPr>
        <w:instrText xml:space="preserve"> PAGEREF _Toc5534 \h </w:instrText>
      </w:r>
      <w:r>
        <w:rPr>
          <w:highlight w:val="none"/>
        </w:rPr>
        <w:fldChar w:fldCharType="separate"/>
      </w:r>
      <w:r>
        <w:rPr>
          <w:highlight w:val="none"/>
        </w:rPr>
        <w:t>34</w:t>
      </w:r>
      <w:r>
        <w:rPr>
          <w:highlight w:val="none"/>
        </w:rPr>
        <w:fldChar w:fldCharType="end"/>
      </w:r>
      <w:r>
        <w:rPr>
          <w:highlight w:val="none"/>
        </w:rPr>
        <w:fldChar w:fldCharType="end"/>
      </w:r>
    </w:p>
    <w:p w14:paraId="54B64FDC">
      <w:pPr>
        <w:pStyle w:val="25"/>
        <w:tabs>
          <w:tab w:val="right" w:leader="dot" w:pos="8306"/>
        </w:tabs>
        <w:rPr>
          <w:highlight w:val="none"/>
        </w:rPr>
      </w:pPr>
      <w:r>
        <w:rPr>
          <w:highlight w:val="none"/>
        </w:rPr>
        <w:fldChar w:fldCharType="begin"/>
      </w:r>
      <w:r>
        <w:rPr>
          <w:highlight w:val="none"/>
        </w:rPr>
        <w:instrText xml:space="preserve"> HYPERLINK \l _Toc29642 </w:instrText>
      </w:r>
      <w:r>
        <w:rPr>
          <w:highlight w:val="none"/>
        </w:rPr>
        <w:fldChar w:fldCharType="separate"/>
      </w:r>
      <w:r>
        <w:rPr>
          <w:highlight w:val="none"/>
        </w:rPr>
        <w:t>九、评审报告</w:t>
      </w:r>
      <w:r>
        <w:rPr>
          <w:highlight w:val="none"/>
        </w:rPr>
        <w:tab/>
      </w:r>
      <w:r>
        <w:rPr>
          <w:highlight w:val="none"/>
        </w:rPr>
        <w:fldChar w:fldCharType="begin"/>
      </w:r>
      <w:r>
        <w:rPr>
          <w:highlight w:val="none"/>
        </w:rPr>
        <w:instrText xml:space="preserve"> PAGEREF _Toc29642 \h </w:instrText>
      </w:r>
      <w:r>
        <w:rPr>
          <w:highlight w:val="none"/>
        </w:rPr>
        <w:fldChar w:fldCharType="separate"/>
      </w:r>
      <w:r>
        <w:rPr>
          <w:highlight w:val="none"/>
        </w:rPr>
        <w:t>34</w:t>
      </w:r>
      <w:r>
        <w:rPr>
          <w:highlight w:val="none"/>
        </w:rPr>
        <w:fldChar w:fldCharType="end"/>
      </w:r>
      <w:r>
        <w:rPr>
          <w:highlight w:val="none"/>
        </w:rPr>
        <w:fldChar w:fldCharType="end"/>
      </w:r>
    </w:p>
    <w:p w14:paraId="656EF45B">
      <w:pPr>
        <w:pStyle w:val="25"/>
        <w:tabs>
          <w:tab w:val="right" w:leader="dot" w:pos="8306"/>
        </w:tabs>
        <w:rPr>
          <w:highlight w:val="none"/>
        </w:rPr>
      </w:pPr>
      <w:r>
        <w:rPr>
          <w:highlight w:val="none"/>
        </w:rPr>
        <w:fldChar w:fldCharType="begin"/>
      </w:r>
      <w:r>
        <w:rPr>
          <w:highlight w:val="none"/>
        </w:rPr>
        <w:instrText xml:space="preserve"> HYPERLINK \l _Toc17004 </w:instrText>
      </w:r>
      <w:r>
        <w:rPr>
          <w:highlight w:val="none"/>
        </w:rPr>
        <w:fldChar w:fldCharType="separate"/>
      </w:r>
      <w:r>
        <w:rPr>
          <w:highlight w:val="none"/>
        </w:rPr>
        <w:t>十、评分细则及标准</w:t>
      </w:r>
      <w:r>
        <w:rPr>
          <w:highlight w:val="none"/>
        </w:rPr>
        <w:tab/>
      </w:r>
      <w:r>
        <w:rPr>
          <w:highlight w:val="none"/>
        </w:rPr>
        <w:fldChar w:fldCharType="begin"/>
      </w:r>
      <w:r>
        <w:rPr>
          <w:highlight w:val="none"/>
        </w:rPr>
        <w:instrText xml:space="preserve"> PAGEREF _Toc17004 \h </w:instrText>
      </w:r>
      <w:r>
        <w:rPr>
          <w:highlight w:val="none"/>
        </w:rPr>
        <w:fldChar w:fldCharType="separate"/>
      </w:r>
      <w:r>
        <w:rPr>
          <w:highlight w:val="none"/>
        </w:rPr>
        <w:t>34</w:t>
      </w:r>
      <w:r>
        <w:rPr>
          <w:highlight w:val="none"/>
        </w:rPr>
        <w:fldChar w:fldCharType="end"/>
      </w:r>
      <w:r>
        <w:rPr>
          <w:highlight w:val="none"/>
        </w:rPr>
        <w:fldChar w:fldCharType="end"/>
      </w:r>
    </w:p>
    <w:p w14:paraId="18BACD49">
      <w:pPr>
        <w:pStyle w:val="25"/>
        <w:tabs>
          <w:tab w:val="right" w:leader="dot" w:pos="8306"/>
        </w:tabs>
        <w:rPr>
          <w:highlight w:val="none"/>
        </w:rPr>
      </w:pPr>
      <w:r>
        <w:rPr>
          <w:highlight w:val="none"/>
        </w:rPr>
        <w:fldChar w:fldCharType="begin"/>
      </w:r>
      <w:r>
        <w:rPr>
          <w:highlight w:val="none"/>
        </w:rPr>
        <w:instrText xml:space="preserve"> HYPERLINK \l _Toc21122 </w:instrText>
      </w:r>
      <w:r>
        <w:rPr>
          <w:highlight w:val="none"/>
        </w:rPr>
        <w:fldChar w:fldCharType="separate"/>
      </w:r>
      <w:r>
        <w:rPr>
          <w:highlight w:val="none"/>
        </w:rPr>
        <w:t>十一、响应或成交无效情形</w:t>
      </w:r>
      <w:r>
        <w:rPr>
          <w:highlight w:val="none"/>
        </w:rPr>
        <w:tab/>
      </w:r>
      <w:r>
        <w:rPr>
          <w:highlight w:val="none"/>
        </w:rPr>
        <w:fldChar w:fldCharType="begin"/>
      </w:r>
      <w:r>
        <w:rPr>
          <w:highlight w:val="none"/>
        </w:rPr>
        <w:instrText xml:space="preserve"> PAGEREF _Toc21122 \h </w:instrText>
      </w:r>
      <w:r>
        <w:rPr>
          <w:highlight w:val="none"/>
        </w:rPr>
        <w:fldChar w:fldCharType="separate"/>
      </w:r>
      <w:r>
        <w:rPr>
          <w:highlight w:val="none"/>
        </w:rPr>
        <w:t>36</w:t>
      </w:r>
      <w:r>
        <w:rPr>
          <w:highlight w:val="none"/>
        </w:rPr>
        <w:fldChar w:fldCharType="end"/>
      </w:r>
      <w:r>
        <w:rPr>
          <w:highlight w:val="none"/>
        </w:rPr>
        <w:fldChar w:fldCharType="end"/>
      </w:r>
    </w:p>
    <w:p w14:paraId="48079ADC">
      <w:pPr>
        <w:pStyle w:val="25"/>
        <w:tabs>
          <w:tab w:val="right" w:leader="dot" w:pos="8306"/>
        </w:tabs>
        <w:rPr>
          <w:highlight w:val="none"/>
        </w:rPr>
      </w:pPr>
      <w:r>
        <w:rPr>
          <w:highlight w:val="none"/>
        </w:rPr>
        <w:fldChar w:fldCharType="begin"/>
      </w:r>
      <w:r>
        <w:rPr>
          <w:highlight w:val="none"/>
        </w:rPr>
        <w:instrText xml:space="preserve"> HYPERLINK \l _Toc18432 </w:instrText>
      </w:r>
      <w:r>
        <w:rPr>
          <w:highlight w:val="none"/>
        </w:rPr>
        <w:fldChar w:fldCharType="separate"/>
      </w:r>
      <w:r>
        <w:rPr>
          <w:highlight w:val="none"/>
        </w:rPr>
        <w:t>十二、串通磋商情形</w:t>
      </w:r>
      <w:r>
        <w:rPr>
          <w:highlight w:val="none"/>
        </w:rPr>
        <w:tab/>
      </w:r>
      <w:r>
        <w:rPr>
          <w:highlight w:val="none"/>
        </w:rPr>
        <w:fldChar w:fldCharType="begin"/>
      </w:r>
      <w:r>
        <w:rPr>
          <w:highlight w:val="none"/>
        </w:rPr>
        <w:instrText xml:space="preserve"> PAGEREF _Toc18432 \h </w:instrText>
      </w:r>
      <w:r>
        <w:rPr>
          <w:highlight w:val="none"/>
        </w:rPr>
        <w:fldChar w:fldCharType="separate"/>
      </w:r>
      <w:r>
        <w:rPr>
          <w:highlight w:val="none"/>
        </w:rPr>
        <w:t>37</w:t>
      </w:r>
      <w:r>
        <w:rPr>
          <w:highlight w:val="none"/>
        </w:rPr>
        <w:fldChar w:fldCharType="end"/>
      </w:r>
      <w:r>
        <w:rPr>
          <w:highlight w:val="none"/>
        </w:rPr>
        <w:fldChar w:fldCharType="end"/>
      </w:r>
    </w:p>
    <w:p w14:paraId="2FBFA525">
      <w:pPr>
        <w:pStyle w:val="25"/>
        <w:tabs>
          <w:tab w:val="right" w:leader="dot" w:pos="8306"/>
        </w:tabs>
        <w:rPr>
          <w:highlight w:val="none"/>
        </w:rPr>
      </w:pPr>
      <w:r>
        <w:rPr>
          <w:highlight w:val="none"/>
        </w:rPr>
        <w:fldChar w:fldCharType="begin"/>
      </w:r>
      <w:r>
        <w:rPr>
          <w:highlight w:val="none"/>
        </w:rPr>
        <w:instrText xml:space="preserve"> HYPERLINK \l _Toc26935 </w:instrText>
      </w:r>
      <w:r>
        <w:rPr>
          <w:highlight w:val="none"/>
        </w:rPr>
        <w:fldChar w:fldCharType="separate"/>
      </w:r>
      <w:r>
        <w:rPr>
          <w:highlight w:val="none"/>
        </w:rPr>
        <w:t>十三、终止磋商采购活动情形</w:t>
      </w:r>
      <w:r>
        <w:rPr>
          <w:highlight w:val="none"/>
        </w:rPr>
        <w:tab/>
      </w:r>
      <w:r>
        <w:rPr>
          <w:highlight w:val="none"/>
        </w:rPr>
        <w:fldChar w:fldCharType="begin"/>
      </w:r>
      <w:r>
        <w:rPr>
          <w:highlight w:val="none"/>
        </w:rPr>
        <w:instrText xml:space="preserve"> PAGEREF _Toc26935 \h </w:instrText>
      </w:r>
      <w:r>
        <w:rPr>
          <w:highlight w:val="none"/>
        </w:rPr>
        <w:fldChar w:fldCharType="separate"/>
      </w:r>
      <w:r>
        <w:rPr>
          <w:highlight w:val="none"/>
        </w:rPr>
        <w:t>37</w:t>
      </w:r>
      <w:r>
        <w:rPr>
          <w:highlight w:val="none"/>
        </w:rPr>
        <w:fldChar w:fldCharType="end"/>
      </w:r>
      <w:r>
        <w:rPr>
          <w:highlight w:val="none"/>
        </w:rPr>
        <w:fldChar w:fldCharType="end"/>
      </w:r>
    </w:p>
    <w:p w14:paraId="3948688E">
      <w:pPr>
        <w:pStyle w:val="21"/>
        <w:tabs>
          <w:tab w:val="right" w:leader="dot" w:pos="8306"/>
          <w:tab w:val="clear" w:pos="1470"/>
          <w:tab w:val="clear" w:pos="8296"/>
        </w:tabs>
        <w:rPr>
          <w:highlight w:val="none"/>
        </w:rPr>
      </w:pPr>
      <w:r>
        <w:rPr>
          <w:highlight w:val="none"/>
        </w:rPr>
        <w:fldChar w:fldCharType="begin"/>
      </w:r>
      <w:r>
        <w:rPr>
          <w:highlight w:val="none"/>
        </w:rPr>
        <w:instrText xml:space="preserve"> HYPERLINK \l _Toc26546 </w:instrText>
      </w:r>
      <w:r>
        <w:rPr>
          <w:highlight w:val="none"/>
        </w:rPr>
        <w:fldChar w:fldCharType="separate"/>
      </w:r>
      <w:r>
        <w:rPr>
          <w:highlight w:val="none"/>
        </w:rPr>
        <w:t>第</w:t>
      </w:r>
      <w:r>
        <w:rPr>
          <w:rFonts w:hint="eastAsia"/>
          <w:highlight w:val="none"/>
        </w:rPr>
        <w:t>七</w:t>
      </w:r>
      <w:r>
        <w:rPr>
          <w:highlight w:val="none"/>
        </w:rPr>
        <w:t>章</w:t>
      </w:r>
      <w:r>
        <w:rPr>
          <w:rFonts w:hint="eastAsia"/>
          <w:highlight w:val="none"/>
        </w:rPr>
        <w:t xml:space="preserve">  响应文件格式</w:t>
      </w:r>
      <w:r>
        <w:rPr>
          <w:highlight w:val="none"/>
        </w:rPr>
        <w:tab/>
      </w:r>
      <w:r>
        <w:rPr>
          <w:highlight w:val="none"/>
        </w:rPr>
        <w:fldChar w:fldCharType="begin"/>
      </w:r>
      <w:r>
        <w:rPr>
          <w:highlight w:val="none"/>
        </w:rPr>
        <w:instrText xml:space="preserve"> PAGEREF _Toc26546 \h </w:instrText>
      </w:r>
      <w:r>
        <w:rPr>
          <w:highlight w:val="none"/>
        </w:rPr>
        <w:fldChar w:fldCharType="separate"/>
      </w:r>
      <w:r>
        <w:rPr>
          <w:highlight w:val="none"/>
        </w:rPr>
        <w:t>38</w:t>
      </w:r>
      <w:r>
        <w:rPr>
          <w:highlight w:val="none"/>
        </w:rPr>
        <w:fldChar w:fldCharType="end"/>
      </w:r>
      <w:r>
        <w:rPr>
          <w:highlight w:val="none"/>
        </w:rPr>
        <w:fldChar w:fldCharType="end"/>
      </w:r>
    </w:p>
    <w:p w14:paraId="4F068429">
      <w:pPr>
        <w:pStyle w:val="21"/>
        <w:tabs>
          <w:tab w:val="right" w:leader="dot" w:pos="8306"/>
          <w:tab w:val="clear" w:pos="1470"/>
          <w:tab w:val="clear" w:pos="8296"/>
        </w:tabs>
        <w:rPr>
          <w:highlight w:val="none"/>
        </w:rPr>
      </w:pPr>
      <w:r>
        <w:rPr>
          <w:highlight w:val="none"/>
        </w:rPr>
        <w:fldChar w:fldCharType="begin"/>
      </w:r>
      <w:r>
        <w:rPr>
          <w:highlight w:val="none"/>
        </w:rPr>
        <w:instrText xml:space="preserve"> HYPERLINK \l _Toc20561 </w:instrText>
      </w:r>
      <w:r>
        <w:rPr>
          <w:highlight w:val="none"/>
        </w:rPr>
        <w:fldChar w:fldCharType="separate"/>
      </w:r>
      <w:r>
        <w:rPr>
          <w:rFonts w:hint="eastAsia"/>
          <w:highlight w:val="none"/>
          <w:lang w:val="en-US" w:eastAsia="zh-CN"/>
        </w:rPr>
        <w:t>资格审查文件</w:t>
      </w:r>
      <w:r>
        <w:rPr>
          <w:highlight w:val="none"/>
        </w:rPr>
        <w:tab/>
      </w:r>
      <w:r>
        <w:rPr>
          <w:highlight w:val="none"/>
        </w:rPr>
        <w:fldChar w:fldCharType="begin"/>
      </w:r>
      <w:r>
        <w:rPr>
          <w:highlight w:val="none"/>
        </w:rPr>
        <w:instrText xml:space="preserve"> PAGEREF _Toc20561 \h </w:instrText>
      </w:r>
      <w:r>
        <w:rPr>
          <w:highlight w:val="none"/>
        </w:rPr>
        <w:fldChar w:fldCharType="separate"/>
      </w:r>
      <w:r>
        <w:rPr>
          <w:highlight w:val="none"/>
        </w:rPr>
        <w:t>38</w:t>
      </w:r>
      <w:r>
        <w:rPr>
          <w:highlight w:val="none"/>
        </w:rPr>
        <w:fldChar w:fldCharType="end"/>
      </w:r>
      <w:r>
        <w:rPr>
          <w:highlight w:val="none"/>
        </w:rPr>
        <w:fldChar w:fldCharType="end"/>
      </w:r>
    </w:p>
    <w:p w14:paraId="379E3051">
      <w:pPr>
        <w:pStyle w:val="25"/>
        <w:tabs>
          <w:tab w:val="right" w:leader="dot" w:pos="8306"/>
        </w:tabs>
        <w:rPr>
          <w:highlight w:val="none"/>
        </w:rPr>
      </w:pPr>
      <w:r>
        <w:rPr>
          <w:highlight w:val="none"/>
        </w:rPr>
        <w:fldChar w:fldCharType="begin"/>
      </w:r>
      <w:r>
        <w:rPr>
          <w:highlight w:val="none"/>
        </w:rPr>
        <w:instrText xml:space="preserve"> HYPERLINK \l _Toc2802 </w:instrText>
      </w:r>
      <w:r>
        <w:rPr>
          <w:highlight w:val="none"/>
        </w:rPr>
        <w:fldChar w:fldCharType="separate"/>
      </w:r>
      <w:r>
        <w:rPr>
          <w:highlight w:val="none"/>
        </w:rPr>
        <w:t>目录</w:t>
      </w:r>
      <w:r>
        <w:rPr>
          <w:highlight w:val="none"/>
        </w:rPr>
        <w:tab/>
      </w:r>
      <w:r>
        <w:rPr>
          <w:highlight w:val="none"/>
        </w:rPr>
        <w:fldChar w:fldCharType="begin"/>
      </w:r>
      <w:r>
        <w:rPr>
          <w:highlight w:val="none"/>
        </w:rPr>
        <w:instrText xml:space="preserve"> PAGEREF _Toc2802 \h </w:instrText>
      </w:r>
      <w:r>
        <w:rPr>
          <w:highlight w:val="none"/>
        </w:rPr>
        <w:fldChar w:fldCharType="separate"/>
      </w:r>
      <w:r>
        <w:rPr>
          <w:highlight w:val="none"/>
        </w:rPr>
        <w:t>39</w:t>
      </w:r>
      <w:r>
        <w:rPr>
          <w:highlight w:val="none"/>
        </w:rPr>
        <w:fldChar w:fldCharType="end"/>
      </w:r>
      <w:r>
        <w:rPr>
          <w:highlight w:val="none"/>
        </w:rPr>
        <w:fldChar w:fldCharType="end"/>
      </w:r>
    </w:p>
    <w:p w14:paraId="511DD50D">
      <w:pPr>
        <w:pStyle w:val="25"/>
        <w:tabs>
          <w:tab w:val="right" w:leader="dot" w:pos="8306"/>
        </w:tabs>
        <w:rPr>
          <w:highlight w:val="none"/>
        </w:rPr>
      </w:pPr>
      <w:r>
        <w:rPr>
          <w:highlight w:val="none"/>
        </w:rPr>
        <w:fldChar w:fldCharType="begin"/>
      </w:r>
      <w:r>
        <w:rPr>
          <w:highlight w:val="none"/>
        </w:rPr>
        <w:instrText xml:space="preserve"> HYPERLINK \l _Toc23427 </w:instrText>
      </w:r>
      <w:r>
        <w:rPr>
          <w:highlight w:val="none"/>
        </w:rPr>
        <w:fldChar w:fldCharType="separate"/>
      </w:r>
      <w:r>
        <w:rPr>
          <w:rFonts w:hint="eastAsia"/>
          <w:highlight w:val="none"/>
        </w:rPr>
        <w:t>供应商基本情况表</w:t>
      </w:r>
      <w:r>
        <w:rPr>
          <w:highlight w:val="none"/>
        </w:rPr>
        <w:tab/>
      </w:r>
      <w:r>
        <w:rPr>
          <w:highlight w:val="none"/>
        </w:rPr>
        <w:fldChar w:fldCharType="begin"/>
      </w:r>
      <w:r>
        <w:rPr>
          <w:highlight w:val="none"/>
        </w:rPr>
        <w:instrText xml:space="preserve"> PAGEREF _Toc23427 \h </w:instrText>
      </w:r>
      <w:r>
        <w:rPr>
          <w:highlight w:val="none"/>
        </w:rPr>
        <w:fldChar w:fldCharType="separate"/>
      </w:r>
      <w:r>
        <w:rPr>
          <w:highlight w:val="none"/>
        </w:rPr>
        <w:t>40</w:t>
      </w:r>
      <w:r>
        <w:rPr>
          <w:highlight w:val="none"/>
        </w:rPr>
        <w:fldChar w:fldCharType="end"/>
      </w:r>
      <w:r>
        <w:rPr>
          <w:highlight w:val="none"/>
        </w:rPr>
        <w:fldChar w:fldCharType="end"/>
      </w:r>
    </w:p>
    <w:p w14:paraId="49391EC4">
      <w:pPr>
        <w:pStyle w:val="25"/>
        <w:tabs>
          <w:tab w:val="right" w:leader="dot" w:pos="8306"/>
        </w:tabs>
        <w:rPr>
          <w:highlight w:val="none"/>
        </w:rPr>
      </w:pPr>
      <w:r>
        <w:rPr>
          <w:highlight w:val="none"/>
        </w:rPr>
        <w:fldChar w:fldCharType="begin"/>
      </w:r>
      <w:r>
        <w:rPr>
          <w:highlight w:val="none"/>
        </w:rPr>
        <w:instrText xml:space="preserve"> HYPERLINK \l _Toc3749 </w:instrText>
      </w:r>
      <w:r>
        <w:rPr>
          <w:highlight w:val="none"/>
        </w:rPr>
        <w:fldChar w:fldCharType="separate"/>
      </w:r>
      <w:r>
        <w:rPr>
          <w:rFonts w:hint="eastAsia"/>
          <w:highlight w:val="none"/>
        </w:rPr>
        <w:t>符合参加</w:t>
      </w:r>
      <w:r>
        <w:rPr>
          <w:rFonts w:hint="eastAsia"/>
          <w:highlight w:val="none"/>
          <w:lang w:val="en-US" w:eastAsia="zh-CN"/>
        </w:rPr>
        <w:t>政府</w:t>
      </w:r>
      <w:r>
        <w:rPr>
          <w:rFonts w:hint="eastAsia"/>
          <w:highlight w:val="none"/>
        </w:rPr>
        <w:t>采购活动应当具备的一般条件的承诺函</w:t>
      </w:r>
      <w:r>
        <w:rPr>
          <w:highlight w:val="none"/>
        </w:rPr>
        <w:tab/>
      </w:r>
      <w:r>
        <w:rPr>
          <w:highlight w:val="none"/>
        </w:rPr>
        <w:fldChar w:fldCharType="begin"/>
      </w:r>
      <w:r>
        <w:rPr>
          <w:highlight w:val="none"/>
        </w:rPr>
        <w:instrText xml:space="preserve"> PAGEREF _Toc3749 \h </w:instrText>
      </w:r>
      <w:r>
        <w:rPr>
          <w:highlight w:val="none"/>
        </w:rPr>
        <w:fldChar w:fldCharType="separate"/>
      </w:r>
      <w:r>
        <w:rPr>
          <w:highlight w:val="none"/>
        </w:rPr>
        <w:t>41</w:t>
      </w:r>
      <w:r>
        <w:rPr>
          <w:highlight w:val="none"/>
        </w:rPr>
        <w:fldChar w:fldCharType="end"/>
      </w:r>
      <w:r>
        <w:rPr>
          <w:highlight w:val="none"/>
        </w:rPr>
        <w:fldChar w:fldCharType="end"/>
      </w:r>
    </w:p>
    <w:p w14:paraId="3ED54C35">
      <w:pPr>
        <w:pStyle w:val="21"/>
        <w:tabs>
          <w:tab w:val="right" w:leader="dot" w:pos="8306"/>
          <w:tab w:val="clear" w:pos="1470"/>
          <w:tab w:val="clear" w:pos="8296"/>
        </w:tabs>
        <w:rPr>
          <w:highlight w:val="none"/>
        </w:rPr>
      </w:pPr>
      <w:r>
        <w:rPr>
          <w:highlight w:val="none"/>
        </w:rPr>
        <w:fldChar w:fldCharType="begin"/>
      </w:r>
      <w:r>
        <w:rPr>
          <w:highlight w:val="none"/>
        </w:rPr>
        <w:instrText xml:space="preserve"> HYPERLINK \l _Toc21551 </w:instrText>
      </w:r>
      <w:r>
        <w:rPr>
          <w:highlight w:val="none"/>
        </w:rPr>
        <w:fldChar w:fldCharType="separate"/>
      </w:r>
      <w:r>
        <w:rPr>
          <w:rFonts w:hint="eastAsia"/>
          <w:highlight w:val="none"/>
          <w:lang w:val="en-US" w:eastAsia="zh-CN"/>
        </w:rPr>
        <w:t>资信技术文件</w:t>
      </w:r>
      <w:r>
        <w:rPr>
          <w:highlight w:val="none"/>
        </w:rPr>
        <w:tab/>
      </w:r>
      <w:r>
        <w:rPr>
          <w:highlight w:val="none"/>
        </w:rPr>
        <w:fldChar w:fldCharType="begin"/>
      </w:r>
      <w:r>
        <w:rPr>
          <w:highlight w:val="none"/>
        </w:rPr>
        <w:instrText xml:space="preserve"> PAGEREF _Toc21551 \h </w:instrText>
      </w:r>
      <w:r>
        <w:rPr>
          <w:highlight w:val="none"/>
        </w:rPr>
        <w:fldChar w:fldCharType="separate"/>
      </w:r>
      <w:r>
        <w:rPr>
          <w:highlight w:val="none"/>
        </w:rPr>
        <w:t>42</w:t>
      </w:r>
      <w:r>
        <w:rPr>
          <w:highlight w:val="none"/>
        </w:rPr>
        <w:fldChar w:fldCharType="end"/>
      </w:r>
      <w:r>
        <w:rPr>
          <w:highlight w:val="none"/>
        </w:rPr>
        <w:fldChar w:fldCharType="end"/>
      </w:r>
    </w:p>
    <w:p w14:paraId="67DAF0EF">
      <w:pPr>
        <w:pStyle w:val="25"/>
        <w:tabs>
          <w:tab w:val="right" w:leader="dot" w:pos="8306"/>
        </w:tabs>
        <w:rPr>
          <w:highlight w:val="none"/>
        </w:rPr>
      </w:pPr>
      <w:r>
        <w:rPr>
          <w:highlight w:val="none"/>
        </w:rPr>
        <w:fldChar w:fldCharType="begin"/>
      </w:r>
      <w:r>
        <w:rPr>
          <w:highlight w:val="none"/>
        </w:rPr>
        <w:instrText xml:space="preserve"> HYPERLINK \l _Toc15980 </w:instrText>
      </w:r>
      <w:r>
        <w:rPr>
          <w:highlight w:val="none"/>
        </w:rPr>
        <w:fldChar w:fldCharType="separate"/>
      </w:r>
      <w:r>
        <w:rPr>
          <w:highlight w:val="none"/>
        </w:rPr>
        <w:t>目录</w:t>
      </w:r>
      <w:r>
        <w:rPr>
          <w:highlight w:val="none"/>
        </w:rPr>
        <w:tab/>
      </w:r>
      <w:r>
        <w:rPr>
          <w:highlight w:val="none"/>
        </w:rPr>
        <w:fldChar w:fldCharType="begin"/>
      </w:r>
      <w:r>
        <w:rPr>
          <w:highlight w:val="none"/>
        </w:rPr>
        <w:instrText xml:space="preserve"> PAGEREF _Toc15980 \h </w:instrText>
      </w:r>
      <w:r>
        <w:rPr>
          <w:highlight w:val="none"/>
        </w:rPr>
        <w:fldChar w:fldCharType="separate"/>
      </w:r>
      <w:r>
        <w:rPr>
          <w:highlight w:val="none"/>
        </w:rPr>
        <w:t>43</w:t>
      </w:r>
      <w:r>
        <w:rPr>
          <w:highlight w:val="none"/>
        </w:rPr>
        <w:fldChar w:fldCharType="end"/>
      </w:r>
      <w:r>
        <w:rPr>
          <w:highlight w:val="none"/>
        </w:rPr>
        <w:fldChar w:fldCharType="end"/>
      </w:r>
    </w:p>
    <w:p w14:paraId="23FD5ECA">
      <w:pPr>
        <w:pStyle w:val="25"/>
        <w:tabs>
          <w:tab w:val="right" w:leader="dot" w:pos="8306"/>
        </w:tabs>
        <w:rPr>
          <w:highlight w:val="none"/>
        </w:rPr>
      </w:pPr>
      <w:r>
        <w:rPr>
          <w:highlight w:val="none"/>
        </w:rPr>
        <w:fldChar w:fldCharType="begin"/>
      </w:r>
      <w:r>
        <w:rPr>
          <w:highlight w:val="none"/>
        </w:rPr>
        <w:instrText xml:space="preserve"> HYPERLINK \l _Toc2073 </w:instrText>
      </w:r>
      <w:r>
        <w:rPr>
          <w:highlight w:val="none"/>
        </w:rPr>
        <w:fldChar w:fldCharType="separate"/>
      </w:r>
      <w:r>
        <w:rPr>
          <w:highlight w:val="none"/>
        </w:rPr>
        <w:t>客观分部分自评分表</w:t>
      </w:r>
      <w:r>
        <w:rPr>
          <w:highlight w:val="none"/>
        </w:rPr>
        <w:tab/>
      </w:r>
      <w:r>
        <w:rPr>
          <w:highlight w:val="none"/>
        </w:rPr>
        <w:fldChar w:fldCharType="begin"/>
      </w:r>
      <w:r>
        <w:rPr>
          <w:highlight w:val="none"/>
        </w:rPr>
        <w:instrText xml:space="preserve"> PAGEREF _Toc2073 \h </w:instrText>
      </w:r>
      <w:r>
        <w:rPr>
          <w:highlight w:val="none"/>
        </w:rPr>
        <w:fldChar w:fldCharType="separate"/>
      </w:r>
      <w:r>
        <w:rPr>
          <w:highlight w:val="none"/>
        </w:rPr>
        <w:t>44</w:t>
      </w:r>
      <w:r>
        <w:rPr>
          <w:highlight w:val="none"/>
        </w:rPr>
        <w:fldChar w:fldCharType="end"/>
      </w:r>
      <w:r>
        <w:rPr>
          <w:highlight w:val="none"/>
        </w:rPr>
        <w:fldChar w:fldCharType="end"/>
      </w:r>
    </w:p>
    <w:p w14:paraId="394BB14F">
      <w:pPr>
        <w:pStyle w:val="25"/>
        <w:tabs>
          <w:tab w:val="right" w:leader="dot" w:pos="8306"/>
        </w:tabs>
        <w:rPr>
          <w:highlight w:val="none"/>
        </w:rPr>
      </w:pPr>
      <w:r>
        <w:rPr>
          <w:highlight w:val="none"/>
        </w:rPr>
        <w:fldChar w:fldCharType="begin"/>
      </w:r>
      <w:r>
        <w:rPr>
          <w:highlight w:val="none"/>
        </w:rPr>
        <w:instrText xml:space="preserve"> HYPERLINK \l _Toc10007 </w:instrText>
      </w:r>
      <w:r>
        <w:rPr>
          <w:highlight w:val="none"/>
        </w:rPr>
        <w:fldChar w:fldCharType="separate"/>
      </w:r>
      <w:r>
        <w:rPr>
          <w:rFonts w:hint="eastAsia"/>
          <w:highlight w:val="none"/>
        </w:rPr>
        <w:t>投标声明函</w:t>
      </w:r>
      <w:r>
        <w:rPr>
          <w:highlight w:val="none"/>
        </w:rPr>
        <w:tab/>
      </w:r>
      <w:r>
        <w:rPr>
          <w:highlight w:val="none"/>
        </w:rPr>
        <w:fldChar w:fldCharType="begin"/>
      </w:r>
      <w:r>
        <w:rPr>
          <w:highlight w:val="none"/>
        </w:rPr>
        <w:instrText xml:space="preserve"> PAGEREF _Toc10007 \h </w:instrText>
      </w:r>
      <w:r>
        <w:rPr>
          <w:highlight w:val="none"/>
        </w:rPr>
        <w:fldChar w:fldCharType="separate"/>
      </w:r>
      <w:r>
        <w:rPr>
          <w:highlight w:val="none"/>
        </w:rPr>
        <w:t>45</w:t>
      </w:r>
      <w:r>
        <w:rPr>
          <w:highlight w:val="none"/>
        </w:rPr>
        <w:fldChar w:fldCharType="end"/>
      </w:r>
      <w:r>
        <w:rPr>
          <w:highlight w:val="none"/>
        </w:rPr>
        <w:fldChar w:fldCharType="end"/>
      </w:r>
    </w:p>
    <w:p w14:paraId="47D648E4">
      <w:pPr>
        <w:pStyle w:val="25"/>
        <w:tabs>
          <w:tab w:val="right" w:leader="dot" w:pos="8306"/>
        </w:tabs>
        <w:rPr>
          <w:highlight w:val="none"/>
        </w:rPr>
      </w:pPr>
      <w:r>
        <w:rPr>
          <w:highlight w:val="none"/>
        </w:rPr>
        <w:fldChar w:fldCharType="begin"/>
      </w:r>
      <w:r>
        <w:rPr>
          <w:highlight w:val="none"/>
        </w:rPr>
        <w:instrText xml:space="preserve"> HYPERLINK \l _Toc22141 </w:instrText>
      </w:r>
      <w:r>
        <w:rPr>
          <w:highlight w:val="none"/>
        </w:rPr>
        <w:fldChar w:fldCharType="separate"/>
      </w:r>
      <w:r>
        <w:rPr>
          <w:rFonts w:hint="eastAsia"/>
          <w:highlight w:val="none"/>
        </w:rPr>
        <w:t>法定代表人授权书</w:t>
      </w:r>
      <w:r>
        <w:rPr>
          <w:highlight w:val="none"/>
        </w:rPr>
        <w:tab/>
      </w:r>
      <w:r>
        <w:rPr>
          <w:highlight w:val="none"/>
        </w:rPr>
        <w:fldChar w:fldCharType="begin"/>
      </w:r>
      <w:r>
        <w:rPr>
          <w:highlight w:val="none"/>
        </w:rPr>
        <w:instrText xml:space="preserve"> PAGEREF _Toc22141 \h </w:instrText>
      </w:r>
      <w:r>
        <w:rPr>
          <w:highlight w:val="none"/>
        </w:rPr>
        <w:fldChar w:fldCharType="separate"/>
      </w:r>
      <w:r>
        <w:rPr>
          <w:highlight w:val="none"/>
        </w:rPr>
        <w:t>47</w:t>
      </w:r>
      <w:r>
        <w:rPr>
          <w:highlight w:val="none"/>
        </w:rPr>
        <w:fldChar w:fldCharType="end"/>
      </w:r>
      <w:r>
        <w:rPr>
          <w:highlight w:val="none"/>
        </w:rPr>
        <w:fldChar w:fldCharType="end"/>
      </w:r>
    </w:p>
    <w:p w14:paraId="7288B3DB">
      <w:pPr>
        <w:pStyle w:val="25"/>
        <w:tabs>
          <w:tab w:val="right" w:leader="dot" w:pos="8306"/>
        </w:tabs>
        <w:rPr>
          <w:highlight w:val="none"/>
        </w:rPr>
      </w:pPr>
      <w:r>
        <w:rPr>
          <w:highlight w:val="none"/>
        </w:rPr>
        <w:fldChar w:fldCharType="begin"/>
      </w:r>
      <w:r>
        <w:rPr>
          <w:highlight w:val="none"/>
        </w:rPr>
        <w:instrText xml:space="preserve"> HYPERLINK \l _Toc25050 </w:instrText>
      </w:r>
      <w:r>
        <w:rPr>
          <w:highlight w:val="none"/>
        </w:rPr>
        <w:fldChar w:fldCharType="separate"/>
      </w:r>
      <w:r>
        <w:rPr>
          <w:rFonts w:hint="eastAsia"/>
          <w:highlight w:val="none"/>
          <w:lang w:val="zh-CN"/>
        </w:rPr>
        <w:t>投标人</w:t>
      </w:r>
      <w:r>
        <w:rPr>
          <w:rFonts w:hint="eastAsia"/>
          <w:highlight w:val="none"/>
        </w:rPr>
        <w:t>同类项目</w:t>
      </w:r>
      <w:r>
        <w:rPr>
          <w:rFonts w:hint="eastAsia"/>
          <w:highlight w:val="none"/>
          <w:lang w:val="zh-CN"/>
        </w:rPr>
        <w:t>业绩一览表</w:t>
      </w:r>
      <w:r>
        <w:rPr>
          <w:highlight w:val="none"/>
        </w:rPr>
        <w:tab/>
      </w:r>
      <w:r>
        <w:rPr>
          <w:highlight w:val="none"/>
        </w:rPr>
        <w:fldChar w:fldCharType="begin"/>
      </w:r>
      <w:r>
        <w:rPr>
          <w:highlight w:val="none"/>
        </w:rPr>
        <w:instrText xml:space="preserve"> PAGEREF _Toc25050 \h </w:instrText>
      </w:r>
      <w:r>
        <w:rPr>
          <w:highlight w:val="none"/>
        </w:rPr>
        <w:fldChar w:fldCharType="separate"/>
      </w:r>
      <w:r>
        <w:rPr>
          <w:highlight w:val="none"/>
        </w:rPr>
        <w:t>48</w:t>
      </w:r>
      <w:r>
        <w:rPr>
          <w:highlight w:val="none"/>
        </w:rPr>
        <w:fldChar w:fldCharType="end"/>
      </w:r>
      <w:r>
        <w:rPr>
          <w:highlight w:val="none"/>
        </w:rPr>
        <w:fldChar w:fldCharType="end"/>
      </w:r>
    </w:p>
    <w:p w14:paraId="293762C6">
      <w:pPr>
        <w:pStyle w:val="21"/>
        <w:tabs>
          <w:tab w:val="right" w:leader="dot" w:pos="8306"/>
          <w:tab w:val="clear" w:pos="1470"/>
          <w:tab w:val="clear" w:pos="8296"/>
        </w:tabs>
        <w:rPr>
          <w:highlight w:val="none"/>
        </w:rPr>
      </w:pPr>
      <w:r>
        <w:rPr>
          <w:highlight w:val="none"/>
        </w:rPr>
        <w:fldChar w:fldCharType="begin"/>
      </w:r>
      <w:r>
        <w:rPr>
          <w:highlight w:val="none"/>
        </w:rPr>
        <w:instrText xml:space="preserve"> HYPERLINK \l _Toc30466 </w:instrText>
      </w:r>
      <w:r>
        <w:rPr>
          <w:highlight w:val="none"/>
        </w:rPr>
        <w:fldChar w:fldCharType="separate"/>
      </w:r>
      <w:r>
        <w:rPr>
          <w:rFonts w:hint="eastAsia"/>
          <w:highlight w:val="none"/>
          <w:lang w:val="en-US" w:eastAsia="zh-CN"/>
        </w:rPr>
        <w:t>报价文件</w:t>
      </w:r>
      <w:r>
        <w:rPr>
          <w:highlight w:val="none"/>
        </w:rPr>
        <w:tab/>
      </w:r>
      <w:r>
        <w:rPr>
          <w:highlight w:val="none"/>
        </w:rPr>
        <w:fldChar w:fldCharType="begin"/>
      </w:r>
      <w:r>
        <w:rPr>
          <w:highlight w:val="none"/>
        </w:rPr>
        <w:instrText xml:space="preserve"> PAGEREF _Toc30466 \h </w:instrText>
      </w:r>
      <w:r>
        <w:rPr>
          <w:highlight w:val="none"/>
        </w:rPr>
        <w:fldChar w:fldCharType="separate"/>
      </w:r>
      <w:r>
        <w:rPr>
          <w:highlight w:val="none"/>
        </w:rPr>
        <w:t>49</w:t>
      </w:r>
      <w:r>
        <w:rPr>
          <w:highlight w:val="none"/>
        </w:rPr>
        <w:fldChar w:fldCharType="end"/>
      </w:r>
      <w:r>
        <w:rPr>
          <w:highlight w:val="none"/>
        </w:rPr>
        <w:fldChar w:fldCharType="end"/>
      </w:r>
    </w:p>
    <w:p w14:paraId="73EDB311">
      <w:pPr>
        <w:pStyle w:val="25"/>
        <w:tabs>
          <w:tab w:val="right" w:leader="dot" w:pos="8306"/>
        </w:tabs>
        <w:rPr>
          <w:highlight w:val="none"/>
        </w:rPr>
      </w:pPr>
      <w:r>
        <w:rPr>
          <w:highlight w:val="none"/>
        </w:rPr>
        <w:fldChar w:fldCharType="begin"/>
      </w:r>
      <w:r>
        <w:rPr>
          <w:highlight w:val="none"/>
        </w:rPr>
        <w:instrText xml:space="preserve"> HYPERLINK \l _Toc17918 </w:instrText>
      </w:r>
      <w:r>
        <w:rPr>
          <w:highlight w:val="none"/>
        </w:rPr>
        <w:fldChar w:fldCharType="separate"/>
      </w:r>
      <w:r>
        <w:rPr>
          <w:rFonts w:hint="eastAsia"/>
          <w:highlight w:val="none"/>
        </w:rPr>
        <w:t>报价一览表</w:t>
      </w:r>
      <w:r>
        <w:rPr>
          <w:highlight w:val="none"/>
        </w:rPr>
        <w:tab/>
      </w:r>
      <w:r>
        <w:rPr>
          <w:highlight w:val="none"/>
        </w:rPr>
        <w:fldChar w:fldCharType="begin"/>
      </w:r>
      <w:r>
        <w:rPr>
          <w:highlight w:val="none"/>
        </w:rPr>
        <w:instrText xml:space="preserve"> PAGEREF _Toc17918 \h </w:instrText>
      </w:r>
      <w:r>
        <w:rPr>
          <w:highlight w:val="none"/>
        </w:rPr>
        <w:fldChar w:fldCharType="separate"/>
      </w:r>
      <w:r>
        <w:rPr>
          <w:highlight w:val="none"/>
        </w:rPr>
        <w:t>50</w:t>
      </w:r>
      <w:r>
        <w:rPr>
          <w:highlight w:val="none"/>
        </w:rPr>
        <w:fldChar w:fldCharType="end"/>
      </w:r>
      <w:r>
        <w:rPr>
          <w:highlight w:val="none"/>
        </w:rPr>
        <w:fldChar w:fldCharType="end"/>
      </w:r>
    </w:p>
    <w:p w14:paraId="40C838F7">
      <w:pPr>
        <w:pStyle w:val="25"/>
        <w:tabs>
          <w:tab w:val="right" w:leader="dot" w:pos="8306"/>
        </w:tabs>
        <w:rPr>
          <w:highlight w:val="none"/>
        </w:rPr>
      </w:pPr>
      <w:r>
        <w:rPr>
          <w:highlight w:val="none"/>
        </w:rPr>
        <w:fldChar w:fldCharType="begin"/>
      </w:r>
      <w:r>
        <w:rPr>
          <w:highlight w:val="none"/>
        </w:rPr>
        <w:instrText xml:space="preserve"> HYPERLINK \l _Toc20772 </w:instrText>
      </w:r>
      <w:r>
        <w:rPr>
          <w:highlight w:val="none"/>
        </w:rPr>
        <w:fldChar w:fldCharType="separate"/>
      </w:r>
      <w:r>
        <w:rPr>
          <w:rFonts w:hint="eastAsia"/>
          <w:highlight w:val="none"/>
        </w:rPr>
        <w:t>中小企业声明函</w:t>
      </w:r>
      <w:r>
        <w:rPr>
          <w:rFonts w:hint="eastAsia"/>
          <w:highlight w:val="none"/>
          <w:lang w:eastAsia="zh-CN"/>
        </w:rPr>
        <w:t>（</w:t>
      </w:r>
      <w:r>
        <w:rPr>
          <w:rFonts w:hint="eastAsia"/>
          <w:highlight w:val="none"/>
          <w:lang w:val="en-US" w:eastAsia="zh-CN"/>
        </w:rPr>
        <w:t>服务）</w:t>
      </w:r>
      <w:r>
        <w:rPr>
          <w:highlight w:val="none"/>
        </w:rPr>
        <w:tab/>
      </w:r>
      <w:r>
        <w:rPr>
          <w:highlight w:val="none"/>
        </w:rPr>
        <w:fldChar w:fldCharType="begin"/>
      </w:r>
      <w:r>
        <w:rPr>
          <w:highlight w:val="none"/>
        </w:rPr>
        <w:instrText xml:space="preserve"> PAGEREF _Toc20772 \h </w:instrText>
      </w:r>
      <w:r>
        <w:rPr>
          <w:highlight w:val="none"/>
        </w:rPr>
        <w:fldChar w:fldCharType="separate"/>
      </w:r>
      <w:r>
        <w:rPr>
          <w:highlight w:val="none"/>
        </w:rPr>
        <w:t>51</w:t>
      </w:r>
      <w:r>
        <w:rPr>
          <w:highlight w:val="none"/>
        </w:rPr>
        <w:fldChar w:fldCharType="end"/>
      </w:r>
      <w:r>
        <w:rPr>
          <w:highlight w:val="none"/>
        </w:rPr>
        <w:fldChar w:fldCharType="end"/>
      </w:r>
    </w:p>
    <w:p w14:paraId="01EA9840">
      <w:pPr>
        <w:pStyle w:val="25"/>
        <w:tabs>
          <w:tab w:val="right" w:leader="dot" w:pos="8306"/>
        </w:tabs>
        <w:rPr>
          <w:highlight w:val="none"/>
        </w:rPr>
      </w:pPr>
      <w:r>
        <w:rPr>
          <w:highlight w:val="none"/>
        </w:rPr>
        <w:fldChar w:fldCharType="begin"/>
      </w:r>
      <w:r>
        <w:rPr>
          <w:highlight w:val="none"/>
        </w:rPr>
        <w:instrText xml:space="preserve"> HYPERLINK \l _Toc7446 </w:instrText>
      </w:r>
      <w:r>
        <w:rPr>
          <w:highlight w:val="none"/>
        </w:rPr>
        <w:fldChar w:fldCharType="separate"/>
      </w:r>
      <w:r>
        <w:rPr>
          <w:rFonts w:hint="eastAsia"/>
          <w:highlight w:val="none"/>
        </w:rPr>
        <w:t>监狱企业声明函</w:t>
      </w:r>
      <w:r>
        <w:rPr>
          <w:highlight w:val="none"/>
        </w:rPr>
        <w:tab/>
      </w:r>
      <w:r>
        <w:rPr>
          <w:highlight w:val="none"/>
        </w:rPr>
        <w:fldChar w:fldCharType="begin"/>
      </w:r>
      <w:r>
        <w:rPr>
          <w:highlight w:val="none"/>
        </w:rPr>
        <w:instrText xml:space="preserve"> PAGEREF _Toc7446 \h </w:instrText>
      </w:r>
      <w:r>
        <w:rPr>
          <w:highlight w:val="none"/>
        </w:rPr>
        <w:fldChar w:fldCharType="separate"/>
      </w:r>
      <w:r>
        <w:rPr>
          <w:highlight w:val="none"/>
        </w:rPr>
        <w:t>52</w:t>
      </w:r>
      <w:r>
        <w:rPr>
          <w:highlight w:val="none"/>
        </w:rPr>
        <w:fldChar w:fldCharType="end"/>
      </w:r>
      <w:r>
        <w:rPr>
          <w:highlight w:val="none"/>
        </w:rPr>
        <w:fldChar w:fldCharType="end"/>
      </w:r>
    </w:p>
    <w:p w14:paraId="49ACF3BB">
      <w:pPr>
        <w:pStyle w:val="25"/>
        <w:tabs>
          <w:tab w:val="right" w:leader="dot" w:pos="8306"/>
        </w:tabs>
        <w:rPr>
          <w:highlight w:val="none"/>
        </w:rPr>
      </w:pPr>
      <w:r>
        <w:rPr>
          <w:highlight w:val="none"/>
        </w:rPr>
        <w:fldChar w:fldCharType="begin"/>
      </w:r>
      <w:r>
        <w:rPr>
          <w:highlight w:val="none"/>
        </w:rPr>
        <w:instrText xml:space="preserve"> HYPERLINK \l _Toc12294 </w:instrText>
      </w:r>
      <w:r>
        <w:rPr>
          <w:highlight w:val="none"/>
        </w:rPr>
        <w:fldChar w:fldCharType="separate"/>
      </w:r>
      <w:r>
        <w:rPr>
          <w:rFonts w:hint="eastAsia"/>
          <w:highlight w:val="none"/>
        </w:rPr>
        <w:t>残疾人福利性单位声明函</w:t>
      </w:r>
      <w:r>
        <w:rPr>
          <w:highlight w:val="none"/>
        </w:rPr>
        <w:tab/>
      </w:r>
      <w:r>
        <w:rPr>
          <w:highlight w:val="none"/>
        </w:rPr>
        <w:fldChar w:fldCharType="begin"/>
      </w:r>
      <w:r>
        <w:rPr>
          <w:highlight w:val="none"/>
        </w:rPr>
        <w:instrText xml:space="preserve"> PAGEREF _Toc12294 \h </w:instrText>
      </w:r>
      <w:r>
        <w:rPr>
          <w:highlight w:val="none"/>
        </w:rPr>
        <w:fldChar w:fldCharType="separate"/>
      </w:r>
      <w:r>
        <w:rPr>
          <w:highlight w:val="none"/>
        </w:rPr>
        <w:t>53</w:t>
      </w:r>
      <w:r>
        <w:rPr>
          <w:highlight w:val="none"/>
        </w:rPr>
        <w:fldChar w:fldCharType="end"/>
      </w:r>
      <w:r>
        <w:rPr>
          <w:highlight w:val="none"/>
        </w:rPr>
        <w:fldChar w:fldCharType="end"/>
      </w:r>
    </w:p>
    <w:p w14:paraId="021905F6">
      <w:pPr>
        <w:pStyle w:val="4"/>
        <w:rPr>
          <w:highlight w:val="none"/>
        </w:rPr>
        <w:sectPr>
          <w:footerReference r:id="rId12" w:type="first"/>
          <w:footerReference r:id="rId11" w:type="default"/>
          <w:pgSz w:w="11906" w:h="16838"/>
          <w:pgMar w:top="1440" w:right="1800" w:bottom="1440" w:left="1800" w:header="851" w:footer="992" w:gutter="0"/>
          <w:pgNumType w:fmt="upperRoman" w:start="1"/>
          <w:cols w:space="425" w:num="1"/>
          <w:docGrid w:type="lines" w:linePitch="326" w:charSpace="0"/>
        </w:sectPr>
      </w:pPr>
      <w:r>
        <w:rPr>
          <w:highlight w:val="none"/>
        </w:rPr>
        <w:fldChar w:fldCharType="end"/>
      </w:r>
      <w:bookmarkStart w:id="10" w:name="_Toc10652"/>
      <w:bookmarkStart w:id="11" w:name="_Toc9819"/>
      <w:bookmarkStart w:id="12" w:name="_Toc9543"/>
      <w:bookmarkStart w:id="13" w:name="_Toc17465"/>
      <w:bookmarkStart w:id="14" w:name="_Toc3787"/>
      <w:bookmarkStart w:id="15" w:name="_Toc6619"/>
    </w:p>
    <w:p w14:paraId="6E8D2182">
      <w:pPr>
        <w:pStyle w:val="4"/>
        <w:rPr>
          <w:highlight w:val="none"/>
        </w:rPr>
      </w:pPr>
      <w:bookmarkStart w:id="16" w:name="_Toc24269"/>
      <w:bookmarkStart w:id="17" w:name="_Toc27462"/>
      <w:r>
        <w:rPr>
          <w:highlight w:val="none"/>
        </w:rPr>
        <w:t>第一章</w:t>
      </w:r>
      <w:r>
        <w:rPr>
          <w:rFonts w:hint="eastAsia"/>
          <w:highlight w:val="none"/>
        </w:rPr>
        <w:t xml:space="preserve">  竞争性磋商公告</w:t>
      </w:r>
      <w:bookmarkEnd w:id="10"/>
      <w:bookmarkEnd w:id="11"/>
      <w:bookmarkEnd w:id="12"/>
      <w:bookmarkEnd w:id="13"/>
      <w:bookmarkEnd w:id="14"/>
      <w:bookmarkEnd w:id="15"/>
      <w:bookmarkEnd w:id="16"/>
      <w:bookmarkEnd w:id="17"/>
    </w:p>
    <w:tbl>
      <w:tblPr>
        <w:tblStyle w:val="2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23AB1F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2BC5C3AB">
            <w:pPr>
              <w:ind w:firstLine="480"/>
              <w:rPr>
                <w:highlight w:val="none"/>
              </w:rPr>
            </w:pPr>
            <w:r>
              <w:rPr>
                <w:highlight w:val="none"/>
              </w:rPr>
              <w:t>项目概况</w:t>
            </w:r>
            <w:r>
              <w:rPr>
                <w:rFonts w:hint="eastAsia"/>
                <w:highlight w:val="none"/>
              </w:rPr>
              <w:t>：</w:t>
            </w:r>
            <w:r>
              <w:rPr>
                <w:rFonts w:hint="eastAsia"/>
                <w:highlight w:val="none"/>
                <w:u w:val="single"/>
                <w:lang w:val="en-US" w:eastAsia="zh-CN"/>
              </w:rPr>
              <w:t>龙游县电子政务外网网络数据安全运维服务项目</w:t>
            </w:r>
            <w:r>
              <w:rPr>
                <w:rFonts w:hint="default"/>
                <w:highlight w:val="none"/>
                <w:u w:val="single"/>
                <w:lang w:eastAsia="zh-CN"/>
                <w:woUserID w:val="1"/>
              </w:rPr>
              <w:t>（2025年）</w:t>
            </w:r>
            <w:r>
              <w:rPr>
                <w:rFonts w:hint="eastAsia"/>
                <w:highlight w:val="none"/>
                <w:u w:val="single"/>
              </w:rPr>
              <w:t xml:space="preserve"> </w:t>
            </w:r>
            <w:r>
              <w:rPr>
                <w:rFonts w:hint="eastAsia"/>
                <w:highlight w:val="none"/>
              </w:rPr>
              <w:t>招标项目的潜在投标人应在 浙江政府采购网（http：//zfcg.czt.zj.gov.cn/）获取（下载）招标文件</w:t>
            </w:r>
            <w:r>
              <w:rPr>
                <w:rFonts w:hint="eastAsia"/>
                <w:highlight w:val="none"/>
                <w:lang w:eastAsia="zh-CN"/>
              </w:rPr>
              <w:t>，</w:t>
            </w:r>
            <w:r>
              <w:rPr>
                <w:rFonts w:hint="eastAsia"/>
                <w:highlight w:val="none"/>
              </w:rPr>
              <w:t>并于</w:t>
            </w:r>
            <w:r>
              <w:rPr>
                <w:rFonts w:hint="eastAsia"/>
                <w:highlight w:val="none"/>
                <w:lang w:eastAsia="zh-CN"/>
              </w:rPr>
              <w:t>2025年3月17日14:30时</w:t>
            </w:r>
            <w:r>
              <w:rPr>
                <w:rFonts w:hint="eastAsia"/>
                <w:highlight w:val="none"/>
              </w:rPr>
              <w:t>（北京时间）前递交（上传）投标文件。</w:t>
            </w:r>
          </w:p>
        </w:tc>
      </w:tr>
    </w:tbl>
    <w:p w14:paraId="0B7A144A">
      <w:pPr>
        <w:pStyle w:val="5"/>
        <w:rPr>
          <w:highlight w:val="none"/>
        </w:rPr>
      </w:pPr>
      <w:bookmarkStart w:id="18" w:name="_Toc16896"/>
      <w:bookmarkStart w:id="19" w:name="_Toc31256"/>
      <w:bookmarkStart w:id="20" w:name="_Toc9612"/>
      <w:bookmarkStart w:id="21" w:name="_Toc22152"/>
      <w:bookmarkStart w:id="22" w:name="_Toc30938"/>
      <w:bookmarkStart w:id="23" w:name="_Toc6416"/>
      <w:bookmarkStart w:id="24" w:name="_Toc29488"/>
      <w:bookmarkStart w:id="25" w:name="_Toc23505"/>
      <w:r>
        <w:rPr>
          <w:highlight w:val="none"/>
        </w:rPr>
        <w:t>一、项目基本情况</w:t>
      </w:r>
      <w:bookmarkEnd w:id="18"/>
      <w:bookmarkEnd w:id="19"/>
      <w:bookmarkEnd w:id="20"/>
      <w:bookmarkEnd w:id="21"/>
      <w:bookmarkEnd w:id="22"/>
      <w:bookmarkEnd w:id="23"/>
      <w:bookmarkEnd w:id="24"/>
      <w:bookmarkEnd w:id="25"/>
    </w:p>
    <w:p w14:paraId="6FEB399A">
      <w:pPr>
        <w:ind w:firstLine="480"/>
        <w:rPr>
          <w:rFonts w:hint="eastAsia" w:eastAsia="宋体"/>
          <w:highlight w:val="none"/>
          <w:lang w:eastAsia="zh-CN"/>
        </w:rPr>
      </w:pPr>
      <w:r>
        <w:rPr>
          <w:rFonts w:hint="eastAsia"/>
          <w:highlight w:val="none"/>
        </w:rPr>
        <w:t>1.</w:t>
      </w:r>
      <w:r>
        <w:rPr>
          <w:highlight w:val="none"/>
        </w:rPr>
        <w:t>项目编号</w:t>
      </w:r>
      <w:r>
        <w:rPr>
          <w:rFonts w:hint="eastAsia"/>
          <w:highlight w:val="none"/>
        </w:rPr>
        <w:t>：</w:t>
      </w:r>
      <w:r>
        <w:rPr>
          <w:rFonts w:hint="eastAsia"/>
          <w:highlight w:val="none"/>
          <w:lang w:eastAsia="zh-CN"/>
        </w:rPr>
        <w:t>LYJY2025006</w:t>
      </w:r>
    </w:p>
    <w:p w14:paraId="737C926A">
      <w:pPr>
        <w:ind w:firstLine="480"/>
        <w:rPr>
          <w:rFonts w:hint="eastAsia" w:eastAsia="宋体"/>
          <w:highlight w:val="none"/>
          <w:lang w:eastAsia="zh-CN"/>
        </w:rPr>
      </w:pPr>
      <w:r>
        <w:rPr>
          <w:rFonts w:hint="eastAsia"/>
          <w:highlight w:val="none"/>
        </w:rPr>
        <w:t>2.项目名称：</w:t>
      </w:r>
      <w:r>
        <w:rPr>
          <w:rFonts w:hint="eastAsia"/>
          <w:highlight w:val="none"/>
          <w:lang w:val="en-US" w:eastAsia="zh-CN"/>
        </w:rPr>
        <w:t>龙游县电子政务外网网络数据安全运维服务项目（2025年）</w:t>
      </w:r>
    </w:p>
    <w:p w14:paraId="2331EEE9">
      <w:pPr>
        <w:ind w:firstLine="480"/>
        <w:rPr>
          <w:highlight w:val="none"/>
        </w:rPr>
      </w:pPr>
      <w:r>
        <w:rPr>
          <w:rFonts w:hint="eastAsia"/>
          <w:highlight w:val="none"/>
        </w:rPr>
        <w:t>3.</w:t>
      </w:r>
      <w:r>
        <w:rPr>
          <w:highlight w:val="none"/>
        </w:rPr>
        <w:t>采购方式</w:t>
      </w:r>
      <w:r>
        <w:rPr>
          <w:rFonts w:hint="eastAsia"/>
          <w:highlight w:val="none"/>
        </w:rPr>
        <w:t>：</w:t>
      </w:r>
      <w:r>
        <w:rPr>
          <w:highlight w:val="none"/>
        </w:rPr>
        <w:t>竞争性磋商</w:t>
      </w:r>
    </w:p>
    <w:p w14:paraId="33112BAD">
      <w:pPr>
        <w:ind w:firstLine="480"/>
        <w:rPr>
          <w:rFonts w:hint="default" w:eastAsia="宋体"/>
          <w:highlight w:val="none"/>
          <w:lang w:val="en-US" w:eastAsia="zh-CN"/>
        </w:rPr>
      </w:pPr>
      <w:r>
        <w:rPr>
          <w:rFonts w:hint="eastAsia"/>
          <w:highlight w:val="none"/>
        </w:rPr>
        <w:t>4.预算总金额（元）：</w:t>
      </w:r>
      <w:r>
        <w:rPr>
          <w:rFonts w:hint="eastAsia"/>
          <w:highlight w:val="none"/>
          <w:lang w:val="en-US" w:eastAsia="zh-CN"/>
        </w:rPr>
        <w:t>490200元</w:t>
      </w:r>
    </w:p>
    <w:p w14:paraId="17A8F5DF">
      <w:pPr>
        <w:ind w:firstLine="480"/>
        <w:rPr>
          <w:highlight w:val="none"/>
        </w:rPr>
      </w:pPr>
      <w:r>
        <w:rPr>
          <w:rFonts w:hint="eastAsia"/>
          <w:highlight w:val="none"/>
        </w:rPr>
        <w:t>5.采购需求：详见招标文件</w:t>
      </w:r>
      <w:r>
        <w:rPr>
          <w:rFonts w:hint="eastAsia"/>
          <w:highlight w:val="none"/>
          <w:lang w:eastAsia="zh-CN"/>
        </w:rPr>
        <w:t>“</w:t>
      </w:r>
      <w:r>
        <w:rPr>
          <w:rFonts w:hint="eastAsia"/>
          <w:highlight w:val="none"/>
        </w:rPr>
        <w:t>第四章 采购需求</w:t>
      </w:r>
      <w:r>
        <w:rPr>
          <w:rFonts w:hint="eastAsia"/>
          <w:highlight w:val="none"/>
          <w:lang w:eastAsia="zh-CN"/>
        </w:rPr>
        <w:t>”</w:t>
      </w:r>
      <w:r>
        <w:rPr>
          <w:rFonts w:hint="eastAsia"/>
          <w:highlight w:val="none"/>
        </w:rPr>
        <w:t>（包括但不限于标的的名称、数量、简要技术需求或服务要求等）</w:t>
      </w:r>
    </w:p>
    <w:p w14:paraId="3ACCAE03">
      <w:pPr>
        <w:ind w:firstLine="480"/>
        <w:rPr>
          <w:highlight w:val="none"/>
        </w:rPr>
      </w:pPr>
      <w:r>
        <w:rPr>
          <w:rFonts w:hint="eastAsia"/>
          <w:highlight w:val="none"/>
        </w:rPr>
        <w:t>6.允许联合体投标：否</w:t>
      </w:r>
    </w:p>
    <w:p w14:paraId="0FA501D3">
      <w:pPr>
        <w:shd w:val="clear"/>
        <w:ind w:firstLine="480"/>
        <w:rPr>
          <w:rFonts w:hint="eastAsia" w:eastAsia="宋体"/>
          <w:highlight w:val="none"/>
          <w:lang w:eastAsia="zh-CN"/>
        </w:rPr>
      </w:pPr>
      <w:r>
        <w:rPr>
          <w:rFonts w:hint="eastAsia"/>
          <w:highlight w:val="none"/>
        </w:rPr>
        <w:t>7.</w:t>
      </w:r>
      <w:r>
        <w:rPr>
          <w:rFonts w:hint="eastAsia"/>
          <w:highlight w:val="none"/>
          <w:lang w:eastAsia="zh-CN"/>
        </w:rPr>
        <w:t>服务期：1年。</w:t>
      </w:r>
    </w:p>
    <w:p w14:paraId="7E244730">
      <w:pPr>
        <w:pStyle w:val="5"/>
        <w:rPr>
          <w:highlight w:val="none"/>
        </w:rPr>
      </w:pPr>
      <w:bookmarkStart w:id="26" w:name="_Toc26514"/>
      <w:bookmarkStart w:id="27" w:name="_Toc4258"/>
      <w:bookmarkStart w:id="28" w:name="_Toc27812"/>
      <w:bookmarkStart w:id="29" w:name="_Toc28227"/>
      <w:bookmarkStart w:id="30" w:name="_Toc1965"/>
      <w:bookmarkStart w:id="31" w:name="_Toc29501"/>
      <w:bookmarkStart w:id="32" w:name="_Toc16529"/>
      <w:bookmarkStart w:id="33" w:name="_Toc1825"/>
      <w:r>
        <w:rPr>
          <w:rFonts w:hint="eastAsia"/>
          <w:highlight w:val="none"/>
        </w:rPr>
        <w:t>二、申请人的资格要求</w:t>
      </w:r>
      <w:bookmarkEnd w:id="26"/>
      <w:bookmarkEnd w:id="27"/>
      <w:bookmarkEnd w:id="28"/>
      <w:bookmarkEnd w:id="29"/>
      <w:bookmarkEnd w:id="30"/>
      <w:bookmarkEnd w:id="31"/>
      <w:bookmarkEnd w:id="32"/>
      <w:bookmarkEnd w:id="33"/>
    </w:p>
    <w:p w14:paraId="25290CCB">
      <w:pPr>
        <w:ind w:firstLine="480"/>
        <w:rPr>
          <w:rFonts w:hint="eastAsia"/>
          <w:highlight w:val="none"/>
        </w:rPr>
      </w:pPr>
      <w:r>
        <w:rPr>
          <w:rFonts w:hint="eastAsia"/>
          <w:highlight w:val="none"/>
        </w:rPr>
        <w:t>1.满足《中华人民共和国政府采购法》第二十二条规定；未被</w:t>
      </w:r>
      <w:r>
        <w:rPr>
          <w:rFonts w:hint="eastAsia"/>
          <w:highlight w:val="none"/>
          <w:lang w:eastAsia="zh-CN"/>
        </w:rPr>
        <w:t>“</w:t>
      </w:r>
      <w:r>
        <w:rPr>
          <w:rFonts w:hint="eastAsia"/>
          <w:highlight w:val="none"/>
        </w:rPr>
        <w:t>信用中国</w:t>
      </w:r>
      <w:r>
        <w:rPr>
          <w:rFonts w:hint="eastAsia"/>
          <w:highlight w:val="none"/>
          <w:lang w:eastAsia="zh-CN"/>
        </w:rPr>
        <w:t>”</w:t>
      </w:r>
      <w:r>
        <w:rPr>
          <w:rFonts w:hint="eastAsia"/>
          <w:highlight w:val="none"/>
        </w:rPr>
        <w:t>（www.creditchina.gov.cn</w:t>
      </w:r>
      <w:r>
        <w:rPr>
          <w:rFonts w:hint="eastAsia"/>
          <w:highlight w:val="none"/>
          <w:lang w:eastAsia="zh-CN"/>
        </w:rPr>
        <w:t>）</w:t>
      </w:r>
      <w:r>
        <w:rPr>
          <w:rFonts w:hint="eastAsia"/>
          <w:highlight w:val="none"/>
        </w:rPr>
        <w:t>、中国政府采购网（www.ccgp.gov.cn）列入失信被执行人、重大税收违法案件当事人名单、政府采购严重违法失信行为记录名单。</w:t>
      </w:r>
    </w:p>
    <w:p w14:paraId="056378E9">
      <w:pPr>
        <w:ind w:firstLine="480"/>
        <w:rPr>
          <w:rFonts w:hint="eastAsia"/>
          <w:highlight w:val="none"/>
        </w:rPr>
      </w:pPr>
      <w:r>
        <w:rPr>
          <w:rFonts w:hint="eastAsia"/>
          <w:highlight w:val="none"/>
        </w:rPr>
        <w:t>2.落实政府采购政策需满足的资格要求：</w:t>
      </w:r>
      <w:r>
        <w:rPr>
          <w:rFonts w:hint="eastAsia"/>
          <w:highlight w:val="none"/>
          <w:lang w:val="en-US" w:eastAsia="zh-CN"/>
        </w:rPr>
        <w:t>无</w:t>
      </w:r>
      <w:r>
        <w:rPr>
          <w:rFonts w:hint="eastAsia"/>
          <w:highlight w:val="none"/>
        </w:rPr>
        <w:t>。</w:t>
      </w:r>
    </w:p>
    <w:p w14:paraId="2B12F0D0">
      <w:pPr>
        <w:ind w:firstLine="480"/>
        <w:rPr>
          <w:rFonts w:hint="eastAsia" w:eastAsia="宋体"/>
          <w:highlight w:val="none"/>
          <w:lang w:val="en-US" w:eastAsia="zh-CN"/>
        </w:rPr>
      </w:pPr>
      <w:r>
        <w:rPr>
          <w:rFonts w:hint="eastAsia"/>
          <w:highlight w:val="none"/>
        </w:rPr>
        <w:t>3.本项目的特定资格要求：</w:t>
      </w:r>
      <w:r>
        <w:rPr>
          <w:rFonts w:hint="eastAsia"/>
          <w:highlight w:val="none"/>
          <w:lang w:val="en-US" w:eastAsia="zh-CN"/>
        </w:rPr>
        <w:t>无</w:t>
      </w:r>
      <w:r>
        <w:rPr>
          <w:rFonts w:hint="eastAsia"/>
          <w:highlight w:val="none"/>
          <w:lang w:eastAsia="zh-CN"/>
        </w:rPr>
        <w:t>。</w:t>
      </w:r>
    </w:p>
    <w:p w14:paraId="49C0EC8E">
      <w:pPr>
        <w:pStyle w:val="5"/>
        <w:rPr>
          <w:highlight w:val="none"/>
        </w:rPr>
      </w:pPr>
      <w:bookmarkStart w:id="34" w:name="_Toc132"/>
      <w:bookmarkStart w:id="35" w:name="_Toc1724"/>
      <w:bookmarkStart w:id="36" w:name="_Toc5606"/>
      <w:bookmarkStart w:id="37" w:name="_Toc29916"/>
      <w:bookmarkStart w:id="38" w:name="_Toc6431"/>
      <w:bookmarkStart w:id="39" w:name="_Toc32254"/>
      <w:bookmarkStart w:id="40" w:name="_Toc11144"/>
      <w:bookmarkStart w:id="41" w:name="_Toc19394"/>
      <w:r>
        <w:rPr>
          <w:rFonts w:hint="eastAsia"/>
          <w:highlight w:val="none"/>
        </w:rPr>
        <w:t>三、获取（下载）竞争性磋商文件</w:t>
      </w:r>
      <w:bookmarkEnd w:id="34"/>
      <w:bookmarkEnd w:id="35"/>
      <w:bookmarkEnd w:id="36"/>
      <w:bookmarkEnd w:id="37"/>
      <w:bookmarkEnd w:id="38"/>
      <w:bookmarkEnd w:id="39"/>
      <w:bookmarkEnd w:id="40"/>
      <w:bookmarkEnd w:id="41"/>
    </w:p>
    <w:p w14:paraId="1CAB485D">
      <w:pPr>
        <w:ind w:firstLine="480"/>
        <w:rPr>
          <w:highlight w:val="none"/>
        </w:rPr>
      </w:pPr>
      <w:r>
        <w:rPr>
          <w:rFonts w:hint="eastAsia"/>
          <w:highlight w:val="none"/>
        </w:rPr>
        <w:t>时间：/至投标截止时间</w:t>
      </w:r>
      <w:r>
        <w:rPr>
          <w:rFonts w:hint="eastAsia"/>
          <w:highlight w:val="none"/>
          <w:lang w:eastAsia="zh-CN"/>
        </w:rPr>
        <w:t>，</w:t>
      </w:r>
      <w:r>
        <w:rPr>
          <w:rFonts w:hint="eastAsia"/>
          <w:highlight w:val="none"/>
        </w:rPr>
        <w:t>每天上午00:00至12:00</w:t>
      </w:r>
      <w:r>
        <w:rPr>
          <w:rFonts w:hint="eastAsia"/>
          <w:highlight w:val="none"/>
          <w:lang w:eastAsia="zh-CN"/>
        </w:rPr>
        <w:t>，</w:t>
      </w:r>
      <w:r>
        <w:rPr>
          <w:rFonts w:hint="eastAsia"/>
          <w:highlight w:val="none"/>
        </w:rPr>
        <w:t>下午12:00至23:59（北京时间</w:t>
      </w:r>
      <w:r>
        <w:rPr>
          <w:rFonts w:hint="eastAsia"/>
          <w:highlight w:val="none"/>
          <w:lang w:eastAsia="zh-CN"/>
        </w:rPr>
        <w:t>，</w:t>
      </w:r>
      <w:r>
        <w:rPr>
          <w:rFonts w:hint="eastAsia"/>
          <w:highlight w:val="none"/>
        </w:rPr>
        <w:t>线上获取法定节假日均可</w:t>
      </w:r>
      <w:r>
        <w:rPr>
          <w:rFonts w:hint="eastAsia"/>
          <w:highlight w:val="none"/>
          <w:lang w:eastAsia="zh-CN"/>
        </w:rPr>
        <w:t>，</w:t>
      </w:r>
      <w:r>
        <w:rPr>
          <w:rFonts w:hint="eastAsia"/>
          <w:highlight w:val="none"/>
        </w:rPr>
        <w:t>线下获取文件法定节假日除外）</w:t>
      </w:r>
    </w:p>
    <w:p w14:paraId="05B3D6BE">
      <w:pPr>
        <w:ind w:firstLine="480"/>
        <w:rPr>
          <w:highlight w:val="none"/>
        </w:rPr>
      </w:pPr>
      <w:r>
        <w:rPr>
          <w:rFonts w:hint="eastAsia"/>
          <w:highlight w:val="none"/>
        </w:rPr>
        <w:t>地点（网址）：浙江政府采购网（http：//zfcg.czt.zj.gov.cn/）</w:t>
      </w:r>
    </w:p>
    <w:p w14:paraId="63FAC377">
      <w:pPr>
        <w:ind w:firstLine="480"/>
        <w:rPr>
          <w:highlight w:val="none"/>
        </w:rPr>
      </w:pPr>
      <w:r>
        <w:rPr>
          <w:rFonts w:hint="eastAsia"/>
          <w:highlight w:val="none"/>
        </w:rPr>
        <w:t>方式：在线获取（免费）。本项目不提供纸质版采购文件</w:t>
      </w:r>
      <w:r>
        <w:rPr>
          <w:rFonts w:hint="eastAsia"/>
          <w:highlight w:val="none"/>
          <w:lang w:eastAsia="zh-CN"/>
        </w:rPr>
        <w:t>，</w:t>
      </w:r>
      <w:r>
        <w:rPr>
          <w:rFonts w:hint="eastAsia"/>
          <w:highlight w:val="none"/>
        </w:rPr>
        <w:t>潜在供应商可通过</w:t>
      </w:r>
      <w:r>
        <w:rPr>
          <w:rFonts w:hint="eastAsia"/>
          <w:highlight w:val="none"/>
          <w:lang w:eastAsia="zh-CN"/>
        </w:rPr>
        <w:t>“</w:t>
      </w:r>
      <w:r>
        <w:rPr>
          <w:rFonts w:hint="eastAsia"/>
          <w:highlight w:val="none"/>
        </w:rPr>
        <w:t>政府采购云平台</w:t>
      </w:r>
      <w:r>
        <w:rPr>
          <w:rFonts w:hint="eastAsia"/>
          <w:highlight w:val="none"/>
          <w:lang w:eastAsia="zh-CN"/>
        </w:rPr>
        <w:t>”</w:t>
      </w:r>
      <w:r>
        <w:rPr>
          <w:rFonts w:hint="eastAsia"/>
          <w:highlight w:val="none"/>
        </w:rPr>
        <w:t>在线获取；供应商只有在</w:t>
      </w:r>
      <w:r>
        <w:rPr>
          <w:rFonts w:hint="eastAsia"/>
          <w:highlight w:val="none"/>
          <w:lang w:eastAsia="zh-CN"/>
        </w:rPr>
        <w:t>“</w:t>
      </w:r>
      <w:r>
        <w:rPr>
          <w:rFonts w:hint="eastAsia"/>
          <w:highlight w:val="none"/>
        </w:rPr>
        <w:t>政府采购云平台</w:t>
      </w:r>
      <w:r>
        <w:rPr>
          <w:rFonts w:hint="eastAsia"/>
          <w:highlight w:val="none"/>
          <w:lang w:eastAsia="zh-CN"/>
        </w:rPr>
        <w:t>”</w:t>
      </w:r>
      <w:r>
        <w:rPr>
          <w:rFonts w:hint="eastAsia"/>
          <w:highlight w:val="none"/>
        </w:rPr>
        <w:t>完成获取采购文件申请并下载了采购文件后才视作依法获取采购文件（法律法规所指的供应商获取采购文件时间</w:t>
      </w:r>
      <w:r>
        <w:rPr>
          <w:rFonts w:hint="eastAsia"/>
          <w:highlight w:val="none"/>
          <w:lang w:eastAsia="zh-CN"/>
        </w:rPr>
        <w:t>，</w:t>
      </w:r>
      <w:r>
        <w:rPr>
          <w:rFonts w:hint="eastAsia"/>
          <w:highlight w:val="none"/>
        </w:rPr>
        <w:t>以供应商完成获取采购文件申请后下载采购文件的时间为准）。通过本公告下方</w:t>
      </w:r>
      <w:r>
        <w:rPr>
          <w:rFonts w:hint="eastAsia"/>
          <w:highlight w:val="none"/>
          <w:lang w:eastAsia="zh-CN"/>
        </w:rPr>
        <w:t>“</w:t>
      </w:r>
      <w:r>
        <w:rPr>
          <w:rFonts w:hint="eastAsia"/>
          <w:highlight w:val="none"/>
        </w:rPr>
        <w:t>游客</w:t>
      </w:r>
      <w:r>
        <w:rPr>
          <w:rFonts w:hint="eastAsia"/>
          <w:highlight w:val="none"/>
          <w:lang w:eastAsia="zh-CN"/>
        </w:rPr>
        <w:t>，</w:t>
      </w:r>
      <w:r>
        <w:rPr>
          <w:rFonts w:hint="eastAsia"/>
          <w:highlight w:val="none"/>
        </w:rPr>
        <w:t>浏览采购文件</w:t>
      </w:r>
      <w:r>
        <w:rPr>
          <w:rFonts w:hint="eastAsia"/>
          <w:highlight w:val="none"/>
          <w:lang w:eastAsia="zh-CN"/>
        </w:rPr>
        <w:t>”</w:t>
      </w:r>
      <w:r>
        <w:rPr>
          <w:rFonts w:hint="eastAsia"/>
          <w:highlight w:val="none"/>
        </w:rPr>
        <w:t>下载的采购文件仅供浏览。</w:t>
      </w:r>
    </w:p>
    <w:p w14:paraId="271F63EA">
      <w:pPr>
        <w:ind w:firstLine="480"/>
        <w:rPr>
          <w:rFonts w:ascii="宋体" w:hAnsi="宋体"/>
          <w:szCs w:val="21"/>
          <w:highlight w:val="none"/>
        </w:rPr>
      </w:pPr>
      <w:r>
        <w:rPr>
          <w:rFonts w:hint="eastAsia"/>
          <w:highlight w:val="none"/>
        </w:rPr>
        <w:t>售价（元）：0</w:t>
      </w:r>
    </w:p>
    <w:p w14:paraId="7FA595CB">
      <w:pPr>
        <w:pStyle w:val="5"/>
        <w:rPr>
          <w:highlight w:val="none"/>
        </w:rPr>
      </w:pPr>
      <w:bookmarkStart w:id="42" w:name="_Toc2709"/>
      <w:bookmarkStart w:id="43" w:name="_Toc22191"/>
      <w:bookmarkStart w:id="44" w:name="_Toc27163"/>
      <w:bookmarkStart w:id="45" w:name="_Toc14875"/>
      <w:bookmarkStart w:id="46" w:name="_Toc28419"/>
      <w:bookmarkStart w:id="47" w:name="_Toc27996"/>
      <w:bookmarkStart w:id="48" w:name="_Toc27886"/>
      <w:bookmarkStart w:id="49" w:name="_Toc20569"/>
      <w:r>
        <w:rPr>
          <w:rFonts w:hint="eastAsia"/>
          <w:highlight w:val="none"/>
        </w:rPr>
        <w:t>四、响应文件提交（上传）</w:t>
      </w:r>
      <w:bookmarkEnd w:id="42"/>
      <w:bookmarkEnd w:id="43"/>
      <w:bookmarkEnd w:id="44"/>
      <w:bookmarkEnd w:id="45"/>
      <w:bookmarkEnd w:id="46"/>
      <w:bookmarkEnd w:id="47"/>
      <w:bookmarkEnd w:id="48"/>
      <w:bookmarkEnd w:id="49"/>
    </w:p>
    <w:p w14:paraId="10A97E96">
      <w:pPr>
        <w:ind w:firstLine="480"/>
        <w:rPr>
          <w:highlight w:val="none"/>
        </w:rPr>
      </w:pPr>
      <w:r>
        <w:rPr>
          <w:rFonts w:hint="eastAsia"/>
          <w:highlight w:val="none"/>
        </w:rPr>
        <w:t>提交投标文件截止时间：</w:t>
      </w:r>
      <w:r>
        <w:rPr>
          <w:rFonts w:hint="eastAsia"/>
          <w:highlight w:val="none"/>
          <w:lang w:eastAsia="zh-CN"/>
        </w:rPr>
        <w:t>2025年3月17日14:30时</w:t>
      </w:r>
      <w:r>
        <w:rPr>
          <w:rFonts w:hint="eastAsia"/>
          <w:highlight w:val="none"/>
        </w:rPr>
        <w:t>（北京时间）</w:t>
      </w:r>
    </w:p>
    <w:p w14:paraId="7B78C901">
      <w:pPr>
        <w:ind w:firstLine="480"/>
        <w:rPr>
          <w:rFonts w:ascii="宋体" w:hAnsi="宋体"/>
          <w:szCs w:val="21"/>
          <w:highlight w:val="none"/>
        </w:rPr>
      </w:pPr>
      <w:r>
        <w:rPr>
          <w:rFonts w:hint="eastAsia"/>
          <w:highlight w:val="none"/>
        </w:rPr>
        <w:t>投标地点（网址）：政采云平台（</w:t>
      </w:r>
      <w:r>
        <w:rPr>
          <w:rFonts w:hint="eastAsia" w:ascii="宋体" w:hAnsi="宋体" w:cs="宋体"/>
          <w:color w:val="auto"/>
          <w:szCs w:val="21"/>
          <w:highlight w:val="none"/>
          <w:u w:val="none"/>
        </w:rPr>
        <w:t>http：//zfcg.czt.zj.gov.cn/</w:t>
      </w:r>
      <w:r>
        <w:rPr>
          <w:rFonts w:hint="eastAsia"/>
          <w:highlight w:val="none"/>
        </w:rPr>
        <w:t>）</w:t>
      </w:r>
    </w:p>
    <w:p w14:paraId="539C388F">
      <w:pPr>
        <w:pStyle w:val="5"/>
        <w:rPr>
          <w:highlight w:val="none"/>
        </w:rPr>
      </w:pPr>
      <w:bookmarkStart w:id="50" w:name="_Toc4979"/>
      <w:bookmarkStart w:id="51" w:name="_Toc7590"/>
      <w:bookmarkStart w:id="52" w:name="_Toc3904"/>
      <w:bookmarkStart w:id="53" w:name="_Toc5705"/>
      <w:bookmarkStart w:id="54" w:name="_Toc16768"/>
      <w:bookmarkStart w:id="55" w:name="_Toc22546"/>
      <w:bookmarkStart w:id="56" w:name="_Toc3420"/>
      <w:bookmarkStart w:id="57" w:name="_Toc26480"/>
      <w:r>
        <w:rPr>
          <w:rFonts w:hint="eastAsia"/>
          <w:highlight w:val="none"/>
        </w:rPr>
        <w:t>五、开启投标文件</w:t>
      </w:r>
      <w:bookmarkEnd w:id="50"/>
      <w:bookmarkEnd w:id="51"/>
      <w:bookmarkEnd w:id="52"/>
      <w:bookmarkEnd w:id="53"/>
      <w:bookmarkEnd w:id="54"/>
      <w:bookmarkEnd w:id="55"/>
      <w:bookmarkEnd w:id="56"/>
      <w:bookmarkEnd w:id="57"/>
    </w:p>
    <w:p w14:paraId="642285C4">
      <w:pPr>
        <w:ind w:firstLine="480"/>
        <w:rPr>
          <w:highlight w:val="none"/>
        </w:rPr>
      </w:pPr>
      <w:r>
        <w:rPr>
          <w:rFonts w:hint="eastAsia"/>
          <w:highlight w:val="none"/>
        </w:rPr>
        <w:t>开标时间：</w:t>
      </w:r>
      <w:r>
        <w:rPr>
          <w:rFonts w:hint="eastAsia"/>
          <w:highlight w:val="none"/>
          <w:lang w:eastAsia="zh-CN"/>
        </w:rPr>
        <w:t>2025年3月17日14:30时，</w:t>
      </w:r>
      <w:r>
        <w:rPr>
          <w:rFonts w:hint="eastAsia"/>
          <w:highlight w:val="none"/>
        </w:rPr>
        <w:t>投标文件开启时间到后30分钟内</w:t>
      </w:r>
      <w:r>
        <w:rPr>
          <w:rFonts w:hint="eastAsia"/>
          <w:highlight w:val="none"/>
          <w:lang w:eastAsia="zh-CN"/>
        </w:rPr>
        <w:t>，</w:t>
      </w:r>
      <w:r>
        <w:rPr>
          <w:rFonts w:hint="eastAsia"/>
          <w:highlight w:val="none"/>
        </w:rPr>
        <w:t>供应商须登录</w:t>
      </w:r>
      <w:r>
        <w:rPr>
          <w:rFonts w:hint="eastAsia"/>
          <w:highlight w:val="none"/>
          <w:lang w:eastAsia="zh-CN"/>
        </w:rPr>
        <w:t>“</w:t>
      </w:r>
      <w:r>
        <w:rPr>
          <w:rFonts w:hint="eastAsia"/>
          <w:highlight w:val="none"/>
        </w:rPr>
        <w:t>政采云</w:t>
      </w:r>
      <w:r>
        <w:rPr>
          <w:rFonts w:hint="eastAsia"/>
          <w:highlight w:val="none"/>
          <w:lang w:eastAsia="zh-CN"/>
        </w:rPr>
        <w:t>”</w:t>
      </w:r>
      <w:r>
        <w:rPr>
          <w:rFonts w:hint="eastAsia"/>
          <w:highlight w:val="none"/>
        </w:rPr>
        <w:t>平台解密投标文件。</w:t>
      </w:r>
    </w:p>
    <w:p w14:paraId="314E0A3F">
      <w:pPr>
        <w:ind w:firstLine="480"/>
        <w:rPr>
          <w:highlight w:val="none"/>
        </w:rPr>
      </w:pPr>
      <w:r>
        <w:rPr>
          <w:rFonts w:hint="eastAsia"/>
          <w:highlight w:val="none"/>
        </w:rPr>
        <w:t>开标地点：衢州市公共资源交易龙游县分中心</w:t>
      </w:r>
      <w:r>
        <w:rPr>
          <w:highlight w:val="none"/>
        </w:rPr>
        <w:t>1</w:t>
      </w:r>
      <w:r>
        <w:rPr>
          <w:rFonts w:hint="eastAsia"/>
          <w:highlight w:val="none"/>
        </w:rPr>
        <w:t>楼评标室</w:t>
      </w:r>
      <w:r>
        <w:rPr>
          <w:rFonts w:hint="eastAsia"/>
          <w:highlight w:val="none"/>
          <w:lang w:val="en-US" w:eastAsia="zh-CN"/>
        </w:rPr>
        <w:t>1</w:t>
      </w:r>
      <w:bookmarkStart w:id="579" w:name="_GoBack"/>
      <w:bookmarkEnd w:id="579"/>
      <w:r>
        <w:rPr>
          <w:rFonts w:hint="eastAsia"/>
          <w:highlight w:val="none"/>
        </w:rPr>
        <w:t>（龙游县龙翔路378号</w:t>
      </w:r>
      <w:r>
        <w:rPr>
          <w:rFonts w:hint="eastAsia"/>
          <w:highlight w:val="none"/>
          <w:lang w:eastAsia="zh-CN"/>
        </w:rPr>
        <w:t>，</w:t>
      </w:r>
      <w:r>
        <w:rPr>
          <w:rFonts w:hint="eastAsia"/>
          <w:highlight w:val="none"/>
        </w:rPr>
        <w:t>原香溢市场西侧）</w:t>
      </w:r>
    </w:p>
    <w:p w14:paraId="21B95D12">
      <w:pPr>
        <w:ind w:firstLine="480"/>
        <w:rPr>
          <w:highlight w:val="none"/>
        </w:rPr>
      </w:pPr>
      <w:r>
        <w:rPr>
          <w:rFonts w:hint="eastAsia"/>
          <w:highlight w:val="none"/>
        </w:rPr>
        <w:t>电子备份文件提交：</w:t>
      </w:r>
    </w:p>
    <w:p w14:paraId="701061F1">
      <w:pPr>
        <w:ind w:firstLine="480"/>
        <w:rPr>
          <w:highlight w:val="none"/>
        </w:rPr>
      </w:pPr>
      <w:r>
        <w:rPr>
          <w:rFonts w:hint="eastAsia"/>
          <w:highlight w:val="none"/>
        </w:rPr>
        <w:t>备份文件（经政采云电子交易客户端和CA驱动制作的后缀名为</w:t>
      </w:r>
      <w:r>
        <w:rPr>
          <w:rFonts w:hint="eastAsia"/>
          <w:highlight w:val="none"/>
          <w:lang w:eastAsia="zh-CN"/>
        </w:rPr>
        <w:t>“</w:t>
      </w:r>
      <w:r>
        <w:rPr>
          <w:rFonts w:hint="eastAsia"/>
          <w:highlight w:val="none"/>
        </w:rPr>
        <w:t>.bfbs</w:t>
      </w:r>
      <w:r>
        <w:rPr>
          <w:rFonts w:hint="eastAsia"/>
          <w:highlight w:val="none"/>
          <w:lang w:eastAsia="zh-CN"/>
        </w:rPr>
        <w:t>”</w:t>
      </w:r>
      <w:r>
        <w:rPr>
          <w:rFonts w:hint="eastAsia"/>
          <w:highlight w:val="none"/>
        </w:rPr>
        <w:t>的文件）在</w:t>
      </w:r>
      <w:r>
        <w:rPr>
          <w:rFonts w:hint="eastAsia"/>
          <w:highlight w:val="none"/>
          <w:lang w:eastAsia="zh-CN"/>
        </w:rPr>
        <w:t>“</w:t>
      </w:r>
      <w:r>
        <w:rPr>
          <w:rFonts w:hint="eastAsia"/>
          <w:highlight w:val="none"/>
        </w:rPr>
        <w:t>电子加密投标文件</w:t>
      </w:r>
      <w:r>
        <w:rPr>
          <w:rFonts w:hint="eastAsia"/>
          <w:highlight w:val="none"/>
          <w:lang w:eastAsia="zh-CN"/>
        </w:rPr>
        <w:t>”</w:t>
      </w:r>
      <w:r>
        <w:rPr>
          <w:rFonts w:hint="eastAsia"/>
          <w:highlight w:val="none"/>
        </w:rPr>
        <w:t>在线解密失败后启用</w:t>
      </w:r>
      <w:r>
        <w:rPr>
          <w:rFonts w:hint="eastAsia"/>
          <w:highlight w:val="none"/>
          <w:lang w:eastAsia="zh-CN"/>
        </w:rPr>
        <w:t>，</w:t>
      </w:r>
      <w:r>
        <w:rPr>
          <w:rFonts w:hint="eastAsia"/>
          <w:highlight w:val="none"/>
        </w:rPr>
        <w:t>否则不予以启用。供应商自行确定是否提交。</w:t>
      </w:r>
    </w:p>
    <w:p w14:paraId="5525E87A">
      <w:pPr>
        <w:ind w:firstLine="480"/>
        <w:rPr>
          <w:rFonts w:ascii="宋体" w:hAnsi="宋体"/>
          <w:szCs w:val="21"/>
          <w:highlight w:val="none"/>
        </w:rPr>
      </w:pPr>
      <w:r>
        <w:rPr>
          <w:rFonts w:hint="eastAsia"/>
          <w:highlight w:val="none"/>
        </w:rPr>
        <w:t>若提交</w:t>
      </w:r>
      <w:r>
        <w:rPr>
          <w:rFonts w:hint="eastAsia"/>
          <w:highlight w:val="none"/>
          <w:lang w:eastAsia="zh-CN"/>
        </w:rPr>
        <w:t>，</w:t>
      </w:r>
      <w:r>
        <w:rPr>
          <w:rFonts w:hint="eastAsia"/>
          <w:highlight w:val="none"/>
        </w:rPr>
        <w:t>可在响应截止时间前（以收件箱显示时间为准</w:t>
      </w:r>
      <w:r>
        <w:rPr>
          <w:rFonts w:hint="eastAsia"/>
          <w:highlight w:val="none"/>
          <w:lang w:eastAsia="zh-CN"/>
        </w:rPr>
        <w:t>，</w:t>
      </w:r>
      <w:r>
        <w:rPr>
          <w:rFonts w:hint="eastAsia"/>
          <w:highlight w:val="none"/>
        </w:rPr>
        <w:t>逾期邮件将被拒收）将备份文件发送至邮箱：</w:t>
      </w:r>
      <w:r>
        <w:rPr>
          <w:rFonts w:hint="eastAsia"/>
          <w:highlight w:val="none"/>
          <w:lang w:eastAsia="zh-CN"/>
        </w:rPr>
        <w:t>549607085</w:t>
      </w:r>
      <w:r>
        <w:rPr>
          <w:rFonts w:hint="eastAsia"/>
          <w:highlight w:val="none"/>
        </w:rPr>
        <w:t>@qq.com</w:t>
      </w:r>
      <w:r>
        <w:rPr>
          <w:rFonts w:hint="eastAsia"/>
          <w:highlight w:val="none"/>
          <w:lang w:eastAsia="zh-CN"/>
        </w:rPr>
        <w:t>，</w:t>
      </w:r>
      <w:r>
        <w:rPr>
          <w:rFonts w:hint="eastAsia"/>
          <w:highlight w:val="none"/>
        </w:rPr>
        <w:t>邮件内容写上供应商名称。备份文件压缩加密（未加密造成泄密的由供应商自行承当</w:t>
      </w:r>
      <w:r>
        <w:rPr>
          <w:rFonts w:hint="eastAsia"/>
          <w:highlight w:val="none"/>
          <w:lang w:eastAsia="zh-CN"/>
        </w:rPr>
        <w:t>，</w:t>
      </w:r>
      <w:r>
        <w:rPr>
          <w:rFonts w:hint="eastAsia"/>
          <w:highlight w:val="none"/>
        </w:rPr>
        <w:t>建议密码由数字和字母组成且不低于8位数）</w:t>
      </w:r>
      <w:r>
        <w:rPr>
          <w:rFonts w:hint="eastAsia"/>
          <w:highlight w:val="none"/>
          <w:lang w:eastAsia="zh-CN"/>
        </w:rPr>
        <w:t>，</w:t>
      </w:r>
      <w:r>
        <w:rPr>
          <w:rFonts w:hint="eastAsia"/>
          <w:highlight w:val="none"/>
        </w:rPr>
        <w:t>供应商确认</w:t>
      </w:r>
      <w:r>
        <w:rPr>
          <w:rFonts w:hint="eastAsia"/>
          <w:highlight w:val="none"/>
          <w:lang w:eastAsia="zh-CN"/>
        </w:rPr>
        <w:t>“</w:t>
      </w:r>
      <w:r>
        <w:rPr>
          <w:rFonts w:hint="eastAsia"/>
          <w:highlight w:val="none"/>
        </w:rPr>
        <w:t>电子加密投标文件</w:t>
      </w:r>
      <w:r>
        <w:rPr>
          <w:rFonts w:hint="eastAsia"/>
          <w:highlight w:val="none"/>
          <w:lang w:eastAsia="zh-CN"/>
        </w:rPr>
        <w:t>”</w:t>
      </w:r>
      <w:r>
        <w:rPr>
          <w:rFonts w:hint="eastAsia"/>
          <w:highlight w:val="none"/>
        </w:rPr>
        <w:t>在线解密失败后</w:t>
      </w:r>
      <w:r>
        <w:rPr>
          <w:rFonts w:hint="eastAsia"/>
          <w:highlight w:val="none"/>
          <w:lang w:eastAsia="zh-CN"/>
        </w:rPr>
        <w:t>，</w:t>
      </w:r>
      <w:r>
        <w:rPr>
          <w:rFonts w:hint="eastAsia"/>
          <w:highlight w:val="none"/>
        </w:rPr>
        <w:t>将压缩加密的备份文件的解密密码在解密规定时间（响应截止时间后30分钟内）发送至上述邮箱内</w:t>
      </w:r>
      <w:r>
        <w:rPr>
          <w:rFonts w:hint="eastAsia"/>
          <w:highlight w:val="none"/>
          <w:lang w:eastAsia="zh-CN"/>
        </w:rPr>
        <w:t>，</w:t>
      </w:r>
      <w:r>
        <w:rPr>
          <w:rFonts w:hint="eastAsia"/>
          <w:highlight w:val="none"/>
        </w:rPr>
        <w:t>未在规定时间内发送造成的响应无效或文件无效、解压失败由供应商自行承当。</w:t>
      </w:r>
    </w:p>
    <w:p w14:paraId="27C5FB36">
      <w:pPr>
        <w:pStyle w:val="5"/>
        <w:rPr>
          <w:highlight w:val="none"/>
        </w:rPr>
      </w:pPr>
      <w:bookmarkStart w:id="58" w:name="_Toc30397"/>
      <w:bookmarkStart w:id="59" w:name="_Toc7006"/>
      <w:bookmarkStart w:id="60" w:name="_Toc31679"/>
      <w:bookmarkStart w:id="61" w:name="_Toc18188"/>
      <w:bookmarkStart w:id="62" w:name="_Toc25087"/>
      <w:bookmarkStart w:id="63" w:name="_Toc10869"/>
      <w:bookmarkStart w:id="64" w:name="_Toc28372"/>
      <w:bookmarkStart w:id="65" w:name="_Toc8629"/>
      <w:r>
        <w:rPr>
          <w:rFonts w:hint="eastAsia"/>
          <w:highlight w:val="none"/>
        </w:rPr>
        <w:t>六、公告期限</w:t>
      </w:r>
      <w:bookmarkEnd w:id="58"/>
      <w:bookmarkEnd w:id="59"/>
      <w:bookmarkEnd w:id="60"/>
      <w:bookmarkEnd w:id="61"/>
      <w:bookmarkEnd w:id="62"/>
      <w:bookmarkEnd w:id="63"/>
      <w:bookmarkEnd w:id="64"/>
      <w:bookmarkEnd w:id="65"/>
    </w:p>
    <w:p w14:paraId="49017959">
      <w:pPr>
        <w:ind w:firstLine="480"/>
        <w:rPr>
          <w:rFonts w:ascii="宋体" w:hAnsi="宋体"/>
          <w:szCs w:val="21"/>
          <w:highlight w:val="none"/>
        </w:rPr>
      </w:pPr>
      <w:r>
        <w:rPr>
          <w:rFonts w:hint="eastAsia"/>
          <w:highlight w:val="none"/>
        </w:rPr>
        <w:t>自本公告发布之日起3个工作日。</w:t>
      </w:r>
    </w:p>
    <w:p w14:paraId="7244FFA3">
      <w:pPr>
        <w:pStyle w:val="5"/>
        <w:rPr>
          <w:highlight w:val="none"/>
        </w:rPr>
      </w:pPr>
      <w:bookmarkStart w:id="66" w:name="_Toc176"/>
      <w:bookmarkStart w:id="67" w:name="_Toc20187"/>
      <w:bookmarkStart w:id="68" w:name="_Toc23102"/>
      <w:bookmarkStart w:id="69" w:name="_Toc4396"/>
      <w:bookmarkStart w:id="70" w:name="_Toc3260"/>
      <w:bookmarkStart w:id="71" w:name="_Toc23432"/>
      <w:bookmarkStart w:id="72" w:name="_Toc29350"/>
      <w:bookmarkStart w:id="73" w:name="_Toc11345"/>
      <w:r>
        <w:rPr>
          <w:rFonts w:hint="eastAsia"/>
          <w:highlight w:val="none"/>
        </w:rPr>
        <w:t>七、其他补充事宜</w:t>
      </w:r>
      <w:bookmarkEnd w:id="66"/>
      <w:bookmarkEnd w:id="67"/>
      <w:bookmarkEnd w:id="68"/>
      <w:bookmarkEnd w:id="69"/>
      <w:bookmarkEnd w:id="70"/>
      <w:bookmarkEnd w:id="71"/>
      <w:bookmarkEnd w:id="72"/>
      <w:bookmarkEnd w:id="73"/>
    </w:p>
    <w:p w14:paraId="047CDF34">
      <w:pPr>
        <w:ind w:firstLine="480"/>
        <w:rPr>
          <w:rFonts w:hint="eastAsia"/>
          <w:highlight w:val="none"/>
        </w:rPr>
      </w:pPr>
      <w:r>
        <w:rPr>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w:t>
      </w:r>
      <w:r>
        <w:rPr>
          <w:rFonts w:hint="eastAsia"/>
          <w:highlight w:val="none"/>
          <w:lang w:eastAsia="zh-CN"/>
        </w:rPr>
        <w:t>，</w:t>
      </w:r>
      <w:r>
        <w:rPr>
          <w:highlight w:val="none"/>
        </w:rPr>
        <w:t>此前有关规定与上述文件内容不一致的</w:t>
      </w:r>
      <w:r>
        <w:rPr>
          <w:rFonts w:hint="eastAsia"/>
          <w:highlight w:val="none"/>
          <w:lang w:eastAsia="zh-CN"/>
        </w:rPr>
        <w:t>，</w:t>
      </w:r>
      <w:r>
        <w:rPr>
          <w:highlight w:val="none"/>
        </w:rPr>
        <w:t>按上述文件要求执行。</w:t>
      </w:r>
    </w:p>
    <w:p w14:paraId="3775AB75">
      <w:pPr>
        <w:ind w:firstLine="480"/>
        <w:rPr>
          <w:rFonts w:hint="eastAsia"/>
          <w:highlight w:val="none"/>
        </w:rPr>
      </w:pPr>
      <w:r>
        <w:rPr>
          <w:highlight w:val="none"/>
        </w:rPr>
        <w:t>2.根据《浙江省财政厅关于进一步促进政府采购公平竞争打造最优营商环境的通知》（浙财采监（2021）22号）文件关于</w:t>
      </w:r>
      <w:r>
        <w:rPr>
          <w:rFonts w:hint="eastAsia"/>
          <w:highlight w:val="none"/>
          <w:lang w:eastAsia="zh-CN"/>
        </w:rPr>
        <w:t>“</w:t>
      </w:r>
      <w:r>
        <w:rPr>
          <w:highlight w:val="none"/>
        </w:rPr>
        <w:t>健全行政裁决机制</w:t>
      </w:r>
      <w:r>
        <w:rPr>
          <w:rFonts w:hint="eastAsia"/>
          <w:highlight w:val="none"/>
          <w:lang w:eastAsia="zh-CN"/>
        </w:rPr>
        <w:t>”</w:t>
      </w:r>
      <w:r>
        <w:rPr>
          <w:highlight w:val="none"/>
        </w:rPr>
        <w:t>要求</w:t>
      </w:r>
      <w:r>
        <w:rPr>
          <w:rFonts w:hint="eastAsia"/>
          <w:highlight w:val="none"/>
          <w:lang w:eastAsia="zh-CN"/>
        </w:rPr>
        <w:t>，</w:t>
      </w:r>
      <w:r>
        <w:rPr>
          <w:highlight w:val="none"/>
        </w:rPr>
        <w:t>鼓励供应商在线提起询问</w:t>
      </w:r>
      <w:r>
        <w:rPr>
          <w:rFonts w:hint="eastAsia"/>
          <w:highlight w:val="none"/>
          <w:lang w:eastAsia="zh-CN"/>
        </w:rPr>
        <w:t>，</w:t>
      </w:r>
      <w:r>
        <w:rPr>
          <w:highlight w:val="none"/>
        </w:rPr>
        <w:t>路径为：政采云-项目采购-询问质疑投诉-询问列表:鼓励供应商在线提起质疑</w:t>
      </w:r>
      <w:r>
        <w:rPr>
          <w:rFonts w:hint="eastAsia"/>
          <w:highlight w:val="none"/>
          <w:lang w:eastAsia="zh-CN"/>
        </w:rPr>
        <w:t>，</w:t>
      </w:r>
      <w:r>
        <w:rPr>
          <w:highlight w:val="none"/>
        </w:rPr>
        <w:t>路径为：政采云-项目采购-询问质疑投诉-质疑列表。质疑供应商对在线质疑答复不满意的</w:t>
      </w:r>
      <w:r>
        <w:rPr>
          <w:rFonts w:hint="eastAsia"/>
          <w:highlight w:val="none"/>
          <w:lang w:eastAsia="zh-CN"/>
        </w:rPr>
        <w:t>，</w:t>
      </w:r>
      <w:r>
        <w:rPr>
          <w:highlight w:val="none"/>
        </w:rPr>
        <w:t>可在线提起投诉</w:t>
      </w:r>
      <w:r>
        <w:rPr>
          <w:rFonts w:hint="eastAsia"/>
          <w:highlight w:val="none"/>
          <w:lang w:eastAsia="zh-CN"/>
        </w:rPr>
        <w:t>，</w:t>
      </w:r>
      <w:r>
        <w:rPr>
          <w:highlight w:val="none"/>
        </w:rPr>
        <w:t>路径为：浙江政府服务网-政府采购投诉处理-在线办理。</w:t>
      </w:r>
    </w:p>
    <w:p w14:paraId="3EEC25FE">
      <w:pPr>
        <w:ind w:firstLine="480"/>
        <w:rPr>
          <w:highlight w:val="none"/>
        </w:rPr>
      </w:pPr>
      <w:r>
        <w:rPr>
          <w:rFonts w:hint="eastAsia"/>
          <w:highlight w:val="none"/>
        </w:rPr>
        <w:t>3</w:t>
      </w:r>
      <w:r>
        <w:rPr>
          <w:highlight w:val="none"/>
        </w:rPr>
        <w:t>.供应商认为采购文件使自己的权益受到损害的</w:t>
      </w:r>
      <w:r>
        <w:rPr>
          <w:rFonts w:hint="eastAsia"/>
          <w:highlight w:val="none"/>
          <w:lang w:eastAsia="zh-CN"/>
        </w:rPr>
        <w:t>，</w:t>
      </w:r>
      <w:r>
        <w:rPr>
          <w:highlight w:val="none"/>
        </w:rPr>
        <w:t>可以自获取采购文件之日或者采购文件公告期限届满之日（公告期限届满后获取采购文件的</w:t>
      </w:r>
      <w:r>
        <w:rPr>
          <w:rFonts w:hint="eastAsia"/>
          <w:highlight w:val="none"/>
          <w:lang w:eastAsia="zh-CN"/>
        </w:rPr>
        <w:t>，</w:t>
      </w:r>
      <w:r>
        <w:rPr>
          <w:highlight w:val="none"/>
        </w:rPr>
        <w:t>以公告期限届满之日为准）起7个工作日内</w:t>
      </w:r>
      <w:r>
        <w:rPr>
          <w:rFonts w:hint="eastAsia"/>
          <w:highlight w:val="none"/>
          <w:lang w:eastAsia="zh-CN"/>
        </w:rPr>
        <w:t>，</w:t>
      </w:r>
      <w:r>
        <w:rPr>
          <w:highlight w:val="none"/>
        </w:rPr>
        <w:t>对采购文件需求的以书面形式向采购人提出质疑</w:t>
      </w:r>
      <w:r>
        <w:rPr>
          <w:rFonts w:hint="eastAsia"/>
          <w:highlight w:val="none"/>
          <w:lang w:eastAsia="zh-CN"/>
        </w:rPr>
        <w:t>，</w:t>
      </w:r>
      <w:r>
        <w:rPr>
          <w:highlight w:val="none"/>
        </w:rPr>
        <w:t>对其他内容的以书面形式向采购人和采购代理机构提出质疑。质疑供应商对采购人、采购代理机构的答复不满意或者采购人、采购代理机构未在规定的时间内作出答复的</w:t>
      </w:r>
      <w:r>
        <w:rPr>
          <w:rFonts w:hint="eastAsia"/>
          <w:highlight w:val="none"/>
          <w:lang w:eastAsia="zh-CN"/>
        </w:rPr>
        <w:t>，</w:t>
      </w:r>
      <w:r>
        <w:rPr>
          <w:highlight w:val="none"/>
        </w:rPr>
        <w:t>可以在答复期满后十五个工作日内向同级政府采购监督管理部门投诉。质疑函范本、投诉书范本请到浙江政府采购网下载专区下载。</w:t>
      </w:r>
    </w:p>
    <w:p w14:paraId="530DCE77">
      <w:pPr>
        <w:ind w:firstLine="480"/>
        <w:rPr>
          <w:highlight w:val="none"/>
        </w:rPr>
      </w:pPr>
      <w:r>
        <w:rPr>
          <w:rFonts w:hint="eastAsia"/>
          <w:highlight w:val="none"/>
        </w:rPr>
        <w:t>4</w:t>
      </w:r>
      <w:r>
        <w:rPr>
          <w:highlight w:val="none"/>
        </w:rPr>
        <w:t>.为支持和促进中小企业发展</w:t>
      </w:r>
      <w:r>
        <w:rPr>
          <w:rFonts w:hint="eastAsia"/>
          <w:highlight w:val="none"/>
          <w:lang w:eastAsia="zh-CN"/>
        </w:rPr>
        <w:t>，</w:t>
      </w:r>
      <w:r>
        <w:rPr>
          <w:highlight w:val="none"/>
        </w:rPr>
        <w:t>有需要的</w:t>
      </w:r>
      <w:r>
        <w:rPr>
          <w:rFonts w:hint="eastAsia"/>
          <w:highlight w:val="none"/>
        </w:rPr>
        <w:t>成交供应商</w:t>
      </w:r>
      <w:r>
        <w:rPr>
          <w:highlight w:val="none"/>
        </w:rPr>
        <w:t>可根据需要申请办理政府采购合同贷款（以下简称</w:t>
      </w:r>
      <w:r>
        <w:rPr>
          <w:rFonts w:hint="eastAsia"/>
          <w:highlight w:val="none"/>
          <w:lang w:eastAsia="zh-CN"/>
        </w:rPr>
        <w:t>“</w:t>
      </w:r>
      <w:r>
        <w:rPr>
          <w:highlight w:val="none"/>
        </w:rPr>
        <w:t>政采贷</w:t>
      </w:r>
      <w:r>
        <w:rPr>
          <w:rFonts w:hint="eastAsia"/>
          <w:highlight w:val="none"/>
          <w:lang w:eastAsia="zh-CN"/>
        </w:rPr>
        <w:t>”</w:t>
      </w:r>
      <w:r>
        <w:rPr>
          <w:highlight w:val="none"/>
        </w:rPr>
        <w:t>）</w:t>
      </w:r>
      <w:r>
        <w:rPr>
          <w:rFonts w:hint="eastAsia"/>
          <w:highlight w:val="none"/>
          <w:lang w:eastAsia="zh-CN"/>
        </w:rPr>
        <w:t>，</w:t>
      </w:r>
      <w:r>
        <w:rPr>
          <w:highlight w:val="none"/>
        </w:rPr>
        <w:t>具体要求、条件和操作教程可通过政采云首页右上角－网站导航－金融服务查看</w:t>
      </w:r>
      <w:r>
        <w:rPr>
          <w:rFonts w:hint="eastAsia"/>
          <w:highlight w:val="none"/>
          <w:lang w:eastAsia="zh-CN"/>
        </w:rPr>
        <w:t>，</w:t>
      </w:r>
      <w:r>
        <w:rPr>
          <w:highlight w:val="none"/>
        </w:rPr>
        <w:t>也可拨打政采云客服热线</w:t>
      </w:r>
      <w:r>
        <w:rPr>
          <w:rFonts w:hint="eastAsia"/>
          <w:highlight w:val="none"/>
          <w:lang w:val="en-US" w:eastAsia="zh-CN"/>
        </w:rPr>
        <w:t>95763</w:t>
      </w:r>
      <w:r>
        <w:rPr>
          <w:highlight w:val="none"/>
        </w:rPr>
        <w:t>咨询</w:t>
      </w:r>
      <w:r>
        <w:rPr>
          <w:rFonts w:hint="eastAsia"/>
          <w:highlight w:val="none"/>
          <w:lang w:eastAsia="zh-CN"/>
        </w:rPr>
        <w:t>，</w:t>
      </w:r>
      <w:r>
        <w:rPr>
          <w:highlight w:val="none"/>
        </w:rPr>
        <w:t>或向各地已开通政采贷的银行咨询办理。</w:t>
      </w:r>
    </w:p>
    <w:p w14:paraId="08F6BD7A">
      <w:pPr>
        <w:ind w:firstLine="480"/>
        <w:rPr>
          <w:highlight w:val="none"/>
        </w:rPr>
      </w:pPr>
      <w:r>
        <w:rPr>
          <w:rFonts w:hint="eastAsia"/>
          <w:highlight w:val="none"/>
        </w:rPr>
        <w:t>5.</w:t>
      </w:r>
      <w:r>
        <w:rPr>
          <w:highlight w:val="none"/>
        </w:rPr>
        <w:t>公告未显示完全内容详见招标文件。</w:t>
      </w:r>
    </w:p>
    <w:p w14:paraId="20BFCBD9">
      <w:pPr>
        <w:pStyle w:val="5"/>
        <w:rPr>
          <w:highlight w:val="none"/>
        </w:rPr>
      </w:pPr>
      <w:bookmarkStart w:id="74" w:name="_Toc5099"/>
      <w:bookmarkStart w:id="75" w:name="_Toc28875"/>
      <w:bookmarkStart w:id="76" w:name="_Toc32200"/>
      <w:bookmarkStart w:id="77" w:name="_Toc16319"/>
      <w:bookmarkStart w:id="78" w:name="_Toc32647"/>
      <w:bookmarkStart w:id="79" w:name="_Toc21744"/>
      <w:bookmarkStart w:id="80" w:name="_Toc5126"/>
      <w:bookmarkStart w:id="81" w:name="_Toc2602"/>
      <w:r>
        <w:rPr>
          <w:rFonts w:hint="eastAsia"/>
          <w:highlight w:val="none"/>
        </w:rPr>
        <w:t>八、对本次采购提出询问、质疑、投诉</w:t>
      </w:r>
      <w:r>
        <w:rPr>
          <w:rFonts w:hint="eastAsia"/>
          <w:highlight w:val="none"/>
          <w:lang w:eastAsia="zh-CN"/>
        </w:rPr>
        <w:t>，</w:t>
      </w:r>
      <w:r>
        <w:rPr>
          <w:rFonts w:hint="eastAsia"/>
          <w:highlight w:val="none"/>
        </w:rPr>
        <w:t>请按以下方式联系</w:t>
      </w:r>
      <w:bookmarkEnd w:id="74"/>
      <w:bookmarkEnd w:id="75"/>
      <w:bookmarkEnd w:id="76"/>
      <w:bookmarkEnd w:id="77"/>
      <w:bookmarkEnd w:id="78"/>
      <w:bookmarkEnd w:id="79"/>
      <w:bookmarkEnd w:id="80"/>
      <w:bookmarkEnd w:id="81"/>
    </w:p>
    <w:p w14:paraId="081B20AE">
      <w:pPr>
        <w:spacing w:line="288" w:lineRule="auto"/>
        <w:ind w:firstLine="480"/>
        <w:rPr>
          <w:highlight w:val="none"/>
        </w:rPr>
      </w:pPr>
      <w:r>
        <w:rPr>
          <w:rFonts w:hint="eastAsia"/>
          <w:highlight w:val="none"/>
        </w:rPr>
        <w:t>1.采购人信息</w:t>
      </w:r>
    </w:p>
    <w:p w14:paraId="7DAEE6E3">
      <w:pPr>
        <w:spacing w:line="288" w:lineRule="auto"/>
        <w:ind w:firstLine="480"/>
        <w:rPr>
          <w:rFonts w:hint="eastAsia" w:eastAsia="宋体"/>
          <w:highlight w:val="none"/>
          <w:lang w:eastAsia="zh-CN"/>
        </w:rPr>
      </w:pPr>
      <w:r>
        <w:rPr>
          <w:rFonts w:hint="eastAsia"/>
          <w:highlight w:val="none"/>
        </w:rPr>
        <w:t>名    称：</w:t>
      </w:r>
      <w:r>
        <w:rPr>
          <w:rFonts w:hint="eastAsia"/>
          <w:highlight w:val="none"/>
          <w:lang w:eastAsia="zh-CN"/>
        </w:rPr>
        <w:t>龙游县人民政府办公室（龙游县数据局）</w:t>
      </w:r>
    </w:p>
    <w:p w14:paraId="67A3136B">
      <w:pPr>
        <w:spacing w:line="288" w:lineRule="auto"/>
        <w:ind w:firstLine="480"/>
        <w:rPr>
          <w:rFonts w:hint="eastAsia" w:ascii="Times New Roman" w:hAnsi="Times New Roman" w:eastAsia="宋体" w:cs="Times New Roman"/>
          <w:highlight w:val="none"/>
          <w:lang w:eastAsia="zh-CN"/>
        </w:rPr>
      </w:pPr>
      <w:r>
        <w:rPr>
          <w:rFonts w:hint="eastAsia"/>
          <w:highlight w:val="none"/>
        </w:rPr>
        <w:t>地    址：</w:t>
      </w:r>
      <w:r>
        <w:rPr>
          <w:rFonts w:hint="eastAsia" w:cs="Times New Roman"/>
          <w:highlight w:val="none"/>
          <w:lang w:eastAsia="zh-CN"/>
        </w:rPr>
        <w:t>龙游县龙洲街道太平西路28号</w:t>
      </w:r>
    </w:p>
    <w:p w14:paraId="3D83E249">
      <w:pPr>
        <w:spacing w:line="288" w:lineRule="auto"/>
        <w:ind w:firstLine="480"/>
        <w:rPr>
          <w:rFonts w:hint="eastAsia" w:eastAsia="宋体"/>
          <w:highlight w:val="none"/>
          <w:lang w:eastAsia="zh-CN"/>
        </w:rPr>
      </w:pPr>
      <w:r>
        <w:rPr>
          <w:rFonts w:hint="eastAsia"/>
          <w:highlight w:val="none"/>
        </w:rPr>
        <w:t>项目联系人（询问）：</w:t>
      </w:r>
      <w:r>
        <w:rPr>
          <w:rFonts w:hint="eastAsia"/>
          <w:highlight w:val="none"/>
          <w:lang w:eastAsia="zh-CN"/>
        </w:rPr>
        <w:t>方先生</w:t>
      </w:r>
    </w:p>
    <w:p w14:paraId="4A401515">
      <w:pPr>
        <w:spacing w:line="288" w:lineRule="auto"/>
        <w:ind w:firstLine="480"/>
        <w:rPr>
          <w:rFonts w:hint="default" w:eastAsia="宋体"/>
          <w:highlight w:val="none"/>
          <w:lang w:val="en-US" w:eastAsia="zh-CN"/>
        </w:rPr>
      </w:pPr>
      <w:r>
        <w:rPr>
          <w:rFonts w:hint="eastAsia"/>
          <w:highlight w:val="none"/>
        </w:rPr>
        <w:t>项目联系方式（询问）：</w:t>
      </w:r>
      <w:r>
        <w:rPr>
          <w:rFonts w:hint="eastAsia"/>
          <w:highlight w:val="none"/>
          <w:lang w:eastAsia="zh-CN"/>
        </w:rPr>
        <w:t>0570-7139283</w:t>
      </w:r>
    </w:p>
    <w:p w14:paraId="6B268A1A">
      <w:pPr>
        <w:spacing w:line="288" w:lineRule="auto"/>
        <w:ind w:firstLine="480"/>
        <w:rPr>
          <w:rFonts w:hint="eastAsia" w:eastAsia="宋体"/>
          <w:highlight w:val="none"/>
          <w:lang w:eastAsia="zh-CN"/>
        </w:rPr>
      </w:pPr>
      <w:r>
        <w:rPr>
          <w:rFonts w:hint="eastAsia"/>
          <w:highlight w:val="none"/>
        </w:rPr>
        <w:t>质疑联系人：</w:t>
      </w:r>
      <w:r>
        <w:rPr>
          <w:rFonts w:hint="eastAsia"/>
          <w:highlight w:val="none"/>
          <w:lang w:eastAsia="zh-CN"/>
        </w:rPr>
        <w:t>方先生</w:t>
      </w:r>
    </w:p>
    <w:p w14:paraId="79C7E5EF">
      <w:pPr>
        <w:spacing w:line="288" w:lineRule="auto"/>
        <w:ind w:firstLine="480"/>
        <w:rPr>
          <w:rFonts w:hint="default" w:eastAsia="宋体"/>
          <w:highlight w:val="none"/>
          <w:lang w:val="en-US" w:eastAsia="zh-CN"/>
        </w:rPr>
      </w:pPr>
      <w:r>
        <w:rPr>
          <w:rFonts w:hint="eastAsia"/>
          <w:highlight w:val="none"/>
        </w:rPr>
        <w:t>质疑联系方式：</w:t>
      </w:r>
      <w:r>
        <w:rPr>
          <w:rFonts w:hint="eastAsia"/>
          <w:highlight w:val="none"/>
          <w:lang w:val="en-US" w:eastAsia="zh-CN"/>
        </w:rPr>
        <w:t>13567030101</w:t>
      </w:r>
    </w:p>
    <w:p w14:paraId="62CF9EA5">
      <w:pPr>
        <w:spacing w:line="288" w:lineRule="auto"/>
        <w:ind w:firstLine="480"/>
        <w:rPr>
          <w:highlight w:val="none"/>
        </w:rPr>
      </w:pPr>
      <w:r>
        <w:rPr>
          <w:rFonts w:hint="eastAsia"/>
          <w:highlight w:val="none"/>
        </w:rPr>
        <w:t>2.采购代理机构信息</w:t>
      </w:r>
    </w:p>
    <w:p w14:paraId="3748EC4F">
      <w:pPr>
        <w:spacing w:line="288" w:lineRule="auto"/>
        <w:ind w:firstLine="480"/>
        <w:rPr>
          <w:highlight w:val="none"/>
        </w:rPr>
      </w:pPr>
      <w:r>
        <w:rPr>
          <w:rFonts w:hint="eastAsia"/>
          <w:highlight w:val="none"/>
        </w:rPr>
        <w:t>名    称：龙游久圆工程管理有限公司</w:t>
      </w:r>
    </w:p>
    <w:p w14:paraId="504432E3">
      <w:pPr>
        <w:spacing w:line="288" w:lineRule="auto"/>
        <w:ind w:firstLine="480"/>
        <w:rPr>
          <w:rFonts w:hint="eastAsia" w:eastAsia="宋体"/>
          <w:highlight w:val="none"/>
          <w:lang w:eastAsia="zh-CN"/>
        </w:rPr>
      </w:pPr>
      <w:r>
        <w:rPr>
          <w:rFonts w:hint="eastAsia"/>
          <w:highlight w:val="none"/>
        </w:rPr>
        <w:t>地</w:t>
      </w:r>
      <w:r>
        <w:rPr>
          <w:rFonts w:hint="eastAsia"/>
          <w:highlight w:val="none"/>
          <w:lang w:val="en-US" w:eastAsia="zh-CN"/>
        </w:rPr>
        <w:t xml:space="preserve">    </w:t>
      </w:r>
      <w:r>
        <w:rPr>
          <w:rFonts w:hint="eastAsia"/>
          <w:highlight w:val="none"/>
        </w:rPr>
        <w:t>址：</w:t>
      </w:r>
      <w:r>
        <w:rPr>
          <w:rFonts w:hint="eastAsia"/>
          <w:highlight w:val="none"/>
          <w:lang w:eastAsia="zh-CN"/>
        </w:rPr>
        <w:t>龙游县东华街道永安路60号</w:t>
      </w:r>
    </w:p>
    <w:p w14:paraId="1F80C3B3">
      <w:pPr>
        <w:spacing w:line="288" w:lineRule="auto"/>
        <w:ind w:firstLine="480"/>
        <w:rPr>
          <w:highlight w:val="none"/>
        </w:rPr>
      </w:pPr>
      <w:r>
        <w:rPr>
          <w:rFonts w:hint="eastAsia"/>
          <w:highlight w:val="none"/>
        </w:rPr>
        <w:t>项目联系人（询问）：李女士</w:t>
      </w:r>
    </w:p>
    <w:p w14:paraId="76F46549">
      <w:pPr>
        <w:spacing w:line="288" w:lineRule="auto"/>
        <w:ind w:firstLine="480"/>
        <w:rPr>
          <w:highlight w:val="none"/>
        </w:rPr>
      </w:pPr>
      <w:r>
        <w:rPr>
          <w:rFonts w:hint="eastAsia"/>
          <w:highlight w:val="none"/>
        </w:rPr>
        <w:t>项目联系方式（询问）：0570-7032353</w:t>
      </w:r>
    </w:p>
    <w:p w14:paraId="6529C251">
      <w:pPr>
        <w:spacing w:line="288" w:lineRule="auto"/>
        <w:ind w:firstLine="480"/>
        <w:rPr>
          <w:highlight w:val="none"/>
        </w:rPr>
      </w:pPr>
      <w:r>
        <w:rPr>
          <w:rFonts w:hint="eastAsia"/>
          <w:highlight w:val="none"/>
        </w:rPr>
        <w:t>质疑联系人：李女士</w:t>
      </w:r>
    </w:p>
    <w:p w14:paraId="4869895B">
      <w:pPr>
        <w:spacing w:line="288" w:lineRule="auto"/>
        <w:ind w:firstLine="480"/>
        <w:rPr>
          <w:highlight w:val="none"/>
        </w:rPr>
      </w:pPr>
      <w:r>
        <w:rPr>
          <w:rFonts w:hint="eastAsia"/>
          <w:highlight w:val="none"/>
        </w:rPr>
        <w:t>质疑联系方式：15968860235</w:t>
      </w:r>
    </w:p>
    <w:p w14:paraId="12FAB178">
      <w:pPr>
        <w:spacing w:line="288" w:lineRule="auto"/>
        <w:ind w:firstLine="480"/>
        <w:rPr>
          <w:highlight w:val="none"/>
        </w:rPr>
      </w:pPr>
      <w:r>
        <w:rPr>
          <w:rFonts w:hint="eastAsia"/>
          <w:highlight w:val="none"/>
        </w:rPr>
        <w:t>3.同级政府采购监督管理部门</w:t>
      </w:r>
    </w:p>
    <w:p w14:paraId="690DFFB1">
      <w:pPr>
        <w:spacing w:line="288" w:lineRule="auto"/>
        <w:ind w:firstLine="480"/>
        <w:rPr>
          <w:highlight w:val="none"/>
        </w:rPr>
      </w:pPr>
      <w:r>
        <w:rPr>
          <w:rFonts w:hint="eastAsia"/>
          <w:highlight w:val="none"/>
        </w:rPr>
        <w:t>名</w:t>
      </w:r>
      <w:r>
        <w:rPr>
          <w:rFonts w:hint="eastAsia"/>
          <w:highlight w:val="none"/>
          <w:lang w:val="en-US" w:eastAsia="zh-CN"/>
        </w:rPr>
        <w:t xml:space="preserve">    </w:t>
      </w:r>
      <w:r>
        <w:rPr>
          <w:rFonts w:hint="eastAsia"/>
          <w:highlight w:val="none"/>
        </w:rPr>
        <w:t>称：龙游县财政局采监科</w:t>
      </w:r>
    </w:p>
    <w:p w14:paraId="1C4748B8">
      <w:pPr>
        <w:spacing w:line="288" w:lineRule="auto"/>
        <w:ind w:firstLine="480"/>
        <w:rPr>
          <w:highlight w:val="none"/>
        </w:rPr>
      </w:pPr>
      <w:r>
        <w:rPr>
          <w:rFonts w:hint="eastAsia"/>
          <w:highlight w:val="none"/>
        </w:rPr>
        <w:t>地</w:t>
      </w:r>
      <w:r>
        <w:rPr>
          <w:rFonts w:hint="eastAsia"/>
          <w:highlight w:val="none"/>
          <w:lang w:val="en-US" w:eastAsia="zh-CN"/>
        </w:rPr>
        <w:t xml:space="preserve">    </w:t>
      </w:r>
      <w:r>
        <w:rPr>
          <w:rFonts w:hint="eastAsia"/>
          <w:highlight w:val="none"/>
        </w:rPr>
        <w:t>址：龙游县莲湖路69号</w:t>
      </w:r>
    </w:p>
    <w:p w14:paraId="3A39064E">
      <w:pPr>
        <w:spacing w:line="288" w:lineRule="auto"/>
        <w:ind w:firstLine="480"/>
        <w:rPr>
          <w:highlight w:val="none"/>
        </w:rPr>
      </w:pPr>
      <w:r>
        <w:rPr>
          <w:rFonts w:hint="eastAsia"/>
          <w:highlight w:val="none"/>
        </w:rPr>
        <w:t>联系人：严先生</w:t>
      </w:r>
    </w:p>
    <w:p w14:paraId="3B091CDE">
      <w:pPr>
        <w:spacing w:line="288" w:lineRule="auto"/>
        <w:ind w:firstLine="480"/>
        <w:rPr>
          <w:highlight w:val="none"/>
        </w:rPr>
      </w:pPr>
      <w:r>
        <w:rPr>
          <w:rFonts w:hint="eastAsia"/>
          <w:highlight w:val="none"/>
        </w:rPr>
        <w:t>监督投诉电话：0570-7011687</w:t>
      </w:r>
    </w:p>
    <w:p w14:paraId="71B84E77">
      <w:pPr>
        <w:ind w:firstLine="480"/>
        <w:rPr>
          <w:rFonts w:hint="eastAsia"/>
          <w:highlight w:val="none"/>
        </w:rPr>
      </w:pPr>
    </w:p>
    <w:p w14:paraId="73C9DF3D">
      <w:pPr>
        <w:ind w:firstLine="480"/>
        <w:rPr>
          <w:highlight w:val="none"/>
        </w:rPr>
      </w:pPr>
      <w:r>
        <w:rPr>
          <w:rFonts w:hint="eastAsia"/>
          <w:highlight w:val="none"/>
        </w:rPr>
        <w:t>若对项目采购电子交易系统操作有疑问</w:t>
      </w:r>
      <w:r>
        <w:rPr>
          <w:rFonts w:hint="eastAsia"/>
          <w:highlight w:val="none"/>
          <w:lang w:eastAsia="zh-CN"/>
        </w:rPr>
        <w:t>，</w:t>
      </w:r>
      <w:r>
        <w:rPr>
          <w:rFonts w:hint="eastAsia"/>
          <w:highlight w:val="none"/>
        </w:rPr>
        <w:t>可登录政采云（https：//www.zcygov.cn/）</w:t>
      </w:r>
      <w:r>
        <w:rPr>
          <w:rFonts w:hint="eastAsia"/>
          <w:highlight w:val="none"/>
          <w:lang w:eastAsia="zh-CN"/>
        </w:rPr>
        <w:t>，</w:t>
      </w:r>
      <w:r>
        <w:rPr>
          <w:rFonts w:hint="eastAsia"/>
          <w:highlight w:val="none"/>
        </w:rPr>
        <w:t>点击右侧咨询小采</w:t>
      </w:r>
      <w:r>
        <w:rPr>
          <w:rFonts w:hint="eastAsia"/>
          <w:highlight w:val="none"/>
          <w:lang w:eastAsia="zh-CN"/>
        </w:rPr>
        <w:t>，</w:t>
      </w:r>
      <w:r>
        <w:rPr>
          <w:rFonts w:hint="eastAsia"/>
          <w:highlight w:val="none"/>
        </w:rPr>
        <w:t>获取采小蜜智能服务管家帮助</w:t>
      </w:r>
      <w:r>
        <w:rPr>
          <w:rFonts w:hint="eastAsia"/>
          <w:highlight w:val="none"/>
          <w:lang w:eastAsia="zh-CN"/>
        </w:rPr>
        <w:t>，</w:t>
      </w:r>
      <w:r>
        <w:rPr>
          <w:rFonts w:hint="eastAsia"/>
          <w:highlight w:val="none"/>
        </w:rPr>
        <w:t>或拨打政采云服务热线</w:t>
      </w:r>
      <w:r>
        <w:rPr>
          <w:rFonts w:hint="eastAsia"/>
          <w:highlight w:val="none"/>
          <w:lang w:val="en-US" w:eastAsia="zh-CN"/>
        </w:rPr>
        <w:t>95763</w:t>
      </w:r>
      <w:r>
        <w:rPr>
          <w:rFonts w:hint="eastAsia"/>
          <w:highlight w:val="none"/>
        </w:rPr>
        <w:t>获取热线服务帮助。</w:t>
      </w:r>
    </w:p>
    <w:p w14:paraId="768F9A64">
      <w:pPr>
        <w:ind w:firstLine="480"/>
        <w:rPr>
          <w:highlight w:val="none"/>
        </w:rPr>
      </w:pPr>
      <w:r>
        <w:rPr>
          <w:rFonts w:hint="eastAsia"/>
          <w:highlight w:val="none"/>
        </w:rPr>
        <w:t>CA问题联系电话（人工）：汇信CA 400-888-4636；天谷CA 400-087-8198。</w:t>
      </w:r>
    </w:p>
    <w:p w14:paraId="4E85A5E8">
      <w:pPr>
        <w:widowControl/>
        <w:spacing w:line="240" w:lineRule="auto"/>
        <w:ind w:firstLine="0" w:firstLineChars="0"/>
        <w:jc w:val="left"/>
        <w:rPr>
          <w:highlight w:val="none"/>
        </w:rPr>
      </w:pPr>
      <w:r>
        <w:rPr>
          <w:highlight w:val="none"/>
        </w:rPr>
        <w:br w:type="page"/>
      </w:r>
    </w:p>
    <w:p w14:paraId="173A7B3C">
      <w:pPr>
        <w:pStyle w:val="4"/>
        <w:rPr>
          <w:highlight w:val="none"/>
        </w:rPr>
      </w:pPr>
      <w:bookmarkStart w:id="82" w:name="_Toc12082"/>
      <w:bookmarkStart w:id="83" w:name="_Toc11989"/>
      <w:bookmarkStart w:id="84" w:name="_Toc19480"/>
      <w:bookmarkStart w:id="85" w:name="_Toc19077"/>
      <w:bookmarkStart w:id="86" w:name="_Toc1372"/>
      <w:bookmarkStart w:id="87" w:name="_Toc9074"/>
      <w:bookmarkStart w:id="88" w:name="_Toc15173"/>
      <w:bookmarkStart w:id="89" w:name="_Toc32712"/>
      <w:r>
        <w:rPr>
          <w:rFonts w:hint="eastAsia"/>
          <w:highlight w:val="none"/>
        </w:rPr>
        <w:t>第二章  磋商供应商须知前附表</w:t>
      </w:r>
      <w:bookmarkEnd w:id="82"/>
      <w:bookmarkEnd w:id="83"/>
      <w:bookmarkEnd w:id="84"/>
      <w:bookmarkEnd w:id="85"/>
      <w:bookmarkEnd w:id="86"/>
      <w:bookmarkEnd w:id="87"/>
      <w:bookmarkEnd w:id="88"/>
      <w:bookmarkEnd w:id="89"/>
    </w:p>
    <w:p w14:paraId="6C9811B5">
      <w:pPr>
        <w:ind w:firstLine="480"/>
        <w:rPr>
          <w:highlight w:val="none"/>
        </w:rPr>
      </w:pPr>
    </w:p>
    <w:tbl>
      <w:tblPr>
        <w:tblStyle w:val="26"/>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660"/>
        <w:gridCol w:w="6532"/>
      </w:tblGrid>
      <w:tr w14:paraId="4DE0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blHeader/>
          <w:jc w:val="center"/>
        </w:trPr>
        <w:tc>
          <w:tcPr>
            <w:tcW w:w="786" w:type="dxa"/>
            <w:vAlign w:val="center"/>
          </w:tcPr>
          <w:p w14:paraId="689C88E6">
            <w:pPr>
              <w:pStyle w:val="38"/>
              <w:rPr>
                <w:highlight w:val="none"/>
              </w:rPr>
            </w:pPr>
            <w:r>
              <w:rPr>
                <w:rFonts w:hint="eastAsia"/>
                <w:highlight w:val="none"/>
              </w:rPr>
              <w:t>序号</w:t>
            </w:r>
          </w:p>
        </w:tc>
        <w:tc>
          <w:tcPr>
            <w:tcW w:w="1660" w:type="dxa"/>
            <w:vAlign w:val="center"/>
          </w:tcPr>
          <w:p w14:paraId="47D27A15">
            <w:pPr>
              <w:pStyle w:val="38"/>
              <w:rPr>
                <w:highlight w:val="none"/>
              </w:rPr>
            </w:pPr>
            <w:r>
              <w:rPr>
                <w:rFonts w:hint="eastAsia"/>
                <w:highlight w:val="none"/>
              </w:rPr>
              <w:t>项   目</w:t>
            </w:r>
          </w:p>
        </w:tc>
        <w:tc>
          <w:tcPr>
            <w:tcW w:w="6532" w:type="dxa"/>
            <w:vAlign w:val="center"/>
          </w:tcPr>
          <w:p w14:paraId="16C494DA">
            <w:pPr>
              <w:pStyle w:val="38"/>
              <w:rPr>
                <w:highlight w:val="none"/>
              </w:rPr>
            </w:pPr>
            <w:r>
              <w:rPr>
                <w:rFonts w:hint="eastAsia"/>
                <w:highlight w:val="none"/>
              </w:rPr>
              <w:t>内       容</w:t>
            </w:r>
          </w:p>
        </w:tc>
      </w:tr>
      <w:tr w14:paraId="0FFA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86" w:type="dxa"/>
            <w:vAlign w:val="center"/>
          </w:tcPr>
          <w:p w14:paraId="73B94FC7">
            <w:pPr>
              <w:pStyle w:val="38"/>
              <w:jc w:val="center"/>
              <w:rPr>
                <w:highlight w:val="none"/>
              </w:rPr>
            </w:pPr>
            <w:r>
              <w:rPr>
                <w:rFonts w:hint="eastAsia"/>
                <w:highlight w:val="none"/>
              </w:rPr>
              <w:t>1</w:t>
            </w:r>
          </w:p>
        </w:tc>
        <w:tc>
          <w:tcPr>
            <w:tcW w:w="1660" w:type="dxa"/>
            <w:vAlign w:val="center"/>
          </w:tcPr>
          <w:p w14:paraId="66B07E11">
            <w:pPr>
              <w:pStyle w:val="38"/>
              <w:rPr>
                <w:highlight w:val="none"/>
              </w:rPr>
            </w:pPr>
            <w:r>
              <w:rPr>
                <w:highlight w:val="none"/>
              </w:rPr>
              <w:t>采购人</w:t>
            </w:r>
          </w:p>
        </w:tc>
        <w:tc>
          <w:tcPr>
            <w:tcW w:w="6532" w:type="dxa"/>
            <w:vAlign w:val="center"/>
          </w:tcPr>
          <w:p w14:paraId="32AFE455">
            <w:pPr>
              <w:pStyle w:val="38"/>
              <w:rPr>
                <w:rFonts w:hint="eastAsia" w:eastAsia="宋体"/>
                <w:highlight w:val="none"/>
                <w:lang w:eastAsia="zh-CN"/>
              </w:rPr>
            </w:pPr>
            <w:r>
              <w:rPr>
                <w:rFonts w:hint="eastAsia"/>
                <w:highlight w:val="none"/>
              </w:rPr>
              <w:t>采购人：</w:t>
            </w:r>
            <w:r>
              <w:rPr>
                <w:rFonts w:hint="eastAsia"/>
                <w:highlight w:val="none"/>
                <w:lang w:eastAsia="zh-CN"/>
              </w:rPr>
              <w:t>龙游县人民政府办公室（龙游县数据局）</w:t>
            </w:r>
          </w:p>
          <w:p w14:paraId="145965E6">
            <w:pPr>
              <w:pStyle w:val="38"/>
              <w:rPr>
                <w:rFonts w:hint="eastAsia" w:eastAsia="宋体"/>
                <w:highlight w:val="none"/>
                <w:lang w:eastAsia="zh-CN"/>
              </w:rPr>
            </w:pPr>
            <w:r>
              <w:rPr>
                <w:rFonts w:hint="eastAsia"/>
                <w:highlight w:val="none"/>
              </w:rPr>
              <w:t>地址：</w:t>
            </w:r>
            <w:r>
              <w:rPr>
                <w:rFonts w:hint="eastAsia"/>
                <w:highlight w:val="none"/>
                <w:lang w:eastAsia="zh-CN"/>
              </w:rPr>
              <w:t>龙游县龙洲街道太平西路28号</w:t>
            </w:r>
          </w:p>
          <w:p w14:paraId="036A3C04">
            <w:pPr>
              <w:pStyle w:val="38"/>
              <w:rPr>
                <w:rFonts w:hint="eastAsia" w:eastAsia="宋体"/>
                <w:highlight w:val="none"/>
                <w:lang w:eastAsia="zh-CN"/>
              </w:rPr>
            </w:pPr>
            <w:r>
              <w:rPr>
                <w:rFonts w:hint="eastAsia"/>
                <w:highlight w:val="none"/>
              </w:rPr>
              <w:t>联系人：</w:t>
            </w:r>
            <w:r>
              <w:rPr>
                <w:rFonts w:hint="eastAsia"/>
                <w:highlight w:val="none"/>
                <w:lang w:val="en-US" w:eastAsia="zh-CN"/>
              </w:rPr>
              <w:t>方先生</w:t>
            </w:r>
          </w:p>
          <w:p w14:paraId="2E2645BD">
            <w:pPr>
              <w:pStyle w:val="38"/>
              <w:rPr>
                <w:rFonts w:hint="default" w:eastAsia="宋体"/>
                <w:highlight w:val="none"/>
                <w:lang w:val="en-US" w:eastAsia="zh-CN"/>
              </w:rPr>
            </w:pPr>
            <w:r>
              <w:rPr>
                <w:rFonts w:hint="eastAsia"/>
                <w:highlight w:val="none"/>
              </w:rPr>
              <w:t>电话：</w:t>
            </w:r>
            <w:r>
              <w:rPr>
                <w:rFonts w:hint="eastAsia"/>
                <w:highlight w:val="none"/>
                <w:lang w:val="en-US" w:eastAsia="zh-CN"/>
              </w:rPr>
              <w:t>13567030101</w:t>
            </w:r>
          </w:p>
        </w:tc>
      </w:tr>
      <w:tr w14:paraId="4CDE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86" w:type="dxa"/>
            <w:vAlign w:val="center"/>
          </w:tcPr>
          <w:p w14:paraId="058D87BD">
            <w:pPr>
              <w:pStyle w:val="38"/>
              <w:jc w:val="center"/>
              <w:rPr>
                <w:highlight w:val="none"/>
              </w:rPr>
            </w:pPr>
            <w:r>
              <w:rPr>
                <w:rFonts w:hint="eastAsia"/>
                <w:highlight w:val="none"/>
              </w:rPr>
              <w:t>2</w:t>
            </w:r>
          </w:p>
        </w:tc>
        <w:tc>
          <w:tcPr>
            <w:tcW w:w="1660" w:type="dxa"/>
            <w:vAlign w:val="center"/>
          </w:tcPr>
          <w:p w14:paraId="562CDB5F">
            <w:pPr>
              <w:pStyle w:val="38"/>
              <w:rPr>
                <w:highlight w:val="none"/>
              </w:rPr>
            </w:pPr>
            <w:r>
              <w:rPr>
                <w:rFonts w:hint="eastAsia"/>
                <w:highlight w:val="none"/>
              </w:rPr>
              <w:t>采购代理机构</w:t>
            </w:r>
          </w:p>
        </w:tc>
        <w:tc>
          <w:tcPr>
            <w:tcW w:w="6532" w:type="dxa"/>
            <w:vAlign w:val="center"/>
          </w:tcPr>
          <w:p w14:paraId="6B91D378">
            <w:pPr>
              <w:pStyle w:val="38"/>
              <w:rPr>
                <w:highlight w:val="none"/>
              </w:rPr>
            </w:pPr>
            <w:r>
              <w:rPr>
                <w:rFonts w:hint="eastAsia"/>
                <w:highlight w:val="none"/>
              </w:rPr>
              <w:t>代理机构：龙游久圆工程管理有限公司</w:t>
            </w:r>
          </w:p>
          <w:p w14:paraId="33CBD733">
            <w:pPr>
              <w:pStyle w:val="38"/>
              <w:rPr>
                <w:rFonts w:hint="eastAsia" w:eastAsia="宋体"/>
                <w:highlight w:val="none"/>
                <w:lang w:eastAsia="zh-CN"/>
              </w:rPr>
            </w:pPr>
            <w:r>
              <w:rPr>
                <w:rFonts w:hint="eastAsia"/>
                <w:highlight w:val="none"/>
              </w:rPr>
              <w:t>地址：</w:t>
            </w:r>
            <w:r>
              <w:rPr>
                <w:rFonts w:hint="eastAsia"/>
                <w:highlight w:val="none"/>
                <w:lang w:eastAsia="zh-CN"/>
              </w:rPr>
              <w:t>龙游县东华街道永安路60号</w:t>
            </w:r>
          </w:p>
          <w:p w14:paraId="459C84F2">
            <w:pPr>
              <w:pStyle w:val="38"/>
              <w:rPr>
                <w:highlight w:val="none"/>
              </w:rPr>
            </w:pPr>
            <w:r>
              <w:rPr>
                <w:rFonts w:hint="eastAsia"/>
                <w:highlight w:val="none"/>
              </w:rPr>
              <w:t>联系人：李</w:t>
            </w:r>
            <w:r>
              <w:rPr>
                <w:rFonts w:hint="eastAsia"/>
                <w:highlight w:val="none"/>
                <w:lang w:val="en-US"/>
              </w:rPr>
              <w:t>女士</w:t>
            </w:r>
          </w:p>
          <w:p w14:paraId="7C875C2A">
            <w:pPr>
              <w:pStyle w:val="38"/>
              <w:rPr>
                <w:highlight w:val="none"/>
              </w:rPr>
            </w:pPr>
            <w:r>
              <w:rPr>
                <w:rFonts w:hint="eastAsia"/>
                <w:highlight w:val="none"/>
              </w:rPr>
              <w:t>电话：15968860235</w:t>
            </w:r>
          </w:p>
          <w:p w14:paraId="1CDB83B4">
            <w:pPr>
              <w:pStyle w:val="38"/>
              <w:rPr>
                <w:highlight w:val="none"/>
              </w:rPr>
            </w:pPr>
            <w:r>
              <w:rPr>
                <w:rFonts w:hint="eastAsia"/>
                <w:highlight w:val="none"/>
              </w:rPr>
              <w:t>电子邮箱：</w:t>
            </w:r>
            <w:r>
              <w:rPr>
                <w:rFonts w:hint="eastAsia"/>
                <w:highlight w:val="none"/>
                <w:lang w:eastAsia="zh-CN"/>
              </w:rPr>
              <w:t>549607085</w:t>
            </w:r>
            <w:r>
              <w:rPr>
                <w:rFonts w:hint="eastAsia"/>
                <w:highlight w:val="none"/>
              </w:rPr>
              <w:t>@qq.com</w:t>
            </w:r>
          </w:p>
        </w:tc>
      </w:tr>
      <w:tr w14:paraId="7AC0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86" w:type="dxa"/>
            <w:vAlign w:val="center"/>
          </w:tcPr>
          <w:p w14:paraId="48812BDF">
            <w:pPr>
              <w:pStyle w:val="38"/>
              <w:jc w:val="center"/>
              <w:rPr>
                <w:highlight w:val="none"/>
              </w:rPr>
            </w:pPr>
            <w:r>
              <w:rPr>
                <w:rFonts w:hint="eastAsia"/>
                <w:highlight w:val="none"/>
              </w:rPr>
              <w:t>3</w:t>
            </w:r>
          </w:p>
        </w:tc>
        <w:tc>
          <w:tcPr>
            <w:tcW w:w="1660" w:type="dxa"/>
            <w:vAlign w:val="center"/>
          </w:tcPr>
          <w:p w14:paraId="47EA5A10">
            <w:pPr>
              <w:pStyle w:val="38"/>
              <w:rPr>
                <w:highlight w:val="none"/>
              </w:rPr>
            </w:pPr>
            <w:r>
              <w:rPr>
                <w:highlight w:val="none"/>
              </w:rPr>
              <w:t>采购活动流程</w:t>
            </w:r>
          </w:p>
        </w:tc>
        <w:tc>
          <w:tcPr>
            <w:tcW w:w="6532" w:type="dxa"/>
            <w:vAlign w:val="center"/>
          </w:tcPr>
          <w:p w14:paraId="2698FFDF">
            <w:pPr>
              <w:pStyle w:val="38"/>
              <w:rPr>
                <w:highlight w:val="none"/>
              </w:rPr>
            </w:pPr>
            <w:r>
              <w:rPr>
                <w:highlight w:val="none"/>
              </w:rPr>
              <w:t>电子招标、投标、开标、评标的全流程电子化</w:t>
            </w:r>
          </w:p>
        </w:tc>
      </w:tr>
      <w:tr w14:paraId="72DA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86" w:type="dxa"/>
            <w:vAlign w:val="center"/>
          </w:tcPr>
          <w:p w14:paraId="030DB99E">
            <w:pPr>
              <w:pStyle w:val="38"/>
              <w:jc w:val="center"/>
              <w:rPr>
                <w:highlight w:val="none"/>
              </w:rPr>
            </w:pPr>
            <w:r>
              <w:rPr>
                <w:rFonts w:hint="eastAsia"/>
                <w:highlight w:val="none"/>
              </w:rPr>
              <w:t>4</w:t>
            </w:r>
          </w:p>
        </w:tc>
        <w:tc>
          <w:tcPr>
            <w:tcW w:w="1660" w:type="dxa"/>
            <w:vAlign w:val="center"/>
          </w:tcPr>
          <w:p w14:paraId="459F0664">
            <w:pPr>
              <w:pStyle w:val="38"/>
              <w:rPr>
                <w:highlight w:val="none"/>
              </w:rPr>
            </w:pPr>
            <w:r>
              <w:rPr>
                <w:rFonts w:hint="eastAsia"/>
                <w:highlight w:val="none"/>
              </w:rPr>
              <w:t>答疑会</w:t>
            </w:r>
          </w:p>
        </w:tc>
        <w:tc>
          <w:tcPr>
            <w:tcW w:w="6532" w:type="dxa"/>
            <w:vAlign w:val="center"/>
          </w:tcPr>
          <w:p w14:paraId="567EE031">
            <w:pPr>
              <w:pStyle w:val="38"/>
              <w:rPr>
                <w:highlight w:val="none"/>
              </w:rPr>
            </w:pPr>
            <w:r>
              <w:rPr>
                <w:rFonts w:hint="eastAsia"/>
                <w:highlight w:val="none"/>
              </w:rPr>
              <w:t>不召开</w:t>
            </w:r>
          </w:p>
        </w:tc>
      </w:tr>
      <w:tr w14:paraId="57DA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86" w:type="dxa"/>
            <w:vAlign w:val="center"/>
          </w:tcPr>
          <w:p w14:paraId="3D10BD1B">
            <w:pPr>
              <w:pStyle w:val="38"/>
              <w:jc w:val="center"/>
              <w:rPr>
                <w:highlight w:val="none"/>
              </w:rPr>
            </w:pPr>
            <w:r>
              <w:rPr>
                <w:rFonts w:hint="eastAsia"/>
                <w:highlight w:val="none"/>
              </w:rPr>
              <w:t>5</w:t>
            </w:r>
          </w:p>
        </w:tc>
        <w:tc>
          <w:tcPr>
            <w:tcW w:w="1660" w:type="dxa"/>
            <w:vAlign w:val="center"/>
          </w:tcPr>
          <w:p w14:paraId="3B14DA2C">
            <w:pPr>
              <w:pStyle w:val="38"/>
              <w:rPr>
                <w:highlight w:val="none"/>
              </w:rPr>
            </w:pPr>
            <w:r>
              <w:rPr>
                <w:rFonts w:hint="eastAsia"/>
                <w:highlight w:val="none"/>
              </w:rPr>
              <w:t>评标办法</w:t>
            </w:r>
          </w:p>
        </w:tc>
        <w:tc>
          <w:tcPr>
            <w:tcW w:w="6532" w:type="dxa"/>
            <w:vAlign w:val="center"/>
          </w:tcPr>
          <w:p w14:paraId="0EC1EED6">
            <w:pPr>
              <w:pStyle w:val="38"/>
              <w:rPr>
                <w:highlight w:val="none"/>
              </w:rPr>
            </w:pPr>
            <w:r>
              <w:rPr>
                <w:rFonts w:hint="eastAsia"/>
                <w:highlight w:val="none"/>
              </w:rPr>
              <w:t>综合评分法</w:t>
            </w:r>
          </w:p>
        </w:tc>
      </w:tr>
      <w:tr w14:paraId="68F2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86" w:type="dxa"/>
            <w:vAlign w:val="center"/>
          </w:tcPr>
          <w:p w14:paraId="31695244">
            <w:pPr>
              <w:pStyle w:val="38"/>
              <w:jc w:val="center"/>
              <w:rPr>
                <w:highlight w:val="none"/>
              </w:rPr>
            </w:pPr>
            <w:r>
              <w:rPr>
                <w:rFonts w:hint="eastAsia"/>
                <w:highlight w:val="none"/>
              </w:rPr>
              <w:t>6</w:t>
            </w:r>
          </w:p>
        </w:tc>
        <w:tc>
          <w:tcPr>
            <w:tcW w:w="1660" w:type="dxa"/>
            <w:vAlign w:val="center"/>
          </w:tcPr>
          <w:p w14:paraId="4579F282">
            <w:pPr>
              <w:pStyle w:val="38"/>
              <w:rPr>
                <w:highlight w:val="none"/>
              </w:rPr>
            </w:pPr>
            <w:r>
              <w:rPr>
                <w:rFonts w:hint="eastAsia"/>
                <w:highlight w:val="none"/>
              </w:rPr>
              <w:t>磋商小组</w:t>
            </w:r>
            <w:r>
              <w:rPr>
                <w:highlight w:val="none"/>
              </w:rPr>
              <w:t>人员</w:t>
            </w:r>
          </w:p>
        </w:tc>
        <w:tc>
          <w:tcPr>
            <w:tcW w:w="6532" w:type="dxa"/>
            <w:vAlign w:val="center"/>
          </w:tcPr>
          <w:p w14:paraId="22981926">
            <w:pPr>
              <w:pStyle w:val="38"/>
              <w:rPr>
                <w:highlight w:val="none"/>
              </w:rPr>
            </w:pPr>
            <w:r>
              <w:rPr>
                <w:highlight w:val="none"/>
              </w:rPr>
              <w:t>共</w:t>
            </w:r>
            <w:r>
              <w:rPr>
                <w:rFonts w:hint="eastAsia"/>
                <w:highlight w:val="none"/>
                <w:lang w:val="en-US"/>
              </w:rPr>
              <w:t>3</w:t>
            </w:r>
            <w:r>
              <w:rPr>
                <w:rFonts w:hint="eastAsia"/>
                <w:highlight w:val="none"/>
              </w:rPr>
              <w:t>人组成</w:t>
            </w:r>
          </w:p>
        </w:tc>
      </w:tr>
      <w:tr w14:paraId="21E3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86" w:type="dxa"/>
            <w:vAlign w:val="center"/>
          </w:tcPr>
          <w:p w14:paraId="5A75907F">
            <w:pPr>
              <w:pStyle w:val="38"/>
              <w:jc w:val="center"/>
              <w:rPr>
                <w:highlight w:val="none"/>
              </w:rPr>
            </w:pPr>
            <w:r>
              <w:rPr>
                <w:rFonts w:hint="eastAsia"/>
                <w:highlight w:val="none"/>
              </w:rPr>
              <w:t>7</w:t>
            </w:r>
          </w:p>
        </w:tc>
        <w:tc>
          <w:tcPr>
            <w:tcW w:w="1660" w:type="dxa"/>
            <w:vAlign w:val="center"/>
          </w:tcPr>
          <w:p w14:paraId="577B4B49">
            <w:pPr>
              <w:pStyle w:val="38"/>
              <w:rPr>
                <w:highlight w:val="none"/>
              </w:rPr>
            </w:pPr>
            <w:r>
              <w:rPr>
                <w:rFonts w:hint="eastAsia"/>
                <w:highlight w:val="none"/>
              </w:rPr>
              <w:t>磋商有效期</w:t>
            </w:r>
          </w:p>
        </w:tc>
        <w:tc>
          <w:tcPr>
            <w:tcW w:w="6532" w:type="dxa"/>
            <w:vAlign w:val="center"/>
          </w:tcPr>
          <w:p w14:paraId="5222495F">
            <w:pPr>
              <w:pStyle w:val="38"/>
              <w:rPr>
                <w:highlight w:val="none"/>
              </w:rPr>
            </w:pPr>
            <w:r>
              <w:rPr>
                <w:rFonts w:hint="eastAsia"/>
                <w:highlight w:val="none"/>
              </w:rPr>
              <w:t>自开启响应文件之日起90个日历天</w:t>
            </w:r>
          </w:p>
        </w:tc>
      </w:tr>
      <w:tr w14:paraId="2E51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86" w:type="dxa"/>
            <w:vAlign w:val="center"/>
          </w:tcPr>
          <w:p w14:paraId="732B4FD5">
            <w:pPr>
              <w:pStyle w:val="38"/>
              <w:jc w:val="center"/>
              <w:rPr>
                <w:highlight w:val="none"/>
              </w:rPr>
            </w:pPr>
            <w:r>
              <w:rPr>
                <w:rFonts w:hint="eastAsia"/>
                <w:highlight w:val="none"/>
              </w:rPr>
              <w:t>8</w:t>
            </w:r>
          </w:p>
        </w:tc>
        <w:tc>
          <w:tcPr>
            <w:tcW w:w="1660" w:type="dxa"/>
            <w:vAlign w:val="center"/>
          </w:tcPr>
          <w:p w14:paraId="0ED61E48">
            <w:pPr>
              <w:pStyle w:val="38"/>
              <w:rPr>
                <w:highlight w:val="none"/>
              </w:rPr>
            </w:pPr>
            <w:r>
              <w:rPr>
                <w:rFonts w:hint="eastAsia"/>
                <w:highlight w:val="none"/>
              </w:rPr>
              <w:t>分包情况</w:t>
            </w:r>
          </w:p>
        </w:tc>
        <w:tc>
          <w:tcPr>
            <w:tcW w:w="6532" w:type="dxa"/>
            <w:vAlign w:val="center"/>
          </w:tcPr>
          <w:p w14:paraId="449B218B">
            <w:pPr>
              <w:pStyle w:val="38"/>
              <w:rPr>
                <w:highlight w:val="none"/>
              </w:rPr>
            </w:pPr>
            <w:r>
              <w:rPr>
                <w:rFonts w:hint="eastAsia"/>
                <w:highlight w:val="none"/>
              </w:rPr>
              <w:t>不允许</w:t>
            </w:r>
          </w:p>
        </w:tc>
      </w:tr>
      <w:tr w14:paraId="09EF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86" w:type="dxa"/>
            <w:vAlign w:val="center"/>
          </w:tcPr>
          <w:p w14:paraId="30678F84">
            <w:pPr>
              <w:pStyle w:val="38"/>
              <w:jc w:val="center"/>
              <w:rPr>
                <w:highlight w:val="none"/>
              </w:rPr>
            </w:pPr>
            <w:r>
              <w:rPr>
                <w:rFonts w:hint="eastAsia"/>
                <w:highlight w:val="none"/>
              </w:rPr>
              <w:t>9</w:t>
            </w:r>
          </w:p>
        </w:tc>
        <w:tc>
          <w:tcPr>
            <w:tcW w:w="1660" w:type="dxa"/>
            <w:vAlign w:val="center"/>
          </w:tcPr>
          <w:p w14:paraId="779CDA1C">
            <w:pPr>
              <w:pStyle w:val="38"/>
              <w:rPr>
                <w:highlight w:val="none"/>
              </w:rPr>
            </w:pPr>
            <w:r>
              <w:rPr>
                <w:highlight w:val="none"/>
              </w:rPr>
              <w:t>磋商保证金</w:t>
            </w:r>
          </w:p>
        </w:tc>
        <w:tc>
          <w:tcPr>
            <w:tcW w:w="6532" w:type="dxa"/>
            <w:vAlign w:val="center"/>
          </w:tcPr>
          <w:p w14:paraId="433183A4">
            <w:pPr>
              <w:pStyle w:val="38"/>
              <w:rPr>
                <w:highlight w:val="none"/>
              </w:rPr>
            </w:pPr>
            <w:r>
              <w:rPr>
                <w:highlight w:val="none"/>
              </w:rPr>
              <w:t>不收取</w:t>
            </w:r>
          </w:p>
        </w:tc>
      </w:tr>
      <w:tr w14:paraId="3C1A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86" w:type="dxa"/>
            <w:vAlign w:val="center"/>
          </w:tcPr>
          <w:p w14:paraId="7598E9B2">
            <w:pPr>
              <w:pStyle w:val="38"/>
              <w:jc w:val="center"/>
              <w:rPr>
                <w:highlight w:val="none"/>
              </w:rPr>
            </w:pPr>
            <w:r>
              <w:rPr>
                <w:rFonts w:hint="eastAsia"/>
                <w:highlight w:val="none"/>
              </w:rPr>
              <w:t>10</w:t>
            </w:r>
          </w:p>
        </w:tc>
        <w:tc>
          <w:tcPr>
            <w:tcW w:w="1660" w:type="dxa"/>
            <w:vAlign w:val="center"/>
          </w:tcPr>
          <w:p w14:paraId="669FDCD8">
            <w:pPr>
              <w:pStyle w:val="38"/>
              <w:rPr>
                <w:highlight w:val="none"/>
              </w:rPr>
            </w:pPr>
            <w:r>
              <w:rPr>
                <w:rFonts w:hint="eastAsia"/>
                <w:highlight w:val="none"/>
              </w:rPr>
              <w:t>踏勘现场</w:t>
            </w:r>
          </w:p>
        </w:tc>
        <w:tc>
          <w:tcPr>
            <w:tcW w:w="6532" w:type="dxa"/>
            <w:vAlign w:val="center"/>
          </w:tcPr>
          <w:p w14:paraId="340BEA62">
            <w:pPr>
              <w:pStyle w:val="38"/>
              <w:rPr>
                <w:highlight w:val="none"/>
              </w:rPr>
            </w:pPr>
            <w:r>
              <w:rPr>
                <w:rFonts w:hint="eastAsia"/>
                <w:highlight w:val="none"/>
              </w:rPr>
              <w:t>采购人不组织现场踏勘。</w:t>
            </w:r>
          </w:p>
        </w:tc>
      </w:tr>
      <w:tr w14:paraId="0020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86" w:type="dxa"/>
            <w:vAlign w:val="center"/>
          </w:tcPr>
          <w:p w14:paraId="5CAA0EEF">
            <w:pPr>
              <w:pStyle w:val="38"/>
              <w:jc w:val="center"/>
              <w:rPr>
                <w:highlight w:val="none"/>
              </w:rPr>
            </w:pPr>
            <w:r>
              <w:rPr>
                <w:rFonts w:hint="eastAsia"/>
                <w:highlight w:val="none"/>
              </w:rPr>
              <w:t>11</w:t>
            </w:r>
          </w:p>
        </w:tc>
        <w:tc>
          <w:tcPr>
            <w:tcW w:w="1660" w:type="dxa"/>
            <w:vAlign w:val="center"/>
          </w:tcPr>
          <w:p w14:paraId="323B2E0F">
            <w:pPr>
              <w:pStyle w:val="38"/>
              <w:rPr>
                <w:highlight w:val="none"/>
              </w:rPr>
            </w:pPr>
            <w:r>
              <w:rPr>
                <w:highlight w:val="none"/>
              </w:rPr>
              <w:t>构成竞争性磋商文件的其他材料</w:t>
            </w:r>
          </w:p>
        </w:tc>
        <w:tc>
          <w:tcPr>
            <w:tcW w:w="6532" w:type="dxa"/>
            <w:vAlign w:val="center"/>
          </w:tcPr>
          <w:p w14:paraId="1B391B2B">
            <w:pPr>
              <w:pStyle w:val="38"/>
              <w:rPr>
                <w:highlight w:val="none"/>
              </w:rPr>
            </w:pPr>
            <w:r>
              <w:rPr>
                <w:highlight w:val="none"/>
              </w:rPr>
              <w:t>补充、更正公告</w:t>
            </w:r>
          </w:p>
        </w:tc>
      </w:tr>
      <w:tr w14:paraId="1E94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86" w:type="dxa"/>
            <w:vAlign w:val="center"/>
          </w:tcPr>
          <w:p w14:paraId="63CCEBA6">
            <w:pPr>
              <w:pStyle w:val="38"/>
              <w:jc w:val="center"/>
              <w:rPr>
                <w:highlight w:val="none"/>
              </w:rPr>
            </w:pPr>
            <w:r>
              <w:rPr>
                <w:rFonts w:hint="eastAsia"/>
                <w:highlight w:val="none"/>
              </w:rPr>
              <w:t>12</w:t>
            </w:r>
          </w:p>
        </w:tc>
        <w:tc>
          <w:tcPr>
            <w:tcW w:w="1660" w:type="dxa"/>
            <w:vAlign w:val="center"/>
          </w:tcPr>
          <w:p w14:paraId="62D5641E">
            <w:pPr>
              <w:pStyle w:val="38"/>
              <w:rPr>
                <w:highlight w:val="none"/>
              </w:rPr>
            </w:pPr>
            <w:r>
              <w:rPr>
                <w:rFonts w:hint="eastAsia"/>
                <w:highlight w:val="none"/>
              </w:rPr>
              <w:t>资格审查方式</w:t>
            </w:r>
          </w:p>
        </w:tc>
        <w:tc>
          <w:tcPr>
            <w:tcW w:w="6532" w:type="dxa"/>
            <w:vAlign w:val="center"/>
          </w:tcPr>
          <w:p w14:paraId="1E6DF3F8">
            <w:pPr>
              <w:pStyle w:val="38"/>
              <w:rPr>
                <w:highlight w:val="none"/>
              </w:rPr>
            </w:pPr>
            <w:r>
              <w:rPr>
                <w:rFonts w:hint="eastAsia"/>
                <w:highlight w:val="none"/>
              </w:rPr>
              <w:t>资格审查是指在磋商小组根据采购文件的规定对投标供应商的资格性、符合性要求进行的审查</w:t>
            </w:r>
            <w:r>
              <w:rPr>
                <w:rFonts w:hint="eastAsia"/>
                <w:highlight w:val="none"/>
                <w:lang w:eastAsia="zh-CN"/>
              </w:rPr>
              <w:t>，</w:t>
            </w:r>
            <w:r>
              <w:rPr>
                <w:rFonts w:hint="eastAsia"/>
                <w:highlight w:val="none"/>
              </w:rPr>
              <w:t>资格审查不合格的投标供应商</w:t>
            </w:r>
            <w:r>
              <w:rPr>
                <w:rFonts w:hint="eastAsia"/>
                <w:highlight w:val="none"/>
                <w:lang w:eastAsia="zh-CN"/>
              </w:rPr>
              <w:t>，</w:t>
            </w:r>
            <w:r>
              <w:rPr>
                <w:rFonts w:hint="eastAsia"/>
                <w:highlight w:val="none"/>
              </w:rPr>
              <w:t>其投标作无效标处理。</w:t>
            </w:r>
          </w:p>
        </w:tc>
      </w:tr>
      <w:tr w14:paraId="56A4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86" w:type="dxa"/>
            <w:vAlign w:val="center"/>
          </w:tcPr>
          <w:p w14:paraId="1376B544">
            <w:pPr>
              <w:pStyle w:val="38"/>
              <w:jc w:val="center"/>
              <w:rPr>
                <w:highlight w:val="none"/>
              </w:rPr>
            </w:pPr>
            <w:r>
              <w:rPr>
                <w:rFonts w:hint="eastAsia"/>
                <w:highlight w:val="none"/>
              </w:rPr>
              <w:t>13</w:t>
            </w:r>
          </w:p>
        </w:tc>
        <w:tc>
          <w:tcPr>
            <w:tcW w:w="1660" w:type="dxa"/>
            <w:vAlign w:val="center"/>
          </w:tcPr>
          <w:p w14:paraId="7B1F967D">
            <w:pPr>
              <w:pStyle w:val="38"/>
              <w:rPr>
                <w:highlight w:val="none"/>
              </w:rPr>
            </w:pPr>
            <w:r>
              <w:rPr>
                <w:highlight w:val="none"/>
              </w:rPr>
              <w:t>询问与答复</w:t>
            </w:r>
          </w:p>
        </w:tc>
        <w:tc>
          <w:tcPr>
            <w:tcW w:w="6532" w:type="dxa"/>
            <w:vAlign w:val="center"/>
          </w:tcPr>
          <w:p w14:paraId="6CAB5ED8">
            <w:pPr>
              <w:pStyle w:val="38"/>
              <w:rPr>
                <w:highlight w:val="none"/>
              </w:rPr>
            </w:pPr>
            <w:r>
              <w:rPr>
                <w:highlight w:val="none"/>
              </w:rPr>
              <w:t>潜在供应商对竞争性磋商公告</w:t>
            </w:r>
            <w:r>
              <w:rPr>
                <w:rFonts w:hint="eastAsia"/>
                <w:highlight w:val="none"/>
              </w:rPr>
              <w:t>、</w:t>
            </w:r>
            <w:r>
              <w:rPr>
                <w:highlight w:val="none"/>
              </w:rPr>
              <w:t>竞争性磋商文件有疑问的</w:t>
            </w:r>
            <w:r>
              <w:rPr>
                <w:rFonts w:hint="eastAsia"/>
                <w:highlight w:val="none"/>
                <w:lang w:eastAsia="zh-CN"/>
              </w:rPr>
              <w:t>，</w:t>
            </w:r>
            <w:r>
              <w:rPr>
                <w:rFonts w:hint="eastAsia"/>
                <w:highlight w:val="none"/>
              </w:rPr>
              <w:t>在202</w:t>
            </w:r>
            <w:r>
              <w:rPr>
                <w:rFonts w:hint="eastAsia"/>
                <w:highlight w:val="none"/>
                <w:lang w:val="en-US" w:eastAsia="zh-CN"/>
              </w:rPr>
              <w:t>5</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11</w:t>
            </w:r>
            <w:r>
              <w:rPr>
                <w:rFonts w:hint="eastAsia"/>
                <w:highlight w:val="none"/>
              </w:rPr>
              <w:t>日</w:t>
            </w:r>
            <w:r>
              <w:rPr>
                <w:highlight w:val="none"/>
                <w:lang w:val="en-US"/>
              </w:rPr>
              <w:t>12:00</w:t>
            </w:r>
            <w:r>
              <w:rPr>
                <w:rFonts w:hint="eastAsia"/>
                <w:highlight w:val="none"/>
              </w:rPr>
              <w:t>时前以书面形式向采购人和采购代理机构提出询问</w:t>
            </w:r>
            <w:r>
              <w:rPr>
                <w:rFonts w:hint="eastAsia"/>
                <w:highlight w:val="none"/>
                <w:lang w:eastAsia="zh-CN"/>
              </w:rPr>
              <w:t>，</w:t>
            </w:r>
            <w:r>
              <w:rPr>
                <w:rFonts w:hint="eastAsia"/>
                <w:highlight w:val="none"/>
              </w:rPr>
              <w:t>逾期提出不予受理。如需修改或补充的</w:t>
            </w:r>
            <w:r>
              <w:rPr>
                <w:rFonts w:hint="eastAsia"/>
                <w:highlight w:val="none"/>
                <w:lang w:eastAsia="zh-CN"/>
              </w:rPr>
              <w:t>，</w:t>
            </w:r>
            <w:r>
              <w:rPr>
                <w:rFonts w:hint="eastAsia"/>
                <w:highlight w:val="none"/>
              </w:rPr>
              <w:t>采购代理机构以补充公告形式于202</w:t>
            </w:r>
            <w:r>
              <w:rPr>
                <w:rFonts w:hint="eastAsia"/>
                <w:highlight w:val="none"/>
                <w:lang w:val="en-US" w:eastAsia="zh-CN"/>
              </w:rPr>
              <w:t>5</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11</w:t>
            </w:r>
            <w:r>
              <w:rPr>
                <w:rFonts w:hint="eastAsia"/>
                <w:highlight w:val="none"/>
              </w:rPr>
              <w:t>日</w:t>
            </w:r>
            <w:r>
              <w:rPr>
                <w:rFonts w:hint="eastAsia"/>
                <w:highlight w:val="none"/>
                <w:lang w:val="en-US"/>
              </w:rPr>
              <w:t>17:00</w:t>
            </w:r>
            <w:r>
              <w:rPr>
                <w:rFonts w:hint="eastAsia"/>
                <w:highlight w:val="none"/>
              </w:rPr>
              <w:t>时在浙江政府采购网公告。</w:t>
            </w:r>
          </w:p>
        </w:tc>
      </w:tr>
      <w:tr w14:paraId="0E7C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86" w:type="dxa"/>
            <w:vAlign w:val="center"/>
          </w:tcPr>
          <w:p w14:paraId="74099112">
            <w:pPr>
              <w:pStyle w:val="38"/>
              <w:jc w:val="center"/>
              <w:rPr>
                <w:highlight w:val="none"/>
              </w:rPr>
            </w:pPr>
            <w:r>
              <w:rPr>
                <w:rFonts w:hint="eastAsia"/>
                <w:highlight w:val="none"/>
              </w:rPr>
              <w:t>14</w:t>
            </w:r>
          </w:p>
        </w:tc>
        <w:tc>
          <w:tcPr>
            <w:tcW w:w="1660" w:type="dxa"/>
            <w:vAlign w:val="center"/>
          </w:tcPr>
          <w:p w14:paraId="070A774D">
            <w:pPr>
              <w:pStyle w:val="38"/>
              <w:rPr>
                <w:highlight w:val="none"/>
              </w:rPr>
            </w:pPr>
            <w:r>
              <w:rPr>
                <w:highlight w:val="none"/>
              </w:rPr>
              <w:t>最高限价（元）</w:t>
            </w:r>
          </w:p>
        </w:tc>
        <w:tc>
          <w:tcPr>
            <w:tcW w:w="6532" w:type="dxa"/>
            <w:vAlign w:val="center"/>
          </w:tcPr>
          <w:p w14:paraId="421E9C8D">
            <w:pPr>
              <w:pStyle w:val="38"/>
              <w:rPr>
                <w:rFonts w:hint="eastAsia" w:eastAsia="宋体"/>
                <w:highlight w:val="none"/>
                <w:lang w:val="en-US" w:eastAsia="zh-CN"/>
              </w:rPr>
            </w:pPr>
            <w:r>
              <w:rPr>
                <w:rFonts w:hint="eastAsia"/>
                <w:highlight w:val="none"/>
                <w:lang w:val="en-US" w:eastAsia="zh-CN"/>
              </w:rPr>
              <w:t>490200元</w:t>
            </w:r>
          </w:p>
        </w:tc>
      </w:tr>
      <w:tr w14:paraId="6CB1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86" w:type="dxa"/>
            <w:vAlign w:val="center"/>
          </w:tcPr>
          <w:p w14:paraId="233C7E33">
            <w:pPr>
              <w:pStyle w:val="38"/>
              <w:jc w:val="center"/>
              <w:rPr>
                <w:highlight w:val="none"/>
              </w:rPr>
            </w:pPr>
            <w:r>
              <w:rPr>
                <w:highlight w:val="none"/>
              </w:rPr>
              <w:t>15</w:t>
            </w:r>
          </w:p>
        </w:tc>
        <w:tc>
          <w:tcPr>
            <w:tcW w:w="1660" w:type="dxa"/>
            <w:vAlign w:val="center"/>
          </w:tcPr>
          <w:p w14:paraId="0222365E">
            <w:pPr>
              <w:pStyle w:val="38"/>
              <w:rPr>
                <w:highlight w:val="none"/>
              </w:rPr>
            </w:pPr>
            <w:r>
              <w:rPr>
                <w:highlight w:val="none"/>
              </w:rPr>
              <w:t>磋商报价范围</w:t>
            </w:r>
          </w:p>
        </w:tc>
        <w:tc>
          <w:tcPr>
            <w:tcW w:w="6532" w:type="dxa"/>
            <w:vAlign w:val="center"/>
          </w:tcPr>
          <w:p w14:paraId="29427BFD">
            <w:pPr>
              <w:pStyle w:val="38"/>
              <w:rPr>
                <w:highlight w:val="none"/>
              </w:rPr>
            </w:pPr>
            <w:r>
              <w:rPr>
                <w:highlight w:val="none"/>
              </w:rPr>
              <w:t>是指供应商在正确地完全履行合同义务后采购人应支付服务价格</w:t>
            </w:r>
            <w:r>
              <w:rPr>
                <w:rFonts w:hint="eastAsia"/>
                <w:highlight w:val="none"/>
                <w:lang w:eastAsia="zh-CN"/>
              </w:rPr>
              <w:t>，</w:t>
            </w:r>
            <w:r>
              <w:rPr>
                <w:highlight w:val="none"/>
              </w:rPr>
              <w:t>包括验收、会务费、差旅费、后续服务费用、税金和利润、保险、采购代理费等全部费用。实行</w:t>
            </w:r>
            <w:r>
              <w:rPr>
                <w:rFonts w:hint="eastAsia"/>
                <w:highlight w:val="none"/>
                <w:lang w:val="en-US"/>
              </w:rPr>
              <w:t>总</w:t>
            </w:r>
            <w:r>
              <w:rPr>
                <w:highlight w:val="none"/>
              </w:rPr>
              <w:t>价包干</w:t>
            </w:r>
            <w:r>
              <w:rPr>
                <w:rFonts w:hint="eastAsia"/>
                <w:highlight w:val="none"/>
                <w:lang w:eastAsia="zh-CN"/>
              </w:rPr>
              <w:t>，</w:t>
            </w:r>
            <w:r>
              <w:rPr>
                <w:highlight w:val="none"/>
              </w:rPr>
              <w:t>供应商应根据自身实际报价时予以考虑</w:t>
            </w:r>
            <w:r>
              <w:rPr>
                <w:rFonts w:hint="eastAsia"/>
                <w:highlight w:val="none"/>
                <w:lang w:eastAsia="zh-CN"/>
              </w:rPr>
              <w:t>，</w:t>
            </w:r>
            <w:r>
              <w:rPr>
                <w:highlight w:val="none"/>
              </w:rPr>
              <w:t>如有漏项</w:t>
            </w:r>
            <w:r>
              <w:rPr>
                <w:rFonts w:hint="eastAsia"/>
                <w:highlight w:val="none"/>
                <w:lang w:eastAsia="zh-CN"/>
              </w:rPr>
              <w:t>，</w:t>
            </w:r>
            <w:r>
              <w:rPr>
                <w:highlight w:val="none"/>
              </w:rPr>
              <w:t>视同已包含在其它项目中</w:t>
            </w:r>
            <w:r>
              <w:rPr>
                <w:rFonts w:hint="eastAsia"/>
                <w:highlight w:val="none"/>
                <w:lang w:eastAsia="zh-CN"/>
              </w:rPr>
              <w:t>，</w:t>
            </w:r>
            <w:r>
              <w:rPr>
                <w:highlight w:val="none"/>
              </w:rPr>
              <w:t>价格不作调整</w:t>
            </w:r>
            <w:r>
              <w:rPr>
                <w:rFonts w:hint="eastAsia"/>
                <w:highlight w:val="none"/>
                <w:lang w:eastAsia="zh-CN"/>
              </w:rPr>
              <w:t>，</w:t>
            </w:r>
            <w:r>
              <w:rPr>
                <w:highlight w:val="none"/>
              </w:rPr>
              <w:t>合同签订后不允许擅自改变服务内容、质量标准、期限和追加项目费用。</w:t>
            </w:r>
          </w:p>
        </w:tc>
      </w:tr>
      <w:tr w14:paraId="0074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86" w:type="dxa"/>
            <w:vAlign w:val="center"/>
          </w:tcPr>
          <w:p w14:paraId="5F88A599">
            <w:pPr>
              <w:pStyle w:val="38"/>
              <w:jc w:val="center"/>
              <w:rPr>
                <w:highlight w:val="none"/>
              </w:rPr>
            </w:pPr>
            <w:r>
              <w:rPr>
                <w:highlight w:val="none"/>
              </w:rPr>
              <w:t>16</w:t>
            </w:r>
          </w:p>
        </w:tc>
        <w:tc>
          <w:tcPr>
            <w:tcW w:w="1660" w:type="dxa"/>
            <w:vAlign w:val="center"/>
          </w:tcPr>
          <w:p w14:paraId="49A4C737">
            <w:pPr>
              <w:pStyle w:val="38"/>
              <w:rPr>
                <w:highlight w:val="none"/>
              </w:rPr>
            </w:pPr>
            <w:r>
              <w:rPr>
                <w:highlight w:val="none"/>
              </w:rPr>
              <w:t>磋商报价次数</w:t>
            </w:r>
          </w:p>
        </w:tc>
        <w:tc>
          <w:tcPr>
            <w:tcW w:w="6532" w:type="dxa"/>
            <w:vAlign w:val="center"/>
          </w:tcPr>
          <w:p w14:paraId="7C8D7670">
            <w:pPr>
              <w:pStyle w:val="38"/>
              <w:rPr>
                <w:highlight w:val="none"/>
              </w:rPr>
            </w:pPr>
            <w:r>
              <w:rPr>
                <w:highlight w:val="none"/>
              </w:rPr>
              <w:t>磋商次数由</w:t>
            </w:r>
            <w:r>
              <w:rPr>
                <w:rFonts w:hint="eastAsia"/>
                <w:highlight w:val="none"/>
              </w:rPr>
              <w:t>磋商小组</w:t>
            </w:r>
            <w:r>
              <w:rPr>
                <w:highlight w:val="none"/>
              </w:rPr>
              <w:t>根据磋商情况决定。有一轮及以上报价的</w:t>
            </w:r>
            <w:r>
              <w:rPr>
                <w:rFonts w:hint="eastAsia"/>
                <w:highlight w:val="none"/>
                <w:lang w:eastAsia="zh-CN"/>
              </w:rPr>
              <w:t>，</w:t>
            </w:r>
            <w:r>
              <w:rPr>
                <w:highlight w:val="none"/>
              </w:rPr>
              <w:t>当前报价不得高于对该项目之前的报价</w:t>
            </w:r>
            <w:r>
              <w:rPr>
                <w:rFonts w:hint="eastAsia"/>
                <w:highlight w:val="none"/>
                <w:lang w:eastAsia="zh-CN"/>
              </w:rPr>
              <w:t>，</w:t>
            </w:r>
            <w:r>
              <w:rPr>
                <w:highlight w:val="none"/>
              </w:rPr>
              <w:t>且不得高于采购预算。否则</w:t>
            </w:r>
            <w:r>
              <w:rPr>
                <w:rFonts w:hint="eastAsia"/>
                <w:highlight w:val="none"/>
                <w:lang w:eastAsia="zh-CN"/>
              </w:rPr>
              <w:t>，</w:t>
            </w:r>
            <w:r>
              <w:rPr>
                <w:rFonts w:hint="eastAsia"/>
                <w:highlight w:val="none"/>
              </w:rPr>
              <w:t>磋商小组</w:t>
            </w:r>
            <w:r>
              <w:rPr>
                <w:highlight w:val="none"/>
              </w:rPr>
              <w:t>按无效报价处理。</w:t>
            </w:r>
          </w:p>
        </w:tc>
      </w:tr>
      <w:tr w14:paraId="40BF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786" w:type="dxa"/>
            <w:vAlign w:val="center"/>
          </w:tcPr>
          <w:p w14:paraId="3E8FE958">
            <w:pPr>
              <w:pStyle w:val="38"/>
              <w:jc w:val="center"/>
              <w:rPr>
                <w:highlight w:val="none"/>
              </w:rPr>
            </w:pPr>
            <w:r>
              <w:rPr>
                <w:rFonts w:hint="eastAsia"/>
                <w:highlight w:val="none"/>
              </w:rPr>
              <w:t>17</w:t>
            </w:r>
          </w:p>
        </w:tc>
        <w:tc>
          <w:tcPr>
            <w:tcW w:w="1660" w:type="dxa"/>
            <w:vAlign w:val="center"/>
          </w:tcPr>
          <w:p w14:paraId="13E8A446">
            <w:pPr>
              <w:pStyle w:val="38"/>
              <w:rPr>
                <w:highlight w:val="none"/>
              </w:rPr>
            </w:pPr>
            <w:r>
              <w:rPr>
                <w:highlight w:val="none"/>
              </w:rPr>
              <w:t>响应文件形式</w:t>
            </w:r>
            <w:r>
              <w:rPr>
                <w:rFonts w:hint="eastAsia"/>
                <w:highlight w:val="none"/>
              </w:rPr>
              <w:t>、</w:t>
            </w:r>
            <w:r>
              <w:rPr>
                <w:highlight w:val="none"/>
              </w:rPr>
              <w:t>制作</w:t>
            </w:r>
          </w:p>
        </w:tc>
        <w:tc>
          <w:tcPr>
            <w:tcW w:w="6532" w:type="dxa"/>
            <w:vAlign w:val="center"/>
          </w:tcPr>
          <w:p w14:paraId="2CC34D90">
            <w:pPr>
              <w:pStyle w:val="38"/>
              <w:rPr>
                <w:highlight w:val="none"/>
              </w:rPr>
            </w:pPr>
            <w:r>
              <w:rPr>
                <w:rFonts w:hint="eastAsia"/>
                <w:highlight w:val="none"/>
              </w:rPr>
              <w:t>1.形式：电子响应文件</w:t>
            </w:r>
          </w:p>
          <w:p w14:paraId="5803A391">
            <w:pPr>
              <w:pStyle w:val="38"/>
              <w:rPr>
                <w:highlight w:val="none"/>
              </w:rPr>
            </w:pPr>
            <w:r>
              <w:rPr>
                <w:rFonts w:hint="eastAsia"/>
                <w:highlight w:val="none"/>
              </w:rPr>
              <w:t>2.制作：</w:t>
            </w:r>
          </w:p>
          <w:p w14:paraId="3CB0573F">
            <w:pPr>
              <w:pStyle w:val="38"/>
              <w:rPr>
                <w:highlight w:val="none"/>
              </w:rPr>
            </w:pPr>
            <w:r>
              <w:rPr>
                <w:rFonts w:hint="eastAsia"/>
                <w:highlight w:val="none"/>
              </w:rPr>
              <w:t>2.1政采云电子交易客户端：通过浙江政府采购网（网址：</w:t>
            </w:r>
          </w:p>
          <w:p w14:paraId="3C5CD21C">
            <w:pPr>
              <w:pStyle w:val="38"/>
              <w:rPr>
                <w:highlight w:val="none"/>
              </w:rPr>
            </w:pPr>
            <w:r>
              <w:rPr>
                <w:rFonts w:hint="eastAsia"/>
                <w:highlight w:val="none"/>
                <w:lang w:val="en-US"/>
              </w:rPr>
              <w:t>https:</w:t>
            </w:r>
            <w:r>
              <w:rPr>
                <w:highlight w:val="none"/>
              </w:rPr>
              <w:t>//zfcg.czt.zj.gov.cn/bidClientTemplate/2021-01-07/12975.html</w:t>
            </w:r>
            <w:r>
              <w:rPr>
                <w:rFonts w:hint="eastAsia"/>
                <w:highlight w:val="none"/>
              </w:rPr>
              <w:t>）-下载专区下载并安装。</w:t>
            </w:r>
          </w:p>
          <w:p w14:paraId="7CA1313D">
            <w:pPr>
              <w:pStyle w:val="38"/>
              <w:rPr>
                <w:highlight w:val="none"/>
              </w:rPr>
            </w:pPr>
            <w:r>
              <w:rPr>
                <w:rFonts w:hint="eastAsia"/>
                <w:highlight w:val="none"/>
              </w:rPr>
              <w:t>2.2响应文件制作：按照本竞争性磋商文件和政采云平台的要求</w:t>
            </w:r>
            <w:r>
              <w:rPr>
                <w:rFonts w:hint="eastAsia"/>
                <w:highlight w:val="none"/>
                <w:lang w:eastAsia="zh-CN"/>
              </w:rPr>
              <w:t>，</w:t>
            </w:r>
            <w:r>
              <w:rPr>
                <w:rFonts w:hint="eastAsia"/>
                <w:highlight w:val="none"/>
              </w:rPr>
              <w:t>通过政采云电子交易客户端制作并加密响应文件。制作响应文件</w:t>
            </w:r>
            <w:r>
              <w:rPr>
                <w:rFonts w:hint="eastAsia"/>
                <w:highlight w:val="none"/>
                <w:lang w:eastAsia="zh-CN"/>
              </w:rPr>
              <w:t>，</w:t>
            </w:r>
            <w:r>
              <w:rPr>
                <w:rFonts w:hint="eastAsia"/>
                <w:highlight w:val="none"/>
              </w:rPr>
              <w:t>具体详情请查看《【浙江省】供应商-政府采购项目电子交易操作视频》网址：</w:t>
            </w:r>
            <w:r>
              <w:rPr>
                <w:highlight w:val="none"/>
              </w:rPr>
              <w:t>https</w:t>
            </w:r>
            <w:r>
              <w:rPr>
                <w:rFonts w:hint="eastAsia"/>
                <w:highlight w:val="none"/>
              </w:rPr>
              <w:t>：</w:t>
            </w:r>
            <w:r>
              <w:rPr>
                <w:highlight w:val="none"/>
              </w:rPr>
              <w:t>//service.zcygov.cn/#/</w:t>
            </w:r>
            <w:r>
              <w:rPr>
                <w:rFonts w:hint="eastAsia"/>
                <w:highlight w:val="none"/>
              </w:rPr>
              <w:t>；电子投标具体流程文档网址：</w:t>
            </w:r>
            <w:r>
              <w:rPr>
                <w:highlight w:val="none"/>
              </w:rPr>
              <w:t>https</w:t>
            </w:r>
            <w:r>
              <w:rPr>
                <w:rFonts w:hint="eastAsia"/>
                <w:highlight w:val="none"/>
              </w:rPr>
              <w:t>：</w:t>
            </w:r>
            <w:r>
              <w:rPr>
                <w:highlight w:val="none"/>
              </w:rPr>
              <w:t>//service.zcygov.cn/#/</w:t>
            </w:r>
          </w:p>
          <w:p w14:paraId="234C2D55">
            <w:pPr>
              <w:pStyle w:val="38"/>
              <w:rPr>
                <w:rFonts w:hint="eastAsia" w:eastAsia="宋体"/>
                <w:highlight w:val="none"/>
                <w:lang w:eastAsia="zh-CN"/>
              </w:rPr>
            </w:pPr>
            <w:r>
              <w:rPr>
                <w:rFonts w:hint="eastAsia"/>
                <w:highlight w:val="none"/>
              </w:rPr>
              <w:t>2.3签章：CA电子签</w:t>
            </w:r>
            <w:r>
              <w:rPr>
                <w:rFonts w:hint="eastAsia"/>
                <w:highlight w:val="none"/>
                <w:lang w:val="en-US" w:eastAsia="zh-CN"/>
              </w:rPr>
              <w:t>章</w:t>
            </w:r>
          </w:p>
          <w:p w14:paraId="7A94987F">
            <w:pPr>
              <w:pStyle w:val="38"/>
              <w:rPr>
                <w:highlight w:val="none"/>
              </w:rPr>
            </w:pPr>
            <w:r>
              <w:rPr>
                <w:rFonts w:hint="eastAsia"/>
                <w:highlight w:val="none"/>
              </w:rPr>
              <w:t>3.幅面规格：采用A4纸规格（图页除外）</w:t>
            </w:r>
          </w:p>
        </w:tc>
      </w:tr>
      <w:tr w14:paraId="2026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86" w:type="dxa"/>
            <w:vAlign w:val="center"/>
          </w:tcPr>
          <w:p w14:paraId="1BD0721F">
            <w:pPr>
              <w:pStyle w:val="38"/>
              <w:jc w:val="center"/>
              <w:rPr>
                <w:highlight w:val="none"/>
              </w:rPr>
            </w:pPr>
            <w:r>
              <w:rPr>
                <w:rFonts w:hint="eastAsia"/>
                <w:highlight w:val="none"/>
              </w:rPr>
              <w:t>18</w:t>
            </w:r>
          </w:p>
        </w:tc>
        <w:tc>
          <w:tcPr>
            <w:tcW w:w="1660" w:type="dxa"/>
            <w:vAlign w:val="center"/>
          </w:tcPr>
          <w:p w14:paraId="6C635EE3">
            <w:pPr>
              <w:pStyle w:val="38"/>
              <w:rPr>
                <w:highlight w:val="none"/>
              </w:rPr>
            </w:pPr>
            <w:r>
              <w:rPr>
                <w:highlight w:val="none"/>
              </w:rPr>
              <w:t>提交响应文件</w:t>
            </w:r>
          </w:p>
        </w:tc>
        <w:tc>
          <w:tcPr>
            <w:tcW w:w="6532" w:type="dxa"/>
            <w:vAlign w:val="center"/>
          </w:tcPr>
          <w:p w14:paraId="1D7F9FEC">
            <w:pPr>
              <w:pStyle w:val="38"/>
              <w:rPr>
                <w:highlight w:val="none"/>
              </w:rPr>
            </w:pPr>
            <w:r>
              <w:rPr>
                <w:highlight w:val="none"/>
              </w:rPr>
              <w:t>1.截止时间：</w:t>
            </w:r>
            <w:r>
              <w:rPr>
                <w:rFonts w:hint="eastAsia"/>
                <w:highlight w:val="none"/>
                <w:lang w:eastAsia="zh-CN"/>
              </w:rPr>
              <w:t>2025年3月17日14:30时</w:t>
            </w:r>
            <w:r>
              <w:rPr>
                <w:highlight w:val="none"/>
              </w:rPr>
              <w:t>（北京时间）前完成响应文件的上传提交。响应截止时间前未完成上传的</w:t>
            </w:r>
            <w:r>
              <w:rPr>
                <w:rFonts w:hint="eastAsia"/>
                <w:highlight w:val="none"/>
                <w:lang w:eastAsia="zh-CN"/>
              </w:rPr>
              <w:t>，</w:t>
            </w:r>
            <w:r>
              <w:rPr>
                <w:highlight w:val="none"/>
              </w:rPr>
              <w:t>视为撤回响应文件。</w:t>
            </w:r>
          </w:p>
          <w:p w14:paraId="58357533">
            <w:pPr>
              <w:pStyle w:val="38"/>
              <w:rPr>
                <w:highlight w:val="none"/>
              </w:rPr>
            </w:pPr>
            <w:r>
              <w:rPr>
                <w:highlight w:val="none"/>
              </w:rPr>
              <w:t>2.地址：政采云平台。</w:t>
            </w:r>
          </w:p>
        </w:tc>
      </w:tr>
      <w:tr w14:paraId="2382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86" w:type="dxa"/>
            <w:vAlign w:val="center"/>
          </w:tcPr>
          <w:p w14:paraId="275C54AB">
            <w:pPr>
              <w:pStyle w:val="38"/>
              <w:jc w:val="center"/>
              <w:rPr>
                <w:highlight w:val="none"/>
              </w:rPr>
            </w:pPr>
            <w:r>
              <w:rPr>
                <w:rFonts w:hint="eastAsia"/>
                <w:highlight w:val="none"/>
              </w:rPr>
              <w:t>19</w:t>
            </w:r>
          </w:p>
        </w:tc>
        <w:tc>
          <w:tcPr>
            <w:tcW w:w="1660" w:type="dxa"/>
            <w:vAlign w:val="center"/>
          </w:tcPr>
          <w:p w14:paraId="762D45EC">
            <w:pPr>
              <w:pStyle w:val="38"/>
              <w:rPr>
                <w:highlight w:val="none"/>
              </w:rPr>
            </w:pPr>
            <w:r>
              <w:rPr>
                <w:highlight w:val="none"/>
              </w:rPr>
              <w:t>提交备份响应文件</w:t>
            </w:r>
          </w:p>
        </w:tc>
        <w:tc>
          <w:tcPr>
            <w:tcW w:w="6532" w:type="dxa"/>
            <w:vAlign w:val="center"/>
          </w:tcPr>
          <w:p w14:paraId="58A2573C">
            <w:pPr>
              <w:pStyle w:val="38"/>
              <w:rPr>
                <w:highlight w:val="none"/>
              </w:rPr>
            </w:pPr>
            <w:r>
              <w:rPr>
                <w:highlight w:val="none"/>
              </w:rPr>
              <w:t>供应商可以在响应截止时间前将备份响应文件（经政采云电子交易客户端和CA驱动制作出的后缀名为</w:t>
            </w:r>
            <w:r>
              <w:rPr>
                <w:rFonts w:hint="eastAsia"/>
                <w:highlight w:val="none"/>
                <w:lang w:eastAsia="zh-CN"/>
              </w:rPr>
              <w:t>“</w:t>
            </w:r>
            <w:r>
              <w:rPr>
                <w:highlight w:val="none"/>
              </w:rPr>
              <w:t>BFBS</w:t>
            </w:r>
            <w:r>
              <w:rPr>
                <w:rFonts w:hint="eastAsia"/>
                <w:highlight w:val="none"/>
                <w:lang w:eastAsia="zh-CN"/>
              </w:rPr>
              <w:t>”</w:t>
            </w:r>
            <w:r>
              <w:rPr>
                <w:highlight w:val="none"/>
              </w:rPr>
              <w:t>的加密备份投标文件）发送至邮箱：</w:t>
            </w:r>
            <w:r>
              <w:rPr>
                <w:rFonts w:hint="eastAsia"/>
                <w:highlight w:val="none"/>
                <w:lang w:eastAsia="zh-CN"/>
              </w:rPr>
              <w:t>549607085</w:t>
            </w:r>
            <w:r>
              <w:rPr>
                <w:highlight w:val="none"/>
              </w:rPr>
              <w:t>@qq.com</w:t>
            </w:r>
            <w:r>
              <w:rPr>
                <w:rFonts w:hint="eastAsia"/>
                <w:highlight w:val="none"/>
                <w:lang w:eastAsia="zh-CN"/>
              </w:rPr>
              <w:t>，</w:t>
            </w:r>
            <w:r>
              <w:rPr>
                <w:highlight w:val="none"/>
              </w:rPr>
              <w:t>邮件内容写上单位名称</w:t>
            </w:r>
            <w:r>
              <w:rPr>
                <w:rFonts w:hint="eastAsia"/>
                <w:highlight w:val="none"/>
                <w:lang w:eastAsia="zh-CN"/>
              </w:rPr>
              <w:t>，</w:t>
            </w:r>
            <w:r>
              <w:rPr>
                <w:highlight w:val="none"/>
              </w:rPr>
              <w:t>逾期发送或发错后缀名的备份响应文件将被视为无效；备份响应文件的提交不作强制要求</w:t>
            </w:r>
            <w:r>
              <w:rPr>
                <w:rFonts w:hint="eastAsia"/>
                <w:highlight w:val="none"/>
                <w:lang w:eastAsia="zh-CN"/>
              </w:rPr>
              <w:t>，</w:t>
            </w:r>
            <w:r>
              <w:rPr>
                <w:highlight w:val="none"/>
              </w:rPr>
              <w:t>若因供应商未提供备份响应文件而造成响应无效等一切后果和风险由供应商自行承担。</w:t>
            </w:r>
          </w:p>
        </w:tc>
      </w:tr>
      <w:tr w14:paraId="66A3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86" w:type="dxa"/>
            <w:vAlign w:val="center"/>
          </w:tcPr>
          <w:p w14:paraId="36C9DE56">
            <w:pPr>
              <w:pStyle w:val="38"/>
              <w:jc w:val="center"/>
              <w:rPr>
                <w:highlight w:val="none"/>
              </w:rPr>
            </w:pPr>
            <w:r>
              <w:rPr>
                <w:rFonts w:hint="eastAsia"/>
                <w:highlight w:val="none"/>
              </w:rPr>
              <w:t>20</w:t>
            </w:r>
          </w:p>
        </w:tc>
        <w:tc>
          <w:tcPr>
            <w:tcW w:w="1660" w:type="dxa"/>
            <w:vAlign w:val="center"/>
          </w:tcPr>
          <w:p w14:paraId="6F635115">
            <w:pPr>
              <w:pStyle w:val="38"/>
              <w:rPr>
                <w:highlight w:val="none"/>
              </w:rPr>
            </w:pPr>
            <w:r>
              <w:rPr>
                <w:rFonts w:hint="eastAsia"/>
                <w:highlight w:val="none"/>
              </w:rPr>
              <w:t>开标时间和地址</w:t>
            </w:r>
          </w:p>
        </w:tc>
        <w:tc>
          <w:tcPr>
            <w:tcW w:w="6532" w:type="dxa"/>
            <w:vAlign w:val="center"/>
          </w:tcPr>
          <w:p w14:paraId="63F05ED8">
            <w:pPr>
              <w:pStyle w:val="38"/>
              <w:rPr>
                <w:highlight w:val="none"/>
              </w:rPr>
            </w:pPr>
            <w:r>
              <w:rPr>
                <w:rFonts w:hint="eastAsia"/>
                <w:highlight w:val="none"/>
              </w:rPr>
              <w:t>1.时间：</w:t>
            </w:r>
            <w:r>
              <w:rPr>
                <w:rFonts w:hint="eastAsia"/>
                <w:highlight w:val="none"/>
                <w:lang w:eastAsia="zh-CN"/>
              </w:rPr>
              <w:t>2025年3月17日14:30时</w:t>
            </w:r>
            <w:r>
              <w:rPr>
                <w:rFonts w:hint="eastAsia"/>
                <w:highlight w:val="none"/>
              </w:rPr>
              <w:t>（北京时间）</w:t>
            </w:r>
          </w:p>
          <w:p w14:paraId="5DCF45BC">
            <w:pPr>
              <w:pStyle w:val="38"/>
              <w:rPr>
                <w:highlight w:val="none"/>
              </w:rPr>
            </w:pPr>
            <w:r>
              <w:rPr>
                <w:rFonts w:hint="eastAsia"/>
                <w:highlight w:val="none"/>
              </w:rPr>
              <w:t>2.地址：政采云平台</w:t>
            </w:r>
          </w:p>
          <w:p w14:paraId="10719436">
            <w:pPr>
              <w:pStyle w:val="38"/>
              <w:rPr>
                <w:highlight w:val="none"/>
              </w:rPr>
            </w:pPr>
            <w:r>
              <w:rPr>
                <w:rFonts w:hint="eastAsia"/>
                <w:highlight w:val="none"/>
              </w:rPr>
              <w:t>3.注意事项：本项目不要求供应商到开标现场开标</w:t>
            </w:r>
            <w:r>
              <w:rPr>
                <w:rFonts w:hint="eastAsia"/>
                <w:highlight w:val="none"/>
                <w:lang w:eastAsia="zh-CN"/>
              </w:rPr>
              <w:t>，</w:t>
            </w:r>
            <w:r>
              <w:rPr>
                <w:rFonts w:hint="eastAsia"/>
                <w:highlight w:val="none"/>
              </w:rPr>
              <w:t>供应商应由法定代表人或委托代理人准时在线参加。随时关注磋商进度</w:t>
            </w:r>
            <w:r>
              <w:rPr>
                <w:rFonts w:hint="eastAsia"/>
                <w:highlight w:val="none"/>
                <w:lang w:eastAsia="zh-CN"/>
              </w:rPr>
              <w:t>，</w:t>
            </w:r>
            <w:r>
              <w:rPr>
                <w:rFonts w:hint="eastAsia"/>
                <w:highlight w:val="none"/>
              </w:rPr>
              <w:t>如在磋商过程中有电子询标</w:t>
            </w:r>
            <w:r>
              <w:rPr>
                <w:rFonts w:hint="eastAsia"/>
                <w:highlight w:val="none"/>
                <w:lang w:eastAsia="zh-CN"/>
              </w:rPr>
              <w:t>，</w:t>
            </w:r>
            <w:r>
              <w:rPr>
                <w:rFonts w:hint="eastAsia"/>
                <w:highlight w:val="none"/>
              </w:rPr>
              <w:t>应在规定时间内对电子询标函进行澄清、答复。否则视同认可磋商结果</w:t>
            </w:r>
            <w:r>
              <w:rPr>
                <w:rFonts w:hint="eastAsia"/>
                <w:highlight w:val="none"/>
                <w:lang w:eastAsia="zh-CN"/>
              </w:rPr>
              <w:t>，</w:t>
            </w:r>
            <w:r>
              <w:rPr>
                <w:rFonts w:hint="eastAsia"/>
                <w:highlight w:val="none"/>
              </w:rPr>
              <w:t>不得对磋商过程及磋商结果提出质疑。</w:t>
            </w:r>
          </w:p>
        </w:tc>
      </w:tr>
      <w:tr w14:paraId="1646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6" w:type="dxa"/>
            <w:vAlign w:val="center"/>
          </w:tcPr>
          <w:p w14:paraId="0202299A">
            <w:pPr>
              <w:pStyle w:val="38"/>
              <w:jc w:val="center"/>
              <w:rPr>
                <w:highlight w:val="none"/>
              </w:rPr>
            </w:pPr>
            <w:r>
              <w:rPr>
                <w:rFonts w:hint="eastAsia"/>
                <w:highlight w:val="none"/>
              </w:rPr>
              <w:t>21</w:t>
            </w:r>
          </w:p>
        </w:tc>
        <w:tc>
          <w:tcPr>
            <w:tcW w:w="1660" w:type="dxa"/>
            <w:vAlign w:val="center"/>
          </w:tcPr>
          <w:p w14:paraId="01222794">
            <w:pPr>
              <w:pStyle w:val="38"/>
              <w:rPr>
                <w:highlight w:val="none"/>
              </w:rPr>
            </w:pPr>
            <w:r>
              <w:rPr>
                <w:highlight w:val="none"/>
              </w:rPr>
              <w:t>响应文件的效力</w:t>
            </w:r>
          </w:p>
        </w:tc>
        <w:tc>
          <w:tcPr>
            <w:tcW w:w="6532" w:type="dxa"/>
            <w:vAlign w:val="center"/>
          </w:tcPr>
          <w:p w14:paraId="297D462C">
            <w:pPr>
              <w:pStyle w:val="38"/>
              <w:rPr>
                <w:highlight w:val="none"/>
              </w:rPr>
            </w:pPr>
            <w:r>
              <w:rPr>
                <w:highlight w:val="none"/>
              </w:rPr>
              <w:t>响应文件的启用顺序</w:t>
            </w:r>
            <w:r>
              <w:rPr>
                <w:rFonts w:hint="eastAsia"/>
                <w:highlight w:val="none"/>
              </w:rPr>
              <w:t>：</w:t>
            </w:r>
            <w:r>
              <w:rPr>
                <w:highlight w:val="none"/>
              </w:rPr>
              <w:t>首先是响应文件</w:t>
            </w:r>
            <w:r>
              <w:rPr>
                <w:rFonts w:hint="eastAsia"/>
                <w:highlight w:val="none"/>
                <w:lang w:eastAsia="zh-CN"/>
              </w:rPr>
              <w:t>，</w:t>
            </w:r>
            <w:r>
              <w:rPr>
                <w:highlight w:val="none"/>
              </w:rPr>
              <w:t>其次是备份响应文件</w:t>
            </w:r>
            <w:r>
              <w:rPr>
                <w:rFonts w:hint="eastAsia"/>
                <w:highlight w:val="none"/>
              </w:rPr>
              <w:t>。因网络或者其他非供应商自身问题造成响应文件无法正常解密</w:t>
            </w:r>
            <w:r>
              <w:rPr>
                <w:rFonts w:hint="eastAsia"/>
                <w:highlight w:val="none"/>
                <w:lang w:eastAsia="zh-CN"/>
              </w:rPr>
              <w:t>，</w:t>
            </w:r>
            <w:r>
              <w:rPr>
                <w:rFonts w:hint="eastAsia"/>
                <w:highlight w:val="none"/>
              </w:rPr>
              <w:t>才能启用备份响应文件。备份响应文件一旦启用</w:t>
            </w:r>
            <w:r>
              <w:rPr>
                <w:rFonts w:hint="eastAsia"/>
                <w:highlight w:val="none"/>
                <w:lang w:eastAsia="zh-CN"/>
              </w:rPr>
              <w:t>，</w:t>
            </w:r>
            <w:r>
              <w:rPr>
                <w:rFonts w:hint="eastAsia"/>
                <w:highlight w:val="none"/>
              </w:rPr>
              <w:t>则响应文件失效</w:t>
            </w:r>
            <w:r>
              <w:rPr>
                <w:rFonts w:hint="eastAsia"/>
                <w:highlight w:val="none"/>
                <w:lang w:eastAsia="zh-CN"/>
              </w:rPr>
              <w:t>，</w:t>
            </w:r>
            <w:r>
              <w:rPr>
                <w:rFonts w:hint="eastAsia"/>
                <w:highlight w:val="none"/>
              </w:rPr>
              <w:t>不予启用。</w:t>
            </w:r>
          </w:p>
        </w:tc>
      </w:tr>
      <w:tr w14:paraId="5EC3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6" w:type="dxa"/>
            <w:vAlign w:val="center"/>
          </w:tcPr>
          <w:p w14:paraId="5F65E98F">
            <w:pPr>
              <w:pStyle w:val="38"/>
              <w:jc w:val="center"/>
              <w:rPr>
                <w:highlight w:val="none"/>
              </w:rPr>
            </w:pPr>
            <w:r>
              <w:rPr>
                <w:rFonts w:hint="eastAsia"/>
                <w:highlight w:val="none"/>
              </w:rPr>
              <w:t>22</w:t>
            </w:r>
          </w:p>
        </w:tc>
        <w:tc>
          <w:tcPr>
            <w:tcW w:w="1660" w:type="dxa"/>
            <w:vAlign w:val="center"/>
          </w:tcPr>
          <w:p w14:paraId="3C59B21C">
            <w:pPr>
              <w:pStyle w:val="38"/>
              <w:rPr>
                <w:highlight w:val="none"/>
              </w:rPr>
            </w:pPr>
            <w:r>
              <w:rPr>
                <w:highlight w:val="none"/>
              </w:rPr>
              <w:t>成交原则</w:t>
            </w:r>
          </w:p>
        </w:tc>
        <w:tc>
          <w:tcPr>
            <w:tcW w:w="6532" w:type="dxa"/>
            <w:vAlign w:val="center"/>
          </w:tcPr>
          <w:p w14:paraId="76726B5C">
            <w:pPr>
              <w:pStyle w:val="38"/>
              <w:rPr>
                <w:highlight w:val="none"/>
              </w:rPr>
            </w:pPr>
            <w:r>
              <w:rPr>
                <w:highlight w:val="none"/>
              </w:rPr>
              <w:t>从评审报告提出的成交候选供应商中</w:t>
            </w:r>
            <w:r>
              <w:rPr>
                <w:rFonts w:hint="eastAsia"/>
                <w:highlight w:val="none"/>
                <w:lang w:eastAsia="zh-CN"/>
              </w:rPr>
              <w:t>，</w:t>
            </w:r>
            <w:r>
              <w:rPr>
                <w:highlight w:val="none"/>
              </w:rPr>
              <w:t>按照综合得分由高到低的原则确定</w:t>
            </w:r>
            <w:r>
              <w:rPr>
                <w:rFonts w:hint="eastAsia"/>
                <w:highlight w:val="none"/>
              </w:rPr>
              <w:t>1个成交供应商</w:t>
            </w:r>
          </w:p>
        </w:tc>
      </w:tr>
      <w:tr w14:paraId="0058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86" w:type="dxa"/>
            <w:vAlign w:val="center"/>
          </w:tcPr>
          <w:p w14:paraId="1FC423A8">
            <w:pPr>
              <w:pStyle w:val="38"/>
              <w:jc w:val="center"/>
              <w:rPr>
                <w:highlight w:val="none"/>
              </w:rPr>
            </w:pPr>
            <w:r>
              <w:rPr>
                <w:rFonts w:hint="eastAsia"/>
                <w:highlight w:val="none"/>
              </w:rPr>
              <w:t>23</w:t>
            </w:r>
          </w:p>
        </w:tc>
        <w:tc>
          <w:tcPr>
            <w:tcW w:w="1660" w:type="dxa"/>
            <w:vAlign w:val="center"/>
          </w:tcPr>
          <w:p w14:paraId="62695918">
            <w:pPr>
              <w:pStyle w:val="38"/>
              <w:rPr>
                <w:highlight w:val="none"/>
              </w:rPr>
            </w:pPr>
            <w:r>
              <w:rPr>
                <w:rFonts w:hint="eastAsia"/>
                <w:highlight w:val="none"/>
              </w:rPr>
              <w:t>成交结果公告</w:t>
            </w:r>
          </w:p>
        </w:tc>
        <w:tc>
          <w:tcPr>
            <w:tcW w:w="6532" w:type="dxa"/>
            <w:vAlign w:val="center"/>
          </w:tcPr>
          <w:p w14:paraId="5CC15159">
            <w:pPr>
              <w:pStyle w:val="38"/>
              <w:rPr>
                <w:highlight w:val="none"/>
              </w:rPr>
            </w:pPr>
            <w:r>
              <w:rPr>
                <w:highlight w:val="none"/>
              </w:rPr>
              <w:t>在浙江政府采购网公告</w:t>
            </w:r>
            <w:r>
              <w:rPr>
                <w:rFonts w:hint="eastAsia"/>
                <w:highlight w:val="none"/>
                <w:lang w:eastAsia="zh-CN"/>
              </w:rPr>
              <w:t>，</w:t>
            </w:r>
            <w:r>
              <w:rPr>
                <w:highlight w:val="none"/>
              </w:rPr>
              <w:t>公告期限为</w:t>
            </w:r>
            <w:r>
              <w:rPr>
                <w:rFonts w:hint="eastAsia"/>
                <w:highlight w:val="none"/>
              </w:rPr>
              <w:t>1个工作日</w:t>
            </w:r>
          </w:p>
        </w:tc>
      </w:tr>
      <w:tr w14:paraId="7D88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14:paraId="76BF05E6">
            <w:pPr>
              <w:pStyle w:val="38"/>
              <w:jc w:val="center"/>
              <w:rPr>
                <w:highlight w:val="none"/>
              </w:rPr>
            </w:pPr>
            <w:r>
              <w:rPr>
                <w:rFonts w:hint="eastAsia"/>
                <w:highlight w:val="none"/>
              </w:rPr>
              <w:t>24</w:t>
            </w:r>
          </w:p>
        </w:tc>
        <w:tc>
          <w:tcPr>
            <w:tcW w:w="1660" w:type="dxa"/>
            <w:vAlign w:val="center"/>
          </w:tcPr>
          <w:p w14:paraId="76BBA83D">
            <w:pPr>
              <w:pStyle w:val="38"/>
              <w:rPr>
                <w:highlight w:val="none"/>
              </w:rPr>
            </w:pPr>
            <w:r>
              <w:rPr>
                <w:rFonts w:hint="eastAsia"/>
                <w:highlight w:val="none"/>
              </w:rPr>
              <w:t>履约保证金</w:t>
            </w:r>
          </w:p>
        </w:tc>
        <w:tc>
          <w:tcPr>
            <w:tcW w:w="6532" w:type="dxa"/>
            <w:vAlign w:val="center"/>
          </w:tcPr>
          <w:p w14:paraId="1D470FC8">
            <w:pPr>
              <w:pStyle w:val="38"/>
              <w:rPr>
                <w:rFonts w:hint="eastAsia" w:eastAsia="宋体"/>
                <w:highlight w:val="none"/>
                <w:lang w:eastAsia="zh-CN"/>
              </w:rPr>
            </w:pPr>
            <w:r>
              <w:rPr>
                <w:rFonts w:hint="eastAsia"/>
                <w:highlight w:val="none"/>
                <w:lang w:val="en-US" w:eastAsia="zh-CN"/>
              </w:rPr>
              <w:t>无</w:t>
            </w:r>
          </w:p>
        </w:tc>
      </w:tr>
      <w:tr w14:paraId="3EAE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86" w:type="dxa"/>
            <w:vAlign w:val="center"/>
          </w:tcPr>
          <w:p w14:paraId="47FAE5AB">
            <w:pPr>
              <w:pStyle w:val="38"/>
              <w:jc w:val="center"/>
              <w:rPr>
                <w:highlight w:val="none"/>
              </w:rPr>
            </w:pPr>
            <w:r>
              <w:rPr>
                <w:rFonts w:hint="eastAsia"/>
                <w:highlight w:val="none"/>
              </w:rPr>
              <w:t>25</w:t>
            </w:r>
          </w:p>
        </w:tc>
        <w:tc>
          <w:tcPr>
            <w:tcW w:w="1660" w:type="dxa"/>
            <w:vAlign w:val="center"/>
          </w:tcPr>
          <w:p w14:paraId="387A5420">
            <w:pPr>
              <w:pStyle w:val="38"/>
              <w:rPr>
                <w:highlight w:val="none"/>
              </w:rPr>
            </w:pPr>
            <w:r>
              <w:rPr>
                <w:highlight w:val="none"/>
              </w:rPr>
              <w:t>签订合同时间</w:t>
            </w:r>
          </w:p>
        </w:tc>
        <w:tc>
          <w:tcPr>
            <w:tcW w:w="6532" w:type="dxa"/>
            <w:vAlign w:val="center"/>
          </w:tcPr>
          <w:p w14:paraId="670DD802">
            <w:pPr>
              <w:pStyle w:val="38"/>
              <w:rPr>
                <w:highlight w:val="none"/>
              </w:rPr>
            </w:pPr>
            <w:r>
              <w:rPr>
                <w:highlight w:val="none"/>
              </w:rPr>
              <w:t>成交通知书发出之日起</w:t>
            </w:r>
            <w:r>
              <w:rPr>
                <w:rFonts w:hint="eastAsia"/>
                <w:highlight w:val="none"/>
              </w:rPr>
              <w:t>30日内签订政府采购合同</w:t>
            </w:r>
          </w:p>
        </w:tc>
      </w:tr>
      <w:tr w14:paraId="5F46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vAlign w:val="center"/>
          </w:tcPr>
          <w:p w14:paraId="7B197EAE">
            <w:pPr>
              <w:pStyle w:val="38"/>
              <w:jc w:val="center"/>
              <w:rPr>
                <w:highlight w:val="none"/>
              </w:rPr>
            </w:pPr>
            <w:r>
              <w:rPr>
                <w:rFonts w:hint="eastAsia"/>
                <w:highlight w:val="none"/>
              </w:rPr>
              <w:t>26</w:t>
            </w:r>
          </w:p>
        </w:tc>
        <w:tc>
          <w:tcPr>
            <w:tcW w:w="1660" w:type="dxa"/>
            <w:vAlign w:val="center"/>
          </w:tcPr>
          <w:p w14:paraId="4EAC19B4">
            <w:pPr>
              <w:pStyle w:val="38"/>
              <w:rPr>
                <w:highlight w:val="none"/>
              </w:rPr>
            </w:pPr>
            <w:r>
              <w:rPr>
                <w:rFonts w:hint="eastAsia"/>
                <w:highlight w:val="none"/>
              </w:rPr>
              <w:t>公告发布媒体</w:t>
            </w:r>
          </w:p>
        </w:tc>
        <w:tc>
          <w:tcPr>
            <w:tcW w:w="6532" w:type="dxa"/>
            <w:vAlign w:val="center"/>
          </w:tcPr>
          <w:p w14:paraId="579F2AA9">
            <w:pPr>
              <w:pStyle w:val="38"/>
              <w:rPr>
                <w:highlight w:val="none"/>
              </w:rPr>
            </w:pPr>
            <w:r>
              <w:rPr>
                <w:rFonts w:hint="eastAsia"/>
                <w:highlight w:val="none"/>
              </w:rPr>
              <w:t>浙江政府采购网</w:t>
            </w:r>
            <w:r>
              <w:rPr>
                <w:highlight w:val="none"/>
              </w:rPr>
              <w:t>（http</w:t>
            </w:r>
            <w:r>
              <w:rPr>
                <w:rFonts w:hint="eastAsia"/>
                <w:highlight w:val="none"/>
              </w:rPr>
              <w:t>：</w:t>
            </w:r>
            <w:r>
              <w:rPr>
                <w:highlight w:val="none"/>
              </w:rPr>
              <w:t>//zfcg.czt.zj.gov.cn）</w:t>
            </w:r>
          </w:p>
        </w:tc>
      </w:tr>
      <w:tr w14:paraId="332B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atLeast"/>
          <w:jc w:val="center"/>
        </w:trPr>
        <w:tc>
          <w:tcPr>
            <w:tcW w:w="786" w:type="dxa"/>
            <w:vAlign w:val="center"/>
          </w:tcPr>
          <w:p w14:paraId="68D51226">
            <w:pPr>
              <w:pStyle w:val="38"/>
              <w:jc w:val="center"/>
              <w:rPr>
                <w:highlight w:val="none"/>
              </w:rPr>
            </w:pPr>
            <w:r>
              <w:rPr>
                <w:rFonts w:hint="eastAsia"/>
                <w:highlight w:val="none"/>
              </w:rPr>
              <w:t>27</w:t>
            </w:r>
          </w:p>
        </w:tc>
        <w:tc>
          <w:tcPr>
            <w:tcW w:w="1660" w:type="dxa"/>
            <w:vAlign w:val="center"/>
          </w:tcPr>
          <w:p w14:paraId="3FF5B9DF">
            <w:pPr>
              <w:pStyle w:val="38"/>
              <w:rPr>
                <w:highlight w:val="none"/>
              </w:rPr>
            </w:pPr>
            <w:r>
              <w:rPr>
                <w:rFonts w:hint="eastAsia"/>
                <w:highlight w:val="none"/>
              </w:rPr>
              <w:t>其他补充事宜</w:t>
            </w:r>
          </w:p>
        </w:tc>
        <w:tc>
          <w:tcPr>
            <w:tcW w:w="6532" w:type="dxa"/>
            <w:vAlign w:val="center"/>
          </w:tcPr>
          <w:p w14:paraId="7D128FE3">
            <w:pPr>
              <w:pStyle w:val="38"/>
              <w:rPr>
                <w:highlight w:val="none"/>
              </w:rPr>
            </w:pPr>
            <w:r>
              <w:rPr>
                <w:highlight w:val="none"/>
              </w:rPr>
              <w:t>1.响应文件解密时供应商须打开</w:t>
            </w:r>
            <w:r>
              <w:rPr>
                <w:rFonts w:hint="eastAsia"/>
                <w:highlight w:val="none"/>
                <w:lang w:eastAsia="zh-CN"/>
              </w:rPr>
              <w:t>“</w:t>
            </w:r>
            <w:r>
              <w:rPr>
                <w:highlight w:val="none"/>
              </w:rPr>
              <w:t>政采云电子投标客户端</w:t>
            </w:r>
            <w:r>
              <w:rPr>
                <w:rFonts w:hint="eastAsia"/>
                <w:highlight w:val="none"/>
                <w:lang w:eastAsia="zh-CN"/>
              </w:rPr>
              <w:t>”</w:t>
            </w:r>
            <w:r>
              <w:rPr>
                <w:highlight w:val="none"/>
              </w:rPr>
              <w:t>进行解密</w:t>
            </w:r>
            <w:r>
              <w:rPr>
                <w:rFonts w:hint="eastAsia"/>
                <w:highlight w:val="none"/>
                <w:lang w:eastAsia="zh-CN"/>
              </w:rPr>
              <w:t>，</w:t>
            </w:r>
            <w:r>
              <w:rPr>
                <w:highlight w:val="none"/>
              </w:rPr>
              <w:t>使用解密的CA和加密的CA必须是同一把</w:t>
            </w:r>
            <w:r>
              <w:rPr>
                <w:rFonts w:hint="eastAsia"/>
                <w:highlight w:val="none"/>
                <w:lang w:eastAsia="zh-CN"/>
              </w:rPr>
              <w:t>，</w:t>
            </w:r>
            <w:r>
              <w:rPr>
                <w:highlight w:val="none"/>
              </w:rPr>
              <w:t>在开始解密后30分钟内完成响应文件解密。若因供应商自身原因造成响应文件无法解密读取的</w:t>
            </w:r>
            <w:r>
              <w:rPr>
                <w:rFonts w:hint="eastAsia"/>
                <w:highlight w:val="none"/>
                <w:lang w:eastAsia="zh-CN"/>
              </w:rPr>
              <w:t>，</w:t>
            </w:r>
            <w:r>
              <w:rPr>
                <w:highlight w:val="none"/>
              </w:rPr>
              <w:t>取消磋商资格。</w:t>
            </w:r>
          </w:p>
          <w:p w14:paraId="575BE0B9">
            <w:pPr>
              <w:pStyle w:val="38"/>
              <w:rPr>
                <w:highlight w:val="none"/>
              </w:rPr>
            </w:pPr>
            <w:r>
              <w:rPr>
                <w:highlight w:val="none"/>
              </w:rPr>
              <w:t>2.CA证书办理：CA驱动和申领流程</w:t>
            </w:r>
            <w:r>
              <w:rPr>
                <w:rFonts w:hint="eastAsia"/>
                <w:highlight w:val="none"/>
                <w:lang w:eastAsia="zh-CN"/>
              </w:rPr>
              <w:t>，</w:t>
            </w:r>
            <w:r>
              <w:rPr>
                <w:highlight w:val="none"/>
              </w:rPr>
              <w:t>登录浙江政府采购网-下载专区-政采云电子交易客户端版块（网址：http</w:t>
            </w:r>
            <w:r>
              <w:rPr>
                <w:rFonts w:hint="eastAsia"/>
                <w:highlight w:val="none"/>
              </w:rPr>
              <w:t>：</w:t>
            </w:r>
            <w:r>
              <w:rPr>
                <w:highlight w:val="none"/>
              </w:rPr>
              <w:t>//zfcg.czt.zj.gov.cn/bidClientTemplate/2019-05-27/12945.html）。潜在供应商应在响应文件提交截止前完成CA数字证书办理</w:t>
            </w:r>
            <w:r>
              <w:rPr>
                <w:rFonts w:hint="eastAsia"/>
                <w:highlight w:val="none"/>
                <w:lang w:eastAsia="zh-CN"/>
              </w:rPr>
              <w:t>，</w:t>
            </w:r>
            <w:r>
              <w:rPr>
                <w:highlight w:val="none"/>
              </w:rPr>
              <w:t>完成CA证书办理预计7天左右</w:t>
            </w:r>
            <w:r>
              <w:rPr>
                <w:rFonts w:hint="eastAsia"/>
                <w:highlight w:val="none"/>
                <w:lang w:eastAsia="zh-CN"/>
              </w:rPr>
              <w:t>，</w:t>
            </w:r>
            <w:r>
              <w:rPr>
                <w:highlight w:val="none"/>
              </w:rPr>
              <w:t>建议潜在供应商抓紧时间办理。因未注册入库、未办理CA数字证书等原因造成无法参加本次采购活动或投标失败等后果由潜在供应商自行承担。</w:t>
            </w:r>
          </w:p>
          <w:p w14:paraId="25B884A3">
            <w:pPr>
              <w:pStyle w:val="38"/>
              <w:rPr>
                <w:highlight w:val="none"/>
              </w:rPr>
            </w:pPr>
            <w:r>
              <w:rPr>
                <w:highlight w:val="none"/>
              </w:rPr>
              <w:t>3.本项目采购活动全流程实行电子化</w:t>
            </w:r>
            <w:r>
              <w:rPr>
                <w:rFonts w:hint="eastAsia"/>
                <w:highlight w:val="none"/>
                <w:lang w:eastAsia="zh-CN"/>
              </w:rPr>
              <w:t>，</w:t>
            </w:r>
            <w:r>
              <w:rPr>
                <w:highlight w:val="none"/>
              </w:rPr>
              <w:t>在使用系统进行投标的过程中遇到涉及平台使用的任何问题</w:t>
            </w:r>
            <w:r>
              <w:rPr>
                <w:rFonts w:hint="eastAsia"/>
                <w:highlight w:val="none"/>
                <w:lang w:eastAsia="zh-CN"/>
              </w:rPr>
              <w:t>，</w:t>
            </w:r>
            <w:r>
              <w:rPr>
                <w:highlight w:val="none"/>
              </w:rPr>
              <w:t>致电政采云平台技术支持咨询（电话</w:t>
            </w:r>
            <w:r>
              <w:rPr>
                <w:rFonts w:hint="eastAsia"/>
                <w:highlight w:val="none"/>
                <w:lang w:val="en-US" w:eastAsia="zh-CN"/>
              </w:rPr>
              <w:t>95763</w:t>
            </w:r>
            <w:r>
              <w:rPr>
                <w:highlight w:val="none"/>
              </w:rPr>
              <w:t>）。</w:t>
            </w:r>
          </w:p>
        </w:tc>
      </w:tr>
      <w:tr w14:paraId="2F46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6" w:type="dxa"/>
            <w:vAlign w:val="center"/>
          </w:tcPr>
          <w:p w14:paraId="7E05CE77">
            <w:pPr>
              <w:pStyle w:val="38"/>
              <w:jc w:val="center"/>
              <w:rPr>
                <w:highlight w:val="none"/>
              </w:rPr>
            </w:pPr>
            <w:r>
              <w:rPr>
                <w:rFonts w:hint="eastAsia"/>
                <w:highlight w:val="none"/>
              </w:rPr>
              <w:t>28</w:t>
            </w:r>
          </w:p>
        </w:tc>
        <w:tc>
          <w:tcPr>
            <w:tcW w:w="1660" w:type="dxa"/>
            <w:vAlign w:val="center"/>
          </w:tcPr>
          <w:p w14:paraId="2110B080">
            <w:pPr>
              <w:pStyle w:val="38"/>
              <w:rPr>
                <w:highlight w:val="none"/>
              </w:rPr>
            </w:pPr>
            <w:r>
              <w:rPr>
                <w:rFonts w:hint="eastAsia"/>
                <w:highlight w:val="none"/>
              </w:rPr>
              <w:t>解释权</w:t>
            </w:r>
          </w:p>
        </w:tc>
        <w:tc>
          <w:tcPr>
            <w:tcW w:w="6532" w:type="dxa"/>
            <w:vAlign w:val="center"/>
          </w:tcPr>
          <w:p w14:paraId="2859936D">
            <w:pPr>
              <w:pStyle w:val="38"/>
              <w:rPr>
                <w:highlight w:val="none"/>
              </w:rPr>
            </w:pPr>
            <w:r>
              <w:rPr>
                <w:rFonts w:hint="eastAsia"/>
                <w:highlight w:val="none"/>
              </w:rPr>
              <w:t>本招标文件的解释权属于采购人</w:t>
            </w:r>
          </w:p>
        </w:tc>
      </w:tr>
      <w:tr w14:paraId="4350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786" w:type="dxa"/>
            <w:vAlign w:val="center"/>
          </w:tcPr>
          <w:p w14:paraId="0EC3C261">
            <w:pPr>
              <w:pStyle w:val="38"/>
              <w:jc w:val="center"/>
              <w:rPr>
                <w:highlight w:val="none"/>
              </w:rPr>
            </w:pPr>
            <w:r>
              <w:rPr>
                <w:rFonts w:hint="eastAsia"/>
                <w:highlight w:val="none"/>
              </w:rPr>
              <w:t>29</w:t>
            </w:r>
          </w:p>
        </w:tc>
        <w:tc>
          <w:tcPr>
            <w:tcW w:w="1660" w:type="dxa"/>
            <w:vAlign w:val="center"/>
          </w:tcPr>
          <w:p w14:paraId="05BAEE6F">
            <w:pPr>
              <w:pStyle w:val="38"/>
              <w:rPr>
                <w:highlight w:val="none"/>
              </w:rPr>
            </w:pPr>
            <w:r>
              <w:rPr>
                <w:rFonts w:hint="eastAsia"/>
                <w:highlight w:val="none"/>
              </w:rPr>
              <w:t>备注</w:t>
            </w:r>
          </w:p>
        </w:tc>
        <w:tc>
          <w:tcPr>
            <w:tcW w:w="6532" w:type="dxa"/>
            <w:vAlign w:val="center"/>
          </w:tcPr>
          <w:p w14:paraId="31F3E0DE">
            <w:pPr>
              <w:pStyle w:val="38"/>
              <w:rPr>
                <w:highlight w:val="none"/>
              </w:rPr>
            </w:pPr>
            <w:r>
              <w:rPr>
                <w:rFonts w:hint="eastAsia"/>
                <w:highlight w:val="none"/>
              </w:rPr>
              <w:t>成交供应商应在中标公告发出后领取成交通知书前提供与电子投标文件内容一致的纸质投标文件一正二副</w:t>
            </w:r>
            <w:r>
              <w:rPr>
                <w:rFonts w:hint="eastAsia"/>
                <w:highlight w:val="none"/>
                <w:lang w:eastAsia="zh-CN"/>
              </w:rPr>
              <w:t>，</w:t>
            </w:r>
            <w:r>
              <w:rPr>
                <w:rFonts w:hint="eastAsia"/>
                <w:highlight w:val="none"/>
              </w:rPr>
              <w:t>装订成册</w:t>
            </w:r>
            <w:r>
              <w:rPr>
                <w:rFonts w:hint="eastAsia"/>
                <w:highlight w:val="none"/>
                <w:lang w:eastAsia="zh-CN"/>
              </w:rPr>
              <w:t>，</w:t>
            </w:r>
            <w:r>
              <w:rPr>
                <w:rFonts w:hint="eastAsia"/>
                <w:highlight w:val="none"/>
              </w:rPr>
              <w:t>采用胶订或线订</w:t>
            </w:r>
            <w:r>
              <w:rPr>
                <w:rFonts w:hint="eastAsia"/>
                <w:highlight w:val="none"/>
                <w:lang w:eastAsia="zh-CN"/>
              </w:rPr>
              <w:t>，</w:t>
            </w:r>
            <w:r>
              <w:rPr>
                <w:rFonts w:hint="eastAsia"/>
                <w:highlight w:val="none"/>
              </w:rPr>
              <w:t>不得采用活页夹等可随时拆换的方式装订。（胶订或线订以外装订形式视为活页装订）</w:t>
            </w:r>
            <w:r>
              <w:rPr>
                <w:rFonts w:hint="eastAsia"/>
                <w:highlight w:val="none"/>
                <w:lang w:eastAsia="zh-CN"/>
              </w:rPr>
              <w:t>，</w:t>
            </w:r>
            <w:r>
              <w:rPr>
                <w:rFonts w:hint="eastAsia"/>
                <w:highlight w:val="none"/>
              </w:rPr>
              <w:t>邮寄至招标代理机构。</w:t>
            </w:r>
          </w:p>
          <w:p w14:paraId="0230E4FC">
            <w:pPr>
              <w:pStyle w:val="38"/>
              <w:rPr>
                <w:highlight w:val="none"/>
              </w:rPr>
            </w:pPr>
            <w:r>
              <w:rPr>
                <w:rFonts w:hint="eastAsia"/>
                <w:highlight w:val="none"/>
              </w:rPr>
              <w:t>邮寄地址：衢州市</w:t>
            </w:r>
            <w:r>
              <w:rPr>
                <w:rFonts w:hint="eastAsia"/>
                <w:highlight w:val="none"/>
                <w:lang w:eastAsia="zh-CN"/>
              </w:rPr>
              <w:t>龙游县东华街道永安路60号，</w:t>
            </w:r>
            <w:r>
              <w:rPr>
                <w:rFonts w:hint="eastAsia"/>
                <w:highlight w:val="none"/>
              </w:rPr>
              <w:t>接收人：李女士</w:t>
            </w:r>
            <w:r>
              <w:rPr>
                <w:rFonts w:hint="eastAsia"/>
                <w:highlight w:val="none"/>
                <w:lang w:eastAsia="zh-CN"/>
              </w:rPr>
              <w:t>，</w:t>
            </w:r>
            <w:r>
              <w:rPr>
                <w:rFonts w:hint="eastAsia"/>
                <w:highlight w:val="none"/>
              </w:rPr>
              <w:t>电话：15968860235）</w:t>
            </w:r>
          </w:p>
        </w:tc>
      </w:tr>
    </w:tbl>
    <w:p w14:paraId="532E833E">
      <w:pPr>
        <w:ind w:firstLine="480"/>
        <w:rPr>
          <w:highlight w:val="none"/>
        </w:rPr>
      </w:pPr>
    </w:p>
    <w:p w14:paraId="42EC6441">
      <w:pPr>
        <w:ind w:firstLine="480"/>
        <w:rPr>
          <w:highlight w:val="none"/>
        </w:rPr>
      </w:pPr>
      <w:r>
        <w:rPr>
          <w:highlight w:val="none"/>
        </w:rPr>
        <w:br w:type="page"/>
      </w:r>
    </w:p>
    <w:p w14:paraId="0394B7FB">
      <w:pPr>
        <w:pStyle w:val="4"/>
        <w:rPr>
          <w:highlight w:val="none"/>
        </w:rPr>
      </w:pPr>
      <w:bookmarkStart w:id="90" w:name="_Toc1148"/>
      <w:bookmarkStart w:id="91" w:name="_Toc27554"/>
      <w:bookmarkStart w:id="92" w:name="_Toc28771"/>
      <w:bookmarkStart w:id="93" w:name="_Toc3667"/>
      <w:bookmarkStart w:id="94" w:name="_Toc20580"/>
      <w:bookmarkStart w:id="95" w:name="_Toc2761"/>
      <w:bookmarkStart w:id="96" w:name="_Toc18568"/>
      <w:bookmarkStart w:id="97" w:name="_Toc29815"/>
      <w:r>
        <w:rPr>
          <w:rFonts w:hint="eastAsia"/>
          <w:highlight w:val="none"/>
        </w:rPr>
        <w:t>第三</w:t>
      </w:r>
      <w:r>
        <w:rPr>
          <w:highlight w:val="none"/>
        </w:rPr>
        <w:t xml:space="preserve">章 </w:t>
      </w:r>
      <w:r>
        <w:rPr>
          <w:rFonts w:hint="eastAsia"/>
          <w:highlight w:val="none"/>
        </w:rPr>
        <w:t xml:space="preserve"> 投标人须知</w:t>
      </w:r>
      <w:bookmarkEnd w:id="90"/>
      <w:bookmarkEnd w:id="91"/>
      <w:bookmarkEnd w:id="92"/>
      <w:bookmarkEnd w:id="93"/>
      <w:bookmarkEnd w:id="94"/>
      <w:bookmarkEnd w:id="95"/>
      <w:bookmarkEnd w:id="96"/>
      <w:bookmarkEnd w:id="97"/>
    </w:p>
    <w:p w14:paraId="6B5446B5">
      <w:pPr>
        <w:pStyle w:val="5"/>
        <w:rPr>
          <w:highlight w:val="none"/>
        </w:rPr>
      </w:pPr>
      <w:bookmarkStart w:id="98" w:name="_Toc24478"/>
      <w:bookmarkStart w:id="99" w:name="_Toc22729"/>
      <w:bookmarkStart w:id="100" w:name="_Toc19715"/>
      <w:bookmarkStart w:id="101" w:name="_Toc22312"/>
      <w:bookmarkStart w:id="102" w:name="_Toc13238"/>
      <w:bookmarkStart w:id="103" w:name="_Toc7425"/>
      <w:bookmarkStart w:id="104" w:name="_Toc25996"/>
      <w:bookmarkStart w:id="105" w:name="_Toc15292"/>
      <w:bookmarkStart w:id="106" w:name="_Toc22382"/>
      <w:bookmarkStart w:id="107" w:name="_Toc30649"/>
      <w:bookmarkStart w:id="108" w:name="_Toc18083"/>
      <w:bookmarkStart w:id="109" w:name="_Toc25730"/>
      <w:bookmarkStart w:id="110" w:name="_Toc17098"/>
      <w:bookmarkStart w:id="111" w:name="_Toc11674"/>
      <w:bookmarkStart w:id="112" w:name="_Toc16257"/>
      <w:bookmarkStart w:id="113" w:name="_Toc2431"/>
      <w:bookmarkStart w:id="114" w:name="_Toc31559"/>
      <w:bookmarkStart w:id="115" w:name="_Toc7852"/>
      <w:bookmarkStart w:id="116" w:name="_Toc15985"/>
      <w:bookmarkStart w:id="117" w:name="_Toc391298955"/>
      <w:bookmarkStart w:id="118" w:name="_Toc15313"/>
      <w:bookmarkStart w:id="119" w:name="_Toc24419"/>
      <w:bookmarkStart w:id="120" w:name="_Toc26891"/>
      <w:bookmarkStart w:id="121" w:name="_Toc14696"/>
      <w:bookmarkStart w:id="122" w:name="_Toc4981"/>
      <w:bookmarkStart w:id="123" w:name="_Toc17365"/>
      <w:bookmarkStart w:id="124" w:name="_Toc17243"/>
      <w:bookmarkStart w:id="125" w:name="_Toc11310"/>
      <w:bookmarkStart w:id="126" w:name="_Toc4681"/>
      <w:bookmarkStart w:id="127" w:name="_Toc3699"/>
      <w:r>
        <w:rPr>
          <w:rFonts w:hint="eastAsia"/>
          <w:highlight w:val="none"/>
        </w:rPr>
        <w:t>一、</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hint="eastAsia"/>
          <w:highlight w:val="none"/>
        </w:rPr>
        <w:t>总则</w:t>
      </w:r>
      <w:bookmarkEnd w:id="120"/>
      <w:bookmarkEnd w:id="121"/>
      <w:bookmarkEnd w:id="122"/>
      <w:bookmarkEnd w:id="123"/>
      <w:bookmarkEnd w:id="124"/>
      <w:bookmarkEnd w:id="125"/>
      <w:bookmarkEnd w:id="126"/>
      <w:bookmarkEnd w:id="127"/>
    </w:p>
    <w:p w14:paraId="1DCC2250">
      <w:pPr>
        <w:ind w:firstLine="480"/>
        <w:rPr>
          <w:highlight w:val="none"/>
        </w:rPr>
      </w:pPr>
      <w:r>
        <w:rPr>
          <w:rFonts w:hint="eastAsia"/>
          <w:highlight w:val="none"/>
        </w:rPr>
        <w:t>1.编制依据</w:t>
      </w:r>
    </w:p>
    <w:p w14:paraId="681965A0">
      <w:pPr>
        <w:ind w:firstLine="480"/>
        <w:rPr>
          <w:highlight w:val="none"/>
        </w:rPr>
      </w:pPr>
      <w:r>
        <w:rPr>
          <w:rFonts w:hint="eastAsia"/>
          <w:highlight w:val="none"/>
        </w:rPr>
        <w:t>根据《中华人民共和国政府采购法》《中华人民共和国政府采购法实施条例》《政府采购货物和服务招标投标管理办法》（财政部令第87号）等有关政府采购管理的规定</w:t>
      </w:r>
      <w:r>
        <w:rPr>
          <w:rFonts w:hint="eastAsia"/>
          <w:highlight w:val="none"/>
          <w:lang w:eastAsia="zh-CN"/>
        </w:rPr>
        <w:t>，</w:t>
      </w:r>
      <w:r>
        <w:rPr>
          <w:rFonts w:hint="eastAsia"/>
          <w:highlight w:val="none"/>
        </w:rPr>
        <w:t>编制本招标文件。</w:t>
      </w:r>
    </w:p>
    <w:p w14:paraId="3CC5D608">
      <w:pPr>
        <w:ind w:firstLine="480"/>
        <w:rPr>
          <w:highlight w:val="none"/>
        </w:rPr>
      </w:pPr>
      <w:r>
        <w:rPr>
          <w:rFonts w:hint="eastAsia"/>
          <w:highlight w:val="none"/>
        </w:rPr>
        <w:t>2.定义</w:t>
      </w:r>
    </w:p>
    <w:p w14:paraId="40CBB708">
      <w:pPr>
        <w:ind w:firstLine="480"/>
        <w:rPr>
          <w:highlight w:val="none"/>
          <w:lang w:val="zh-CN"/>
        </w:rPr>
      </w:pPr>
      <w:r>
        <w:rPr>
          <w:rFonts w:hint="eastAsia"/>
          <w:highlight w:val="none"/>
        </w:rPr>
        <w:t>2.1</w:t>
      </w:r>
      <w:r>
        <w:rPr>
          <w:rFonts w:hint="eastAsia"/>
          <w:highlight w:val="none"/>
          <w:lang w:eastAsia="zh-CN"/>
        </w:rPr>
        <w:t>“</w:t>
      </w:r>
      <w:r>
        <w:rPr>
          <w:rFonts w:hint="eastAsia"/>
          <w:highlight w:val="none"/>
          <w:lang w:val="zh-CN"/>
        </w:rPr>
        <w:t>采购人”系指“</w:t>
      </w:r>
      <w:r>
        <w:rPr>
          <w:rFonts w:hint="eastAsia"/>
          <w:highlight w:val="none"/>
          <w:lang w:eastAsia="zh-CN"/>
        </w:rPr>
        <w:t>龙游县人民政府办公室（龙游县数据局）</w:t>
      </w:r>
      <w:r>
        <w:rPr>
          <w:rFonts w:hint="eastAsia"/>
          <w:highlight w:val="none"/>
          <w:lang w:val="zh-CN"/>
        </w:rPr>
        <w:t>”。</w:t>
      </w:r>
    </w:p>
    <w:p w14:paraId="5929A20E">
      <w:pPr>
        <w:ind w:firstLine="480"/>
        <w:rPr>
          <w:highlight w:val="none"/>
        </w:rPr>
      </w:pPr>
      <w:r>
        <w:rPr>
          <w:rFonts w:hint="eastAsia"/>
          <w:highlight w:val="none"/>
        </w:rPr>
        <w:t>2.2</w:t>
      </w:r>
      <w:r>
        <w:rPr>
          <w:rFonts w:hint="eastAsia"/>
          <w:highlight w:val="none"/>
          <w:lang w:eastAsia="zh-CN"/>
        </w:rPr>
        <w:t>“</w:t>
      </w:r>
      <w:r>
        <w:rPr>
          <w:rFonts w:hint="eastAsia"/>
          <w:highlight w:val="none"/>
          <w:lang w:val="zh-CN"/>
        </w:rPr>
        <w:t>投标人</w:t>
      </w:r>
      <w:r>
        <w:rPr>
          <w:rFonts w:hint="eastAsia"/>
          <w:highlight w:val="none"/>
          <w:lang w:eastAsia="zh-CN"/>
        </w:rPr>
        <w:t>”</w:t>
      </w:r>
      <w:r>
        <w:rPr>
          <w:rFonts w:hint="eastAsia"/>
          <w:highlight w:val="none"/>
        </w:rPr>
        <w:t>系指向</w:t>
      </w:r>
      <w:r>
        <w:rPr>
          <w:rFonts w:hint="eastAsia"/>
          <w:highlight w:val="none"/>
          <w:lang w:val="zh-CN"/>
        </w:rPr>
        <w:t>采购人</w:t>
      </w:r>
      <w:r>
        <w:rPr>
          <w:rFonts w:hint="eastAsia"/>
          <w:highlight w:val="none"/>
        </w:rPr>
        <w:t>提交</w:t>
      </w:r>
      <w:r>
        <w:rPr>
          <w:rFonts w:hint="eastAsia"/>
          <w:highlight w:val="none"/>
          <w:lang w:val="zh-CN"/>
        </w:rPr>
        <w:t>磋商响应</w:t>
      </w:r>
      <w:r>
        <w:rPr>
          <w:rFonts w:hint="eastAsia"/>
          <w:highlight w:val="none"/>
        </w:rPr>
        <w:t>文件的供应商。</w:t>
      </w:r>
    </w:p>
    <w:p w14:paraId="2FC10124">
      <w:pPr>
        <w:ind w:firstLine="480"/>
        <w:rPr>
          <w:highlight w:val="none"/>
        </w:rPr>
      </w:pPr>
      <w:r>
        <w:rPr>
          <w:rFonts w:hint="eastAsia"/>
          <w:highlight w:val="none"/>
        </w:rPr>
        <w:t>2.3</w:t>
      </w:r>
      <w:r>
        <w:rPr>
          <w:rFonts w:hint="eastAsia"/>
          <w:highlight w:val="none"/>
          <w:lang w:val="zh-CN"/>
        </w:rPr>
        <w:t>“采购代理机构”系指“</w:t>
      </w:r>
      <w:r>
        <w:rPr>
          <w:rFonts w:hint="eastAsia"/>
          <w:highlight w:val="none"/>
        </w:rPr>
        <w:t>龙游久圆工程管理有限公司</w:t>
      </w:r>
      <w:r>
        <w:rPr>
          <w:rFonts w:hint="eastAsia"/>
          <w:highlight w:val="none"/>
          <w:lang w:val="zh-CN"/>
        </w:rPr>
        <w:t>”。</w:t>
      </w:r>
    </w:p>
    <w:p w14:paraId="3910CD05">
      <w:pPr>
        <w:ind w:firstLine="480"/>
        <w:rPr>
          <w:highlight w:val="none"/>
          <w:lang w:val="zh-CN"/>
        </w:rPr>
      </w:pPr>
      <w:r>
        <w:rPr>
          <w:rFonts w:hint="eastAsia"/>
          <w:highlight w:val="none"/>
        </w:rPr>
        <w:t>2.4</w:t>
      </w:r>
      <w:r>
        <w:rPr>
          <w:rFonts w:hint="eastAsia"/>
          <w:highlight w:val="none"/>
          <w:lang w:val="zh-CN"/>
        </w:rPr>
        <w:t>“服务”系指按本磋商响应文件规定，成交供应商须承担的</w:t>
      </w:r>
      <w:r>
        <w:rPr>
          <w:rFonts w:hint="eastAsia"/>
          <w:highlight w:val="none"/>
          <w:lang w:val="en-US" w:eastAsia="zh-CN"/>
        </w:rPr>
        <w:t>龙游县电子政务外网网络数据安全运维服务项目</w:t>
      </w:r>
      <w:r>
        <w:rPr>
          <w:rFonts w:hint="eastAsia"/>
          <w:highlight w:val="none"/>
          <w:lang w:val="zh-CN"/>
        </w:rPr>
        <w:t>工作。</w:t>
      </w:r>
    </w:p>
    <w:p w14:paraId="032385C3">
      <w:pPr>
        <w:ind w:firstLine="480"/>
        <w:rPr>
          <w:highlight w:val="none"/>
        </w:rPr>
      </w:pPr>
      <w:r>
        <w:rPr>
          <w:rFonts w:hint="eastAsia"/>
          <w:highlight w:val="none"/>
          <w:lang w:val="zh-CN"/>
        </w:rPr>
        <w:t>“</w:t>
      </w:r>
      <w:r>
        <w:rPr>
          <w:rFonts w:hint="eastAsia"/>
          <w:highlight w:val="none"/>
        </w:rPr>
        <w:t>▲</w:t>
      </w:r>
      <w:r>
        <w:rPr>
          <w:rFonts w:hint="eastAsia"/>
          <w:highlight w:val="none"/>
          <w:lang w:val="zh-CN"/>
        </w:rPr>
        <w:t>”系指按本磋商响应文件要求投标人必须实质性响应的条款，有任何一项缺失或非实质性响应即刻取消其磋商资格。</w:t>
      </w:r>
      <w:r>
        <w:rPr>
          <w:rFonts w:hint="eastAsia"/>
          <w:highlight w:val="none"/>
        </w:rPr>
        <w:t>供应商自行承担其参加磋商所涉及的一切费用。</w:t>
      </w:r>
    </w:p>
    <w:p w14:paraId="5760B82F">
      <w:pPr>
        <w:ind w:firstLine="480"/>
        <w:rPr>
          <w:highlight w:val="none"/>
        </w:rPr>
      </w:pPr>
      <w:r>
        <w:rPr>
          <w:highlight w:val="none"/>
        </w:rPr>
        <w:t>3.采购方式</w:t>
      </w:r>
    </w:p>
    <w:p w14:paraId="064519C0">
      <w:pPr>
        <w:ind w:firstLine="480"/>
        <w:rPr>
          <w:highlight w:val="none"/>
        </w:rPr>
      </w:pPr>
      <w:r>
        <w:rPr>
          <w:highlight w:val="none"/>
        </w:rPr>
        <w:t>3.1采购组织形式分散采购委托代理。</w:t>
      </w:r>
    </w:p>
    <w:p w14:paraId="2AEAEF5E">
      <w:pPr>
        <w:ind w:firstLine="480"/>
        <w:rPr>
          <w:highlight w:val="none"/>
        </w:rPr>
      </w:pPr>
      <w:r>
        <w:rPr>
          <w:highlight w:val="none"/>
        </w:rPr>
        <w:t>3.2采取竞争性磋商。</w:t>
      </w:r>
    </w:p>
    <w:p w14:paraId="7877B224">
      <w:pPr>
        <w:ind w:firstLine="480"/>
        <w:rPr>
          <w:highlight w:val="none"/>
        </w:rPr>
      </w:pPr>
      <w:r>
        <w:rPr>
          <w:highlight w:val="none"/>
        </w:rPr>
        <w:t>4.▲合格的供应商</w:t>
      </w:r>
    </w:p>
    <w:p w14:paraId="32CDCF44">
      <w:pPr>
        <w:ind w:firstLine="480"/>
        <w:rPr>
          <w:highlight w:val="none"/>
        </w:rPr>
      </w:pPr>
      <w:r>
        <w:rPr>
          <w:highlight w:val="none"/>
        </w:rPr>
        <w:t>合格的供应商应具备以下条件：</w:t>
      </w:r>
    </w:p>
    <w:p w14:paraId="03CF4C03">
      <w:pPr>
        <w:ind w:firstLine="480"/>
        <w:rPr>
          <w:highlight w:val="none"/>
        </w:rPr>
      </w:pPr>
      <w:r>
        <w:rPr>
          <w:highlight w:val="none"/>
        </w:rPr>
        <w:t>4.1具备法律法规和本采购文件规定的资格条件；</w:t>
      </w:r>
    </w:p>
    <w:p w14:paraId="1DA618B7">
      <w:pPr>
        <w:ind w:firstLine="480"/>
        <w:rPr>
          <w:highlight w:val="none"/>
        </w:rPr>
      </w:pPr>
      <w:r>
        <w:rPr>
          <w:highlight w:val="none"/>
        </w:rPr>
        <w:t>4.</w:t>
      </w:r>
      <w:r>
        <w:rPr>
          <w:rFonts w:hint="eastAsia"/>
          <w:highlight w:val="none"/>
        </w:rPr>
        <w:t>2</w:t>
      </w:r>
      <w:r>
        <w:rPr>
          <w:highlight w:val="none"/>
        </w:rPr>
        <w:t>不属于限制参加本项目采购活动的投标人；</w:t>
      </w:r>
    </w:p>
    <w:p w14:paraId="5FB93E53">
      <w:pPr>
        <w:ind w:firstLine="480"/>
        <w:rPr>
          <w:highlight w:val="none"/>
        </w:rPr>
      </w:pPr>
      <w:r>
        <w:rPr>
          <w:rFonts w:hint="eastAsia"/>
          <w:highlight w:val="none"/>
        </w:rPr>
        <w:t>4.3</w:t>
      </w:r>
      <w:r>
        <w:rPr>
          <w:highlight w:val="none"/>
        </w:rPr>
        <w:t>按照规定获取了磋商文件</w:t>
      </w:r>
      <w:r>
        <w:rPr>
          <w:rFonts w:hint="eastAsia"/>
          <w:highlight w:val="none"/>
          <w:lang w:eastAsia="zh-CN"/>
        </w:rPr>
        <w:t>，</w:t>
      </w:r>
      <w:r>
        <w:rPr>
          <w:highlight w:val="none"/>
        </w:rPr>
        <w:t>属于实质性参加政府采购活动的供应商。</w:t>
      </w:r>
    </w:p>
    <w:p w14:paraId="3C1944BD">
      <w:pPr>
        <w:ind w:firstLine="480"/>
        <w:rPr>
          <w:highlight w:val="none"/>
        </w:rPr>
      </w:pPr>
      <w:r>
        <w:rPr>
          <w:highlight w:val="none"/>
        </w:rPr>
        <w:t>5.回避制度</w:t>
      </w:r>
    </w:p>
    <w:p w14:paraId="4EBA6211">
      <w:pPr>
        <w:ind w:firstLine="480"/>
        <w:rPr>
          <w:highlight w:val="none"/>
        </w:rPr>
      </w:pPr>
      <w:r>
        <w:rPr>
          <w:highlight w:val="none"/>
        </w:rPr>
        <w:t>5.1单位负责人为同一人或者存在直接控股、管理关系的不同供应商</w:t>
      </w:r>
      <w:r>
        <w:rPr>
          <w:rFonts w:hint="eastAsia"/>
          <w:highlight w:val="none"/>
          <w:lang w:eastAsia="zh-CN"/>
        </w:rPr>
        <w:t>，</w:t>
      </w:r>
      <w:r>
        <w:rPr>
          <w:highlight w:val="none"/>
        </w:rPr>
        <w:t>不得参加同一合同项下的政府采购活动。</w:t>
      </w:r>
    </w:p>
    <w:p w14:paraId="3CA4AC2F">
      <w:pPr>
        <w:ind w:firstLine="480"/>
        <w:rPr>
          <w:highlight w:val="none"/>
        </w:rPr>
      </w:pPr>
      <w:r>
        <w:rPr>
          <w:highlight w:val="none"/>
        </w:rPr>
        <w:t>5.2政府采购活动中</w:t>
      </w:r>
      <w:r>
        <w:rPr>
          <w:rFonts w:hint="eastAsia"/>
          <w:highlight w:val="none"/>
          <w:lang w:eastAsia="zh-CN"/>
        </w:rPr>
        <w:t>，</w:t>
      </w:r>
      <w:r>
        <w:rPr>
          <w:highlight w:val="none"/>
        </w:rPr>
        <w:t>采购人员及相关人员与供应商有下列利害关系之一的</w:t>
      </w:r>
      <w:r>
        <w:rPr>
          <w:rFonts w:hint="eastAsia"/>
          <w:highlight w:val="none"/>
          <w:lang w:eastAsia="zh-CN"/>
        </w:rPr>
        <w:t>，</w:t>
      </w:r>
      <w:r>
        <w:rPr>
          <w:highlight w:val="none"/>
        </w:rPr>
        <w:t>应当回避：</w:t>
      </w:r>
    </w:p>
    <w:p w14:paraId="113E5F45">
      <w:pPr>
        <w:ind w:firstLine="480"/>
        <w:rPr>
          <w:highlight w:val="none"/>
        </w:rPr>
      </w:pPr>
      <w:r>
        <w:rPr>
          <w:highlight w:val="none"/>
        </w:rPr>
        <w:t>5.2.1参加采购活动前3年内与供应商存在劳动关系；</w:t>
      </w:r>
    </w:p>
    <w:p w14:paraId="307AA6C7">
      <w:pPr>
        <w:ind w:firstLine="480"/>
        <w:rPr>
          <w:highlight w:val="none"/>
        </w:rPr>
      </w:pPr>
      <w:r>
        <w:rPr>
          <w:highlight w:val="none"/>
        </w:rPr>
        <w:t>5.2.2参加采购活动前3年内担任供应商的董事、监事；</w:t>
      </w:r>
    </w:p>
    <w:p w14:paraId="16AF25F1">
      <w:pPr>
        <w:ind w:firstLine="480"/>
        <w:rPr>
          <w:highlight w:val="none"/>
        </w:rPr>
      </w:pPr>
      <w:r>
        <w:rPr>
          <w:highlight w:val="none"/>
        </w:rPr>
        <w:t>5.2.3参加采购活动前3年内是供应商的控股股东或者实际控制人；</w:t>
      </w:r>
    </w:p>
    <w:p w14:paraId="6279B158">
      <w:pPr>
        <w:ind w:firstLine="480"/>
        <w:rPr>
          <w:highlight w:val="none"/>
        </w:rPr>
      </w:pPr>
      <w:r>
        <w:rPr>
          <w:highlight w:val="none"/>
        </w:rPr>
        <w:t>5.2.4与供应商的法定代表人或者负责人有夫妻、直系血亲、三代以内旁系血亲或者近姻亲关系；</w:t>
      </w:r>
    </w:p>
    <w:p w14:paraId="681D31F9">
      <w:pPr>
        <w:ind w:firstLine="480"/>
        <w:rPr>
          <w:highlight w:val="none"/>
        </w:rPr>
      </w:pPr>
      <w:r>
        <w:rPr>
          <w:highlight w:val="none"/>
        </w:rPr>
        <w:t>5.2.5存在共同直接或间接投资设立子公司、联营企业和合营企业情况；</w:t>
      </w:r>
    </w:p>
    <w:p w14:paraId="620DC300">
      <w:pPr>
        <w:ind w:firstLine="480"/>
        <w:rPr>
          <w:highlight w:val="none"/>
        </w:rPr>
      </w:pPr>
      <w:r>
        <w:rPr>
          <w:highlight w:val="none"/>
        </w:rPr>
        <w:t>5.2.6与供应商有其他可能影响政府采购活动公平、公正进行的关系。</w:t>
      </w:r>
    </w:p>
    <w:p w14:paraId="2B3498AD">
      <w:pPr>
        <w:ind w:firstLine="480"/>
        <w:rPr>
          <w:highlight w:val="none"/>
        </w:rPr>
      </w:pPr>
      <w:r>
        <w:rPr>
          <w:highlight w:val="none"/>
        </w:rPr>
        <w:t>5.3本项目政府采购活动中需要依法回避的采购人员是指采购人内部负责采购项目的具体经办工作人员和直接分管采购项目的负责人</w:t>
      </w:r>
      <w:r>
        <w:rPr>
          <w:rFonts w:hint="eastAsia"/>
          <w:highlight w:val="none"/>
          <w:lang w:eastAsia="zh-CN"/>
        </w:rPr>
        <w:t>，</w:t>
      </w:r>
      <w:r>
        <w:rPr>
          <w:highlight w:val="none"/>
        </w:rPr>
        <w:t>以及采购代理机构负责采购项目的具体经办工作人员和直接分管采购活动的负责人。本项目政府采购活动中需要依法回避的相关人员是指</w:t>
      </w:r>
      <w:r>
        <w:rPr>
          <w:rFonts w:hint="eastAsia"/>
          <w:highlight w:val="none"/>
        </w:rPr>
        <w:t>磋商小组</w:t>
      </w:r>
      <w:r>
        <w:rPr>
          <w:highlight w:val="none"/>
        </w:rPr>
        <w:t>成员。</w:t>
      </w:r>
    </w:p>
    <w:p w14:paraId="277861A6">
      <w:pPr>
        <w:ind w:firstLine="480"/>
        <w:rPr>
          <w:highlight w:val="none"/>
        </w:rPr>
      </w:pPr>
      <w:r>
        <w:rPr>
          <w:highlight w:val="none"/>
        </w:rPr>
        <w:t>5.4供应商认为采购人员及相关人员与其他供应商有利害关系的</w:t>
      </w:r>
      <w:r>
        <w:rPr>
          <w:rFonts w:hint="eastAsia"/>
          <w:highlight w:val="none"/>
          <w:lang w:eastAsia="zh-CN"/>
        </w:rPr>
        <w:t>，</w:t>
      </w:r>
      <w:r>
        <w:rPr>
          <w:highlight w:val="none"/>
        </w:rPr>
        <w:t>可以向采购代理机构书面提出回避申请</w:t>
      </w:r>
      <w:r>
        <w:rPr>
          <w:rFonts w:hint="eastAsia"/>
          <w:highlight w:val="none"/>
          <w:lang w:eastAsia="zh-CN"/>
        </w:rPr>
        <w:t>，</w:t>
      </w:r>
      <w:r>
        <w:rPr>
          <w:highlight w:val="none"/>
        </w:rPr>
        <w:t>并说明理由。采购代理机构将及时询问被申请回避人员</w:t>
      </w:r>
      <w:r>
        <w:rPr>
          <w:rFonts w:hint="eastAsia"/>
          <w:highlight w:val="none"/>
          <w:lang w:eastAsia="zh-CN"/>
        </w:rPr>
        <w:t>，</w:t>
      </w:r>
      <w:r>
        <w:rPr>
          <w:highlight w:val="none"/>
        </w:rPr>
        <w:t>有利害关系的被申请回避人员应当回避。</w:t>
      </w:r>
    </w:p>
    <w:p w14:paraId="6E2E4A51">
      <w:pPr>
        <w:ind w:firstLine="480"/>
        <w:rPr>
          <w:highlight w:val="none"/>
        </w:rPr>
      </w:pPr>
      <w:r>
        <w:rPr>
          <w:highlight w:val="none"/>
        </w:rPr>
        <w:t>5.5为证明供应商拥有的业绩、荣誉、知识产权、项目案例等而在响应文件中提供的证明材料必须为供应商自身所有。不同法人、其他组织的资料与供应商无关。</w:t>
      </w:r>
    </w:p>
    <w:p w14:paraId="34D3FF7E">
      <w:pPr>
        <w:ind w:firstLine="480"/>
        <w:rPr>
          <w:highlight w:val="none"/>
        </w:rPr>
      </w:pPr>
      <w:r>
        <w:rPr>
          <w:highlight w:val="none"/>
        </w:rPr>
        <w:t>6.资格审查</w:t>
      </w:r>
    </w:p>
    <w:p w14:paraId="6A49884C">
      <w:pPr>
        <w:ind w:firstLine="480"/>
        <w:rPr>
          <w:highlight w:val="none"/>
        </w:rPr>
      </w:pPr>
      <w:r>
        <w:rPr>
          <w:highlight w:val="none"/>
        </w:rPr>
        <w:t>本次采取资格</w:t>
      </w:r>
      <w:r>
        <w:rPr>
          <w:rFonts w:hint="eastAsia"/>
          <w:highlight w:val="none"/>
        </w:rPr>
        <w:t>预</w:t>
      </w:r>
      <w:r>
        <w:rPr>
          <w:highlight w:val="none"/>
        </w:rPr>
        <w:t>审</w:t>
      </w:r>
      <w:r>
        <w:rPr>
          <w:rFonts w:hint="eastAsia"/>
          <w:highlight w:val="none"/>
          <w:lang w:eastAsia="zh-CN"/>
        </w:rPr>
        <w:t>，</w:t>
      </w:r>
      <w:r>
        <w:rPr>
          <w:highlight w:val="none"/>
        </w:rPr>
        <w:t>代理机构不保证所有报名或依法获取磋商文件并报名的供应商都符合合格供应商资格要求。</w:t>
      </w:r>
    </w:p>
    <w:p w14:paraId="242D9251">
      <w:pPr>
        <w:ind w:firstLine="480"/>
        <w:rPr>
          <w:highlight w:val="none"/>
        </w:rPr>
      </w:pPr>
      <w:r>
        <w:rPr>
          <w:highlight w:val="none"/>
        </w:rPr>
        <w:t>7.语言文字</w:t>
      </w:r>
    </w:p>
    <w:p w14:paraId="00DDE561">
      <w:pPr>
        <w:ind w:firstLine="480"/>
        <w:rPr>
          <w:highlight w:val="none"/>
        </w:rPr>
      </w:pPr>
      <w:r>
        <w:rPr>
          <w:highlight w:val="none"/>
        </w:rPr>
        <w:t>7.1响应文件以及供应商与采购人就有关磋商事宜的所有来往函电</w:t>
      </w:r>
      <w:r>
        <w:rPr>
          <w:rFonts w:hint="eastAsia"/>
          <w:highlight w:val="none"/>
          <w:lang w:eastAsia="zh-CN"/>
        </w:rPr>
        <w:t>，</w:t>
      </w:r>
      <w:r>
        <w:rPr>
          <w:highlight w:val="none"/>
        </w:rPr>
        <w:t>均应以中文汉语书写。除签名、盖章、专用名称等特殊情形外</w:t>
      </w:r>
      <w:r>
        <w:rPr>
          <w:rFonts w:hint="eastAsia"/>
          <w:highlight w:val="none"/>
          <w:lang w:eastAsia="zh-CN"/>
        </w:rPr>
        <w:t>，</w:t>
      </w:r>
      <w:r>
        <w:rPr>
          <w:highlight w:val="none"/>
        </w:rPr>
        <w:t>以中文汉语以外的文字表述的响应文件视同未提供。</w:t>
      </w:r>
    </w:p>
    <w:p w14:paraId="460DD386">
      <w:pPr>
        <w:ind w:firstLine="480"/>
        <w:rPr>
          <w:highlight w:val="none"/>
        </w:rPr>
      </w:pPr>
      <w:r>
        <w:rPr>
          <w:highlight w:val="none"/>
        </w:rPr>
        <w:t>7.2外文专用术语应附有中文注释。招响应文件及相关往来文件中有外文资料的（如质疑函、进口产品厂商授权书等）</w:t>
      </w:r>
      <w:r>
        <w:rPr>
          <w:rFonts w:hint="eastAsia"/>
          <w:highlight w:val="none"/>
          <w:lang w:eastAsia="zh-CN"/>
        </w:rPr>
        <w:t>，</w:t>
      </w:r>
      <w:r>
        <w:rPr>
          <w:highlight w:val="none"/>
        </w:rPr>
        <w:t>资料提供方应当将其翻译为中文</w:t>
      </w:r>
      <w:r>
        <w:rPr>
          <w:rFonts w:hint="eastAsia"/>
          <w:highlight w:val="none"/>
          <w:lang w:eastAsia="zh-CN"/>
        </w:rPr>
        <w:t>，</w:t>
      </w:r>
      <w:r>
        <w:rPr>
          <w:highlight w:val="none"/>
        </w:rPr>
        <w:t>注明翻译人员姓名、工作单位、联系方式等信息</w:t>
      </w:r>
      <w:r>
        <w:rPr>
          <w:rFonts w:hint="eastAsia"/>
          <w:highlight w:val="none"/>
          <w:lang w:eastAsia="zh-CN"/>
        </w:rPr>
        <w:t>，</w:t>
      </w:r>
      <w:r>
        <w:rPr>
          <w:highlight w:val="none"/>
        </w:rPr>
        <w:t>并对译文的完整性、客观性、真实性负责。</w:t>
      </w:r>
    </w:p>
    <w:p w14:paraId="14B5048C">
      <w:pPr>
        <w:ind w:firstLine="480"/>
        <w:rPr>
          <w:highlight w:val="none"/>
        </w:rPr>
      </w:pPr>
      <w:r>
        <w:rPr>
          <w:highlight w:val="none"/>
        </w:rPr>
        <w:t>8.计量单位</w:t>
      </w:r>
    </w:p>
    <w:p w14:paraId="4F4B535A">
      <w:pPr>
        <w:ind w:firstLine="480"/>
        <w:rPr>
          <w:highlight w:val="none"/>
        </w:rPr>
      </w:pPr>
      <w:r>
        <w:rPr>
          <w:highlight w:val="none"/>
        </w:rPr>
        <w:t>除磋商文件中另有规定外</w:t>
      </w:r>
      <w:r>
        <w:rPr>
          <w:rFonts w:hint="eastAsia"/>
          <w:highlight w:val="none"/>
          <w:lang w:eastAsia="zh-CN"/>
        </w:rPr>
        <w:t>，</w:t>
      </w:r>
      <w:r>
        <w:rPr>
          <w:highlight w:val="none"/>
        </w:rPr>
        <w:t>计量均应采用中华人民共和国法定计量单位；所有报价一律使用人民币</w:t>
      </w:r>
      <w:r>
        <w:rPr>
          <w:rFonts w:hint="eastAsia"/>
          <w:highlight w:val="none"/>
          <w:lang w:eastAsia="zh-CN"/>
        </w:rPr>
        <w:t>，</w:t>
      </w:r>
      <w:r>
        <w:rPr>
          <w:highlight w:val="none"/>
        </w:rPr>
        <w:t>货币单位为</w:t>
      </w:r>
      <w:r>
        <w:rPr>
          <w:rFonts w:hint="eastAsia"/>
          <w:highlight w:val="none"/>
          <w:lang w:eastAsia="zh-CN"/>
        </w:rPr>
        <w:t>“</w:t>
      </w:r>
      <w:r>
        <w:rPr>
          <w:highlight w:val="none"/>
        </w:rPr>
        <w:t>元</w:t>
      </w:r>
      <w:r>
        <w:rPr>
          <w:rFonts w:hint="eastAsia"/>
          <w:highlight w:val="none"/>
          <w:lang w:eastAsia="zh-CN"/>
        </w:rPr>
        <w:t>”</w:t>
      </w:r>
      <w:r>
        <w:rPr>
          <w:highlight w:val="none"/>
        </w:rPr>
        <w:t>。</w:t>
      </w:r>
    </w:p>
    <w:p w14:paraId="63890FC6">
      <w:pPr>
        <w:ind w:firstLine="480"/>
        <w:rPr>
          <w:highlight w:val="none"/>
        </w:rPr>
      </w:pPr>
      <w:r>
        <w:rPr>
          <w:highlight w:val="none"/>
        </w:rPr>
        <w:t>9.保密</w:t>
      </w:r>
    </w:p>
    <w:p w14:paraId="4A391320">
      <w:pPr>
        <w:ind w:firstLine="480"/>
        <w:rPr>
          <w:highlight w:val="none"/>
        </w:rPr>
      </w:pPr>
      <w:r>
        <w:rPr>
          <w:highlight w:val="none"/>
        </w:rPr>
        <w:t>参与磋商活动的当事人应对磋商文件和响应文件中的商业和技术等秘密保密</w:t>
      </w:r>
      <w:r>
        <w:rPr>
          <w:rFonts w:hint="eastAsia"/>
          <w:highlight w:val="none"/>
          <w:lang w:eastAsia="zh-CN"/>
        </w:rPr>
        <w:t>，</w:t>
      </w:r>
      <w:r>
        <w:rPr>
          <w:highlight w:val="none"/>
        </w:rPr>
        <w:t>违者应对由此造成的后果承担法律责任。</w:t>
      </w:r>
    </w:p>
    <w:p w14:paraId="3D092C0C">
      <w:pPr>
        <w:ind w:firstLine="480"/>
        <w:rPr>
          <w:highlight w:val="none"/>
        </w:rPr>
      </w:pPr>
      <w:r>
        <w:rPr>
          <w:highlight w:val="none"/>
        </w:rPr>
        <w:t>10.磋商费用</w:t>
      </w:r>
    </w:p>
    <w:p w14:paraId="062092E8">
      <w:pPr>
        <w:ind w:firstLine="480"/>
        <w:rPr>
          <w:highlight w:val="none"/>
        </w:rPr>
      </w:pPr>
      <w:r>
        <w:rPr>
          <w:highlight w:val="none"/>
        </w:rPr>
        <w:t>不论磋商的结果如何</w:t>
      </w:r>
      <w:r>
        <w:rPr>
          <w:rFonts w:hint="eastAsia"/>
          <w:highlight w:val="none"/>
          <w:lang w:eastAsia="zh-CN"/>
        </w:rPr>
        <w:t>，</w:t>
      </w:r>
      <w:r>
        <w:rPr>
          <w:highlight w:val="none"/>
        </w:rPr>
        <w:t>供应商均自行承担所有与参加本次磋商有关的费用。</w:t>
      </w:r>
    </w:p>
    <w:p w14:paraId="7B37FEB3">
      <w:pPr>
        <w:ind w:firstLine="480"/>
        <w:rPr>
          <w:highlight w:val="none"/>
        </w:rPr>
        <w:sectPr>
          <w:footerReference r:id="rId14" w:type="first"/>
          <w:footerReference r:id="rId13" w:type="default"/>
          <w:pgSz w:w="11906" w:h="16838"/>
          <w:pgMar w:top="1440" w:right="1800" w:bottom="1440" w:left="1800" w:header="1020" w:footer="992" w:gutter="0"/>
          <w:pgNumType w:fmt="decimal" w:start="1"/>
          <w:cols w:space="425" w:num="1"/>
          <w:titlePg/>
          <w:docGrid w:type="lines" w:linePitch="326" w:charSpace="0"/>
        </w:sectPr>
      </w:pPr>
    </w:p>
    <w:p w14:paraId="524D005E">
      <w:pPr>
        <w:ind w:firstLine="480"/>
        <w:rPr>
          <w:highlight w:val="none"/>
        </w:rPr>
      </w:pPr>
      <w:r>
        <w:rPr>
          <w:highlight w:val="none"/>
        </w:rPr>
        <w:t>11.磋商有效期</w:t>
      </w:r>
    </w:p>
    <w:p w14:paraId="4BDDA754">
      <w:pPr>
        <w:ind w:firstLine="480"/>
        <w:rPr>
          <w:highlight w:val="none"/>
        </w:rPr>
      </w:pPr>
      <w:r>
        <w:rPr>
          <w:highlight w:val="none"/>
        </w:rPr>
        <w:t>11.1在供应商须知前附表规定的磋商有效期内</w:t>
      </w:r>
      <w:r>
        <w:rPr>
          <w:rFonts w:hint="eastAsia"/>
          <w:highlight w:val="none"/>
          <w:lang w:eastAsia="zh-CN"/>
        </w:rPr>
        <w:t>，</w:t>
      </w:r>
      <w:r>
        <w:rPr>
          <w:highlight w:val="none"/>
        </w:rPr>
        <w:t>响应文件以及其补充、承诺等部分均保持有效。</w:t>
      </w:r>
    </w:p>
    <w:p w14:paraId="1B01E8B2">
      <w:pPr>
        <w:ind w:firstLine="480"/>
        <w:rPr>
          <w:highlight w:val="none"/>
        </w:rPr>
      </w:pPr>
      <w:r>
        <w:rPr>
          <w:highlight w:val="none"/>
        </w:rPr>
        <w:t>11.2在磋商文件规定的响应文件有效期满之前</w:t>
      </w:r>
      <w:r>
        <w:rPr>
          <w:rFonts w:hint="eastAsia"/>
          <w:highlight w:val="none"/>
          <w:lang w:eastAsia="zh-CN"/>
        </w:rPr>
        <w:t>，</w:t>
      </w:r>
      <w:r>
        <w:rPr>
          <w:highlight w:val="none"/>
        </w:rPr>
        <w:t>如果出现特殊情况</w:t>
      </w:r>
      <w:r>
        <w:rPr>
          <w:rFonts w:hint="eastAsia"/>
          <w:highlight w:val="none"/>
          <w:lang w:eastAsia="zh-CN"/>
        </w:rPr>
        <w:t>，</w:t>
      </w:r>
      <w:r>
        <w:rPr>
          <w:highlight w:val="none"/>
        </w:rPr>
        <w:t>采购人或者采购代理机构可在磋商有效期内要求供应商延长有效期</w:t>
      </w:r>
      <w:r>
        <w:rPr>
          <w:rFonts w:hint="eastAsia"/>
          <w:highlight w:val="none"/>
          <w:lang w:eastAsia="zh-CN"/>
        </w:rPr>
        <w:t>，</w:t>
      </w:r>
      <w:r>
        <w:rPr>
          <w:highlight w:val="none"/>
        </w:rPr>
        <w:t>要求与答复均以书面通知为准并作为磋商文件和响应文件的组成部分。</w:t>
      </w:r>
    </w:p>
    <w:p w14:paraId="69DB452A">
      <w:pPr>
        <w:ind w:firstLine="480"/>
        <w:rPr>
          <w:highlight w:val="none"/>
        </w:rPr>
      </w:pPr>
      <w:r>
        <w:rPr>
          <w:highlight w:val="none"/>
        </w:rPr>
        <w:t>12.分包与转包</w:t>
      </w:r>
    </w:p>
    <w:p w14:paraId="46938131">
      <w:pPr>
        <w:ind w:firstLine="480"/>
        <w:rPr>
          <w:highlight w:val="none"/>
        </w:rPr>
      </w:pPr>
      <w:r>
        <w:rPr>
          <w:highlight w:val="none"/>
        </w:rPr>
        <w:t>本项目不允许分包和转包。</w:t>
      </w:r>
    </w:p>
    <w:p w14:paraId="01C35A87">
      <w:pPr>
        <w:ind w:firstLine="480"/>
        <w:rPr>
          <w:highlight w:val="none"/>
        </w:rPr>
      </w:pPr>
      <w:r>
        <w:rPr>
          <w:highlight w:val="none"/>
        </w:rPr>
        <w:t>13.现场勘察</w:t>
      </w:r>
    </w:p>
    <w:p w14:paraId="66A1BD13">
      <w:pPr>
        <w:ind w:firstLine="480"/>
        <w:rPr>
          <w:highlight w:val="none"/>
        </w:rPr>
      </w:pPr>
      <w:r>
        <w:rPr>
          <w:highlight w:val="none"/>
        </w:rPr>
        <w:t>供应商自行现场勘察以获取有关编制响应文件和签署合同所涉及现场的资料</w:t>
      </w:r>
      <w:r>
        <w:rPr>
          <w:rFonts w:hint="eastAsia"/>
          <w:highlight w:val="none"/>
          <w:lang w:eastAsia="zh-CN"/>
        </w:rPr>
        <w:t>，</w:t>
      </w:r>
      <w:r>
        <w:rPr>
          <w:highlight w:val="none"/>
        </w:rPr>
        <w:t>但需经采购人允许方可为勘察目的进入采购人的项目现场。不得因现场勘察而使采购人承担有关的责任和蒙受损失</w:t>
      </w:r>
      <w:r>
        <w:rPr>
          <w:rFonts w:hint="eastAsia"/>
          <w:highlight w:val="none"/>
          <w:lang w:eastAsia="zh-CN"/>
        </w:rPr>
        <w:t>，</w:t>
      </w:r>
      <w:r>
        <w:rPr>
          <w:highlight w:val="none"/>
        </w:rPr>
        <w:t>供应商应承担现场勘察的责任和风险以及承担现场勘察所发生的费用。</w:t>
      </w:r>
    </w:p>
    <w:p w14:paraId="2F4564BB">
      <w:pPr>
        <w:ind w:firstLine="480"/>
        <w:rPr>
          <w:highlight w:val="none"/>
        </w:rPr>
      </w:pPr>
      <w:r>
        <w:rPr>
          <w:highlight w:val="none"/>
        </w:rPr>
        <w:t>14.知识产权</w:t>
      </w:r>
    </w:p>
    <w:p w14:paraId="22B0F02C">
      <w:pPr>
        <w:ind w:firstLine="480"/>
        <w:rPr>
          <w:highlight w:val="none"/>
        </w:rPr>
      </w:pPr>
      <w:r>
        <w:rPr>
          <w:highlight w:val="none"/>
        </w:rPr>
        <w:t>14.1供应商应保证在本项目中使用的任何产品和服务（包括部分使用）</w:t>
      </w:r>
      <w:r>
        <w:rPr>
          <w:rFonts w:hint="eastAsia"/>
          <w:highlight w:val="none"/>
          <w:lang w:eastAsia="zh-CN"/>
        </w:rPr>
        <w:t>，</w:t>
      </w:r>
      <w:r>
        <w:rPr>
          <w:highlight w:val="none"/>
        </w:rPr>
        <w:t>不会产生因第</w:t>
      </w:r>
      <w:r>
        <w:rPr>
          <w:highlight w:val="none"/>
          <w:woUserID w:val="1"/>
        </w:rPr>
        <w:t>三</w:t>
      </w:r>
      <w:r>
        <w:rPr>
          <w:highlight w:val="none"/>
        </w:rPr>
        <w:t>方提出侵犯其专利权、商标权或其它知识产权而引起的法律和经济纠纷</w:t>
      </w:r>
      <w:r>
        <w:rPr>
          <w:rFonts w:hint="eastAsia"/>
          <w:highlight w:val="none"/>
          <w:lang w:eastAsia="zh-CN"/>
        </w:rPr>
        <w:t>，</w:t>
      </w:r>
      <w:r>
        <w:rPr>
          <w:highlight w:val="none"/>
        </w:rPr>
        <w:t>如因专利权、商标权或其它知识产权而引起法律和经济纠纷</w:t>
      </w:r>
      <w:r>
        <w:rPr>
          <w:rFonts w:hint="eastAsia"/>
          <w:highlight w:val="none"/>
          <w:lang w:eastAsia="zh-CN"/>
        </w:rPr>
        <w:t>，</w:t>
      </w:r>
      <w:r>
        <w:rPr>
          <w:highlight w:val="none"/>
        </w:rPr>
        <w:t>由供应商承担所有相关责任。</w:t>
      </w:r>
    </w:p>
    <w:p w14:paraId="2E2D143C">
      <w:pPr>
        <w:ind w:firstLine="480"/>
        <w:rPr>
          <w:highlight w:val="none"/>
        </w:rPr>
      </w:pPr>
      <w:r>
        <w:rPr>
          <w:highlight w:val="none"/>
        </w:rPr>
        <w:t>14.2除非磋商文件特别规定</w:t>
      </w:r>
      <w:r>
        <w:rPr>
          <w:rFonts w:hint="eastAsia"/>
          <w:highlight w:val="none"/>
          <w:lang w:eastAsia="zh-CN"/>
        </w:rPr>
        <w:t>，</w:t>
      </w:r>
      <w:r>
        <w:rPr>
          <w:highlight w:val="none"/>
        </w:rPr>
        <w:t>采购人享有本项目实施过程中产生的知识成果及知识产权。</w:t>
      </w:r>
    </w:p>
    <w:p w14:paraId="51D156AD">
      <w:pPr>
        <w:ind w:firstLine="480"/>
        <w:rPr>
          <w:highlight w:val="none"/>
        </w:rPr>
      </w:pPr>
      <w:r>
        <w:rPr>
          <w:highlight w:val="none"/>
        </w:rPr>
        <w:t>14.3供应商将在采购项目实施过程中采用自有或者第</w:t>
      </w:r>
      <w:r>
        <w:rPr>
          <w:rFonts w:hint="eastAsia"/>
          <w:highlight w:val="none"/>
        </w:rPr>
        <w:t>三</w:t>
      </w:r>
      <w:r>
        <w:rPr>
          <w:highlight w:val="none"/>
        </w:rPr>
        <w:t>方知识成果的</w:t>
      </w:r>
      <w:r>
        <w:rPr>
          <w:rFonts w:hint="eastAsia"/>
          <w:highlight w:val="none"/>
          <w:lang w:eastAsia="zh-CN"/>
        </w:rPr>
        <w:t>，</w:t>
      </w:r>
      <w:r>
        <w:rPr>
          <w:highlight w:val="none"/>
        </w:rPr>
        <w:t>应当在响应文件中载明</w:t>
      </w:r>
      <w:r>
        <w:rPr>
          <w:rFonts w:hint="eastAsia"/>
          <w:highlight w:val="none"/>
          <w:lang w:eastAsia="zh-CN"/>
        </w:rPr>
        <w:t>，</w:t>
      </w:r>
      <w:r>
        <w:rPr>
          <w:highlight w:val="none"/>
        </w:rPr>
        <w:t>并提供相关知识产权证明文件。</w:t>
      </w:r>
    </w:p>
    <w:p w14:paraId="7684CF5C">
      <w:pPr>
        <w:ind w:firstLine="480"/>
        <w:rPr>
          <w:highlight w:val="none"/>
        </w:rPr>
      </w:pPr>
      <w:r>
        <w:rPr>
          <w:highlight w:val="none"/>
        </w:rPr>
        <w:t>14.4如采用投标人所不拥有的知识产权</w:t>
      </w:r>
      <w:r>
        <w:rPr>
          <w:rFonts w:hint="eastAsia"/>
          <w:highlight w:val="none"/>
          <w:lang w:eastAsia="zh-CN"/>
        </w:rPr>
        <w:t>，</w:t>
      </w:r>
      <w:r>
        <w:rPr>
          <w:highlight w:val="none"/>
        </w:rPr>
        <w:t>则在投标报价中必须包括合法获取该知识产权的相关费用。</w:t>
      </w:r>
    </w:p>
    <w:p w14:paraId="32D9512B">
      <w:pPr>
        <w:ind w:firstLine="480"/>
        <w:rPr>
          <w:highlight w:val="none"/>
        </w:rPr>
      </w:pPr>
      <w:r>
        <w:rPr>
          <w:highlight w:val="none"/>
        </w:rPr>
        <w:t>15.特别说明</w:t>
      </w:r>
    </w:p>
    <w:p w14:paraId="53473164">
      <w:pPr>
        <w:ind w:firstLine="480"/>
        <w:rPr>
          <w:highlight w:val="none"/>
        </w:rPr>
      </w:pPr>
      <w:r>
        <w:rPr>
          <w:highlight w:val="none"/>
        </w:rPr>
        <w:t>15.1供应商应仔细阅读磋商文件的所有内容</w:t>
      </w:r>
      <w:r>
        <w:rPr>
          <w:rFonts w:hint="eastAsia"/>
          <w:highlight w:val="none"/>
          <w:lang w:eastAsia="zh-CN"/>
        </w:rPr>
        <w:t>，</w:t>
      </w:r>
      <w:r>
        <w:rPr>
          <w:highlight w:val="none"/>
        </w:rPr>
        <w:t>按照磋商文件的要求提交响应文件</w:t>
      </w:r>
      <w:r>
        <w:rPr>
          <w:rFonts w:hint="eastAsia"/>
          <w:highlight w:val="none"/>
          <w:lang w:eastAsia="zh-CN"/>
        </w:rPr>
        <w:t>，</w:t>
      </w:r>
      <w:r>
        <w:rPr>
          <w:highlight w:val="none"/>
        </w:rPr>
        <w:t>并对所提供的全部资料的真实性承担法律责任。</w:t>
      </w:r>
    </w:p>
    <w:p w14:paraId="023FD487">
      <w:pPr>
        <w:ind w:firstLine="480"/>
        <w:rPr>
          <w:highlight w:val="none"/>
        </w:rPr>
      </w:pPr>
      <w:r>
        <w:rPr>
          <w:highlight w:val="none"/>
        </w:rPr>
        <w:t>15.2经营者提供商品或者服务有欺诈行为的</w:t>
      </w:r>
      <w:r>
        <w:rPr>
          <w:rFonts w:hint="eastAsia"/>
          <w:highlight w:val="none"/>
          <w:lang w:eastAsia="zh-CN"/>
        </w:rPr>
        <w:t>，</w:t>
      </w:r>
      <w:r>
        <w:rPr>
          <w:highlight w:val="none"/>
        </w:rPr>
        <w:t>依照《中华人民共和国消费者权益保护法（2013年修正）》有关规定处理。</w:t>
      </w:r>
    </w:p>
    <w:p w14:paraId="47D2101B">
      <w:pPr>
        <w:ind w:firstLine="480"/>
        <w:rPr>
          <w:highlight w:val="none"/>
        </w:rPr>
      </w:pPr>
      <w:r>
        <w:rPr>
          <w:highlight w:val="none"/>
        </w:rPr>
        <w:t>15.3供应商已明知采购期间或之后企业将发生兼并改制</w:t>
      </w:r>
      <w:r>
        <w:rPr>
          <w:rFonts w:hint="eastAsia"/>
          <w:highlight w:val="none"/>
          <w:lang w:eastAsia="zh-CN"/>
        </w:rPr>
        <w:t>，</w:t>
      </w:r>
      <w:r>
        <w:rPr>
          <w:highlight w:val="none"/>
        </w:rPr>
        <w:t>或提供的产品将停产、淘汰</w:t>
      </w:r>
      <w:r>
        <w:rPr>
          <w:rFonts w:hint="eastAsia"/>
          <w:highlight w:val="none"/>
          <w:lang w:eastAsia="zh-CN"/>
        </w:rPr>
        <w:t>，</w:t>
      </w:r>
      <w:r>
        <w:rPr>
          <w:highlight w:val="none"/>
        </w:rPr>
        <w:t>或必须有偿使用指定的第三方中间件和插件的</w:t>
      </w:r>
      <w:r>
        <w:rPr>
          <w:rFonts w:hint="eastAsia"/>
          <w:highlight w:val="none"/>
          <w:lang w:eastAsia="zh-CN"/>
        </w:rPr>
        <w:t>，</w:t>
      </w:r>
      <w:r>
        <w:rPr>
          <w:highlight w:val="none"/>
        </w:rPr>
        <w:t>及其他应当告知采购人可能影响采购项目实施或损害采购人利益的信息</w:t>
      </w:r>
      <w:r>
        <w:rPr>
          <w:rFonts w:hint="eastAsia"/>
          <w:highlight w:val="none"/>
          <w:lang w:eastAsia="zh-CN"/>
        </w:rPr>
        <w:t>，</w:t>
      </w:r>
      <w:r>
        <w:rPr>
          <w:highlight w:val="none"/>
        </w:rPr>
        <w:t>必须在响应文件中予以特别说明</w:t>
      </w:r>
      <w:r>
        <w:rPr>
          <w:rFonts w:hint="eastAsia"/>
          <w:highlight w:val="none"/>
          <w:lang w:eastAsia="zh-CN"/>
        </w:rPr>
        <w:t>，</w:t>
      </w:r>
      <w:r>
        <w:rPr>
          <w:highlight w:val="none"/>
        </w:rPr>
        <w:t>否则</w:t>
      </w:r>
      <w:r>
        <w:rPr>
          <w:rFonts w:hint="eastAsia"/>
          <w:highlight w:val="none"/>
          <w:lang w:eastAsia="zh-CN"/>
        </w:rPr>
        <w:t>，</w:t>
      </w:r>
      <w:r>
        <w:rPr>
          <w:highlight w:val="none"/>
        </w:rPr>
        <w:t>采购人可以拒绝其响应文件。</w:t>
      </w:r>
    </w:p>
    <w:p w14:paraId="59A8BFE0">
      <w:pPr>
        <w:ind w:firstLine="480"/>
        <w:rPr>
          <w:highlight w:val="none"/>
        </w:rPr>
      </w:pPr>
      <w:r>
        <w:rPr>
          <w:highlight w:val="none"/>
        </w:rPr>
        <w:t>16.采购代理费用</w:t>
      </w:r>
    </w:p>
    <w:p w14:paraId="68B27812">
      <w:pPr>
        <w:ind w:firstLine="480"/>
        <w:rPr>
          <w:rFonts w:hint="eastAsia" w:ascii="Times New Roman" w:hAnsi="Times New Roman" w:cs="Times New Roman"/>
          <w:highlight w:val="none"/>
        </w:rPr>
      </w:pPr>
      <w:r>
        <w:rPr>
          <w:rFonts w:hint="eastAsia" w:ascii="Times New Roman" w:hAnsi="Times New Roman" w:cs="Times New Roman"/>
          <w:highlight w:val="none"/>
        </w:rPr>
        <w:t>16.1本项目代理费按照国家发展计划委员会文件《计价格〔2002〕1980号》和发改办价格[2011]534号规定</w:t>
      </w:r>
      <w:r>
        <w:rPr>
          <w:rFonts w:hint="eastAsia" w:ascii="Times New Roman" w:hAnsi="Times New Roman" w:cs="Times New Roman"/>
          <w:highlight w:val="none"/>
          <w:lang w:val="en-US" w:eastAsia="zh-CN"/>
        </w:rPr>
        <w:t>的40%</w:t>
      </w:r>
      <w:r>
        <w:rPr>
          <w:rFonts w:hint="eastAsia" w:ascii="Times New Roman" w:hAnsi="Times New Roman" w:cs="Times New Roman"/>
          <w:highlight w:val="none"/>
        </w:rPr>
        <w:t>收取</w:t>
      </w:r>
      <w:r>
        <w:rPr>
          <w:rFonts w:hint="eastAsia" w:ascii="Times New Roman" w:hAnsi="Times New Roman" w:cs="Times New Roman"/>
          <w:highlight w:val="none"/>
          <w:lang w:eastAsia="zh-CN"/>
        </w:rPr>
        <w:t>，</w:t>
      </w:r>
      <w:r>
        <w:rPr>
          <w:rFonts w:hint="eastAsia" w:ascii="Times New Roman" w:hAnsi="Times New Roman" w:cs="Times New Roman"/>
          <w:highlight w:val="none"/>
        </w:rPr>
        <w:t>由</w:t>
      </w:r>
      <w:r>
        <w:rPr>
          <w:rFonts w:hint="eastAsia" w:ascii="Times New Roman" w:hAnsi="Times New Roman" w:cs="Times New Roman"/>
          <w:highlight w:val="none"/>
          <w:lang w:val="en-US" w:eastAsia="zh-CN"/>
        </w:rPr>
        <w:t>成交供应商在</w:t>
      </w:r>
      <w:r>
        <w:rPr>
          <w:rFonts w:hint="eastAsia" w:ascii="Times New Roman" w:hAnsi="Times New Roman" w:cs="Times New Roman"/>
          <w:highlight w:val="none"/>
        </w:rPr>
        <w:t>领取成交通知书前一次性支付给采购代理机构。</w:t>
      </w:r>
    </w:p>
    <w:p w14:paraId="4D8947DC">
      <w:pPr>
        <w:ind w:firstLine="480"/>
        <w:rPr>
          <w:rFonts w:hint="eastAsia" w:ascii="Times New Roman" w:hAnsi="Times New Roman" w:cs="Times New Roman"/>
          <w:highlight w:val="none"/>
        </w:rPr>
      </w:pPr>
      <w:r>
        <w:rPr>
          <w:rFonts w:hint="eastAsia" w:ascii="Times New Roman" w:hAnsi="Times New Roman" w:cs="Times New Roman"/>
          <w:highlight w:val="none"/>
        </w:rPr>
        <w:t>16.2评审费（按实结算）</w:t>
      </w:r>
      <w:r>
        <w:rPr>
          <w:rFonts w:hint="eastAsia" w:ascii="Times New Roman" w:hAnsi="Times New Roman" w:cs="Times New Roman"/>
          <w:highlight w:val="none"/>
          <w:lang w:eastAsia="zh-CN"/>
        </w:rPr>
        <w:t>，</w:t>
      </w:r>
      <w:r>
        <w:rPr>
          <w:rFonts w:hint="eastAsia" w:ascii="Times New Roman" w:hAnsi="Times New Roman" w:cs="Times New Roman"/>
          <w:highlight w:val="none"/>
        </w:rPr>
        <w:t>由采购人支付。</w:t>
      </w:r>
    </w:p>
    <w:p w14:paraId="58B61DC6">
      <w:pPr>
        <w:ind w:firstLine="480"/>
        <w:rPr>
          <w:highlight w:val="none"/>
        </w:rPr>
      </w:pPr>
      <w:r>
        <w:rPr>
          <w:rFonts w:hint="eastAsia" w:ascii="Times New Roman" w:hAnsi="Times New Roman" w:cs="Times New Roman"/>
          <w:highlight w:val="none"/>
        </w:rPr>
        <w:t>16.</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若出现终止采购情形的</w:t>
      </w:r>
      <w:r>
        <w:rPr>
          <w:rFonts w:hint="eastAsia" w:ascii="Times New Roman" w:hAnsi="Times New Roman" w:cs="Times New Roman"/>
          <w:highlight w:val="none"/>
          <w:lang w:eastAsia="zh-CN"/>
        </w:rPr>
        <w:t>，</w:t>
      </w:r>
      <w:r>
        <w:rPr>
          <w:rFonts w:hint="eastAsia" w:ascii="Times New Roman" w:hAnsi="Times New Roman" w:cs="Times New Roman"/>
          <w:highlight w:val="none"/>
        </w:rPr>
        <w:t>采购代理服务费由采购人支付。</w:t>
      </w:r>
    </w:p>
    <w:p w14:paraId="106D44F2">
      <w:pPr>
        <w:pStyle w:val="5"/>
        <w:rPr>
          <w:highlight w:val="none"/>
        </w:rPr>
      </w:pPr>
      <w:bookmarkStart w:id="128" w:name="_Toc29806"/>
      <w:bookmarkStart w:id="129" w:name="_Toc25527"/>
      <w:bookmarkStart w:id="130" w:name="_Toc28973"/>
      <w:bookmarkStart w:id="131" w:name="_Toc7878"/>
      <w:bookmarkStart w:id="132" w:name="_Toc9386"/>
      <w:bookmarkStart w:id="133" w:name="_Toc1391"/>
      <w:bookmarkStart w:id="134" w:name="_Toc4956"/>
      <w:bookmarkStart w:id="135" w:name="_Toc8831"/>
      <w:bookmarkStart w:id="136" w:name="_Toc24650"/>
      <w:bookmarkStart w:id="137" w:name="_Toc9348"/>
      <w:bookmarkStart w:id="138" w:name="_Toc18943"/>
      <w:bookmarkStart w:id="139" w:name="_Toc10832"/>
      <w:bookmarkStart w:id="140" w:name="_Toc3017"/>
      <w:bookmarkStart w:id="141" w:name="_Toc26565"/>
      <w:bookmarkStart w:id="142" w:name="_Toc26432"/>
      <w:bookmarkStart w:id="143" w:name="_Toc23284"/>
      <w:bookmarkStart w:id="144" w:name="_Toc31258"/>
      <w:bookmarkStart w:id="145" w:name="_Toc17563"/>
      <w:bookmarkStart w:id="146" w:name="_Toc11300"/>
      <w:bookmarkStart w:id="147" w:name="_Toc18163"/>
      <w:bookmarkStart w:id="148" w:name="_Toc4162"/>
      <w:bookmarkStart w:id="149" w:name="_Toc1767"/>
      <w:bookmarkStart w:id="150" w:name="_Toc14398"/>
      <w:bookmarkStart w:id="151" w:name="_Toc17087"/>
      <w:bookmarkStart w:id="152" w:name="_Toc4221"/>
      <w:bookmarkStart w:id="153" w:name="_Toc7104"/>
      <w:bookmarkStart w:id="154" w:name="_Toc16021"/>
      <w:bookmarkStart w:id="155" w:name="_Toc391298956"/>
      <w:bookmarkStart w:id="156" w:name="_Toc1600"/>
      <w:bookmarkStart w:id="157" w:name="_Toc28012"/>
      <w:r>
        <w:rPr>
          <w:rFonts w:hint="eastAsia"/>
          <w:highlight w:val="none"/>
        </w:rPr>
        <w:t>二、竞争性磋商文件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12EBE6E">
      <w:pPr>
        <w:ind w:firstLine="480"/>
        <w:rPr>
          <w:highlight w:val="none"/>
        </w:rPr>
      </w:pPr>
      <w:r>
        <w:rPr>
          <w:rFonts w:hint="eastAsia"/>
          <w:highlight w:val="none"/>
        </w:rPr>
        <w:t>17.竞争性磋商文件的组成</w:t>
      </w:r>
    </w:p>
    <w:p w14:paraId="5E061A8D">
      <w:pPr>
        <w:ind w:firstLine="480"/>
        <w:rPr>
          <w:highlight w:val="none"/>
        </w:rPr>
      </w:pPr>
      <w:r>
        <w:rPr>
          <w:rFonts w:hint="eastAsia"/>
          <w:highlight w:val="none"/>
        </w:rPr>
        <w:t>17.1竞争性磋商文件用于阐明所需采购磋商程序和合同主要条款。竞争性磋商文件由下述部分组成：</w:t>
      </w:r>
    </w:p>
    <w:p w14:paraId="3DB38D42">
      <w:pPr>
        <w:ind w:firstLine="480"/>
        <w:rPr>
          <w:highlight w:val="none"/>
        </w:rPr>
      </w:pPr>
      <w:r>
        <w:rPr>
          <w:rFonts w:hint="eastAsia"/>
          <w:highlight w:val="none"/>
        </w:rPr>
        <w:t>（1）磋商公告</w:t>
      </w:r>
    </w:p>
    <w:p w14:paraId="7F8ABF0C">
      <w:pPr>
        <w:ind w:firstLine="480"/>
        <w:rPr>
          <w:highlight w:val="none"/>
        </w:rPr>
      </w:pPr>
      <w:r>
        <w:rPr>
          <w:rFonts w:hint="eastAsia"/>
          <w:highlight w:val="none"/>
        </w:rPr>
        <w:t xml:space="preserve">（2）磋商供应商须知前附表 </w:t>
      </w:r>
    </w:p>
    <w:p w14:paraId="23F417EB">
      <w:pPr>
        <w:ind w:firstLine="480"/>
        <w:rPr>
          <w:highlight w:val="none"/>
        </w:rPr>
      </w:pPr>
      <w:r>
        <w:rPr>
          <w:rFonts w:hint="eastAsia"/>
          <w:highlight w:val="none"/>
        </w:rPr>
        <w:t>（3）投标人须知</w:t>
      </w:r>
    </w:p>
    <w:p w14:paraId="61665C42">
      <w:pPr>
        <w:ind w:firstLine="480"/>
        <w:rPr>
          <w:highlight w:val="none"/>
        </w:rPr>
      </w:pPr>
      <w:r>
        <w:rPr>
          <w:rFonts w:hint="eastAsia"/>
          <w:highlight w:val="none"/>
        </w:rPr>
        <w:t>（4）采购需求</w:t>
      </w:r>
    </w:p>
    <w:p w14:paraId="5228078B">
      <w:pPr>
        <w:ind w:firstLine="480"/>
        <w:rPr>
          <w:highlight w:val="none"/>
        </w:rPr>
      </w:pPr>
      <w:bookmarkStart w:id="158" w:name="_Toc430488644"/>
      <w:bookmarkStart w:id="159" w:name="_Toc430422413"/>
      <w:bookmarkStart w:id="160" w:name="_Toc430492126"/>
      <w:bookmarkStart w:id="161" w:name="_Toc430489119"/>
      <w:bookmarkStart w:id="162" w:name="_Toc430490612"/>
      <w:bookmarkStart w:id="163" w:name="_Toc415567497"/>
      <w:bookmarkStart w:id="164" w:name="_Toc430488851"/>
      <w:r>
        <w:rPr>
          <w:rFonts w:hint="eastAsia"/>
          <w:highlight w:val="none"/>
        </w:rPr>
        <w:t>（5）合同</w:t>
      </w:r>
    </w:p>
    <w:p w14:paraId="1E11E3BC">
      <w:pPr>
        <w:ind w:firstLine="480"/>
        <w:rPr>
          <w:highlight w:val="none"/>
        </w:rPr>
      </w:pPr>
      <w:r>
        <w:rPr>
          <w:rFonts w:hint="eastAsia"/>
          <w:highlight w:val="none"/>
        </w:rPr>
        <w:t>（6）评审办法和评分标准</w:t>
      </w:r>
    </w:p>
    <w:p w14:paraId="0EEFE1D1">
      <w:pPr>
        <w:ind w:firstLine="480"/>
        <w:rPr>
          <w:highlight w:val="none"/>
        </w:rPr>
      </w:pPr>
      <w:r>
        <w:rPr>
          <w:rFonts w:hint="eastAsia"/>
          <w:highlight w:val="none"/>
        </w:rPr>
        <w:t>（7）竞争性磋商响应文件格式</w:t>
      </w:r>
      <w:bookmarkEnd w:id="158"/>
      <w:bookmarkEnd w:id="159"/>
      <w:bookmarkEnd w:id="160"/>
      <w:bookmarkEnd w:id="161"/>
      <w:bookmarkEnd w:id="162"/>
      <w:bookmarkEnd w:id="163"/>
      <w:bookmarkEnd w:id="164"/>
    </w:p>
    <w:p w14:paraId="5FD6CA83">
      <w:pPr>
        <w:ind w:firstLine="480"/>
        <w:rPr>
          <w:highlight w:val="none"/>
        </w:rPr>
      </w:pPr>
      <w:r>
        <w:rPr>
          <w:rFonts w:hint="eastAsia"/>
          <w:highlight w:val="none"/>
        </w:rPr>
        <w:t>18.竞争性磋商文件的澄清与修改</w:t>
      </w:r>
    </w:p>
    <w:p w14:paraId="113CB74C">
      <w:pPr>
        <w:ind w:firstLine="480"/>
        <w:rPr>
          <w:highlight w:val="none"/>
        </w:rPr>
      </w:pPr>
      <w:r>
        <w:rPr>
          <w:rFonts w:hint="eastAsia"/>
          <w:highlight w:val="none"/>
        </w:rPr>
        <w:t>18.1在提交投标文件截止时间前</w:t>
      </w:r>
      <w:r>
        <w:rPr>
          <w:rFonts w:hint="eastAsia"/>
          <w:highlight w:val="none"/>
          <w:lang w:eastAsia="zh-CN"/>
        </w:rPr>
        <w:t>，</w:t>
      </w:r>
      <w:r>
        <w:rPr>
          <w:rFonts w:hint="eastAsia"/>
          <w:highlight w:val="none"/>
        </w:rPr>
        <w:t>采购人、采购代理机构可以对招标文件进行澄清或者修改。</w:t>
      </w:r>
    </w:p>
    <w:p w14:paraId="1AD66772">
      <w:pPr>
        <w:ind w:firstLine="480"/>
        <w:rPr>
          <w:highlight w:val="none"/>
        </w:rPr>
      </w:pPr>
      <w:r>
        <w:rPr>
          <w:rFonts w:hint="eastAsia"/>
          <w:highlight w:val="none"/>
        </w:rPr>
        <w:t>18.2采购人、采购代理机构可以对已发出的招标文件进行澄清或者修改</w:t>
      </w:r>
      <w:r>
        <w:rPr>
          <w:rFonts w:hint="eastAsia"/>
          <w:highlight w:val="none"/>
          <w:lang w:eastAsia="zh-CN"/>
        </w:rPr>
        <w:t>，</w:t>
      </w:r>
      <w:r>
        <w:rPr>
          <w:rFonts w:hint="eastAsia"/>
          <w:highlight w:val="none"/>
        </w:rPr>
        <w:t>将澄清或者修改的内容通知依法获取了招标文件的投标人</w:t>
      </w:r>
      <w:r>
        <w:rPr>
          <w:rFonts w:hint="eastAsia"/>
          <w:highlight w:val="none"/>
          <w:lang w:eastAsia="zh-CN"/>
        </w:rPr>
        <w:t>，</w:t>
      </w:r>
      <w:r>
        <w:rPr>
          <w:rFonts w:hint="eastAsia"/>
          <w:highlight w:val="none"/>
        </w:rPr>
        <w:t>同时在浙江政府采购网发布更正公告。</w:t>
      </w:r>
    </w:p>
    <w:p w14:paraId="4C0A615D">
      <w:pPr>
        <w:ind w:firstLine="480"/>
        <w:rPr>
          <w:highlight w:val="none"/>
        </w:rPr>
      </w:pPr>
      <w:r>
        <w:rPr>
          <w:rFonts w:hint="eastAsia"/>
          <w:highlight w:val="none"/>
        </w:rPr>
        <w:t>18.3投标人在招标文件规定的询疑截止时间前未对招标文件提出疑问的</w:t>
      </w:r>
      <w:r>
        <w:rPr>
          <w:rFonts w:hint="eastAsia"/>
          <w:highlight w:val="none"/>
          <w:lang w:eastAsia="zh-CN"/>
        </w:rPr>
        <w:t>，</w:t>
      </w:r>
      <w:r>
        <w:rPr>
          <w:rFonts w:hint="eastAsia"/>
          <w:highlight w:val="none"/>
        </w:rPr>
        <w:t>采购人、采购代理机构将视其对招标文件无异议。采购人、采购代理机构有权对逾期收到疑问将不予受理、答复。</w:t>
      </w:r>
    </w:p>
    <w:p w14:paraId="369CD24C">
      <w:pPr>
        <w:ind w:firstLine="480"/>
        <w:rPr>
          <w:highlight w:val="none"/>
        </w:rPr>
      </w:pPr>
      <w:r>
        <w:rPr>
          <w:rFonts w:hint="eastAsia"/>
          <w:highlight w:val="none"/>
        </w:rPr>
        <w:t>18.4澄清、修改补充文件发布后</w:t>
      </w:r>
      <w:r>
        <w:rPr>
          <w:rFonts w:hint="eastAsia"/>
          <w:highlight w:val="none"/>
          <w:lang w:eastAsia="zh-CN"/>
        </w:rPr>
        <w:t>，</w:t>
      </w:r>
      <w:r>
        <w:rPr>
          <w:rFonts w:hint="eastAsia"/>
          <w:highlight w:val="none"/>
        </w:rPr>
        <w:t>原则上不改变招标文件规定的投标截止时间及开标时间。投标人如认为澄清、修改补充文件内容影响投标文件编制</w:t>
      </w:r>
      <w:r>
        <w:rPr>
          <w:rFonts w:hint="eastAsia"/>
          <w:highlight w:val="none"/>
          <w:lang w:eastAsia="zh-CN"/>
        </w:rPr>
        <w:t>，</w:t>
      </w:r>
      <w:r>
        <w:rPr>
          <w:rFonts w:hint="eastAsia"/>
          <w:highlight w:val="none"/>
        </w:rPr>
        <w:t>须延长投标截止时间的</w:t>
      </w:r>
      <w:r>
        <w:rPr>
          <w:rFonts w:hint="eastAsia"/>
          <w:highlight w:val="none"/>
          <w:lang w:eastAsia="zh-CN"/>
        </w:rPr>
        <w:t>，</w:t>
      </w:r>
      <w:r>
        <w:rPr>
          <w:rFonts w:hint="eastAsia"/>
          <w:highlight w:val="none"/>
        </w:rPr>
        <w:t>否则</w:t>
      </w:r>
      <w:r>
        <w:rPr>
          <w:rFonts w:hint="eastAsia"/>
          <w:highlight w:val="none"/>
          <w:lang w:eastAsia="zh-CN"/>
        </w:rPr>
        <w:t>，</w:t>
      </w:r>
      <w:r>
        <w:rPr>
          <w:rFonts w:hint="eastAsia"/>
          <w:highlight w:val="none"/>
        </w:rPr>
        <w:t>采购人、采购代理机构视投标人完全接受并有足够的时间编制投标文件且按规定时间进行投标。</w:t>
      </w:r>
    </w:p>
    <w:p w14:paraId="5B4E3061">
      <w:pPr>
        <w:ind w:firstLine="480"/>
        <w:rPr>
          <w:rFonts w:ascii="宋体" w:hAnsi="宋体"/>
          <w:szCs w:val="21"/>
          <w:highlight w:val="none"/>
        </w:rPr>
      </w:pPr>
      <w:r>
        <w:rPr>
          <w:rFonts w:hint="eastAsia"/>
          <w:highlight w:val="none"/>
        </w:rPr>
        <w:t>18.5招标文件的澄清、修改内容作为招标文件的组成部分。当招标文件与澄清、修改的就同一内容的表述不一致时</w:t>
      </w:r>
      <w:r>
        <w:rPr>
          <w:rFonts w:hint="eastAsia"/>
          <w:highlight w:val="none"/>
          <w:lang w:eastAsia="zh-CN"/>
        </w:rPr>
        <w:t>，</w:t>
      </w:r>
      <w:r>
        <w:rPr>
          <w:rFonts w:hint="eastAsia"/>
          <w:highlight w:val="none"/>
        </w:rPr>
        <w:t>以最后发出的文件为准。</w:t>
      </w:r>
    </w:p>
    <w:p w14:paraId="67264419">
      <w:pPr>
        <w:pStyle w:val="5"/>
        <w:rPr>
          <w:highlight w:val="none"/>
        </w:rPr>
        <w:sectPr>
          <w:footerReference r:id="rId16" w:type="first"/>
          <w:footerReference r:id="rId15" w:type="default"/>
          <w:pgSz w:w="11906" w:h="16838"/>
          <w:pgMar w:top="1440" w:right="1800" w:bottom="1440" w:left="1800" w:header="851" w:footer="992" w:gutter="0"/>
          <w:pgNumType w:fmt="decimal"/>
          <w:cols w:space="425" w:num="1"/>
          <w:docGrid w:type="lines" w:linePitch="326" w:charSpace="0"/>
        </w:sectPr>
      </w:pPr>
      <w:bookmarkStart w:id="165" w:name="_Toc7126"/>
      <w:bookmarkStart w:id="166" w:name="_Toc391298957"/>
      <w:bookmarkStart w:id="167" w:name="_Toc14650"/>
      <w:bookmarkStart w:id="168" w:name="_Toc11692"/>
      <w:bookmarkStart w:id="169" w:name="_Toc10810"/>
      <w:bookmarkStart w:id="170" w:name="_Toc6273"/>
      <w:bookmarkStart w:id="171" w:name="_Toc1202"/>
      <w:bookmarkStart w:id="172" w:name="_Toc26603"/>
      <w:bookmarkStart w:id="173" w:name="_Toc11093"/>
      <w:bookmarkStart w:id="174" w:name="_Toc1828"/>
      <w:bookmarkStart w:id="175" w:name="_Toc24622"/>
      <w:bookmarkStart w:id="176" w:name="_Toc1729"/>
      <w:bookmarkStart w:id="177" w:name="_Toc6079"/>
      <w:bookmarkStart w:id="178" w:name="_Toc23135"/>
      <w:bookmarkStart w:id="179" w:name="_Toc18702"/>
      <w:bookmarkStart w:id="180" w:name="_Toc8860"/>
      <w:bookmarkStart w:id="181" w:name="_Toc31748"/>
      <w:bookmarkStart w:id="182" w:name="_Toc23975"/>
      <w:bookmarkStart w:id="183" w:name="_Toc6457"/>
      <w:bookmarkStart w:id="184" w:name="_Toc26027"/>
      <w:bookmarkStart w:id="185" w:name="_Toc10669"/>
      <w:bookmarkStart w:id="186" w:name="_Toc11669"/>
      <w:bookmarkStart w:id="187" w:name="_Toc31805"/>
      <w:bookmarkStart w:id="188" w:name="_Toc15542"/>
      <w:bookmarkStart w:id="189" w:name="_Toc1811"/>
      <w:bookmarkStart w:id="190" w:name="_Toc12861"/>
      <w:bookmarkStart w:id="191" w:name="_Toc16244"/>
      <w:bookmarkStart w:id="192" w:name="_Toc14801"/>
      <w:bookmarkStart w:id="193" w:name="_Toc23796"/>
    </w:p>
    <w:p w14:paraId="1275258A">
      <w:pPr>
        <w:pStyle w:val="5"/>
        <w:rPr>
          <w:highlight w:val="none"/>
        </w:rPr>
      </w:pPr>
      <w:bookmarkStart w:id="194" w:name="_Toc31540"/>
      <w:r>
        <w:rPr>
          <w:rFonts w:hint="eastAsia"/>
          <w:highlight w:val="none"/>
        </w:rPr>
        <w:t>三、</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hint="eastAsia"/>
          <w:highlight w:val="none"/>
        </w:rPr>
        <w:t>响应文件</w:t>
      </w:r>
      <w:bookmarkEnd w:id="187"/>
      <w:bookmarkEnd w:id="188"/>
      <w:bookmarkEnd w:id="189"/>
      <w:bookmarkEnd w:id="190"/>
      <w:bookmarkEnd w:id="191"/>
      <w:bookmarkEnd w:id="192"/>
      <w:bookmarkEnd w:id="193"/>
      <w:bookmarkEnd w:id="194"/>
    </w:p>
    <w:p w14:paraId="3DF00486">
      <w:pPr>
        <w:ind w:firstLine="480"/>
        <w:rPr>
          <w:highlight w:val="none"/>
        </w:rPr>
      </w:pPr>
      <w:r>
        <w:rPr>
          <w:highlight w:val="none"/>
        </w:rPr>
        <w:t>19.响</w:t>
      </w:r>
      <w:r>
        <w:rPr>
          <w:rFonts w:hint="eastAsia"/>
          <w:highlight w:val="none"/>
        </w:rPr>
        <w:t>应文件的组成</w:t>
      </w:r>
    </w:p>
    <w:p w14:paraId="2FDB9CA0">
      <w:pPr>
        <w:ind w:firstLine="480"/>
        <w:rPr>
          <w:highlight w:val="none"/>
        </w:rPr>
      </w:pPr>
      <w:r>
        <w:rPr>
          <w:highlight w:val="none"/>
        </w:rPr>
        <w:t>19.1供应商应按照磋商文件的要求以及格式编制响应文件并做出实质性响应</w:t>
      </w:r>
      <w:r>
        <w:rPr>
          <w:rFonts w:hint="eastAsia"/>
          <w:highlight w:val="none"/>
          <w:lang w:eastAsia="zh-CN"/>
        </w:rPr>
        <w:t>，</w:t>
      </w:r>
      <w:r>
        <w:rPr>
          <w:highlight w:val="none"/>
        </w:rPr>
        <w:t>保证其合法性、真实性、准确性和完整性。</w:t>
      </w:r>
    </w:p>
    <w:p w14:paraId="6016C2B8">
      <w:pPr>
        <w:ind w:firstLine="480"/>
        <w:rPr>
          <w:highlight w:val="none"/>
        </w:rPr>
      </w:pPr>
      <w:r>
        <w:rPr>
          <w:highlight w:val="none"/>
        </w:rPr>
        <w:t>19.2响应文件由【资格审查文件】【商务技术文件】</w:t>
      </w:r>
      <w:r>
        <w:rPr>
          <w:rFonts w:hint="eastAsia"/>
          <w:highlight w:val="none"/>
          <w:lang w:eastAsia="zh-CN"/>
        </w:rPr>
        <w:t>【</w:t>
      </w:r>
      <w:r>
        <w:rPr>
          <w:rFonts w:hint="eastAsia"/>
          <w:highlight w:val="none"/>
          <w:lang w:val="en-US" w:eastAsia="zh-CN"/>
        </w:rPr>
        <w:t>报价文件】三</w:t>
      </w:r>
      <w:r>
        <w:rPr>
          <w:highlight w:val="none"/>
        </w:rPr>
        <w:t>部分内容组成</w:t>
      </w:r>
      <w:r>
        <w:rPr>
          <w:rFonts w:hint="eastAsia"/>
          <w:highlight w:val="none"/>
          <w:lang w:eastAsia="zh-CN"/>
        </w:rPr>
        <w:t>，</w:t>
      </w:r>
      <w:r>
        <w:rPr>
          <w:highlight w:val="none"/>
        </w:rPr>
        <w:t>其中</w:t>
      </w:r>
    </w:p>
    <w:p w14:paraId="7378F919">
      <w:pPr>
        <w:ind w:firstLine="480"/>
        <w:rPr>
          <w:rFonts w:hint="eastAsia" w:eastAsia="宋体"/>
          <w:color w:val="000000" w:themeColor="text1"/>
          <w:highlight w:val="none"/>
          <w:lang w:eastAsia="zh-CN"/>
          <w14:textFill>
            <w14:solidFill>
              <w14:schemeClr w14:val="tx1"/>
            </w14:solidFill>
          </w14:textFill>
        </w:rPr>
      </w:pPr>
      <w:r>
        <w:rPr>
          <w:highlight w:val="none"/>
        </w:rPr>
        <w:t>19.2.1资格审查文件</w:t>
      </w:r>
      <w:r>
        <w:rPr>
          <w:rFonts w:hint="default" w:ascii="Plantagenet Cherokee" w:hAnsi="Plantagenet Cherokee" w:cs="Plantagenet Cherokee"/>
          <w:b/>
          <w:bCs w:val="0"/>
          <w:color w:val="auto"/>
          <w:highlight w:val="none"/>
          <w:lang w:eastAsia="zh-CN"/>
        </w:rPr>
        <w:t>包括但不限于下列内容：</w:t>
      </w:r>
    </w:p>
    <w:p w14:paraId="750870E5">
      <w:pPr>
        <w:bidi w:val="0"/>
        <w:rPr>
          <w:highlight w:val="none"/>
        </w:rPr>
      </w:pPr>
      <w:r>
        <w:rPr>
          <w:rFonts w:hint="eastAsia"/>
          <w:highlight w:val="none"/>
        </w:rPr>
        <w:t>（</w:t>
      </w:r>
      <w:r>
        <w:rPr>
          <w:highlight w:val="none"/>
        </w:rPr>
        <w:t>1</w:t>
      </w:r>
      <w:r>
        <w:rPr>
          <w:rFonts w:hint="eastAsia"/>
          <w:highlight w:val="none"/>
        </w:rPr>
        <w:t>）▲投标人基本情况表（附件</w:t>
      </w:r>
      <w:r>
        <w:rPr>
          <w:highlight w:val="none"/>
        </w:rPr>
        <w:t>1</w:t>
      </w:r>
      <w:r>
        <w:rPr>
          <w:rFonts w:hint="eastAsia"/>
          <w:highlight w:val="none"/>
        </w:rPr>
        <w:t>）</w:t>
      </w:r>
    </w:p>
    <w:p w14:paraId="7185F229">
      <w:pPr>
        <w:bidi w:val="0"/>
        <w:rPr>
          <w:rFonts w:hint="default" w:eastAsia="宋体"/>
          <w:highlight w:val="none"/>
          <w:lang w:val="en-US" w:eastAsia="zh-CN"/>
        </w:rPr>
      </w:pPr>
      <w:r>
        <w:rPr>
          <w:rFonts w:hint="eastAsia"/>
          <w:highlight w:val="none"/>
        </w:rPr>
        <w:t>（</w:t>
      </w:r>
      <w:r>
        <w:rPr>
          <w:highlight w:val="none"/>
        </w:rPr>
        <w:t>2</w:t>
      </w:r>
      <w:r>
        <w:rPr>
          <w:rFonts w:hint="eastAsia"/>
          <w:highlight w:val="none"/>
        </w:rPr>
        <w:t>）▲</w:t>
      </w:r>
      <w:r>
        <w:rPr>
          <w:rFonts w:hint="default"/>
          <w:highlight w:val="none"/>
        </w:rPr>
        <w:t>提供有效《营业执照》或者《事业单位法人证书》扫描件</w:t>
      </w:r>
      <w:r>
        <w:rPr>
          <w:rFonts w:hint="eastAsia"/>
          <w:highlight w:val="none"/>
          <w:lang w:val="en-US" w:eastAsia="zh-CN"/>
        </w:rPr>
        <w:t>并加盖公章</w:t>
      </w:r>
    </w:p>
    <w:p w14:paraId="106D5245">
      <w:pPr>
        <w:ind w:firstLine="480"/>
        <w:rPr>
          <w:rFonts w:hint="default"/>
          <w:highlight w:val="none"/>
        </w:rPr>
      </w:pPr>
      <w:r>
        <w:rPr>
          <w:rFonts w:hint="eastAsia"/>
          <w:highlight w:val="none"/>
          <w:lang w:eastAsia="zh-CN"/>
        </w:rPr>
        <w:t>（</w:t>
      </w:r>
      <w:r>
        <w:rPr>
          <w:rFonts w:hint="eastAsia"/>
          <w:highlight w:val="none"/>
          <w:lang w:val="en-US" w:eastAsia="zh-CN"/>
        </w:rPr>
        <w:t>3）</w:t>
      </w:r>
      <w:r>
        <w:rPr>
          <w:rFonts w:hint="default"/>
          <w:highlight w:val="none"/>
        </w:rPr>
        <w:t>▲法定资格要求：提供符合参加</w:t>
      </w:r>
      <w:r>
        <w:rPr>
          <w:rFonts w:hint="eastAsia"/>
          <w:highlight w:val="none"/>
          <w:lang w:val="en-US" w:eastAsia="zh-CN"/>
        </w:rPr>
        <w:t>政府</w:t>
      </w:r>
      <w:r>
        <w:rPr>
          <w:rFonts w:hint="default"/>
          <w:highlight w:val="none"/>
        </w:rPr>
        <w:t>采购活动应当具备的一般条件承诺函（附件2）</w:t>
      </w:r>
    </w:p>
    <w:p w14:paraId="04F7942F">
      <w:pPr>
        <w:ind w:firstLine="480"/>
        <w:rPr>
          <w:highlight w:val="none"/>
        </w:rPr>
      </w:pPr>
      <w:r>
        <w:rPr>
          <w:rFonts w:hint="eastAsia"/>
          <w:highlight w:val="none"/>
        </w:rPr>
        <w:t>19.2.2商务技术文件</w:t>
      </w:r>
    </w:p>
    <w:p w14:paraId="2C79DD3D">
      <w:pPr>
        <w:bidi w:val="0"/>
        <w:rPr>
          <w:highlight w:val="none"/>
        </w:rPr>
      </w:pPr>
      <w:r>
        <w:rPr>
          <w:rFonts w:hint="eastAsia"/>
          <w:highlight w:val="none"/>
        </w:rPr>
        <w:t>（</w:t>
      </w:r>
      <w:r>
        <w:rPr>
          <w:rFonts w:hint="eastAsia"/>
          <w:highlight w:val="none"/>
          <w:lang w:val="en-US" w:eastAsia="zh-CN"/>
        </w:rPr>
        <w:t>1</w:t>
      </w:r>
      <w:r>
        <w:rPr>
          <w:rFonts w:hint="eastAsia"/>
          <w:highlight w:val="none"/>
        </w:rPr>
        <w:t>）</w:t>
      </w:r>
      <w:r>
        <w:rPr>
          <w:highlight w:val="none"/>
        </w:rPr>
        <w:t>▲</w:t>
      </w:r>
      <w:r>
        <w:rPr>
          <w:rFonts w:hint="eastAsia"/>
          <w:highlight w:val="none"/>
        </w:rPr>
        <w:t>投标声明函（</w:t>
      </w:r>
      <w:r>
        <w:rPr>
          <w:highlight w:val="none"/>
        </w:rPr>
        <w:t>附件</w:t>
      </w:r>
      <w:r>
        <w:rPr>
          <w:rFonts w:hint="eastAsia"/>
          <w:highlight w:val="none"/>
          <w:lang w:val="en-US" w:eastAsia="zh-CN"/>
        </w:rPr>
        <w:t>3</w:t>
      </w:r>
      <w:r>
        <w:rPr>
          <w:rFonts w:hint="eastAsia"/>
          <w:highlight w:val="none"/>
        </w:rPr>
        <w:t>）</w:t>
      </w:r>
    </w:p>
    <w:p w14:paraId="143520E8">
      <w:pPr>
        <w:bidi w:val="0"/>
        <w:rPr>
          <w:highlight w:val="none"/>
        </w:rPr>
      </w:pPr>
      <w:r>
        <w:rPr>
          <w:rFonts w:hint="eastAsia"/>
          <w:highlight w:val="none"/>
        </w:rPr>
        <w:t>（</w:t>
      </w:r>
      <w:r>
        <w:rPr>
          <w:rFonts w:hint="eastAsia"/>
          <w:highlight w:val="none"/>
          <w:lang w:val="en-US" w:eastAsia="zh-CN"/>
        </w:rPr>
        <w:t>2</w:t>
      </w:r>
      <w:r>
        <w:rPr>
          <w:rFonts w:hint="eastAsia"/>
          <w:highlight w:val="none"/>
        </w:rPr>
        <w:t>）</w:t>
      </w:r>
      <w:r>
        <w:rPr>
          <w:highlight w:val="none"/>
        </w:rPr>
        <w:t>▲授权</w:t>
      </w:r>
      <w:r>
        <w:rPr>
          <w:rFonts w:hint="eastAsia"/>
          <w:highlight w:val="none"/>
        </w:rPr>
        <w:t>委托</w:t>
      </w:r>
      <w:r>
        <w:rPr>
          <w:highlight w:val="none"/>
        </w:rPr>
        <w:t>书</w:t>
      </w:r>
      <w:r>
        <w:rPr>
          <w:rFonts w:hint="eastAsia"/>
          <w:highlight w:val="none"/>
        </w:rPr>
        <w:t>（附件</w:t>
      </w:r>
      <w:r>
        <w:rPr>
          <w:rFonts w:hint="eastAsia"/>
          <w:highlight w:val="none"/>
          <w:lang w:val="en-US" w:eastAsia="zh-CN"/>
        </w:rPr>
        <w:t>4</w:t>
      </w:r>
      <w:r>
        <w:rPr>
          <w:rFonts w:hint="eastAsia"/>
          <w:highlight w:val="none"/>
        </w:rPr>
        <w:t>）</w:t>
      </w:r>
    </w:p>
    <w:p w14:paraId="053002A8">
      <w:pPr>
        <w:bidi w:val="0"/>
        <w:rPr>
          <w:highlight w:val="none"/>
        </w:rPr>
      </w:pPr>
      <w:r>
        <w:rPr>
          <w:rFonts w:hint="eastAsia"/>
          <w:highlight w:val="none"/>
        </w:rPr>
        <w:t>（</w:t>
      </w:r>
      <w:r>
        <w:rPr>
          <w:rFonts w:hint="eastAsia"/>
          <w:highlight w:val="none"/>
          <w:lang w:val="en-US" w:eastAsia="zh-CN"/>
        </w:rPr>
        <w:t>3</w:t>
      </w:r>
      <w:r>
        <w:rPr>
          <w:rFonts w:hint="eastAsia"/>
          <w:highlight w:val="none"/>
        </w:rPr>
        <w:t>）同类项目业绩一览表；（附件</w:t>
      </w:r>
      <w:r>
        <w:rPr>
          <w:rFonts w:hint="eastAsia"/>
          <w:highlight w:val="none"/>
          <w:lang w:val="en-US" w:eastAsia="zh-CN"/>
        </w:rPr>
        <w:t>5</w:t>
      </w:r>
      <w:r>
        <w:rPr>
          <w:rFonts w:hint="eastAsia"/>
          <w:highlight w:val="none"/>
        </w:rPr>
        <w:t>）</w:t>
      </w:r>
    </w:p>
    <w:p w14:paraId="1E5ACBD3">
      <w:pPr>
        <w:bidi w:val="0"/>
        <w:rPr>
          <w:rFonts w:hint="eastAsia"/>
          <w:highlight w:val="none"/>
          <w:lang w:eastAsia="zh-CN"/>
        </w:rPr>
      </w:pPr>
      <w:r>
        <w:rPr>
          <w:rFonts w:hint="eastAsia"/>
          <w:highlight w:val="none"/>
        </w:rPr>
        <w:t>（</w:t>
      </w:r>
      <w:r>
        <w:rPr>
          <w:rFonts w:hint="eastAsia"/>
          <w:highlight w:val="none"/>
          <w:lang w:val="en-US" w:eastAsia="zh-CN"/>
        </w:rPr>
        <w:t>4</w:t>
      </w:r>
      <w:r>
        <w:rPr>
          <w:rFonts w:hint="eastAsia"/>
          <w:highlight w:val="none"/>
        </w:rPr>
        <w:t>）综合实力</w:t>
      </w:r>
      <w:r>
        <w:rPr>
          <w:rFonts w:hint="eastAsia"/>
          <w:highlight w:val="none"/>
          <w:lang w:eastAsia="zh-CN"/>
        </w:rPr>
        <w:t>；（</w:t>
      </w:r>
      <w:r>
        <w:rPr>
          <w:rFonts w:hint="eastAsia"/>
          <w:highlight w:val="none"/>
          <w:lang w:val="en-US" w:eastAsia="zh-CN"/>
        </w:rPr>
        <w:t>格式自拟</w:t>
      </w:r>
      <w:r>
        <w:rPr>
          <w:rFonts w:hint="eastAsia"/>
          <w:highlight w:val="none"/>
          <w:lang w:eastAsia="zh-CN"/>
        </w:rPr>
        <w:t>）</w:t>
      </w:r>
    </w:p>
    <w:p w14:paraId="430C8E87">
      <w:pPr>
        <w:bidi w:val="0"/>
        <w:rPr>
          <w:highlight w:val="none"/>
          <w:lang w:val="zh-CN"/>
        </w:rPr>
      </w:pPr>
      <w:r>
        <w:rPr>
          <w:rFonts w:hint="eastAsia"/>
          <w:highlight w:val="none"/>
        </w:rPr>
        <w:t>（</w:t>
      </w:r>
      <w:r>
        <w:rPr>
          <w:rFonts w:hint="eastAsia"/>
          <w:highlight w:val="none"/>
          <w:lang w:val="en-US" w:eastAsia="zh-CN"/>
        </w:rPr>
        <w:t>5</w:t>
      </w:r>
      <w:r>
        <w:rPr>
          <w:rFonts w:hint="eastAsia"/>
          <w:highlight w:val="none"/>
        </w:rPr>
        <w:t>）产品认证</w:t>
      </w:r>
      <w:r>
        <w:rPr>
          <w:rFonts w:hint="eastAsia"/>
          <w:highlight w:val="none"/>
          <w:lang w:eastAsia="zh-CN"/>
        </w:rPr>
        <w:t>；（</w:t>
      </w:r>
      <w:r>
        <w:rPr>
          <w:rFonts w:hint="eastAsia"/>
          <w:highlight w:val="none"/>
          <w:lang w:val="en-US" w:eastAsia="zh-CN"/>
        </w:rPr>
        <w:t>格式自拟</w:t>
      </w:r>
      <w:r>
        <w:rPr>
          <w:rFonts w:hint="eastAsia"/>
          <w:highlight w:val="none"/>
          <w:lang w:eastAsia="zh-CN"/>
        </w:rPr>
        <w:t>）</w:t>
      </w:r>
    </w:p>
    <w:p w14:paraId="2890AA1E">
      <w:pPr>
        <w:bidi w:val="0"/>
        <w:rPr>
          <w:rFonts w:hint="eastAsia"/>
          <w:highlight w:val="none"/>
          <w:lang w:eastAsia="zh-CN"/>
        </w:rPr>
      </w:pPr>
      <w:r>
        <w:rPr>
          <w:rFonts w:hint="eastAsia"/>
          <w:highlight w:val="none"/>
        </w:rPr>
        <w:t>（</w:t>
      </w:r>
      <w:r>
        <w:rPr>
          <w:rFonts w:hint="eastAsia"/>
          <w:highlight w:val="none"/>
          <w:lang w:val="en-US" w:eastAsia="zh-CN"/>
        </w:rPr>
        <w:t>6</w:t>
      </w:r>
      <w:r>
        <w:rPr>
          <w:rFonts w:hint="eastAsia"/>
          <w:highlight w:val="none"/>
        </w:rPr>
        <w:t>）系统整体设计</w:t>
      </w:r>
      <w:r>
        <w:rPr>
          <w:rFonts w:hint="eastAsia"/>
          <w:highlight w:val="none"/>
          <w:lang w:eastAsia="zh-CN"/>
        </w:rPr>
        <w:t>；（</w:t>
      </w:r>
      <w:r>
        <w:rPr>
          <w:rFonts w:hint="eastAsia"/>
          <w:highlight w:val="none"/>
          <w:lang w:val="en-US" w:eastAsia="zh-CN"/>
        </w:rPr>
        <w:t>格式自拟</w:t>
      </w:r>
      <w:r>
        <w:rPr>
          <w:rFonts w:hint="eastAsia"/>
          <w:highlight w:val="none"/>
          <w:lang w:eastAsia="zh-CN"/>
        </w:rPr>
        <w:t>）</w:t>
      </w:r>
    </w:p>
    <w:p w14:paraId="56D40D54">
      <w:pPr>
        <w:bidi w:val="0"/>
        <w:rPr>
          <w:highlight w:val="none"/>
        </w:rPr>
      </w:pPr>
      <w:r>
        <w:rPr>
          <w:rFonts w:hint="eastAsia"/>
          <w:highlight w:val="none"/>
        </w:rPr>
        <w:t>（</w:t>
      </w:r>
      <w:r>
        <w:rPr>
          <w:rFonts w:hint="eastAsia"/>
          <w:highlight w:val="none"/>
          <w:lang w:val="en-US" w:eastAsia="zh-CN"/>
        </w:rPr>
        <w:t>7</w:t>
      </w:r>
      <w:r>
        <w:rPr>
          <w:rFonts w:hint="eastAsia"/>
          <w:highlight w:val="none"/>
        </w:rPr>
        <w:t>）质量及工期保证措施</w:t>
      </w:r>
      <w:r>
        <w:rPr>
          <w:rFonts w:hint="eastAsia"/>
          <w:highlight w:val="none"/>
          <w:lang w:eastAsia="zh-CN"/>
        </w:rPr>
        <w:t>；（</w:t>
      </w:r>
      <w:r>
        <w:rPr>
          <w:rFonts w:hint="eastAsia"/>
          <w:highlight w:val="none"/>
          <w:lang w:val="en-US" w:eastAsia="zh-CN"/>
        </w:rPr>
        <w:t>格式自拟</w:t>
      </w:r>
      <w:r>
        <w:rPr>
          <w:rFonts w:hint="eastAsia"/>
          <w:highlight w:val="none"/>
          <w:lang w:eastAsia="zh-CN"/>
        </w:rPr>
        <w:t>）</w:t>
      </w:r>
    </w:p>
    <w:p w14:paraId="466F6D2E">
      <w:pPr>
        <w:bidi w:val="0"/>
        <w:rPr>
          <w:rFonts w:hint="eastAsia"/>
          <w:highlight w:val="none"/>
        </w:rPr>
      </w:pPr>
      <w:r>
        <w:rPr>
          <w:rFonts w:hint="eastAsia"/>
          <w:highlight w:val="none"/>
        </w:rPr>
        <w:t>（</w:t>
      </w:r>
      <w:r>
        <w:rPr>
          <w:rFonts w:hint="eastAsia"/>
          <w:highlight w:val="none"/>
          <w:lang w:val="en-US" w:eastAsia="zh-CN"/>
        </w:rPr>
        <w:t>8</w:t>
      </w:r>
      <w:r>
        <w:rPr>
          <w:rFonts w:hint="eastAsia"/>
          <w:highlight w:val="none"/>
        </w:rPr>
        <w:t>）验收方案及进度计划</w:t>
      </w:r>
      <w:r>
        <w:rPr>
          <w:rFonts w:hint="eastAsia"/>
          <w:highlight w:val="none"/>
          <w:lang w:eastAsia="zh-CN"/>
        </w:rPr>
        <w:t>；（</w:t>
      </w:r>
      <w:r>
        <w:rPr>
          <w:rFonts w:hint="eastAsia"/>
          <w:highlight w:val="none"/>
          <w:lang w:val="en-US" w:eastAsia="zh-CN"/>
        </w:rPr>
        <w:t>格式自拟</w:t>
      </w:r>
      <w:r>
        <w:rPr>
          <w:rFonts w:hint="eastAsia"/>
          <w:highlight w:val="none"/>
          <w:lang w:eastAsia="zh-CN"/>
        </w:rPr>
        <w:t>）</w:t>
      </w:r>
    </w:p>
    <w:p w14:paraId="1D56F866">
      <w:pPr>
        <w:bidi w:val="0"/>
        <w:rPr>
          <w:rFonts w:hint="eastAsia"/>
          <w:highlight w:val="none"/>
          <w:lang w:eastAsia="zh-CN"/>
        </w:rPr>
      </w:pPr>
      <w:r>
        <w:rPr>
          <w:rFonts w:hint="eastAsia"/>
          <w:highlight w:val="none"/>
          <w:lang w:eastAsia="zh-CN"/>
        </w:rPr>
        <w:t>（</w:t>
      </w:r>
      <w:r>
        <w:rPr>
          <w:rFonts w:hint="eastAsia"/>
          <w:highlight w:val="none"/>
          <w:lang w:val="en-US" w:eastAsia="zh-CN"/>
        </w:rPr>
        <w:t>9</w:t>
      </w:r>
      <w:r>
        <w:rPr>
          <w:rFonts w:hint="eastAsia"/>
          <w:highlight w:val="none"/>
          <w:lang w:eastAsia="zh-CN"/>
        </w:rPr>
        <w:t>）</w:t>
      </w:r>
      <w:r>
        <w:rPr>
          <w:rFonts w:hint="eastAsia"/>
          <w:highlight w:val="none"/>
        </w:rPr>
        <w:t>培训</w:t>
      </w:r>
      <w:r>
        <w:rPr>
          <w:rFonts w:hint="eastAsia"/>
          <w:highlight w:val="none"/>
          <w:lang w:eastAsia="zh-CN"/>
        </w:rPr>
        <w:t>；（</w:t>
      </w:r>
      <w:r>
        <w:rPr>
          <w:rFonts w:hint="eastAsia"/>
          <w:highlight w:val="none"/>
          <w:lang w:val="en-US" w:eastAsia="zh-CN"/>
        </w:rPr>
        <w:t>格式自拟</w:t>
      </w:r>
      <w:r>
        <w:rPr>
          <w:rFonts w:hint="eastAsia"/>
          <w:highlight w:val="none"/>
          <w:lang w:eastAsia="zh-CN"/>
        </w:rPr>
        <w:t>）</w:t>
      </w:r>
    </w:p>
    <w:p w14:paraId="796BF1CB">
      <w:pPr>
        <w:bidi w:val="0"/>
        <w:rPr>
          <w:rFonts w:hint="eastAsia"/>
          <w:highlight w:val="none"/>
          <w:lang w:eastAsia="zh-CN"/>
        </w:rPr>
      </w:pPr>
      <w:r>
        <w:rPr>
          <w:rFonts w:hint="eastAsia"/>
          <w:highlight w:val="none"/>
          <w:lang w:eastAsia="zh-CN"/>
        </w:rPr>
        <w:t>（</w:t>
      </w:r>
      <w:r>
        <w:rPr>
          <w:rFonts w:hint="eastAsia"/>
          <w:highlight w:val="none"/>
          <w:lang w:val="en-US" w:eastAsia="zh-CN"/>
        </w:rPr>
        <w:t>10</w:t>
      </w:r>
      <w:r>
        <w:rPr>
          <w:rFonts w:hint="eastAsia"/>
          <w:highlight w:val="none"/>
          <w:lang w:eastAsia="zh-CN"/>
        </w:rPr>
        <w:t>）合理化建议；（</w:t>
      </w:r>
      <w:r>
        <w:rPr>
          <w:rFonts w:hint="eastAsia"/>
          <w:highlight w:val="none"/>
          <w:lang w:val="en-US" w:eastAsia="zh-CN"/>
        </w:rPr>
        <w:t>格式自拟</w:t>
      </w:r>
      <w:r>
        <w:rPr>
          <w:rFonts w:hint="eastAsia"/>
          <w:highlight w:val="none"/>
          <w:lang w:eastAsia="zh-CN"/>
        </w:rPr>
        <w:t>）</w:t>
      </w:r>
    </w:p>
    <w:p w14:paraId="5413DA60">
      <w:pPr>
        <w:bidi w:val="0"/>
        <w:rPr>
          <w:highlight w:val="none"/>
        </w:rPr>
      </w:pPr>
      <w:r>
        <w:rPr>
          <w:rFonts w:hint="eastAsia"/>
          <w:highlight w:val="none"/>
        </w:rPr>
        <w:t>（11）</w:t>
      </w:r>
      <w:r>
        <w:rPr>
          <w:highlight w:val="none"/>
        </w:rPr>
        <w:t>供应商承诺给予采购人的各种优惠条件（如有</w:t>
      </w:r>
      <w:r>
        <w:rPr>
          <w:rFonts w:hint="eastAsia"/>
          <w:highlight w:val="none"/>
          <w:lang w:eastAsia="zh-CN"/>
        </w:rPr>
        <w:t>，</w:t>
      </w:r>
      <w:r>
        <w:rPr>
          <w:highlight w:val="none"/>
        </w:rPr>
        <w:t>优惠条件事项不能包括采购项目本身所包括涉及的采购事项。供应商不能以</w:t>
      </w:r>
      <w:r>
        <w:rPr>
          <w:rFonts w:hint="eastAsia"/>
          <w:highlight w:val="none"/>
          <w:lang w:eastAsia="zh-CN"/>
        </w:rPr>
        <w:t>“</w:t>
      </w:r>
      <w:r>
        <w:rPr>
          <w:highlight w:val="none"/>
        </w:rPr>
        <w:t>赠送、赠予</w:t>
      </w:r>
      <w:r>
        <w:rPr>
          <w:rFonts w:hint="eastAsia"/>
          <w:highlight w:val="none"/>
          <w:lang w:eastAsia="zh-CN"/>
        </w:rPr>
        <w:t>”</w:t>
      </w:r>
      <w:r>
        <w:rPr>
          <w:highlight w:val="none"/>
        </w:rPr>
        <w:t>等任何名</w:t>
      </w:r>
      <w:r>
        <w:rPr>
          <w:rFonts w:hint="eastAsia"/>
          <w:highlight w:val="none"/>
        </w:rPr>
        <w:t>义提供货物和服务以规避磋商文件的约束。否则</w:t>
      </w:r>
      <w:r>
        <w:rPr>
          <w:rFonts w:hint="eastAsia"/>
          <w:highlight w:val="none"/>
          <w:lang w:eastAsia="zh-CN"/>
        </w:rPr>
        <w:t>，</w:t>
      </w:r>
      <w:r>
        <w:rPr>
          <w:rFonts w:hint="eastAsia"/>
          <w:highlight w:val="none"/>
        </w:rPr>
        <w:t>供应商提供的响应文件将作为响应无效处理</w:t>
      </w:r>
      <w:r>
        <w:rPr>
          <w:rFonts w:hint="eastAsia"/>
          <w:highlight w:val="none"/>
          <w:lang w:eastAsia="zh-CN"/>
        </w:rPr>
        <w:t>，</w:t>
      </w:r>
      <w:r>
        <w:rPr>
          <w:rFonts w:hint="eastAsia"/>
          <w:highlight w:val="none"/>
        </w:rPr>
        <w:t>即使成交也将取消成交资格）。</w:t>
      </w:r>
    </w:p>
    <w:p w14:paraId="0B52A113">
      <w:pPr>
        <w:ind w:firstLine="480"/>
        <w:rPr>
          <w:highlight w:val="none"/>
        </w:rPr>
      </w:pPr>
      <w:r>
        <w:rPr>
          <w:rFonts w:hint="eastAsia"/>
          <w:highlight w:val="none"/>
        </w:rPr>
        <w:t>（12）未尽事宜请各供应商按评分细则制作技术部份；（格式自拟）</w:t>
      </w:r>
    </w:p>
    <w:p w14:paraId="7544C2B3">
      <w:pPr>
        <w:ind w:firstLine="480"/>
        <w:rPr>
          <w:highlight w:val="none"/>
        </w:rPr>
      </w:pPr>
      <w:r>
        <w:rPr>
          <w:rFonts w:hint="eastAsia"/>
          <w:highlight w:val="none"/>
        </w:rPr>
        <w:t>19.2.3报价文件</w:t>
      </w:r>
      <w:r>
        <w:rPr>
          <w:rFonts w:hint="eastAsia"/>
          <w:highlight w:val="none"/>
          <w:lang w:eastAsia="zh-CN"/>
        </w:rPr>
        <w:t>，</w:t>
      </w:r>
      <w:r>
        <w:rPr>
          <w:rFonts w:hint="eastAsia"/>
          <w:highlight w:val="none"/>
        </w:rPr>
        <w:t>包括但不限于下列内容：</w:t>
      </w:r>
    </w:p>
    <w:p w14:paraId="25218148">
      <w:pPr>
        <w:bidi w:val="0"/>
        <w:rPr>
          <w:rFonts w:hint="eastAsia"/>
          <w:highlight w:val="none"/>
        </w:rPr>
      </w:pPr>
      <w:r>
        <w:rPr>
          <w:rFonts w:hint="eastAsia"/>
          <w:highlight w:val="none"/>
          <w:lang w:eastAsia="zh-CN"/>
        </w:rPr>
        <w:t>（</w:t>
      </w:r>
      <w:r>
        <w:rPr>
          <w:rFonts w:hint="eastAsia"/>
          <w:highlight w:val="none"/>
          <w:lang w:val="en-US" w:eastAsia="zh-CN"/>
        </w:rPr>
        <w:t>1）</w:t>
      </w:r>
      <w:r>
        <w:rPr>
          <w:highlight w:val="none"/>
        </w:rPr>
        <w:t>▲</w:t>
      </w:r>
      <w:r>
        <w:rPr>
          <w:rFonts w:hint="eastAsia"/>
          <w:highlight w:val="none"/>
        </w:rPr>
        <w:t>报价一览表（附件</w:t>
      </w:r>
      <w:r>
        <w:rPr>
          <w:rFonts w:hint="eastAsia"/>
          <w:highlight w:val="none"/>
          <w:lang w:val="en-US" w:eastAsia="zh-CN"/>
        </w:rPr>
        <w:t>6</w:t>
      </w:r>
      <w:r>
        <w:rPr>
          <w:rFonts w:hint="eastAsia"/>
          <w:highlight w:val="none"/>
        </w:rPr>
        <w:t>）</w:t>
      </w:r>
    </w:p>
    <w:p w14:paraId="6A7ADF62">
      <w:pPr>
        <w:bidi w:val="0"/>
        <w:rPr>
          <w:highlight w:val="none"/>
        </w:rPr>
      </w:pPr>
      <w:r>
        <w:rPr>
          <w:rFonts w:hint="eastAsia"/>
          <w:highlight w:val="none"/>
          <w:lang w:eastAsia="zh-CN"/>
        </w:rPr>
        <w:t>（</w:t>
      </w:r>
      <w:r>
        <w:rPr>
          <w:rFonts w:hint="eastAsia"/>
          <w:highlight w:val="none"/>
          <w:lang w:val="en-US" w:eastAsia="zh-CN"/>
        </w:rPr>
        <w:t>2）</w:t>
      </w:r>
      <w:r>
        <w:rPr>
          <w:rFonts w:hint="eastAsia"/>
          <w:highlight w:val="none"/>
        </w:rPr>
        <w:t>中小企业声明函（附件</w:t>
      </w:r>
      <w:r>
        <w:rPr>
          <w:rFonts w:hint="eastAsia"/>
          <w:highlight w:val="none"/>
          <w:lang w:val="en-US" w:eastAsia="zh-CN"/>
        </w:rPr>
        <w:t>7</w:t>
      </w:r>
      <w:r>
        <w:rPr>
          <w:rFonts w:hint="eastAsia"/>
          <w:highlight w:val="none"/>
        </w:rPr>
        <w:t>）</w:t>
      </w:r>
    </w:p>
    <w:p w14:paraId="5B61DCC6">
      <w:pPr>
        <w:ind w:firstLine="480"/>
        <w:rPr>
          <w:highlight w:val="none"/>
        </w:rPr>
      </w:pPr>
      <w:r>
        <w:rPr>
          <w:rFonts w:hint="eastAsia"/>
          <w:highlight w:val="none"/>
        </w:rPr>
        <w:t>（</w:t>
      </w:r>
      <w:r>
        <w:rPr>
          <w:rFonts w:hint="eastAsia"/>
          <w:highlight w:val="none"/>
          <w:lang w:val="en-US" w:eastAsia="zh-CN"/>
        </w:rPr>
        <w:t>3</w:t>
      </w:r>
      <w:r>
        <w:rPr>
          <w:rFonts w:hint="eastAsia"/>
          <w:highlight w:val="none"/>
        </w:rPr>
        <w:t>）监狱企业声明函（附件</w:t>
      </w:r>
      <w:r>
        <w:rPr>
          <w:rFonts w:hint="eastAsia"/>
          <w:highlight w:val="none"/>
          <w:lang w:val="en-US" w:eastAsia="zh-CN"/>
        </w:rPr>
        <w:t>8</w:t>
      </w:r>
      <w:r>
        <w:rPr>
          <w:rFonts w:hint="eastAsia"/>
          <w:highlight w:val="none"/>
        </w:rPr>
        <w:t>）</w:t>
      </w:r>
    </w:p>
    <w:p w14:paraId="7E946DBE">
      <w:pPr>
        <w:ind w:firstLine="480"/>
        <w:rPr>
          <w:highlight w:val="none"/>
        </w:rPr>
      </w:pPr>
      <w:r>
        <w:rPr>
          <w:rFonts w:hint="eastAsia"/>
          <w:highlight w:val="none"/>
        </w:rPr>
        <w:t>（</w:t>
      </w:r>
      <w:r>
        <w:rPr>
          <w:rFonts w:hint="eastAsia"/>
          <w:highlight w:val="none"/>
          <w:lang w:val="en-US" w:eastAsia="zh-CN"/>
        </w:rPr>
        <w:t>4</w:t>
      </w:r>
      <w:r>
        <w:rPr>
          <w:rFonts w:hint="eastAsia"/>
          <w:highlight w:val="none"/>
        </w:rPr>
        <w:t>）残疾人福利性单位声明函（附件</w:t>
      </w:r>
      <w:r>
        <w:rPr>
          <w:rFonts w:hint="eastAsia"/>
          <w:highlight w:val="none"/>
          <w:lang w:val="en-US" w:eastAsia="zh-CN"/>
        </w:rPr>
        <w:t>9</w:t>
      </w:r>
      <w:r>
        <w:rPr>
          <w:rFonts w:hint="eastAsia"/>
          <w:highlight w:val="none"/>
        </w:rPr>
        <w:t>）</w:t>
      </w:r>
    </w:p>
    <w:p w14:paraId="50AE2CF8">
      <w:pPr>
        <w:ind w:firstLine="480"/>
        <w:rPr>
          <w:highlight w:val="none"/>
        </w:rPr>
      </w:pPr>
      <w:r>
        <w:rPr>
          <w:rFonts w:hint="eastAsia"/>
          <w:highlight w:val="none"/>
        </w:rPr>
        <w:t>以上文件组成投标文件。投标方应对磋商文件做出实质性响应</w:t>
      </w:r>
      <w:r>
        <w:rPr>
          <w:rFonts w:hint="eastAsia"/>
          <w:highlight w:val="none"/>
          <w:lang w:eastAsia="zh-CN"/>
        </w:rPr>
        <w:t>，</w:t>
      </w:r>
      <w:r>
        <w:rPr>
          <w:rFonts w:hint="eastAsia"/>
          <w:highlight w:val="none"/>
        </w:rPr>
        <w:t>该项内容将作为投标的重要指标。一旦开标后</w:t>
      </w:r>
      <w:r>
        <w:rPr>
          <w:rFonts w:hint="eastAsia"/>
          <w:highlight w:val="none"/>
          <w:lang w:eastAsia="zh-CN"/>
        </w:rPr>
        <w:t>，</w:t>
      </w:r>
      <w:r>
        <w:rPr>
          <w:rFonts w:hint="eastAsia"/>
          <w:highlight w:val="none"/>
        </w:rPr>
        <w:t>经审核确定投标资格和技术能力不能响应磋商文件要求</w:t>
      </w:r>
      <w:r>
        <w:rPr>
          <w:rFonts w:hint="eastAsia"/>
          <w:highlight w:val="none"/>
          <w:lang w:eastAsia="zh-CN"/>
        </w:rPr>
        <w:t>，</w:t>
      </w:r>
      <w:r>
        <w:rPr>
          <w:rFonts w:hint="eastAsia"/>
          <w:highlight w:val="none"/>
        </w:rPr>
        <w:t>则投标方即刻被废标或被拒绝进入商务报价阶段。</w:t>
      </w:r>
    </w:p>
    <w:p w14:paraId="6FDFC2B2">
      <w:pPr>
        <w:ind w:firstLine="480"/>
        <w:rPr>
          <w:highlight w:val="none"/>
        </w:rPr>
      </w:pPr>
      <w:r>
        <w:rPr>
          <w:highlight w:val="none"/>
        </w:rPr>
        <w:t>20.磋商报价</w:t>
      </w:r>
    </w:p>
    <w:p w14:paraId="33D3C217">
      <w:pPr>
        <w:ind w:firstLine="480"/>
        <w:rPr>
          <w:highlight w:val="none"/>
        </w:rPr>
      </w:pPr>
      <w:r>
        <w:rPr>
          <w:highlight w:val="none"/>
        </w:rPr>
        <w:t>20.1最高限价：详见供应商须知前附表</w:t>
      </w:r>
      <w:r>
        <w:rPr>
          <w:rFonts w:hint="eastAsia"/>
          <w:highlight w:val="none"/>
          <w:lang w:eastAsia="zh-CN"/>
        </w:rPr>
        <w:t>，</w:t>
      </w:r>
      <w:r>
        <w:rPr>
          <w:highlight w:val="none"/>
        </w:rPr>
        <w:t>磋商报价高于最高限价的为无效报价。</w:t>
      </w:r>
    </w:p>
    <w:p w14:paraId="7F928D46">
      <w:pPr>
        <w:ind w:firstLine="480"/>
        <w:rPr>
          <w:highlight w:val="none"/>
        </w:rPr>
      </w:pPr>
      <w:r>
        <w:rPr>
          <w:highlight w:val="none"/>
        </w:rPr>
        <w:t>20.2磋商报价范围：见供应商须知前附表。</w:t>
      </w:r>
    </w:p>
    <w:p w14:paraId="1513E18B">
      <w:pPr>
        <w:ind w:firstLine="480"/>
        <w:rPr>
          <w:highlight w:val="none"/>
        </w:rPr>
      </w:pPr>
      <w:r>
        <w:rPr>
          <w:highlight w:val="none"/>
        </w:rPr>
        <w:t>20.3磋商报价次数：见供应商须知前附表。</w:t>
      </w:r>
    </w:p>
    <w:p w14:paraId="438E4B93">
      <w:pPr>
        <w:ind w:firstLine="480"/>
        <w:rPr>
          <w:highlight w:val="none"/>
        </w:rPr>
      </w:pPr>
      <w:r>
        <w:rPr>
          <w:highlight w:val="none"/>
        </w:rPr>
        <w:t>20.4磋商最后报价只允许有一个报价</w:t>
      </w:r>
      <w:r>
        <w:rPr>
          <w:rFonts w:hint="eastAsia"/>
          <w:highlight w:val="none"/>
          <w:lang w:eastAsia="zh-CN"/>
        </w:rPr>
        <w:t>，</w:t>
      </w:r>
      <w:r>
        <w:rPr>
          <w:highlight w:val="none"/>
        </w:rPr>
        <w:t>有选择的或有条件的报价均不予接受。</w:t>
      </w:r>
    </w:p>
    <w:p w14:paraId="110CC247">
      <w:pPr>
        <w:ind w:firstLine="480"/>
        <w:rPr>
          <w:highlight w:val="none"/>
        </w:rPr>
      </w:pPr>
      <w:r>
        <w:rPr>
          <w:highlight w:val="none"/>
        </w:rPr>
        <w:t>21.响应文件格式</w:t>
      </w:r>
    </w:p>
    <w:p w14:paraId="724DD9B9">
      <w:pPr>
        <w:ind w:firstLine="480"/>
        <w:rPr>
          <w:highlight w:val="none"/>
        </w:rPr>
      </w:pPr>
      <w:r>
        <w:rPr>
          <w:highlight w:val="none"/>
        </w:rPr>
        <w:t>21.1磋商文件提供固定格式的</w:t>
      </w:r>
      <w:r>
        <w:rPr>
          <w:rFonts w:hint="eastAsia"/>
          <w:highlight w:val="none"/>
          <w:lang w:eastAsia="zh-CN"/>
        </w:rPr>
        <w:t>，</w:t>
      </w:r>
      <w:r>
        <w:rPr>
          <w:highlight w:val="none"/>
        </w:rPr>
        <w:t>供应商须按照固定格式制作响应文件</w:t>
      </w:r>
      <w:r>
        <w:rPr>
          <w:rFonts w:hint="eastAsia"/>
          <w:highlight w:val="none"/>
          <w:lang w:eastAsia="zh-CN"/>
        </w:rPr>
        <w:t>，</w:t>
      </w:r>
      <w:r>
        <w:rPr>
          <w:highlight w:val="none"/>
        </w:rPr>
        <w:t>详见本磋商文件第</w:t>
      </w:r>
      <w:r>
        <w:rPr>
          <w:rFonts w:hint="eastAsia"/>
          <w:highlight w:val="none"/>
        </w:rPr>
        <w:t>七</w:t>
      </w:r>
      <w:r>
        <w:rPr>
          <w:highlight w:val="none"/>
        </w:rPr>
        <w:t>章。</w:t>
      </w:r>
    </w:p>
    <w:p w14:paraId="7D5B4811">
      <w:pPr>
        <w:ind w:firstLine="480"/>
        <w:rPr>
          <w:highlight w:val="none"/>
        </w:rPr>
      </w:pPr>
      <w:r>
        <w:rPr>
          <w:highlight w:val="none"/>
        </w:rPr>
        <w:t>21.2磋商文件没有格式要求的由供应商自行编写。</w:t>
      </w:r>
    </w:p>
    <w:p w14:paraId="1F3C22BD">
      <w:pPr>
        <w:ind w:firstLine="480"/>
        <w:rPr>
          <w:highlight w:val="none"/>
        </w:rPr>
      </w:pPr>
      <w:r>
        <w:rPr>
          <w:highlight w:val="none"/>
        </w:rPr>
        <w:t>22.响应文件制作、加密和提交</w:t>
      </w:r>
    </w:p>
    <w:p w14:paraId="760DF9B6">
      <w:pPr>
        <w:ind w:firstLine="480"/>
        <w:rPr>
          <w:highlight w:val="none"/>
        </w:rPr>
      </w:pPr>
      <w:r>
        <w:rPr>
          <w:highlight w:val="none"/>
        </w:rPr>
        <w:t>22.1▲制作、加密和提交：按供应商须知前附表要求。</w:t>
      </w:r>
    </w:p>
    <w:p w14:paraId="1221BD4E">
      <w:pPr>
        <w:ind w:firstLine="480"/>
        <w:rPr>
          <w:highlight w:val="none"/>
        </w:rPr>
      </w:pPr>
      <w:r>
        <w:rPr>
          <w:highlight w:val="none"/>
        </w:rPr>
        <w:t>22.2▲签章：磋商文件注明需签字盖章部位、资格商务证明材料扫描件</w:t>
      </w:r>
      <w:r>
        <w:rPr>
          <w:rFonts w:hint="eastAsia"/>
          <w:highlight w:val="none"/>
          <w:lang w:eastAsia="zh-CN"/>
        </w:rPr>
        <w:t>，</w:t>
      </w:r>
      <w:r>
        <w:rPr>
          <w:highlight w:val="none"/>
        </w:rPr>
        <w:t>以及任何行间插字、涂改或增删位置和澄清说明函等均须采用CA电子签章。</w:t>
      </w:r>
    </w:p>
    <w:p w14:paraId="20D9F3E3">
      <w:pPr>
        <w:ind w:firstLine="480"/>
        <w:rPr>
          <w:highlight w:val="none"/>
        </w:rPr>
      </w:pPr>
      <w:r>
        <w:rPr>
          <w:highlight w:val="none"/>
        </w:rPr>
        <w:t>23.备份响应文件制作、密封和提交</w:t>
      </w:r>
    </w:p>
    <w:p w14:paraId="1FA74A9F">
      <w:pPr>
        <w:ind w:firstLine="480"/>
        <w:rPr>
          <w:highlight w:val="none"/>
        </w:rPr>
      </w:pPr>
      <w:r>
        <w:rPr>
          <w:highlight w:val="none"/>
        </w:rPr>
        <w:t>制作、密封和提交详见供应商须知前附表。</w:t>
      </w:r>
    </w:p>
    <w:p w14:paraId="00D36E1B">
      <w:pPr>
        <w:ind w:firstLine="480"/>
        <w:rPr>
          <w:highlight w:val="none"/>
        </w:rPr>
      </w:pPr>
      <w:r>
        <w:rPr>
          <w:highlight w:val="none"/>
        </w:rPr>
        <w:t>24.修改与撤回</w:t>
      </w:r>
    </w:p>
    <w:p w14:paraId="148F83DD">
      <w:pPr>
        <w:ind w:firstLine="480"/>
        <w:rPr>
          <w:highlight w:val="none"/>
        </w:rPr>
      </w:pPr>
      <w:r>
        <w:rPr>
          <w:highlight w:val="none"/>
        </w:rPr>
        <w:t>24.1在响应截止时间前供应商可以对已提交响应文件进行补充、修改或撤回</w:t>
      </w:r>
      <w:r>
        <w:rPr>
          <w:rFonts w:hint="eastAsia"/>
          <w:highlight w:val="none"/>
          <w:lang w:eastAsia="zh-CN"/>
        </w:rPr>
        <w:t>，</w:t>
      </w:r>
      <w:r>
        <w:rPr>
          <w:highlight w:val="none"/>
        </w:rPr>
        <w:t>补充或者修改响应文件的</w:t>
      </w:r>
      <w:r>
        <w:rPr>
          <w:rFonts w:hint="eastAsia"/>
          <w:highlight w:val="none"/>
          <w:lang w:eastAsia="zh-CN"/>
        </w:rPr>
        <w:t>，</w:t>
      </w:r>
      <w:r>
        <w:rPr>
          <w:highlight w:val="none"/>
        </w:rPr>
        <w:t>应当先行撤回原文件</w:t>
      </w:r>
      <w:r>
        <w:rPr>
          <w:rFonts w:hint="eastAsia"/>
          <w:highlight w:val="none"/>
          <w:lang w:eastAsia="zh-CN"/>
        </w:rPr>
        <w:t>，</w:t>
      </w:r>
      <w:r>
        <w:rPr>
          <w:highlight w:val="none"/>
        </w:rPr>
        <w:t>补充、修改后重新传输递交。响应截止时间前未完成传输的</w:t>
      </w:r>
      <w:r>
        <w:rPr>
          <w:rFonts w:hint="eastAsia"/>
          <w:highlight w:val="none"/>
          <w:lang w:eastAsia="zh-CN"/>
        </w:rPr>
        <w:t>，</w:t>
      </w:r>
      <w:r>
        <w:rPr>
          <w:highlight w:val="none"/>
        </w:rPr>
        <w:t>视为撤回响应文件。响应截止时间后递交的响应文件</w:t>
      </w:r>
      <w:r>
        <w:rPr>
          <w:rFonts w:hint="eastAsia"/>
          <w:highlight w:val="none"/>
          <w:lang w:eastAsia="zh-CN"/>
        </w:rPr>
        <w:t>，</w:t>
      </w:r>
      <w:r>
        <w:rPr>
          <w:highlight w:val="none"/>
        </w:rPr>
        <w:t>政采云平台拒收。</w:t>
      </w:r>
    </w:p>
    <w:p w14:paraId="74E525DC">
      <w:pPr>
        <w:ind w:firstLine="480"/>
        <w:rPr>
          <w:highlight w:val="none"/>
        </w:rPr>
      </w:pPr>
      <w:r>
        <w:rPr>
          <w:highlight w:val="none"/>
        </w:rPr>
        <w:t>24.2响应截止时间后</w:t>
      </w:r>
      <w:r>
        <w:rPr>
          <w:rFonts w:hint="eastAsia"/>
          <w:highlight w:val="none"/>
          <w:lang w:eastAsia="zh-CN"/>
        </w:rPr>
        <w:t>，</w:t>
      </w:r>
      <w:r>
        <w:rPr>
          <w:highlight w:val="none"/>
        </w:rPr>
        <w:t>供应商不得撤回、修改响应文件。</w:t>
      </w:r>
    </w:p>
    <w:p w14:paraId="26EBA719">
      <w:pPr>
        <w:ind w:firstLine="480"/>
        <w:rPr>
          <w:rFonts w:ascii="宋体" w:hAnsi="宋体" w:cs="宋体"/>
          <w:color w:val="000000"/>
          <w:szCs w:val="21"/>
          <w:highlight w:val="none"/>
        </w:rPr>
      </w:pPr>
      <w:r>
        <w:rPr>
          <w:highlight w:val="none"/>
        </w:rPr>
        <w:t>24.3修改后重新提交的响应文件应当符合上述第22条、第23条规定。</w:t>
      </w:r>
    </w:p>
    <w:p w14:paraId="30B988C0">
      <w:pPr>
        <w:pStyle w:val="5"/>
        <w:bidi w:val="0"/>
        <w:rPr>
          <w:highlight w:val="none"/>
        </w:rPr>
      </w:pPr>
      <w:bookmarkStart w:id="195" w:name="_Toc32361"/>
      <w:bookmarkStart w:id="196" w:name="_Toc2635"/>
      <w:bookmarkStart w:id="197" w:name="_Toc20200"/>
      <w:bookmarkStart w:id="198" w:name="_Toc7748"/>
      <w:bookmarkStart w:id="199" w:name="_Toc11294"/>
      <w:bookmarkStart w:id="200" w:name="_Toc8634"/>
      <w:bookmarkStart w:id="201" w:name="_Toc11645"/>
      <w:bookmarkStart w:id="202" w:name="_Toc18140"/>
      <w:r>
        <w:rPr>
          <w:highlight w:val="none"/>
        </w:rPr>
        <w:t>四</w:t>
      </w:r>
      <w:r>
        <w:rPr>
          <w:rFonts w:hint="eastAsia"/>
          <w:highlight w:val="none"/>
        </w:rPr>
        <w:t>、响应文件开启、磋商</w:t>
      </w:r>
      <w:bookmarkEnd w:id="195"/>
      <w:bookmarkEnd w:id="196"/>
      <w:bookmarkEnd w:id="197"/>
      <w:bookmarkEnd w:id="198"/>
      <w:bookmarkEnd w:id="199"/>
      <w:bookmarkEnd w:id="200"/>
      <w:bookmarkEnd w:id="201"/>
      <w:bookmarkEnd w:id="202"/>
    </w:p>
    <w:p w14:paraId="76A64DDA">
      <w:pPr>
        <w:ind w:firstLine="480"/>
        <w:rPr>
          <w:highlight w:val="none"/>
        </w:rPr>
      </w:pPr>
      <w:r>
        <w:rPr>
          <w:rFonts w:hint="eastAsia"/>
          <w:highlight w:val="none"/>
        </w:rPr>
        <w:t>25.开标时间及地点</w:t>
      </w:r>
    </w:p>
    <w:p w14:paraId="7BD16FC4">
      <w:pPr>
        <w:ind w:firstLine="480"/>
        <w:rPr>
          <w:highlight w:val="none"/>
        </w:rPr>
      </w:pPr>
      <w:r>
        <w:rPr>
          <w:rFonts w:hint="eastAsia"/>
          <w:highlight w:val="none"/>
        </w:rPr>
        <w:t>采购组织机构按照投标人须知前附表规定的开标时间及地点进行公开开标。</w:t>
      </w:r>
    </w:p>
    <w:p w14:paraId="7BEA7B74">
      <w:pPr>
        <w:ind w:firstLine="480"/>
        <w:rPr>
          <w:highlight w:val="none"/>
        </w:rPr>
      </w:pPr>
      <w:r>
        <w:rPr>
          <w:rFonts w:hint="eastAsia"/>
          <w:highlight w:val="none"/>
        </w:rPr>
        <w:t>26.开评标程序</w:t>
      </w:r>
    </w:p>
    <w:p w14:paraId="48632157">
      <w:pPr>
        <w:ind w:firstLine="480"/>
        <w:rPr>
          <w:highlight w:val="none"/>
        </w:rPr>
      </w:pPr>
      <w:r>
        <w:rPr>
          <w:rFonts w:hint="eastAsia"/>
          <w:highlight w:val="none"/>
        </w:rPr>
        <w:t>26.1本项目原则上采用政采云电子招投标开标及评审程序。若投标人的投标文件因非自身原因在规定时间内无法解密或解密失败</w:t>
      </w:r>
      <w:r>
        <w:rPr>
          <w:rFonts w:hint="eastAsia"/>
          <w:highlight w:val="none"/>
          <w:lang w:eastAsia="zh-CN"/>
        </w:rPr>
        <w:t>，</w:t>
      </w:r>
      <w:r>
        <w:rPr>
          <w:rFonts w:hint="eastAsia"/>
          <w:highlight w:val="none"/>
        </w:rPr>
        <w:t>工作人员将开启该投标人提交的备份投标文件</w:t>
      </w:r>
      <w:r>
        <w:rPr>
          <w:rFonts w:hint="eastAsia"/>
          <w:highlight w:val="none"/>
          <w:lang w:eastAsia="zh-CN"/>
        </w:rPr>
        <w:t>，</w:t>
      </w:r>
      <w:r>
        <w:rPr>
          <w:rFonts w:hint="eastAsia"/>
          <w:highlight w:val="none"/>
        </w:rPr>
        <w:t>以完成开标。</w:t>
      </w:r>
    </w:p>
    <w:p w14:paraId="1157BBAD">
      <w:pPr>
        <w:ind w:firstLine="480"/>
        <w:rPr>
          <w:highlight w:val="none"/>
        </w:rPr>
      </w:pPr>
      <w:r>
        <w:rPr>
          <w:rFonts w:hint="eastAsia"/>
          <w:highlight w:val="none"/>
        </w:rPr>
        <w:t>26.2电子投标开标及评审程序</w:t>
      </w:r>
    </w:p>
    <w:p w14:paraId="7BA5F87B">
      <w:pPr>
        <w:ind w:firstLine="480"/>
        <w:rPr>
          <w:highlight w:val="none"/>
        </w:rPr>
      </w:pPr>
      <w:r>
        <w:rPr>
          <w:rFonts w:hint="eastAsia"/>
          <w:highlight w:val="none"/>
        </w:rPr>
        <w:t>（1）开启投标文件</w:t>
      </w:r>
      <w:r>
        <w:rPr>
          <w:rFonts w:hint="eastAsia"/>
          <w:highlight w:val="none"/>
          <w:lang w:eastAsia="zh-CN"/>
        </w:rPr>
        <w:t>，</w:t>
      </w:r>
      <w:r>
        <w:rPr>
          <w:rFonts w:hint="eastAsia"/>
          <w:highlight w:val="none"/>
        </w:rPr>
        <w:t>投标截止时间后</w:t>
      </w:r>
      <w:r>
        <w:rPr>
          <w:rFonts w:hint="eastAsia"/>
          <w:highlight w:val="none"/>
          <w:lang w:eastAsia="zh-CN"/>
        </w:rPr>
        <w:t>，</w:t>
      </w:r>
      <w:r>
        <w:rPr>
          <w:rFonts w:hint="eastAsia"/>
          <w:highlight w:val="none"/>
        </w:rPr>
        <w:t>投标人登录政采云平台</w:t>
      </w:r>
      <w:r>
        <w:rPr>
          <w:rFonts w:hint="eastAsia"/>
          <w:highlight w:val="none"/>
          <w:lang w:eastAsia="zh-CN"/>
        </w:rPr>
        <w:t>，</w:t>
      </w:r>
      <w:r>
        <w:rPr>
          <w:rFonts w:hint="eastAsia"/>
          <w:highlight w:val="none"/>
        </w:rPr>
        <w:t>用</w:t>
      </w:r>
      <w:r>
        <w:rPr>
          <w:rFonts w:hint="eastAsia"/>
          <w:highlight w:val="none"/>
          <w:lang w:eastAsia="zh-CN"/>
        </w:rPr>
        <w:t>“</w:t>
      </w:r>
      <w:r>
        <w:rPr>
          <w:rFonts w:hint="eastAsia"/>
          <w:highlight w:val="none"/>
        </w:rPr>
        <w:t>项目采购-开标评标</w:t>
      </w:r>
      <w:r>
        <w:rPr>
          <w:rFonts w:hint="eastAsia"/>
          <w:highlight w:val="none"/>
          <w:lang w:eastAsia="zh-CN"/>
        </w:rPr>
        <w:t>”</w:t>
      </w:r>
      <w:r>
        <w:rPr>
          <w:rFonts w:hint="eastAsia"/>
          <w:highlight w:val="none"/>
        </w:rPr>
        <w:t>功能对电子投标文件进行在线解密。</w:t>
      </w:r>
    </w:p>
    <w:p w14:paraId="4CD3C290">
      <w:pPr>
        <w:ind w:firstLine="480"/>
        <w:rPr>
          <w:highlight w:val="none"/>
        </w:rPr>
      </w:pPr>
      <w:r>
        <w:rPr>
          <w:rFonts w:hint="eastAsia"/>
          <w:highlight w:val="none"/>
        </w:rPr>
        <w:t>（2）由评标委员会对投标人资格进行审查和商务部分评审。</w:t>
      </w:r>
    </w:p>
    <w:p w14:paraId="7356A9A7">
      <w:pPr>
        <w:ind w:firstLine="480"/>
        <w:rPr>
          <w:highlight w:val="none"/>
        </w:rPr>
      </w:pPr>
      <w:r>
        <w:rPr>
          <w:rFonts w:hint="eastAsia"/>
          <w:highlight w:val="none"/>
        </w:rPr>
        <w:t>（3）在系统上公开资格审查和商务评审结果。</w:t>
      </w:r>
    </w:p>
    <w:p w14:paraId="19E4F2EE">
      <w:pPr>
        <w:ind w:firstLine="480"/>
        <w:rPr>
          <w:highlight w:val="none"/>
        </w:rPr>
      </w:pPr>
      <w:r>
        <w:rPr>
          <w:rFonts w:hint="eastAsia"/>
          <w:highlight w:val="none"/>
        </w:rPr>
        <w:t>（4）磋商小组</w:t>
      </w:r>
      <w:r>
        <w:rPr>
          <w:highlight w:val="none"/>
        </w:rPr>
        <w:t>按照磋商方法与各供应商就服务质量、技术要求等进行磋商</w:t>
      </w:r>
      <w:r>
        <w:rPr>
          <w:rFonts w:hint="eastAsia"/>
          <w:highlight w:val="none"/>
          <w:lang w:eastAsia="zh-CN"/>
        </w:rPr>
        <w:t>，</w:t>
      </w:r>
      <w:r>
        <w:rPr>
          <w:highlight w:val="none"/>
        </w:rPr>
        <w:t>磋商结束后供应商在规定时间内提交最</w:t>
      </w:r>
      <w:r>
        <w:rPr>
          <w:rFonts w:hint="eastAsia"/>
          <w:highlight w:val="none"/>
        </w:rPr>
        <w:t>后报价</w:t>
      </w:r>
      <w:r>
        <w:rPr>
          <w:rFonts w:hint="eastAsia"/>
          <w:highlight w:val="none"/>
          <w:lang w:eastAsia="zh-CN"/>
        </w:rPr>
        <w:t>，</w:t>
      </w:r>
      <w:r>
        <w:rPr>
          <w:rFonts w:hint="eastAsia"/>
          <w:highlight w:val="none"/>
        </w:rPr>
        <w:t>最后报价是供应商响应文件的有效组成部分。</w:t>
      </w:r>
    </w:p>
    <w:p w14:paraId="5D646816">
      <w:pPr>
        <w:ind w:firstLine="480"/>
        <w:rPr>
          <w:highlight w:val="none"/>
        </w:rPr>
      </w:pPr>
      <w:r>
        <w:rPr>
          <w:rFonts w:hint="eastAsia"/>
          <w:highlight w:val="none"/>
        </w:rPr>
        <w:t>（5）由评标委员会对报价文件进行评审。</w:t>
      </w:r>
    </w:p>
    <w:p w14:paraId="7E969E96">
      <w:pPr>
        <w:ind w:firstLine="480"/>
        <w:rPr>
          <w:highlight w:val="none"/>
        </w:rPr>
      </w:pPr>
      <w:r>
        <w:rPr>
          <w:rFonts w:hint="eastAsia"/>
          <w:highlight w:val="none"/>
        </w:rPr>
        <w:t>（6）在系统上公布评审结果。</w:t>
      </w:r>
    </w:p>
    <w:p w14:paraId="5B585717">
      <w:pPr>
        <w:ind w:firstLine="480"/>
        <w:rPr>
          <w:highlight w:val="none"/>
        </w:rPr>
      </w:pPr>
      <w:r>
        <w:rPr>
          <w:rFonts w:hint="eastAsia"/>
          <w:highlight w:val="none"/>
        </w:rPr>
        <w:t>注：政采云公司如对电子化开标及评审程序有调整的</w:t>
      </w:r>
      <w:r>
        <w:rPr>
          <w:rFonts w:hint="eastAsia"/>
          <w:highlight w:val="none"/>
          <w:lang w:eastAsia="zh-CN"/>
        </w:rPr>
        <w:t>，</w:t>
      </w:r>
      <w:r>
        <w:rPr>
          <w:rFonts w:hint="eastAsia"/>
          <w:highlight w:val="none"/>
        </w:rPr>
        <w:t>按调整后的程序操作。</w:t>
      </w:r>
    </w:p>
    <w:p w14:paraId="64D75B88">
      <w:pPr>
        <w:ind w:firstLine="480"/>
        <w:rPr>
          <w:highlight w:val="none"/>
        </w:rPr>
      </w:pPr>
      <w:r>
        <w:rPr>
          <w:rFonts w:hint="eastAsia"/>
          <w:highlight w:val="none"/>
        </w:rPr>
        <w:t>26.3开标会议结束。</w:t>
      </w:r>
    </w:p>
    <w:p w14:paraId="05369FB7">
      <w:pPr>
        <w:ind w:firstLine="480"/>
        <w:rPr>
          <w:rFonts w:ascii="宋体" w:hAnsi="宋体" w:cs="宋体"/>
          <w:szCs w:val="21"/>
          <w:highlight w:val="none"/>
        </w:rPr>
      </w:pPr>
      <w:r>
        <w:rPr>
          <w:rFonts w:hint="eastAsia"/>
          <w:highlight w:val="none"/>
        </w:rPr>
        <w:t>27.评标委员会的组建及其评审、评标工作按照有关法律制度和本文件第六章的规定进行。</w:t>
      </w:r>
    </w:p>
    <w:p w14:paraId="611347A5">
      <w:pPr>
        <w:pStyle w:val="5"/>
        <w:rPr>
          <w:highlight w:val="none"/>
        </w:rPr>
      </w:pPr>
      <w:bookmarkStart w:id="203" w:name="_Toc19539"/>
      <w:bookmarkStart w:id="204" w:name="_Toc15320"/>
      <w:bookmarkStart w:id="205" w:name="_Toc26039"/>
      <w:bookmarkStart w:id="206" w:name="_Toc18925"/>
      <w:bookmarkStart w:id="207" w:name="_Toc18327"/>
      <w:bookmarkStart w:id="208" w:name="_Toc31543"/>
      <w:bookmarkStart w:id="209" w:name="_Toc22776"/>
      <w:bookmarkStart w:id="210" w:name="_Toc13658"/>
      <w:bookmarkStart w:id="211" w:name="_Toc5384"/>
      <w:bookmarkStart w:id="212" w:name="_Toc9789"/>
      <w:bookmarkStart w:id="213" w:name="_Toc8659"/>
      <w:bookmarkStart w:id="214" w:name="_Toc28808"/>
      <w:bookmarkStart w:id="215" w:name="_Toc24840"/>
      <w:bookmarkStart w:id="216" w:name="_Toc6054"/>
      <w:bookmarkStart w:id="217" w:name="_Toc18938"/>
      <w:bookmarkStart w:id="218" w:name="_Toc22198"/>
      <w:bookmarkStart w:id="219" w:name="_Toc3405"/>
      <w:bookmarkStart w:id="220" w:name="_Toc27100"/>
      <w:bookmarkStart w:id="221" w:name="_Toc13532"/>
      <w:bookmarkStart w:id="222" w:name="_Toc27613"/>
      <w:bookmarkStart w:id="223" w:name="_Toc29596"/>
      <w:r>
        <w:rPr>
          <w:rFonts w:hint="eastAsia"/>
          <w:highlight w:val="none"/>
          <w:lang w:val="zh-CN"/>
        </w:rPr>
        <w:t>五、</w:t>
      </w:r>
      <w:bookmarkEnd w:id="203"/>
      <w:bookmarkEnd w:id="204"/>
      <w:bookmarkEnd w:id="205"/>
      <w:bookmarkEnd w:id="206"/>
      <w:bookmarkEnd w:id="207"/>
      <w:bookmarkEnd w:id="208"/>
      <w:bookmarkEnd w:id="209"/>
      <w:bookmarkEnd w:id="210"/>
      <w:bookmarkEnd w:id="211"/>
      <w:bookmarkEnd w:id="212"/>
      <w:bookmarkEnd w:id="213"/>
      <w:bookmarkEnd w:id="214"/>
      <w:bookmarkEnd w:id="215"/>
      <w:r>
        <w:rPr>
          <w:rFonts w:hint="eastAsia"/>
          <w:highlight w:val="none"/>
          <w:lang w:val="zh-CN"/>
        </w:rPr>
        <w:t>成交事项</w:t>
      </w:r>
      <w:bookmarkEnd w:id="216"/>
      <w:bookmarkEnd w:id="217"/>
      <w:bookmarkEnd w:id="218"/>
      <w:bookmarkEnd w:id="219"/>
      <w:bookmarkEnd w:id="220"/>
      <w:bookmarkEnd w:id="221"/>
      <w:bookmarkEnd w:id="222"/>
      <w:bookmarkEnd w:id="223"/>
    </w:p>
    <w:p w14:paraId="41534212">
      <w:pPr>
        <w:ind w:firstLine="480"/>
        <w:rPr>
          <w:highlight w:val="none"/>
        </w:rPr>
      </w:pPr>
      <w:r>
        <w:rPr>
          <w:rFonts w:hint="eastAsia"/>
          <w:highlight w:val="none"/>
        </w:rPr>
        <w:t>28.确定成交供应商</w:t>
      </w:r>
    </w:p>
    <w:p w14:paraId="0A800E8B">
      <w:pPr>
        <w:ind w:firstLine="480"/>
        <w:rPr>
          <w:highlight w:val="none"/>
        </w:rPr>
      </w:pPr>
      <w:r>
        <w:rPr>
          <w:rFonts w:hint="eastAsia"/>
          <w:highlight w:val="none"/>
        </w:rPr>
        <w:t>28.1采购代理机构自评审结束后2个工作日内将评标报告及有关资料送交采购人。</w:t>
      </w:r>
    </w:p>
    <w:p w14:paraId="166E3480">
      <w:pPr>
        <w:ind w:firstLine="480"/>
        <w:rPr>
          <w:highlight w:val="none"/>
        </w:rPr>
      </w:pPr>
      <w:r>
        <w:rPr>
          <w:rFonts w:hint="eastAsia"/>
          <w:highlight w:val="none"/>
        </w:rPr>
        <w:t>28.2采购人应当在收到评审报告及有关资料后5个工作日内</w:t>
      </w:r>
      <w:r>
        <w:rPr>
          <w:rFonts w:hint="eastAsia"/>
          <w:highlight w:val="none"/>
          <w:lang w:eastAsia="zh-CN"/>
        </w:rPr>
        <w:t>，</w:t>
      </w:r>
      <w:r>
        <w:rPr>
          <w:highlight w:val="none"/>
        </w:rPr>
        <w:t>从评审报告提出的成交候选供应商中</w:t>
      </w:r>
      <w:r>
        <w:rPr>
          <w:rFonts w:hint="eastAsia"/>
          <w:highlight w:val="none"/>
          <w:lang w:eastAsia="zh-CN"/>
        </w:rPr>
        <w:t>，</w:t>
      </w:r>
      <w:r>
        <w:rPr>
          <w:highlight w:val="none"/>
        </w:rPr>
        <w:t>按照得分由高到低排序的确定1家成交供应商。采购人逾期未确定成交供应商且不提出异议的</w:t>
      </w:r>
      <w:r>
        <w:rPr>
          <w:rFonts w:hint="eastAsia"/>
          <w:highlight w:val="none"/>
          <w:lang w:eastAsia="zh-CN"/>
        </w:rPr>
        <w:t>，</w:t>
      </w:r>
      <w:r>
        <w:rPr>
          <w:highlight w:val="none"/>
        </w:rPr>
        <w:t>视为确定评审报告提出的排序第一的供应商为成交供应商</w:t>
      </w:r>
      <w:r>
        <w:rPr>
          <w:rFonts w:hint="eastAsia"/>
          <w:highlight w:val="none"/>
        </w:rPr>
        <w:t>。</w:t>
      </w:r>
    </w:p>
    <w:p w14:paraId="41E7AE1E">
      <w:pPr>
        <w:ind w:firstLine="480"/>
        <w:rPr>
          <w:highlight w:val="none"/>
        </w:rPr>
      </w:pPr>
      <w:r>
        <w:rPr>
          <w:rFonts w:hint="eastAsia"/>
          <w:highlight w:val="none"/>
        </w:rPr>
        <w:t>28.3</w:t>
      </w:r>
      <w:r>
        <w:rPr>
          <w:highlight w:val="none"/>
        </w:rPr>
        <w:t>采购人确定成交供应商过程中</w:t>
      </w:r>
      <w:r>
        <w:rPr>
          <w:rFonts w:hint="eastAsia"/>
          <w:highlight w:val="none"/>
          <w:lang w:eastAsia="zh-CN"/>
        </w:rPr>
        <w:t>，</w:t>
      </w:r>
      <w:r>
        <w:rPr>
          <w:highlight w:val="none"/>
        </w:rPr>
        <w:t>发现成交候选供应商有下列情形之一的</w:t>
      </w:r>
      <w:r>
        <w:rPr>
          <w:rFonts w:hint="eastAsia"/>
          <w:highlight w:val="none"/>
          <w:lang w:eastAsia="zh-CN"/>
        </w:rPr>
        <w:t>，</w:t>
      </w:r>
      <w:r>
        <w:rPr>
          <w:highlight w:val="none"/>
        </w:rPr>
        <w:t>应当不予确定其为成交供应商：</w:t>
      </w:r>
    </w:p>
    <w:p w14:paraId="23C7C23B">
      <w:pPr>
        <w:ind w:firstLine="480"/>
        <w:rPr>
          <w:highlight w:val="none"/>
        </w:rPr>
      </w:pPr>
      <w:r>
        <w:rPr>
          <w:rFonts w:hint="eastAsia"/>
          <w:highlight w:val="none"/>
          <w:lang w:eastAsia="zh-CN"/>
        </w:rPr>
        <w:t>（</w:t>
      </w:r>
      <w:r>
        <w:rPr>
          <w:highlight w:val="none"/>
        </w:rPr>
        <w:t>1</w:t>
      </w:r>
      <w:r>
        <w:rPr>
          <w:rFonts w:hint="eastAsia"/>
          <w:highlight w:val="none"/>
          <w:lang w:eastAsia="zh-CN"/>
        </w:rPr>
        <w:t>）</w:t>
      </w:r>
      <w:r>
        <w:rPr>
          <w:highlight w:val="none"/>
        </w:rPr>
        <w:t>发现成交候选供应商存在禁止参加本项目采购活动的违法行为的；</w:t>
      </w:r>
    </w:p>
    <w:p w14:paraId="16092E4D">
      <w:pPr>
        <w:ind w:firstLine="480"/>
        <w:rPr>
          <w:highlight w:val="none"/>
        </w:rPr>
      </w:pPr>
      <w:r>
        <w:rPr>
          <w:rFonts w:hint="eastAsia"/>
          <w:highlight w:val="none"/>
          <w:lang w:eastAsia="zh-CN"/>
        </w:rPr>
        <w:t>（</w:t>
      </w:r>
      <w:r>
        <w:rPr>
          <w:highlight w:val="none"/>
        </w:rPr>
        <w:t>2</w:t>
      </w:r>
      <w:r>
        <w:rPr>
          <w:rFonts w:hint="eastAsia"/>
          <w:highlight w:val="none"/>
          <w:lang w:eastAsia="zh-CN"/>
        </w:rPr>
        <w:t>）</w:t>
      </w:r>
      <w:r>
        <w:rPr>
          <w:highlight w:val="none"/>
        </w:rPr>
        <w:t>成交候选供应商因不可抗力</w:t>
      </w:r>
      <w:r>
        <w:rPr>
          <w:rFonts w:hint="eastAsia"/>
          <w:highlight w:val="none"/>
          <w:lang w:eastAsia="zh-CN"/>
        </w:rPr>
        <w:t>，</w:t>
      </w:r>
      <w:r>
        <w:rPr>
          <w:highlight w:val="none"/>
        </w:rPr>
        <w:t>不能继续参加政府采购活动的；</w:t>
      </w:r>
    </w:p>
    <w:p w14:paraId="02B2748E">
      <w:pPr>
        <w:ind w:firstLine="480"/>
        <w:rPr>
          <w:highlight w:val="none"/>
        </w:rPr>
      </w:pPr>
      <w:r>
        <w:rPr>
          <w:rFonts w:hint="eastAsia"/>
          <w:highlight w:val="none"/>
          <w:lang w:eastAsia="zh-CN"/>
        </w:rPr>
        <w:t>（</w:t>
      </w:r>
      <w:r>
        <w:rPr>
          <w:highlight w:val="none"/>
        </w:rPr>
        <w:t>3</w:t>
      </w:r>
      <w:r>
        <w:rPr>
          <w:rFonts w:hint="eastAsia"/>
          <w:highlight w:val="none"/>
          <w:lang w:eastAsia="zh-CN"/>
        </w:rPr>
        <w:t>）</w:t>
      </w:r>
      <w:r>
        <w:rPr>
          <w:highlight w:val="none"/>
        </w:rPr>
        <w:t>成交候选供应商提供虚假材料的；</w:t>
      </w:r>
    </w:p>
    <w:p w14:paraId="011E839D">
      <w:pPr>
        <w:ind w:firstLine="480"/>
        <w:rPr>
          <w:highlight w:val="none"/>
        </w:rPr>
      </w:pPr>
      <w:r>
        <w:rPr>
          <w:rFonts w:hint="eastAsia"/>
          <w:highlight w:val="none"/>
          <w:lang w:eastAsia="zh-CN"/>
        </w:rPr>
        <w:t>（</w:t>
      </w:r>
      <w:r>
        <w:rPr>
          <w:highlight w:val="none"/>
        </w:rPr>
        <w:t>4</w:t>
      </w:r>
      <w:r>
        <w:rPr>
          <w:rFonts w:hint="eastAsia"/>
          <w:highlight w:val="none"/>
          <w:lang w:eastAsia="zh-CN"/>
        </w:rPr>
        <w:t>）</w:t>
      </w:r>
      <w:r>
        <w:rPr>
          <w:highlight w:val="none"/>
        </w:rPr>
        <w:t>成交候选供应商恶意串通的。</w:t>
      </w:r>
    </w:p>
    <w:p w14:paraId="70AAE940">
      <w:pPr>
        <w:ind w:firstLine="480"/>
        <w:rPr>
          <w:highlight w:val="none"/>
        </w:rPr>
      </w:pPr>
      <w:r>
        <w:rPr>
          <w:highlight w:val="none"/>
        </w:rPr>
        <w:t>成交候选供应商有本条情形之一的</w:t>
      </w:r>
      <w:r>
        <w:rPr>
          <w:rFonts w:hint="eastAsia"/>
          <w:highlight w:val="none"/>
          <w:lang w:eastAsia="zh-CN"/>
        </w:rPr>
        <w:t>，</w:t>
      </w:r>
      <w:r>
        <w:rPr>
          <w:highlight w:val="none"/>
        </w:rPr>
        <w:t>采购人可以确定后一位成交候选供应商为成交供应商</w:t>
      </w:r>
      <w:r>
        <w:rPr>
          <w:rFonts w:hint="eastAsia"/>
          <w:highlight w:val="none"/>
          <w:lang w:eastAsia="zh-CN"/>
        </w:rPr>
        <w:t>，</w:t>
      </w:r>
      <w:r>
        <w:rPr>
          <w:highlight w:val="none"/>
        </w:rPr>
        <w:t>但须符合法定家数。无法确定成交供应商的</w:t>
      </w:r>
      <w:r>
        <w:rPr>
          <w:rFonts w:hint="eastAsia"/>
          <w:highlight w:val="none"/>
          <w:lang w:eastAsia="zh-CN"/>
        </w:rPr>
        <w:t>，</w:t>
      </w:r>
      <w:r>
        <w:rPr>
          <w:highlight w:val="none"/>
        </w:rPr>
        <w:t>应当重新组织采购</w:t>
      </w:r>
      <w:r>
        <w:rPr>
          <w:rFonts w:hint="eastAsia"/>
          <w:highlight w:val="none"/>
        </w:rPr>
        <w:t>。</w:t>
      </w:r>
    </w:p>
    <w:p w14:paraId="611C56FD">
      <w:pPr>
        <w:ind w:firstLine="480"/>
        <w:rPr>
          <w:highlight w:val="none"/>
        </w:rPr>
      </w:pPr>
      <w:r>
        <w:rPr>
          <w:rFonts w:hint="eastAsia"/>
          <w:highlight w:val="none"/>
        </w:rPr>
        <w:t>29.成交通知书</w:t>
      </w:r>
    </w:p>
    <w:p w14:paraId="208FB9E9">
      <w:pPr>
        <w:ind w:firstLine="480"/>
        <w:rPr>
          <w:highlight w:val="none"/>
        </w:rPr>
      </w:pPr>
      <w:r>
        <w:rPr>
          <w:rFonts w:hint="eastAsia"/>
          <w:highlight w:val="none"/>
        </w:rPr>
        <w:t>29.1采购代理机构应当自成交供应商确定之日起2个工作日内</w:t>
      </w:r>
      <w:r>
        <w:rPr>
          <w:rFonts w:hint="eastAsia"/>
          <w:highlight w:val="none"/>
          <w:lang w:eastAsia="zh-CN"/>
        </w:rPr>
        <w:t>，</w:t>
      </w:r>
      <w:r>
        <w:rPr>
          <w:rFonts w:hint="eastAsia"/>
          <w:highlight w:val="none"/>
        </w:rPr>
        <w:t>发出成交通知书</w:t>
      </w:r>
      <w:r>
        <w:rPr>
          <w:rFonts w:hint="eastAsia"/>
          <w:highlight w:val="none"/>
          <w:lang w:eastAsia="zh-CN"/>
        </w:rPr>
        <w:t>，</w:t>
      </w:r>
      <w:r>
        <w:rPr>
          <w:highlight w:val="none"/>
        </w:rPr>
        <w:t>并在供应商须知前附表指定的媒体上公告成交结果</w:t>
      </w:r>
      <w:r>
        <w:rPr>
          <w:rFonts w:hint="eastAsia"/>
          <w:highlight w:val="none"/>
        </w:rPr>
        <w:t>。</w:t>
      </w:r>
    </w:p>
    <w:p w14:paraId="6C9B4805">
      <w:pPr>
        <w:ind w:firstLine="480"/>
        <w:rPr>
          <w:highlight w:val="none"/>
        </w:rPr>
      </w:pPr>
      <w:r>
        <w:rPr>
          <w:rFonts w:hint="eastAsia"/>
          <w:highlight w:val="none"/>
        </w:rPr>
        <w:t>29.2成交通知书发出后</w:t>
      </w:r>
      <w:r>
        <w:rPr>
          <w:rFonts w:hint="eastAsia"/>
          <w:highlight w:val="none"/>
          <w:lang w:eastAsia="zh-CN"/>
        </w:rPr>
        <w:t>，</w:t>
      </w:r>
      <w:r>
        <w:rPr>
          <w:rFonts w:hint="eastAsia"/>
          <w:highlight w:val="none"/>
        </w:rPr>
        <w:t>成交供应商须于2个工作日内到采购代理机构领取成交通知书</w:t>
      </w:r>
      <w:r>
        <w:rPr>
          <w:rFonts w:hint="eastAsia"/>
          <w:highlight w:val="none"/>
          <w:lang w:eastAsia="zh-CN"/>
        </w:rPr>
        <w:t>，</w:t>
      </w:r>
      <w:r>
        <w:rPr>
          <w:rFonts w:hint="eastAsia"/>
          <w:highlight w:val="none"/>
        </w:rPr>
        <w:t>拒绝领取成交通知书的</w:t>
      </w:r>
      <w:r>
        <w:rPr>
          <w:rFonts w:hint="eastAsia"/>
          <w:highlight w:val="none"/>
          <w:lang w:eastAsia="zh-CN"/>
        </w:rPr>
        <w:t>，</w:t>
      </w:r>
      <w:r>
        <w:rPr>
          <w:rFonts w:hint="eastAsia"/>
          <w:highlight w:val="none"/>
        </w:rPr>
        <w:t>将视为放弃中标</w:t>
      </w:r>
      <w:r>
        <w:rPr>
          <w:rFonts w:hint="eastAsia"/>
          <w:highlight w:val="none"/>
          <w:lang w:eastAsia="zh-CN"/>
        </w:rPr>
        <w:t>，</w:t>
      </w:r>
      <w:r>
        <w:rPr>
          <w:rFonts w:hint="eastAsia"/>
          <w:highlight w:val="none"/>
        </w:rPr>
        <w:t>取消其中标资格。采购人不得违法改变中标结果</w:t>
      </w:r>
      <w:r>
        <w:rPr>
          <w:rFonts w:hint="eastAsia"/>
          <w:highlight w:val="none"/>
          <w:lang w:eastAsia="zh-CN"/>
        </w:rPr>
        <w:t>，</w:t>
      </w:r>
      <w:r>
        <w:rPr>
          <w:rFonts w:hint="eastAsia"/>
          <w:highlight w:val="none"/>
        </w:rPr>
        <w:t>成交供应商无正当理由不得放弃中标</w:t>
      </w:r>
      <w:r>
        <w:rPr>
          <w:rFonts w:hint="eastAsia"/>
          <w:highlight w:val="none"/>
          <w:lang w:eastAsia="zh-CN"/>
        </w:rPr>
        <w:t>，</w:t>
      </w:r>
      <w:r>
        <w:rPr>
          <w:rFonts w:hint="eastAsia"/>
          <w:highlight w:val="none"/>
        </w:rPr>
        <w:t>否则将承担相应的法律责任。</w:t>
      </w:r>
    </w:p>
    <w:p w14:paraId="6FBA9EC4">
      <w:pPr>
        <w:ind w:firstLine="480"/>
        <w:rPr>
          <w:highlight w:val="none"/>
        </w:rPr>
      </w:pPr>
      <w:r>
        <w:rPr>
          <w:rFonts w:hint="eastAsia"/>
          <w:highlight w:val="none"/>
        </w:rPr>
        <w:t>29.3成交供应商的投标文件本应作为投标无效处理或者有政府采购法律法规、规章规定的中标无效情形的</w:t>
      </w:r>
      <w:r>
        <w:rPr>
          <w:rFonts w:hint="eastAsia"/>
          <w:highlight w:val="none"/>
          <w:lang w:eastAsia="zh-CN"/>
        </w:rPr>
        <w:t>，</w:t>
      </w:r>
      <w:r>
        <w:rPr>
          <w:rFonts w:hint="eastAsia"/>
          <w:highlight w:val="none"/>
        </w:rPr>
        <w:t>经查实</w:t>
      </w:r>
      <w:r>
        <w:rPr>
          <w:rFonts w:hint="eastAsia"/>
          <w:highlight w:val="none"/>
          <w:lang w:eastAsia="zh-CN"/>
        </w:rPr>
        <w:t>，</w:t>
      </w:r>
      <w:r>
        <w:rPr>
          <w:rFonts w:hint="eastAsia"/>
          <w:highlight w:val="none"/>
        </w:rPr>
        <w:t>取消其中标资格</w:t>
      </w:r>
      <w:r>
        <w:rPr>
          <w:rFonts w:hint="eastAsia"/>
          <w:highlight w:val="none"/>
          <w:lang w:eastAsia="zh-CN"/>
        </w:rPr>
        <w:t>，</w:t>
      </w:r>
      <w:r>
        <w:rPr>
          <w:rFonts w:hint="eastAsia"/>
          <w:highlight w:val="none"/>
        </w:rPr>
        <w:t>收回发出的成交通知书（成交供应商应当缴回）</w:t>
      </w:r>
      <w:r>
        <w:rPr>
          <w:rFonts w:hint="eastAsia"/>
          <w:highlight w:val="none"/>
          <w:lang w:eastAsia="zh-CN"/>
        </w:rPr>
        <w:t>，</w:t>
      </w:r>
      <w:r>
        <w:rPr>
          <w:highlight w:val="none"/>
        </w:rPr>
        <w:t>由排名之后的成交候选供应商替补</w:t>
      </w:r>
      <w:r>
        <w:rPr>
          <w:rFonts w:hint="eastAsia"/>
          <w:highlight w:val="none"/>
          <w:lang w:eastAsia="zh-CN"/>
        </w:rPr>
        <w:t>，</w:t>
      </w:r>
      <w:r>
        <w:rPr>
          <w:highlight w:val="none"/>
        </w:rPr>
        <w:t>或者重新开展采购活动。</w:t>
      </w:r>
    </w:p>
    <w:p w14:paraId="699F381A">
      <w:pPr>
        <w:ind w:firstLine="480"/>
        <w:rPr>
          <w:rFonts w:ascii="宋体" w:hAnsi="宋体" w:cs="宋体"/>
          <w:szCs w:val="21"/>
          <w:highlight w:val="none"/>
        </w:rPr>
      </w:pPr>
      <w:r>
        <w:rPr>
          <w:rFonts w:hint="eastAsia"/>
          <w:highlight w:val="none"/>
        </w:rPr>
        <w:t>29.4成交通知书为签订采购合同的依据之一</w:t>
      </w:r>
      <w:r>
        <w:rPr>
          <w:rFonts w:hint="eastAsia"/>
          <w:highlight w:val="none"/>
          <w:lang w:eastAsia="zh-CN"/>
        </w:rPr>
        <w:t>，</w:t>
      </w:r>
      <w:r>
        <w:rPr>
          <w:rFonts w:hint="eastAsia"/>
          <w:highlight w:val="none"/>
        </w:rPr>
        <w:t>是合同的有效组成部分。</w:t>
      </w:r>
    </w:p>
    <w:p w14:paraId="4F6C180E">
      <w:pPr>
        <w:pStyle w:val="5"/>
        <w:rPr>
          <w:highlight w:val="none"/>
        </w:rPr>
      </w:pPr>
      <w:bookmarkStart w:id="224" w:name="_Toc6938"/>
      <w:bookmarkStart w:id="225" w:name="_Toc7411"/>
      <w:bookmarkStart w:id="226" w:name="_Toc3812"/>
      <w:bookmarkStart w:id="227" w:name="_Toc3174"/>
      <w:bookmarkStart w:id="228" w:name="_Toc10296"/>
      <w:bookmarkStart w:id="229" w:name="_Toc5727"/>
      <w:bookmarkStart w:id="230" w:name="_Toc3135"/>
      <w:bookmarkStart w:id="231" w:name="_Toc11752"/>
      <w:bookmarkStart w:id="232" w:name="_Toc23386"/>
      <w:bookmarkStart w:id="233" w:name="_Toc2742"/>
      <w:bookmarkStart w:id="234" w:name="_Toc32620"/>
      <w:bookmarkStart w:id="235" w:name="_Toc15745"/>
      <w:bookmarkStart w:id="236" w:name="_Toc18103"/>
      <w:bookmarkStart w:id="237" w:name="_Toc14855"/>
      <w:bookmarkStart w:id="238" w:name="_Toc22377"/>
      <w:bookmarkStart w:id="239" w:name="_Toc17868"/>
      <w:bookmarkStart w:id="240" w:name="_Toc7718"/>
      <w:bookmarkStart w:id="241" w:name="_Toc3249"/>
      <w:bookmarkStart w:id="242" w:name="_Toc2789"/>
      <w:bookmarkStart w:id="243" w:name="_Toc9099"/>
      <w:bookmarkStart w:id="244" w:name="_Toc15405"/>
      <w:r>
        <w:rPr>
          <w:rFonts w:hint="eastAsia"/>
          <w:highlight w:val="none"/>
        </w:rPr>
        <w:t>六、</w:t>
      </w:r>
      <w:bookmarkEnd w:id="224"/>
      <w:bookmarkEnd w:id="225"/>
      <w:bookmarkEnd w:id="226"/>
      <w:bookmarkEnd w:id="227"/>
      <w:bookmarkEnd w:id="228"/>
      <w:bookmarkEnd w:id="229"/>
      <w:bookmarkEnd w:id="230"/>
      <w:bookmarkEnd w:id="231"/>
      <w:bookmarkEnd w:id="232"/>
      <w:bookmarkEnd w:id="233"/>
      <w:bookmarkEnd w:id="234"/>
      <w:bookmarkEnd w:id="235"/>
      <w:bookmarkEnd w:id="236"/>
      <w:r>
        <w:rPr>
          <w:rFonts w:hint="eastAsia"/>
          <w:highlight w:val="none"/>
        </w:rPr>
        <w:t>合同事项</w:t>
      </w:r>
      <w:bookmarkEnd w:id="237"/>
      <w:bookmarkEnd w:id="238"/>
      <w:bookmarkEnd w:id="239"/>
      <w:bookmarkEnd w:id="240"/>
      <w:bookmarkEnd w:id="241"/>
      <w:bookmarkEnd w:id="242"/>
      <w:bookmarkEnd w:id="243"/>
      <w:bookmarkEnd w:id="244"/>
    </w:p>
    <w:p w14:paraId="18B8C1A7">
      <w:pPr>
        <w:ind w:firstLine="480"/>
        <w:rPr>
          <w:highlight w:val="none"/>
        </w:rPr>
      </w:pPr>
      <w:r>
        <w:rPr>
          <w:highlight w:val="none"/>
        </w:rPr>
        <w:t>30</w:t>
      </w:r>
      <w:r>
        <w:rPr>
          <w:rFonts w:hint="eastAsia"/>
          <w:highlight w:val="none"/>
        </w:rPr>
        <w:t>.</w:t>
      </w:r>
      <w:r>
        <w:rPr>
          <w:highlight w:val="none"/>
        </w:rPr>
        <w:t>履约保证金</w:t>
      </w:r>
    </w:p>
    <w:p w14:paraId="0D42E0ED">
      <w:pPr>
        <w:ind w:firstLine="480"/>
        <w:rPr>
          <w:highlight w:val="none"/>
        </w:rPr>
      </w:pPr>
      <w:r>
        <w:rPr>
          <w:highlight w:val="none"/>
        </w:rPr>
        <w:t>30.1成交供应商应在本项目合同签订前按供应商须知前附表规定交纳足额履约保证金（不交纳除外）。</w:t>
      </w:r>
    </w:p>
    <w:p w14:paraId="09FADA03">
      <w:pPr>
        <w:ind w:firstLine="480"/>
        <w:rPr>
          <w:highlight w:val="none"/>
        </w:rPr>
      </w:pPr>
      <w:r>
        <w:rPr>
          <w:highlight w:val="none"/>
        </w:rPr>
        <w:t>30.2如成交供应商未按规定交纳履约保证金</w:t>
      </w:r>
      <w:r>
        <w:rPr>
          <w:rFonts w:hint="eastAsia"/>
          <w:highlight w:val="none"/>
          <w:lang w:eastAsia="zh-CN"/>
        </w:rPr>
        <w:t>，</w:t>
      </w:r>
      <w:r>
        <w:rPr>
          <w:highlight w:val="none"/>
        </w:rPr>
        <w:t>且又无正当理由的</w:t>
      </w:r>
      <w:r>
        <w:rPr>
          <w:rFonts w:hint="eastAsia"/>
          <w:highlight w:val="none"/>
          <w:lang w:eastAsia="zh-CN"/>
        </w:rPr>
        <w:t>，</w:t>
      </w:r>
      <w:r>
        <w:rPr>
          <w:highlight w:val="none"/>
        </w:rPr>
        <w:t>将视为放弃成交。</w:t>
      </w:r>
    </w:p>
    <w:p w14:paraId="333877F6">
      <w:pPr>
        <w:ind w:firstLine="480"/>
        <w:rPr>
          <w:highlight w:val="none"/>
        </w:rPr>
      </w:pPr>
      <w:r>
        <w:rPr>
          <w:rFonts w:hint="eastAsia"/>
          <w:highlight w:val="none"/>
        </w:rPr>
        <w:t>31.合同签订</w:t>
      </w:r>
    </w:p>
    <w:p w14:paraId="1F018882">
      <w:pPr>
        <w:ind w:firstLine="480"/>
        <w:rPr>
          <w:highlight w:val="none"/>
        </w:rPr>
      </w:pPr>
      <w:r>
        <w:rPr>
          <w:rFonts w:hint="eastAsia"/>
          <w:highlight w:val="none"/>
        </w:rPr>
        <w:t>31.1成交供应商须按照投标人须知前附表规定的时间、地点与采购人签订采购合同。由于成交供应商的原因逾期未与采购人签订采购合同的</w:t>
      </w:r>
      <w:r>
        <w:rPr>
          <w:rFonts w:hint="eastAsia"/>
          <w:highlight w:val="none"/>
          <w:lang w:eastAsia="zh-CN"/>
        </w:rPr>
        <w:t>，</w:t>
      </w:r>
      <w:r>
        <w:rPr>
          <w:rFonts w:hint="eastAsia"/>
          <w:highlight w:val="none"/>
        </w:rPr>
        <w:t>将视为放弃中标</w:t>
      </w:r>
      <w:r>
        <w:rPr>
          <w:rFonts w:hint="eastAsia"/>
          <w:highlight w:val="none"/>
          <w:lang w:eastAsia="zh-CN"/>
        </w:rPr>
        <w:t>，</w:t>
      </w:r>
      <w:r>
        <w:rPr>
          <w:rFonts w:hint="eastAsia"/>
          <w:highlight w:val="none"/>
        </w:rPr>
        <w:t>取消其中标资格并将按相关规定进行处理。</w:t>
      </w:r>
    </w:p>
    <w:p w14:paraId="2C814078">
      <w:pPr>
        <w:ind w:firstLine="480"/>
        <w:rPr>
          <w:highlight w:val="none"/>
        </w:rPr>
      </w:pPr>
      <w:r>
        <w:rPr>
          <w:rFonts w:hint="eastAsia"/>
          <w:highlight w:val="none"/>
        </w:rPr>
        <w:t>31.2成交通知书、招标文件、澄清文件及成交供应商的投标文件等均为签订合同的依据。</w:t>
      </w:r>
    </w:p>
    <w:p w14:paraId="251C957A">
      <w:pPr>
        <w:ind w:firstLine="480"/>
        <w:rPr>
          <w:highlight w:val="none"/>
        </w:rPr>
      </w:pPr>
      <w:r>
        <w:rPr>
          <w:rFonts w:hint="eastAsia"/>
          <w:highlight w:val="none"/>
        </w:rPr>
        <w:t>31.3采购人不得向成交供应商提出任何不合理的要求</w:t>
      </w:r>
      <w:r>
        <w:rPr>
          <w:rFonts w:hint="eastAsia"/>
          <w:highlight w:val="none"/>
          <w:lang w:eastAsia="zh-CN"/>
        </w:rPr>
        <w:t>，</w:t>
      </w:r>
      <w:r>
        <w:rPr>
          <w:rFonts w:hint="eastAsia"/>
          <w:highlight w:val="none"/>
        </w:rPr>
        <w:t>作为签订合同的条件</w:t>
      </w:r>
      <w:r>
        <w:rPr>
          <w:rFonts w:hint="eastAsia"/>
          <w:highlight w:val="none"/>
          <w:lang w:eastAsia="zh-CN"/>
        </w:rPr>
        <w:t>，</w:t>
      </w:r>
      <w:r>
        <w:rPr>
          <w:rFonts w:hint="eastAsia"/>
          <w:highlight w:val="none"/>
        </w:rPr>
        <w:t>不得与成交供应商私下签订背离合同实质性内容的任何协议</w:t>
      </w:r>
      <w:r>
        <w:rPr>
          <w:rFonts w:hint="eastAsia"/>
          <w:highlight w:val="none"/>
          <w:lang w:eastAsia="zh-CN"/>
        </w:rPr>
        <w:t>，</w:t>
      </w:r>
      <w:r>
        <w:rPr>
          <w:rFonts w:hint="eastAsia"/>
          <w:highlight w:val="none"/>
        </w:rPr>
        <w:t>所签订的合同不得对招标文件和成交供应商投标文件确定的事项进行修改。</w:t>
      </w:r>
    </w:p>
    <w:p w14:paraId="4B79938F">
      <w:pPr>
        <w:ind w:firstLine="480"/>
        <w:rPr>
          <w:highlight w:val="none"/>
        </w:rPr>
      </w:pPr>
      <w:r>
        <w:rPr>
          <w:rFonts w:hint="eastAsia"/>
          <w:highlight w:val="none"/>
        </w:rPr>
        <w:t>31.4</w:t>
      </w:r>
      <w:r>
        <w:rPr>
          <w:highlight w:val="none"/>
        </w:rPr>
        <w:t>成交供应商因自身原因放弃成交或因不可抗力不能履行合同的或者违反法律法规、磋商文件规定的</w:t>
      </w:r>
      <w:r>
        <w:rPr>
          <w:rFonts w:hint="eastAsia"/>
          <w:highlight w:val="none"/>
          <w:lang w:eastAsia="zh-CN"/>
        </w:rPr>
        <w:t>，</w:t>
      </w:r>
      <w:r>
        <w:rPr>
          <w:highlight w:val="none"/>
        </w:rPr>
        <w:t>在符合法律法规规定下采购人可以与排位在成交供应商之后的成交候选人签订政府采购合同</w:t>
      </w:r>
      <w:r>
        <w:rPr>
          <w:rFonts w:hint="eastAsia"/>
          <w:highlight w:val="none"/>
          <w:lang w:eastAsia="zh-CN"/>
        </w:rPr>
        <w:t>，</w:t>
      </w:r>
      <w:r>
        <w:rPr>
          <w:highlight w:val="none"/>
        </w:rPr>
        <w:t>或者重新组织采购。</w:t>
      </w:r>
    </w:p>
    <w:p w14:paraId="6C4C5E24">
      <w:pPr>
        <w:ind w:firstLine="480"/>
        <w:rPr>
          <w:highlight w:val="none"/>
        </w:rPr>
      </w:pPr>
      <w:r>
        <w:rPr>
          <w:rFonts w:hint="eastAsia"/>
          <w:highlight w:val="none"/>
        </w:rPr>
        <w:t>32.补充合同</w:t>
      </w:r>
    </w:p>
    <w:p w14:paraId="456219E9">
      <w:pPr>
        <w:ind w:firstLine="480"/>
        <w:rPr>
          <w:highlight w:val="none"/>
        </w:rPr>
      </w:pPr>
      <w:r>
        <w:rPr>
          <w:rFonts w:hint="eastAsia"/>
          <w:highlight w:val="none"/>
        </w:rPr>
        <w:t>采购合同履行中</w:t>
      </w:r>
      <w:r>
        <w:rPr>
          <w:rFonts w:hint="eastAsia"/>
          <w:highlight w:val="none"/>
          <w:lang w:eastAsia="zh-CN"/>
        </w:rPr>
        <w:t>，</w:t>
      </w:r>
      <w:r>
        <w:rPr>
          <w:rFonts w:hint="eastAsia"/>
          <w:highlight w:val="none"/>
        </w:rPr>
        <w:t>采购人需要追加与合同标的相同的货物或者服务的</w:t>
      </w:r>
      <w:r>
        <w:rPr>
          <w:rFonts w:hint="eastAsia"/>
          <w:highlight w:val="none"/>
          <w:lang w:eastAsia="zh-CN"/>
        </w:rPr>
        <w:t>，</w:t>
      </w:r>
      <w:r>
        <w:rPr>
          <w:rFonts w:hint="eastAsia"/>
          <w:highlight w:val="none"/>
        </w:rPr>
        <w:t>在不改变合同其他条款的前提下</w:t>
      </w:r>
      <w:r>
        <w:rPr>
          <w:rFonts w:hint="eastAsia"/>
          <w:highlight w:val="none"/>
          <w:lang w:eastAsia="zh-CN"/>
        </w:rPr>
        <w:t>，</w:t>
      </w:r>
      <w:r>
        <w:rPr>
          <w:rFonts w:hint="eastAsia"/>
          <w:highlight w:val="none"/>
        </w:rPr>
        <w:t>可以与成交供应商签订补充合同</w:t>
      </w:r>
      <w:r>
        <w:rPr>
          <w:rFonts w:hint="eastAsia"/>
          <w:highlight w:val="none"/>
          <w:lang w:eastAsia="zh-CN"/>
        </w:rPr>
        <w:t>，</w:t>
      </w:r>
      <w:r>
        <w:rPr>
          <w:rFonts w:hint="eastAsia"/>
          <w:highlight w:val="none"/>
        </w:rPr>
        <w:t>但所有补充合同的采购金额不得超过原合同采购金额的百分之十</w:t>
      </w:r>
      <w:r>
        <w:rPr>
          <w:rFonts w:hint="eastAsia"/>
          <w:highlight w:val="none"/>
          <w:lang w:eastAsia="zh-CN"/>
        </w:rPr>
        <w:t>，</w:t>
      </w:r>
      <w:r>
        <w:rPr>
          <w:rFonts w:hint="eastAsia"/>
          <w:highlight w:val="none"/>
        </w:rPr>
        <w:t>该补充合同应当在原采购合同履行过程中</w:t>
      </w:r>
      <w:r>
        <w:rPr>
          <w:rFonts w:hint="eastAsia"/>
          <w:highlight w:val="none"/>
          <w:lang w:eastAsia="zh-CN"/>
        </w:rPr>
        <w:t>，</w:t>
      </w:r>
      <w:r>
        <w:rPr>
          <w:rFonts w:hint="eastAsia"/>
          <w:highlight w:val="none"/>
        </w:rPr>
        <w:t>不得在原采购合同履行结束后</w:t>
      </w:r>
      <w:r>
        <w:rPr>
          <w:rFonts w:hint="eastAsia"/>
          <w:highlight w:val="none"/>
          <w:lang w:eastAsia="zh-CN"/>
        </w:rPr>
        <w:t>，</w:t>
      </w:r>
      <w:r>
        <w:rPr>
          <w:rFonts w:hint="eastAsia"/>
          <w:highlight w:val="none"/>
        </w:rPr>
        <w:t>且采购货物、工程和服务的名称、价格、履行方式、验收标准等必须与原采购合同一致。</w:t>
      </w:r>
    </w:p>
    <w:p w14:paraId="624EDC1D">
      <w:pPr>
        <w:ind w:firstLine="480"/>
        <w:rPr>
          <w:highlight w:val="none"/>
        </w:rPr>
      </w:pPr>
      <w:r>
        <w:rPr>
          <w:rFonts w:hint="eastAsia"/>
          <w:highlight w:val="none"/>
        </w:rPr>
        <w:t>33.合同公告</w:t>
      </w:r>
    </w:p>
    <w:p w14:paraId="279FBAA0">
      <w:pPr>
        <w:ind w:firstLine="480"/>
        <w:rPr>
          <w:highlight w:val="none"/>
        </w:rPr>
      </w:pPr>
      <w:r>
        <w:rPr>
          <w:rFonts w:hint="eastAsia"/>
          <w:highlight w:val="none"/>
        </w:rPr>
        <w:t>采购人应当自采购合同签订（双方当事人均已签字盖章）之日起2个工作日内</w:t>
      </w:r>
      <w:r>
        <w:rPr>
          <w:rFonts w:hint="eastAsia"/>
          <w:highlight w:val="none"/>
          <w:lang w:eastAsia="zh-CN"/>
        </w:rPr>
        <w:t>，</w:t>
      </w:r>
      <w:r>
        <w:rPr>
          <w:rFonts w:hint="eastAsia"/>
          <w:highlight w:val="none"/>
        </w:rPr>
        <w:t>将采购合同在政府采购网公告</w:t>
      </w:r>
      <w:r>
        <w:rPr>
          <w:rFonts w:hint="eastAsia"/>
          <w:highlight w:val="none"/>
          <w:lang w:eastAsia="zh-CN"/>
        </w:rPr>
        <w:t>，</w:t>
      </w:r>
      <w:r>
        <w:rPr>
          <w:rFonts w:hint="eastAsia"/>
          <w:highlight w:val="none"/>
        </w:rPr>
        <w:t>但采购合同中涉及国家秘密、商业秘密的内容除外。</w:t>
      </w:r>
    </w:p>
    <w:p w14:paraId="05E32BAB">
      <w:pPr>
        <w:ind w:firstLine="480"/>
        <w:rPr>
          <w:highlight w:val="none"/>
        </w:rPr>
      </w:pPr>
      <w:r>
        <w:rPr>
          <w:rFonts w:hint="eastAsia"/>
          <w:highlight w:val="none"/>
        </w:rPr>
        <w:t>34.合同备案</w:t>
      </w:r>
    </w:p>
    <w:p w14:paraId="093D5C48">
      <w:pPr>
        <w:ind w:firstLine="480"/>
        <w:rPr>
          <w:highlight w:val="none"/>
        </w:rPr>
      </w:pPr>
      <w:r>
        <w:rPr>
          <w:rFonts w:hint="eastAsia"/>
          <w:highlight w:val="none"/>
        </w:rPr>
        <w:t>34.1成交供应商与采购人签订合同后</w:t>
      </w:r>
      <w:r>
        <w:rPr>
          <w:rFonts w:hint="eastAsia"/>
          <w:highlight w:val="none"/>
          <w:lang w:eastAsia="zh-CN"/>
        </w:rPr>
        <w:t>，</w:t>
      </w:r>
      <w:r>
        <w:rPr>
          <w:rFonts w:hint="eastAsia"/>
          <w:highlight w:val="none"/>
        </w:rPr>
        <w:t>合同双方应严格执行合同条款</w:t>
      </w:r>
      <w:r>
        <w:rPr>
          <w:rFonts w:hint="eastAsia"/>
          <w:highlight w:val="none"/>
          <w:lang w:eastAsia="zh-CN"/>
        </w:rPr>
        <w:t>，</w:t>
      </w:r>
      <w:r>
        <w:rPr>
          <w:rFonts w:hint="eastAsia"/>
          <w:highlight w:val="none"/>
        </w:rPr>
        <w:t>履行合同规定的义务</w:t>
      </w:r>
      <w:r>
        <w:rPr>
          <w:rFonts w:hint="eastAsia"/>
          <w:highlight w:val="none"/>
          <w:lang w:eastAsia="zh-CN"/>
        </w:rPr>
        <w:t>，</w:t>
      </w:r>
      <w:r>
        <w:rPr>
          <w:rFonts w:hint="eastAsia"/>
          <w:highlight w:val="none"/>
        </w:rPr>
        <w:t>保证合同的顺利完成。</w:t>
      </w:r>
    </w:p>
    <w:p w14:paraId="28089D44">
      <w:pPr>
        <w:ind w:firstLine="480"/>
        <w:rPr>
          <w:highlight w:val="none"/>
        </w:rPr>
      </w:pPr>
      <w:r>
        <w:rPr>
          <w:rFonts w:hint="eastAsia"/>
          <w:highlight w:val="none"/>
        </w:rPr>
        <w:t>34.2在合同履行过程中</w:t>
      </w:r>
      <w:r>
        <w:rPr>
          <w:rFonts w:hint="eastAsia"/>
          <w:highlight w:val="none"/>
          <w:lang w:eastAsia="zh-CN"/>
        </w:rPr>
        <w:t>，</w:t>
      </w:r>
      <w:r>
        <w:rPr>
          <w:rFonts w:hint="eastAsia"/>
          <w:highlight w:val="none"/>
        </w:rPr>
        <w:t>如发生合同纠纷</w:t>
      </w:r>
      <w:r>
        <w:rPr>
          <w:rFonts w:hint="eastAsia"/>
          <w:highlight w:val="none"/>
          <w:lang w:eastAsia="zh-CN"/>
        </w:rPr>
        <w:t>，</w:t>
      </w:r>
      <w:r>
        <w:rPr>
          <w:rFonts w:hint="eastAsia"/>
          <w:highlight w:val="none"/>
        </w:rPr>
        <w:t>合同双方应按照《民法典》的有关规定进行处理。</w:t>
      </w:r>
    </w:p>
    <w:p w14:paraId="05C2F466">
      <w:pPr>
        <w:pStyle w:val="5"/>
        <w:rPr>
          <w:highlight w:val="none"/>
        </w:rPr>
      </w:pPr>
      <w:bookmarkStart w:id="245" w:name="_Toc15246"/>
      <w:bookmarkStart w:id="246" w:name="_Toc11181"/>
      <w:bookmarkStart w:id="247" w:name="_Toc19293"/>
      <w:bookmarkStart w:id="248" w:name="_Toc19713"/>
      <w:bookmarkStart w:id="249" w:name="_Toc25660"/>
      <w:bookmarkStart w:id="250" w:name="_Toc6377"/>
      <w:bookmarkStart w:id="251" w:name="_Toc20271"/>
      <w:bookmarkStart w:id="252" w:name="_Toc28121"/>
      <w:bookmarkStart w:id="253" w:name="_Toc15767"/>
      <w:bookmarkStart w:id="254" w:name="_Toc13561"/>
      <w:bookmarkStart w:id="255" w:name="_Toc22060"/>
      <w:bookmarkStart w:id="256" w:name="_Toc17192"/>
      <w:bookmarkStart w:id="257" w:name="_Toc1528"/>
      <w:bookmarkStart w:id="258" w:name="_Toc7476"/>
      <w:bookmarkStart w:id="259" w:name="_Toc18228"/>
      <w:bookmarkStart w:id="260" w:name="_Toc24605"/>
      <w:bookmarkStart w:id="261" w:name="_Toc22547"/>
      <w:bookmarkStart w:id="262" w:name="_Toc613"/>
      <w:bookmarkStart w:id="263" w:name="_Toc9892"/>
      <w:bookmarkStart w:id="264" w:name="_Toc3657"/>
      <w:bookmarkStart w:id="265" w:name="_Toc11354"/>
      <w:r>
        <w:rPr>
          <w:rFonts w:hint="eastAsia"/>
          <w:highlight w:val="none"/>
        </w:rPr>
        <w:t>七、</w:t>
      </w:r>
      <w:bookmarkEnd w:id="245"/>
      <w:bookmarkEnd w:id="246"/>
      <w:bookmarkEnd w:id="247"/>
      <w:bookmarkEnd w:id="248"/>
      <w:bookmarkEnd w:id="249"/>
      <w:bookmarkEnd w:id="250"/>
      <w:bookmarkEnd w:id="251"/>
      <w:bookmarkEnd w:id="252"/>
      <w:bookmarkEnd w:id="253"/>
      <w:bookmarkEnd w:id="254"/>
      <w:bookmarkEnd w:id="255"/>
      <w:bookmarkEnd w:id="256"/>
      <w:bookmarkEnd w:id="257"/>
      <w:r>
        <w:rPr>
          <w:rFonts w:hint="eastAsia"/>
          <w:highlight w:val="none"/>
        </w:rPr>
        <w:t>质疑与投诉</w:t>
      </w:r>
      <w:bookmarkEnd w:id="258"/>
      <w:bookmarkEnd w:id="259"/>
      <w:bookmarkEnd w:id="260"/>
      <w:bookmarkEnd w:id="261"/>
      <w:bookmarkEnd w:id="262"/>
      <w:bookmarkEnd w:id="263"/>
      <w:bookmarkEnd w:id="264"/>
      <w:bookmarkEnd w:id="265"/>
    </w:p>
    <w:p w14:paraId="72A46003">
      <w:pPr>
        <w:ind w:firstLine="480"/>
        <w:rPr>
          <w:highlight w:val="none"/>
        </w:rPr>
      </w:pPr>
      <w:r>
        <w:rPr>
          <w:rFonts w:hint="eastAsia"/>
          <w:highlight w:val="none"/>
        </w:rPr>
        <w:t>35.质疑提出</w:t>
      </w:r>
    </w:p>
    <w:p w14:paraId="3C7A444E">
      <w:pPr>
        <w:ind w:firstLine="480"/>
        <w:rPr>
          <w:highlight w:val="none"/>
        </w:rPr>
      </w:pPr>
      <w:r>
        <w:rPr>
          <w:rFonts w:hint="eastAsia"/>
          <w:highlight w:val="none"/>
        </w:rPr>
        <w:t>35.1符合《中华人民共和国政府采购法》《中华人民共和国政府采购法实施条例》《政府采购质疑和投诉办法》（财政部令第94号）等有关法律法规规定。</w:t>
      </w:r>
    </w:p>
    <w:p w14:paraId="52D68C9A">
      <w:pPr>
        <w:ind w:firstLine="480"/>
        <w:rPr>
          <w:highlight w:val="none"/>
        </w:rPr>
      </w:pPr>
      <w:r>
        <w:rPr>
          <w:rFonts w:hint="eastAsia"/>
          <w:highlight w:val="none"/>
        </w:rPr>
        <w:t>35.2提交的质疑函应符合财政部《政府采购供应商质疑函范本》要求。</w:t>
      </w:r>
    </w:p>
    <w:p w14:paraId="7E972573">
      <w:pPr>
        <w:ind w:firstLine="480"/>
        <w:rPr>
          <w:highlight w:val="none"/>
        </w:rPr>
      </w:pPr>
      <w:r>
        <w:rPr>
          <w:rFonts w:hint="eastAsia"/>
          <w:highlight w:val="none"/>
        </w:rPr>
        <w:t>35.3投标人认为采购文件、采购过程和中标结果使自己的权益受到损害的</w:t>
      </w:r>
      <w:r>
        <w:rPr>
          <w:rFonts w:hint="eastAsia"/>
          <w:highlight w:val="none"/>
          <w:lang w:eastAsia="zh-CN"/>
        </w:rPr>
        <w:t>，</w:t>
      </w:r>
      <w:r>
        <w:rPr>
          <w:rFonts w:hint="eastAsia"/>
          <w:highlight w:val="none"/>
        </w:rPr>
        <w:t>可以在知道或者应知其权益受到损害之日起7个工作日内</w:t>
      </w:r>
      <w:r>
        <w:rPr>
          <w:rFonts w:hint="eastAsia"/>
          <w:highlight w:val="none"/>
          <w:lang w:eastAsia="zh-CN"/>
        </w:rPr>
        <w:t>，</w:t>
      </w:r>
      <w:r>
        <w:rPr>
          <w:rFonts w:hint="eastAsia"/>
          <w:highlight w:val="none"/>
        </w:rPr>
        <w:t>以书面形式向采购人、采购代理机构提出质疑。投标人在法定质疑期内一次性提出针对同一采购程序环节的质疑。</w:t>
      </w:r>
    </w:p>
    <w:p w14:paraId="6D61EFD3">
      <w:pPr>
        <w:ind w:firstLine="480"/>
        <w:rPr>
          <w:highlight w:val="none"/>
        </w:rPr>
      </w:pPr>
      <w:r>
        <w:rPr>
          <w:rFonts w:hint="eastAsia"/>
          <w:highlight w:val="none"/>
        </w:rPr>
        <w:t>35.4潜在投标人已依法获取采购文件</w:t>
      </w:r>
      <w:r>
        <w:rPr>
          <w:rFonts w:hint="eastAsia"/>
          <w:highlight w:val="none"/>
          <w:lang w:eastAsia="zh-CN"/>
        </w:rPr>
        <w:t>，</w:t>
      </w:r>
      <w:r>
        <w:rPr>
          <w:rFonts w:hint="eastAsia"/>
          <w:highlight w:val="none"/>
        </w:rPr>
        <w:t>可以对该文件提出质疑。采购人拒绝受理未提交投标文件的投标人对采购过程和中标结果提出质疑。</w:t>
      </w:r>
    </w:p>
    <w:p w14:paraId="54B15317">
      <w:pPr>
        <w:ind w:firstLine="480"/>
        <w:rPr>
          <w:highlight w:val="none"/>
        </w:rPr>
      </w:pPr>
      <w:r>
        <w:rPr>
          <w:rFonts w:hint="eastAsia"/>
          <w:highlight w:val="none"/>
        </w:rPr>
        <w:t>35.5质疑提出起算日期</w:t>
      </w:r>
    </w:p>
    <w:p w14:paraId="2E6ED42E">
      <w:pPr>
        <w:ind w:firstLine="480"/>
        <w:rPr>
          <w:highlight w:val="none"/>
        </w:rPr>
      </w:pPr>
      <w:r>
        <w:rPr>
          <w:rFonts w:hint="eastAsia"/>
          <w:highlight w:val="none"/>
        </w:rPr>
        <w:t>（1）对采购文件提出质疑的</w:t>
      </w:r>
      <w:r>
        <w:rPr>
          <w:rFonts w:hint="eastAsia"/>
          <w:highlight w:val="none"/>
          <w:lang w:eastAsia="zh-CN"/>
        </w:rPr>
        <w:t>，</w:t>
      </w:r>
      <w:r>
        <w:rPr>
          <w:rFonts w:hint="eastAsia"/>
          <w:highlight w:val="none"/>
        </w:rPr>
        <w:t>自供应商获取招标文件之日起或者公告届满之日起开始计算</w:t>
      </w:r>
      <w:r>
        <w:rPr>
          <w:rFonts w:hint="eastAsia"/>
          <w:highlight w:val="none"/>
          <w:lang w:eastAsia="zh-CN"/>
        </w:rPr>
        <w:t>，</w:t>
      </w:r>
      <w:r>
        <w:rPr>
          <w:rFonts w:hint="eastAsia"/>
          <w:highlight w:val="none"/>
        </w:rPr>
        <w:t>且应当在开标时间前24小时前提出</w:t>
      </w:r>
      <w:r>
        <w:rPr>
          <w:rFonts w:hint="eastAsia"/>
          <w:highlight w:val="none"/>
          <w:lang w:eastAsia="zh-CN"/>
        </w:rPr>
        <w:t>，</w:t>
      </w:r>
      <w:r>
        <w:rPr>
          <w:rFonts w:hint="eastAsia"/>
          <w:highlight w:val="none"/>
        </w:rPr>
        <w:t>否则</w:t>
      </w:r>
      <w:r>
        <w:rPr>
          <w:rFonts w:hint="eastAsia"/>
          <w:highlight w:val="none"/>
          <w:lang w:eastAsia="zh-CN"/>
        </w:rPr>
        <w:t>，</w:t>
      </w:r>
      <w:r>
        <w:rPr>
          <w:rFonts w:hint="eastAsia"/>
          <w:highlight w:val="none"/>
        </w:rPr>
        <w:t>被质疑人可不予受理。</w:t>
      </w:r>
    </w:p>
    <w:p w14:paraId="2D45422E">
      <w:pPr>
        <w:ind w:firstLine="480"/>
        <w:rPr>
          <w:highlight w:val="none"/>
        </w:rPr>
      </w:pPr>
      <w:r>
        <w:rPr>
          <w:rFonts w:hint="eastAsia"/>
          <w:highlight w:val="none"/>
        </w:rPr>
        <w:t>（2）对采购过程提出质疑的</w:t>
      </w:r>
      <w:r>
        <w:rPr>
          <w:rFonts w:hint="eastAsia"/>
          <w:highlight w:val="none"/>
          <w:lang w:eastAsia="zh-CN"/>
        </w:rPr>
        <w:t>，</w:t>
      </w:r>
      <w:r>
        <w:rPr>
          <w:rFonts w:hint="eastAsia"/>
          <w:highlight w:val="none"/>
        </w:rPr>
        <w:t>质疑期限自各采购程序环节结束之日起计算。</w:t>
      </w:r>
    </w:p>
    <w:p w14:paraId="5AB5176C">
      <w:pPr>
        <w:ind w:firstLine="480"/>
        <w:rPr>
          <w:highlight w:val="none"/>
        </w:rPr>
      </w:pPr>
      <w:r>
        <w:rPr>
          <w:rFonts w:hint="eastAsia"/>
          <w:highlight w:val="none"/>
        </w:rPr>
        <w:t>（3）对采购结果提出质疑的</w:t>
      </w:r>
      <w:r>
        <w:rPr>
          <w:rFonts w:hint="eastAsia"/>
          <w:highlight w:val="none"/>
          <w:lang w:eastAsia="zh-CN"/>
        </w:rPr>
        <w:t>，</w:t>
      </w:r>
      <w:r>
        <w:rPr>
          <w:rFonts w:hint="eastAsia"/>
          <w:highlight w:val="none"/>
        </w:rPr>
        <w:t>质疑期限自采购结果公告（包括公示、预公告、结果变更公告等）之日起计算。</w:t>
      </w:r>
    </w:p>
    <w:p w14:paraId="3E379CCF">
      <w:pPr>
        <w:ind w:firstLine="480"/>
        <w:rPr>
          <w:highlight w:val="none"/>
        </w:rPr>
      </w:pPr>
      <w:r>
        <w:rPr>
          <w:rFonts w:hint="eastAsia"/>
          <w:highlight w:val="none"/>
        </w:rPr>
        <w:t>（4）投标人逾期提出质疑的</w:t>
      </w:r>
      <w:r>
        <w:rPr>
          <w:rFonts w:hint="eastAsia"/>
          <w:highlight w:val="none"/>
          <w:lang w:eastAsia="zh-CN"/>
        </w:rPr>
        <w:t>，</w:t>
      </w:r>
      <w:r>
        <w:rPr>
          <w:rFonts w:hint="eastAsia"/>
          <w:highlight w:val="none"/>
        </w:rPr>
        <w:t>采购人或采购代理机构均不予受理和答复。</w:t>
      </w:r>
    </w:p>
    <w:p w14:paraId="3707F667">
      <w:pPr>
        <w:ind w:firstLine="480"/>
        <w:rPr>
          <w:highlight w:val="none"/>
        </w:rPr>
      </w:pPr>
      <w:r>
        <w:rPr>
          <w:rFonts w:hint="eastAsia"/>
          <w:highlight w:val="none"/>
        </w:rPr>
        <w:t>36.质疑答复</w:t>
      </w:r>
    </w:p>
    <w:p w14:paraId="4FDBAEBD">
      <w:pPr>
        <w:ind w:firstLine="480"/>
        <w:rPr>
          <w:highlight w:val="none"/>
        </w:rPr>
      </w:pPr>
      <w:r>
        <w:rPr>
          <w:rFonts w:hint="eastAsia"/>
          <w:highlight w:val="none"/>
        </w:rPr>
        <w:t>采购人应当在收到投标人的书面质疑后7个工作日内作出答复</w:t>
      </w:r>
      <w:r>
        <w:rPr>
          <w:rFonts w:hint="eastAsia"/>
          <w:highlight w:val="none"/>
          <w:lang w:eastAsia="zh-CN"/>
        </w:rPr>
        <w:t>，</w:t>
      </w:r>
      <w:r>
        <w:rPr>
          <w:rFonts w:hint="eastAsia"/>
          <w:highlight w:val="none"/>
        </w:rPr>
        <w:t>并以书面形式通知质疑供应商和其他与质疑处理结果有利害关系的采购当事人</w:t>
      </w:r>
      <w:r>
        <w:rPr>
          <w:rFonts w:hint="eastAsia"/>
          <w:highlight w:val="none"/>
          <w:lang w:eastAsia="zh-CN"/>
        </w:rPr>
        <w:t>，</w:t>
      </w:r>
      <w:r>
        <w:rPr>
          <w:rFonts w:hint="eastAsia"/>
          <w:highlight w:val="none"/>
        </w:rPr>
        <w:t>但答复的内容不得涉及商业秘密。</w:t>
      </w:r>
    </w:p>
    <w:p w14:paraId="747BC904">
      <w:pPr>
        <w:ind w:firstLine="480"/>
        <w:rPr>
          <w:highlight w:val="none"/>
        </w:rPr>
      </w:pPr>
      <w:r>
        <w:rPr>
          <w:rFonts w:hint="eastAsia"/>
          <w:highlight w:val="none"/>
        </w:rPr>
        <w:t>37.投诉</w:t>
      </w:r>
    </w:p>
    <w:p w14:paraId="3232402E">
      <w:pPr>
        <w:ind w:firstLine="480"/>
        <w:rPr>
          <w:highlight w:val="none"/>
        </w:rPr>
      </w:pPr>
      <w:r>
        <w:rPr>
          <w:rFonts w:hint="eastAsia"/>
          <w:highlight w:val="none"/>
        </w:rPr>
        <w:t>37.1质疑供应商对采购人未在规定时间内作出答复的</w:t>
      </w:r>
      <w:r>
        <w:rPr>
          <w:rFonts w:hint="eastAsia"/>
          <w:highlight w:val="none"/>
          <w:lang w:eastAsia="zh-CN"/>
        </w:rPr>
        <w:t>，</w:t>
      </w:r>
      <w:r>
        <w:rPr>
          <w:rFonts w:hint="eastAsia"/>
          <w:highlight w:val="none"/>
        </w:rPr>
        <w:t>可以在答复期满后15个工作日内向龙游县财政局投诉。若对质疑答复不满意的</w:t>
      </w:r>
      <w:r>
        <w:rPr>
          <w:rFonts w:hint="eastAsia"/>
          <w:highlight w:val="none"/>
          <w:lang w:eastAsia="zh-CN"/>
        </w:rPr>
        <w:t>，</w:t>
      </w:r>
      <w:r>
        <w:rPr>
          <w:rFonts w:hint="eastAsia"/>
          <w:highlight w:val="none"/>
        </w:rPr>
        <w:t>应当自答复的次日起15个工作日内向龙游县财政局投诉。</w:t>
      </w:r>
    </w:p>
    <w:p w14:paraId="148291C3">
      <w:pPr>
        <w:ind w:firstLine="480"/>
        <w:rPr>
          <w:rFonts w:ascii="宋体" w:hAnsi="宋体" w:cs="宋体"/>
          <w:szCs w:val="21"/>
          <w:highlight w:val="none"/>
        </w:rPr>
      </w:pPr>
      <w:r>
        <w:rPr>
          <w:rFonts w:hint="eastAsia"/>
          <w:highlight w:val="none"/>
        </w:rPr>
        <w:t>37.2供应商提交的投诉书应符合财政部《政府采购供应商投诉书范本》要求。</w:t>
      </w:r>
    </w:p>
    <w:p w14:paraId="1AF374C8">
      <w:pPr>
        <w:pStyle w:val="5"/>
        <w:rPr>
          <w:highlight w:val="none"/>
        </w:rPr>
      </w:pPr>
      <w:bookmarkStart w:id="266" w:name="_Toc11384"/>
      <w:bookmarkStart w:id="267" w:name="_Toc25612"/>
      <w:bookmarkStart w:id="268" w:name="_Toc13845"/>
      <w:bookmarkStart w:id="269" w:name="_Toc3101"/>
      <w:bookmarkStart w:id="270" w:name="_Toc15929"/>
      <w:bookmarkStart w:id="271" w:name="_Toc27803"/>
      <w:bookmarkStart w:id="272" w:name="_Toc15353"/>
      <w:bookmarkStart w:id="273" w:name="_Toc17403"/>
      <w:bookmarkStart w:id="274" w:name="_Toc9643"/>
      <w:bookmarkStart w:id="275" w:name="_Toc32460"/>
      <w:bookmarkStart w:id="276" w:name="_Toc19656"/>
      <w:bookmarkStart w:id="277" w:name="_Toc12178"/>
      <w:bookmarkStart w:id="278" w:name="_Toc22578"/>
      <w:bookmarkStart w:id="279" w:name="_Toc14781"/>
      <w:bookmarkStart w:id="280" w:name="_Toc32052"/>
      <w:bookmarkStart w:id="281" w:name="_Toc19308"/>
      <w:bookmarkStart w:id="282" w:name="_Toc25731"/>
      <w:bookmarkStart w:id="283" w:name="_Toc10636"/>
      <w:bookmarkStart w:id="284" w:name="_Toc14266"/>
      <w:bookmarkStart w:id="285" w:name="_Toc30126"/>
      <w:r>
        <w:rPr>
          <w:rFonts w:hint="eastAsia"/>
          <w:highlight w:val="none"/>
        </w:rPr>
        <w:t>八、</w:t>
      </w:r>
      <w:bookmarkEnd w:id="266"/>
      <w:bookmarkEnd w:id="267"/>
      <w:bookmarkEnd w:id="268"/>
      <w:bookmarkEnd w:id="269"/>
      <w:bookmarkEnd w:id="270"/>
      <w:bookmarkEnd w:id="271"/>
      <w:bookmarkEnd w:id="272"/>
      <w:bookmarkEnd w:id="273"/>
      <w:bookmarkEnd w:id="274"/>
      <w:bookmarkEnd w:id="275"/>
      <w:bookmarkEnd w:id="276"/>
      <w:bookmarkEnd w:id="277"/>
      <w:r>
        <w:rPr>
          <w:rFonts w:hint="eastAsia"/>
          <w:highlight w:val="none"/>
        </w:rPr>
        <w:t>投标纪律要求</w:t>
      </w:r>
      <w:bookmarkEnd w:id="278"/>
      <w:bookmarkEnd w:id="279"/>
      <w:bookmarkEnd w:id="280"/>
      <w:bookmarkEnd w:id="281"/>
      <w:bookmarkEnd w:id="282"/>
      <w:bookmarkEnd w:id="283"/>
      <w:bookmarkEnd w:id="284"/>
      <w:bookmarkEnd w:id="285"/>
    </w:p>
    <w:p w14:paraId="7798299A">
      <w:pPr>
        <w:ind w:firstLine="480"/>
        <w:rPr>
          <w:highlight w:val="none"/>
        </w:rPr>
      </w:pPr>
      <w:r>
        <w:rPr>
          <w:rFonts w:hint="eastAsia"/>
          <w:highlight w:val="none"/>
        </w:rPr>
        <w:t>38.投标人有下列情形之一的</w:t>
      </w:r>
      <w:r>
        <w:rPr>
          <w:rFonts w:hint="eastAsia"/>
          <w:highlight w:val="none"/>
          <w:lang w:eastAsia="zh-CN"/>
        </w:rPr>
        <w:t>，</w:t>
      </w:r>
      <w:r>
        <w:rPr>
          <w:rFonts w:hint="eastAsia"/>
          <w:highlight w:val="none"/>
        </w:rPr>
        <w:t>处以政府采购项目中标金额千分之五以上千分之十以下的罚款</w:t>
      </w:r>
      <w:r>
        <w:rPr>
          <w:rFonts w:hint="eastAsia"/>
          <w:highlight w:val="none"/>
          <w:lang w:eastAsia="zh-CN"/>
        </w:rPr>
        <w:t>，</w:t>
      </w:r>
      <w:r>
        <w:rPr>
          <w:rFonts w:hint="eastAsia"/>
          <w:highlight w:val="none"/>
        </w:rPr>
        <w:t>列入不良行为记录名单</w:t>
      </w:r>
      <w:r>
        <w:rPr>
          <w:rFonts w:hint="eastAsia"/>
          <w:highlight w:val="none"/>
          <w:lang w:eastAsia="zh-CN"/>
        </w:rPr>
        <w:t>，</w:t>
      </w:r>
      <w:r>
        <w:rPr>
          <w:rFonts w:hint="eastAsia"/>
          <w:highlight w:val="none"/>
        </w:rPr>
        <w:t>在一至三年内禁止参加政府采购活动</w:t>
      </w:r>
      <w:r>
        <w:rPr>
          <w:rFonts w:hint="eastAsia"/>
          <w:highlight w:val="none"/>
          <w:lang w:eastAsia="zh-CN"/>
        </w:rPr>
        <w:t>，</w:t>
      </w:r>
      <w:r>
        <w:rPr>
          <w:rFonts w:hint="eastAsia"/>
          <w:highlight w:val="none"/>
        </w:rPr>
        <w:t>并予以公告</w:t>
      </w:r>
      <w:r>
        <w:rPr>
          <w:rFonts w:hint="eastAsia"/>
          <w:highlight w:val="none"/>
          <w:lang w:eastAsia="zh-CN"/>
        </w:rPr>
        <w:t>，</w:t>
      </w:r>
      <w:r>
        <w:rPr>
          <w:rFonts w:hint="eastAsia"/>
          <w:highlight w:val="none"/>
        </w:rPr>
        <w:t>有违法所得的</w:t>
      </w:r>
      <w:r>
        <w:rPr>
          <w:rFonts w:hint="eastAsia"/>
          <w:highlight w:val="none"/>
          <w:lang w:eastAsia="zh-CN"/>
        </w:rPr>
        <w:t>，</w:t>
      </w:r>
      <w:r>
        <w:rPr>
          <w:rFonts w:hint="eastAsia"/>
          <w:highlight w:val="none"/>
        </w:rPr>
        <w:t>并处没收违法所得</w:t>
      </w:r>
      <w:r>
        <w:rPr>
          <w:rFonts w:hint="eastAsia"/>
          <w:highlight w:val="none"/>
          <w:lang w:eastAsia="zh-CN"/>
        </w:rPr>
        <w:t>，</w:t>
      </w:r>
      <w:r>
        <w:rPr>
          <w:rFonts w:hint="eastAsia"/>
          <w:highlight w:val="none"/>
        </w:rPr>
        <w:t>情节严重的</w:t>
      </w:r>
      <w:r>
        <w:rPr>
          <w:rFonts w:hint="eastAsia"/>
          <w:highlight w:val="none"/>
          <w:lang w:eastAsia="zh-CN"/>
        </w:rPr>
        <w:t>，</w:t>
      </w:r>
      <w:r>
        <w:rPr>
          <w:rFonts w:hint="eastAsia"/>
          <w:highlight w:val="none"/>
        </w:rPr>
        <w:t>由工商行政管理机关吊销营业执照；构成犯罪的</w:t>
      </w:r>
      <w:r>
        <w:rPr>
          <w:rFonts w:hint="eastAsia"/>
          <w:highlight w:val="none"/>
          <w:lang w:eastAsia="zh-CN"/>
        </w:rPr>
        <w:t>，</w:t>
      </w:r>
      <w:r>
        <w:rPr>
          <w:rFonts w:hint="eastAsia"/>
          <w:highlight w:val="none"/>
        </w:rPr>
        <w:t>依法追究刑事责任。</w:t>
      </w:r>
      <w:r>
        <w:rPr>
          <w:highlight w:val="none"/>
        </w:rPr>
        <w:t>同时将取消中标资格或者认定中标无效</w:t>
      </w:r>
      <w:r>
        <w:rPr>
          <w:rFonts w:hint="eastAsia"/>
          <w:highlight w:val="none"/>
        </w:rPr>
        <w:t>：</w:t>
      </w:r>
    </w:p>
    <w:p w14:paraId="6E477768">
      <w:pPr>
        <w:ind w:firstLine="480"/>
        <w:rPr>
          <w:highlight w:val="none"/>
        </w:rPr>
      </w:pPr>
      <w:r>
        <w:rPr>
          <w:highlight w:val="none"/>
        </w:rPr>
        <w:t>38.1提供虚假材料谋取中标；</w:t>
      </w:r>
    </w:p>
    <w:p w14:paraId="7643808F">
      <w:pPr>
        <w:ind w:firstLine="480"/>
        <w:rPr>
          <w:highlight w:val="none"/>
        </w:rPr>
      </w:pPr>
      <w:r>
        <w:rPr>
          <w:highlight w:val="none"/>
        </w:rPr>
        <w:t>38.2采取不正当手段诋毁、排挤其他供应商；</w:t>
      </w:r>
    </w:p>
    <w:p w14:paraId="4113E5C0">
      <w:pPr>
        <w:ind w:firstLine="480"/>
        <w:rPr>
          <w:highlight w:val="none"/>
        </w:rPr>
      </w:pPr>
      <w:r>
        <w:rPr>
          <w:highlight w:val="none"/>
        </w:rPr>
        <w:t>38.3与采购人、其他供应商恶意串通；</w:t>
      </w:r>
    </w:p>
    <w:p w14:paraId="4B5EED08">
      <w:pPr>
        <w:ind w:firstLine="480"/>
        <w:rPr>
          <w:highlight w:val="none"/>
        </w:rPr>
      </w:pPr>
      <w:r>
        <w:rPr>
          <w:highlight w:val="none"/>
        </w:rPr>
        <w:t>38.4向采购人、磋商小组成员行贿或者提供其他不正当利益；</w:t>
      </w:r>
    </w:p>
    <w:p w14:paraId="1E0D9C5A">
      <w:pPr>
        <w:ind w:firstLine="480"/>
        <w:rPr>
          <w:highlight w:val="none"/>
        </w:rPr>
      </w:pPr>
      <w:r>
        <w:rPr>
          <w:highlight w:val="none"/>
        </w:rPr>
        <w:t>38.5在招标过程中与采购人进行协商谈判；</w:t>
      </w:r>
    </w:p>
    <w:p w14:paraId="1CAB7267">
      <w:pPr>
        <w:ind w:firstLine="480"/>
        <w:rPr>
          <w:highlight w:val="none"/>
        </w:rPr>
      </w:pPr>
      <w:r>
        <w:rPr>
          <w:highlight w:val="none"/>
        </w:rPr>
        <w:t>38.6成交供应商无正当理由拖延或者不与采购人采购合同；</w:t>
      </w:r>
    </w:p>
    <w:p w14:paraId="431DBD64">
      <w:pPr>
        <w:ind w:firstLine="480"/>
        <w:rPr>
          <w:highlight w:val="none"/>
        </w:rPr>
      </w:pPr>
      <w:r>
        <w:rPr>
          <w:highlight w:val="none"/>
        </w:rPr>
        <w:t>38.7未按照采购文件确定的事项签订采购合同；</w:t>
      </w:r>
    </w:p>
    <w:p w14:paraId="7C0A5F74">
      <w:pPr>
        <w:ind w:firstLine="480"/>
        <w:rPr>
          <w:highlight w:val="none"/>
        </w:rPr>
      </w:pPr>
      <w:r>
        <w:rPr>
          <w:highlight w:val="none"/>
        </w:rPr>
        <w:t>38.8将采购合同转包或者违规分包；</w:t>
      </w:r>
    </w:p>
    <w:p w14:paraId="4B68CC9A">
      <w:pPr>
        <w:ind w:firstLine="480"/>
        <w:rPr>
          <w:highlight w:val="none"/>
        </w:rPr>
      </w:pPr>
      <w:r>
        <w:rPr>
          <w:highlight w:val="none"/>
        </w:rPr>
        <w:t>38.9提供假冒伪劣产品；</w:t>
      </w:r>
    </w:p>
    <w:p w14:paraId="02DFD821">
      <w:pPr>
        <w:ind w:firstLine="480"/>
        <w:rPr>
          <w:highlight w:val="none"/>
        </w:rPr>
      </w:pPr>
      <w:r>
        <w:rPr>
          <w:highlight w:val="none"/>
        </w:rPr>
        <w:t>38.10擅自变更、中止或者终止采购合同；</w:t>
      </w:r>
    </w:p>
    <w:p w14:paraId="17F64167">
      <w:pPr>
        <w:ind w:firstLine="480"/>
        <w:rPr>
          <w:highlight w:val="none"/>
        </w:rPr>
      </w:pPr>
      <w:r>
        <w:rPr>
          <w:highlight w:val="none"/>
        </w:rPr>
        <w:t>38.11拒绝有关部门的监督检查或者向监督检查部门提供虚假情况；</w:t>
      </w:r>
    </w:p>
    <w:p w14:paraId="25CE71F5">
      <w:pPr>
        <w:ind w:firstLine="480"/>
        <w:rPr>
          <w:rFonts w:ascii="宋体" w:hAnsi="宋体" w:cs="宋体"/>
          <w:szCs w:val="21"/>
          <w:highlight w:val="none"/>
        </w:rPr>
      </w:pPr>
      <w:r>
        <w:rPr>
          <w:highlight w:val="none"/>
        </w:rPr>
        <w:t>38.12法律法规规定的其他情形。</w:t>
      </w:r>
    </w:p>
    <w:p w14:paraId="4821B2A9">
      <w:pPr>
        <w:pStyle w:val="5"/>
        <w:rPr>
          <w:highlight w:val="none"/>
        </w:rPr>
      </w:pPr>
      <w:bookmarkStart w:id="286" w:name="_Toc4020"/>
      <w:bookmarkStart w:id="287" w:name="_Toc25579"/>
      <w:bookmarkStart w:id="288" w:name="_Toc1082"/>
      <w:bookmarkStart w:id="289" w:name="_Toc15086"/>
      <w:bookmarkStart w:id="290" w:name="_Toc5459"/>
      <w:bookmarkStart w:id="291" w:name="_Toc26123"/>
      <w:bookmarkStart w:id="292" w:name="_Toc29437"/>
      <w:bookmarkStart w:id="293" w:name="_Toc3432"/>
      <w:r>
        <w:rPr>
          <w:rFonts w:hint="eastAsia"/>
          <w:highlight w:val="none"/>
        </w:rPr>
        <w:t>九、落实政府采购政策需满足的要求</w:t>
      </w:r>
      <w:bookmarkEnd w:id="286"/>
      <w:bookmarkEnd w:id="287"/>
      <w:bookmarkEnd w:id="288"/>
      <w:bookmarkEnd w:id="289"/>
      <w:bookmarkEnd w:id="290"/>
      <w:bookmarkEnd w:id="291"/>
      <w:bookmarkEnd w:id="292"/>
      <w:bookmarkEnd w:id="293"/>
    </w:p>
    <w:p w14:paraId="2B08DDA0">
      <w:pPr>
        <w:ind w:firstLine="480"/>
        <w:rPr>
          <w:highlight w:val="none"/>
        </w:rPr>
      </w:pPr>
      <w:r>
        <w:rPr>
          <w:rFonts w:hint="eastAsia"/>
          <w:highlight w:val="none"/>
        </w:rPr>
        <w:t>39.小微企业</w:t>
      </w:r>
    </w:p>
    <w:p w14:paraId="7A9BDAB3">
      <w:pPr>
        <w:ind w:firstLine="480"/>
        <w:rPr>
          <w:highlight w:val="none"/>
        </w:rPr>
      </w:pPr>
      <w:r>
        <w:rPr>
          <w:rFonts w:hint="eastAsia"/>
          <w:highlight w:val="none"/>
        </w:rPr>
        <w:t>根据财政工信部《关于印发（政府采购促进中小企业发展管理办法）的通知》财库（2020）46号的相关规定。本项目不属于预留采购份额项目</w:t>
      </w:r>
      <w:r>
        <w:rPr>
          <w:rFonts w:hint="eastAsia"/>
          <w:highlight w:val="none"/>
          <w:lang w:eastAsia="zh-CN"/>
        </w:rPr>
        <w:t>，</w:t>
      </w:r>
      <w:r>
        <w:rPr>
          <w:rFonts w:hint="eastAsia"/>
          <w:highlight w:val="none"/>
        </w:rPr>
        <w:t>对符合本办法规定的小微企业报价给予</w:t>
      </w:r>
      <w:r>
        <w:rPr>
          <w:rFonts w:hint="eastAsia"/>
          <w:highlight w:val="none"/>
          <w:lang w:val="en-US" w:eastAsia="zh-CN"/>
        </w:rPr>
        <w:t>10</w:t>
      </w:r>
      <w:r>
        <w:rPr>
          <w:rFonts w:hint="eastAsia"/>
          <w:highlight w:val="none"/>
        </w:rPr>
        <w:t>%扣除</w:t>
      </w:r>
      <w:r>
        <w:rPr>
          <w:rFonts w:hint="eastAsia"/>
          <w:highlight w:val="none"/>
          <w:lang w:eastAsia="zh-CN"/>
        </w:rPr>
        <w:t>，</w:t>
      </w:r>
      <w:r>
        <w:rPr>
          <w:rFonts w:hint="eastAsia"/>
          <w:highlight w:val="none"/>
        </w:rPr>
        <w:t>用扣除后的价格参加评审。</w:t>
      </w:r>
    </w:p>
    <w:p w14:paraId="3CCDB5F8">
      <w:pPr>
        <w:ind w:firstLine="480"/>
        <w:rPr>
          <w:highlight w:val="none"/>
        </w:rPr>
      </w:pPr>
      <w:r>
        <w:rPr>
          <w:highlight w:val="none"/>
        </w:rPr>
        <w:t>39.1</w:t>
      </w:r>
      <w:r>
        <w:rPr>
          <w:rFonts w:hint="eastAsia"/>
          <w:highlight w:val="none"/>
        </w:rPr>
        <w:t>小型微型企业划型标准</w:t>
      </w:r>
    </w:p>
    <w:p w14:paraId="1158BFBE">
      <w:pPr>
        <w:ind w:firstLine="480"/>
        <w:rPr>
          <w:highlight w:val="none"/>
        </w:rPr>
      </w:pPr>
      <w:r>
        <w:rPr>
          <w:rFonts w:hint="eastAsia"/>
          <w:highlight w:val="none"/>
        </w:rPr>
        <w:t>1.在中华人民共和国境内依法设立</w:t>
      </w:r>
      <w:r>
        <w:rPr>
          <w:rFonts w:hint="eastAsia"/>
          <w:highlight w:val="none"/>
          <w:lang w:eastAsia="zh-CN"/>
        </w:rPr>
        <w:t>，</w:t>
      </w:r>
      <w:r>
        <w:rPr>
          <w:rFonts w:hint="eastAsia"/>
          <w:highlight w:val="none"/>
        </w:rPr>
        <w:t>依据《关于印发中小企业划型标准规定的通知》（工信部联企业〔2011〕300号）确定的小型企业和微型企业</w:t>
      </w:r>
      <w:r>
        <w:rPr>
          <w:rFonts w:hint="eastAsia"/>
          <w:highlight w:val="none"/>
          <w:lang w:eastAsia="zh-CN"/>
        </w:rPr>
        <w:t>，</w:t>
      </w:r>
      <w:r>
        <w:rPr>
          <w:rFonts w:hint="eastAsia"/>
          <w:highlight w:val="none"/>
        </w:rPr>
        <w:t>但与中型或大企业的负责人为同一人</w:t>
      </w:r>
      <w:r>
        <w:rPr>
          <w:rFonts w:hint="eastAsia"/>
          <w:highlight w:val="none"/>
          <w:lang w:eastAsia="zh-CN"/>
        </w:rPr>
        <w:t>，</w:t>
      </w:r>
      <w:r>
        <w:rPr>
          <w:rFonts w:hint="eastAsia"/>
          <w:highlight w:val="none"/>
        </w:rPr>
        <w:t>或者与中型、大企业存在直接控股、管理关系的除外。</w:t>
      </w:r>
    </w:p>
    <w:p w14:paraId="72270BB1">
      <w:pPr>
        <w:ind w:firstLine="480"/>
        <w:rPr>
          <w:highlight w:val="none"/>
        </w:rPr>
      </w:pPr>
      <w:r>
        <w:rPr>
          <w:rFonts w:hint="eastAsia"/>
          <w:highlight w:val="none"/>
        </w:rPr>
        <w:t>符合中小企业划分标准的个体工商户</w:t>
      </w:r>
      <w:r>
        <w:rPr>
          <w:rFonts w:hint="eastAsia"/>
          <w:highlight w:val="none"/>
          <w:lang w:eastAsia="zh-CN"/>
        </w:rPr>
        <w:t>，</w:t>
      </w:r>
      <w:r>
        <w:rPr>
          <w:rFonts w:hint="eastAsia"/>
          <w:highlight w:val="none"/>
        </w:rPr>
        <w:t>在政府采购活动中视同小型企业和微型企业。</w:t>
      </w:r>
    </w:p>
    <w:p w14:paraId="5279B897">
      <w:pPr>
        <w:ind w:firstLine="480"/>
        <w:rPr>
          <w:rFonts w:hint="eastAsia" w:eastAsia="宋体"/>
          <w:highlight w:val="none"/>
          <w:lang w:eastAsia="zh-CN"/>
        </w:rPr>
      </w:pPr>
      <w:r>
        <w:rPr>
          <w:rFonts w:hint="eastAsia"/>
          <w:highlight w:val="none"/>
        </w:rPr>
        <w:t>39.2所属行业：</w:t>
      </w:r>
      <w:r>
        <w:rPr>
          <w:rFonts w:hint="eastAsia"/>
          <w:highlight w:val="none"/>
          <w:lang w:val="en-US" w:eastAsia="zh-CN"/>
        </w:rPr>
        <w:t>其他未列明行业。从业人员300人以下的为中小微型企业。其中，从业人员100人及以上的为中型企业；从业人员10人及以上的为小型企业；从业人员10人以下的为微型企业。</w:t>
      </w:r>
    </w:p>
    <w:p w14:paraId="2140149D">
      <w:pPr>
        <w:ind w:firstLine="480"/>
        <w:rPr>
          <w:highlight w:val="none"/>
        </w:rPr>
      </w:pPr>
      <w:r>
        <w:rPr>
          <w:rFonts w:hint="eastAsia"/>
          <w:highlight w:val="none"/>
        </w:rPr>
        <w:t>39.3中型、小型和微型企业参加政府采购活动的须提供《中小企业声明函》（格式见附件）</w:t>
      </w:r>
      <w:r>
        <w:rPr>
          <w:rFonts w:hint="eastAsia"/>
          <w:highlight w:val="none"/>
          <w:lang w:eastAsia="zh-CN"/>
        </w:rPr>
        <w:t>，</w:t>
      </w:r>
      <w:r>
        <w:rPr>
          <w:rFonts w:hint="eastAsia"/>
          <w:highlight w:val="none"/>
        </w:rPr>
        <w:t>否则不得享受相关中小企业扶持政策。</w:t>
      </w:r>
    </w:p>
    <w:p w14:paraId="57F76160">
      <w:pPr>
        <w:ind w:firstLine="480"/>
        <w:rPr>
          <w:highlight w:val="none"/>
        </w:rPr>
      </w:pPr>
      <w:r>
        <w:rPr>
          <w:rFonts w:hint="eastAsia"/>
          <w:highlight w:val="none"/>
        </w:rPr>
        <w:t>（1）在货物采购项目中</w:t>
      </w:r>
      <w:r>
        <w:rPr>
          <w:rFonts w:hint="eastAsia"/>
          <w:highlight w:val="none"/>
          <w:lang w:eastAsia="zh-CN"/>
        </w:rPr>
        <w:t>，</w:t>
      </w:r>
      <w:r>
        <w:rPr>
          <w:rFonts w:hint="eastAsia"/>
          <w:highlight w:val="none"/>
        </w:rPr>
        <w:t>货物应当由中小企业制造</w:t>
      </w:r>
      <w:r>
        <w:rPr>
          <w:rFonts w:hint="eastAsia"/>
          <w:highlight w:val="none"/>
          <w:lang w:eastAsia="zh-CN"/>
        </w:rPr>
        <w:t>，</w:t>
      </w:r>
      <w:r>
        <w:rPr>
          <w:rFonts w:hint="eastAsia"/>
          <w:highlight w:val="none"/>
        </w:rPr>
        <w:t>不对其中涉及的服务的承接商作出要求。即货物由中小企业生产且使用该中小企业商号或注册商标</w:t>
      </w:r>
      <w:r>
        <w:rPr>
          <w:rFonts w:hint="eastAsia"/>
          <w:highlight w:val="none"/>
          <w:lang w:eastAsia="zh-CN"/>
        </w:rPr>
        <w:t>，</w:t>
      </w:r>
      <w:r>
        <w:rPr>
          <w:rFonts w:hint="eastAsia"/>
          <w:highlight w:val="none"/>
        </w:rPr>
        <w:t>供货商提供的货物既有中小企业制造货物</w:t>
      </w:r>
      <w:r>
        <w:rPr>
          <w:rFonts w:hint="eastAsia"/>
          <w:highlight w:val="none"/>
          <w:lang w:eastAsia="zh-CN"/>
        </w:rPr>
        <w:t>，</w:t>
      </w:r>
      <w:r>
        <w:rPr>
          <w:rFonts w:hint="eastAsia"/>
          <w:highlight w:val="none"/>
        </w:rPr>
        <w:t>也有大型企业制造货物</w:t>
      </w:r>
      <w:r>
        <w:rPr>
          <w:rFonts w:hint="eastAsia"/>
          <w:highlight w:val="none"/>
          <w:lang w:eastAsia="zh-CN"/>
        </w:rPr>
        <w:t>，</w:t>
      </w:r>
      <w:r>
        <w:rPr>
          <w:rFonts w:hint="eastAsia"/>
          <w:highlight w:val="none"/>
        </w:rPr>
        <w:t>不享受本办法规定的中小企业扶持；</w:t>
      </w:r>
    </w:p>
    <w:p w14:paraId="351FC0A0">
      <w:pPr>
        <w:ind w:firstLine="480"/>
        <w:rPr>
          <w:highlight w:val="none"/>
        </w:rPr>
      </w:pPr>
      <w:r>
        <w:rPr>
          <w:rFonts w:hint="eastAsia"/>
          <w:highlight w:val="none"/>
        </w:rPr>
        <w:t>（2）在工程项目采购中</w:t>
      </w:r>
      <w:r>
        <w:rPr>
          <w:rFonts w:hint="eastAsia"/>
          <w:highlight w:val="none"/>
          <w:lang w:eastAsia="zh-CN"/>
        </w:rPr>
        <w:t>，</w:t>
      </w:r>
      <w:r>
        <w:rPr>
          <w:rFonts w:hint="eastAsia"/>
          <w:highlight w:val="none"/>
        </w:rPr>
        <w:t>工程应当由中小企业承建</w:t>
      </w:r>
      <w:r>
        <w:rPr>
          <w:rFonts w:hint="eastAsia"/>
          <w:highlight w:val="none"/>
          <w:lang w:eastAsia="zh-CN"/>
        </w:rPr>
        <w:t>，</w:t>
      </w:r>
      <w:r>
        <w:rPr>
          <w:rFonts w:hint="eastAsia"/>
          <w:highlight w:val="none"/>
        </w:rPr>
        <w:t>不对其中涉及的货物的制造商和服务的承接商作出要求。</w:t>
      </w:r>
    </w:p>
    <w:p w14:paraId="2E9BBDD2">
      <w:pPr>
        <w:ind w:firstLine="480"/>
        <w:rPr>
          <w:highlight w:val="none"/>
        </w:rPr>
      </w:pPr>
      <w:r>
        <w:rPr>
          <w:rFonts w:hint="eastAsia"/>
          <w:highlight w:val="none"/>
        </w:rPr>
        <w:t>（3）在服务项目采购中</w:t>
      </w:r>
      <w:r>
        <w:rPr>
          <w:rFonts w:hint="eastAsia"/>
          <w:highlight w:val="none"/>
          <w:lang w:eastAsia="zh-CN"/>
        </w:rPr>
        <w:t>，</w:t>
      </w:r>
      <w:r>
        <w:rPr>
          <w:rFonts w:hint="eastAsia"/>
          <w:highlight w:val="none"/>
        </w:rPr>
        <w:t>服务的承接商应当为中小企业</w:t>
      </w:r>
      <w:r>
        <w:rPr>
          <w:rFonts w:hint="eastAsia"/>
          <w:highlight w:val="none"/>
          <w:lang w:eastAsia="zh-CN"/>
        </w:rPr>
        <w:t>，</w:t>
      </w:r>
      <w:r>
        <w:rPr>
          <w:rFonts w:hint="eastAsia"/>
          <w:highlight w:val="none"/>
        </w:rPr>
        <w:t>不对其中涉及的货物的制造商作出要求。</w:t>
      </w:r>
    </w:p>
    <w:p w14:paraId="776DEBDF">
      <w:pPr>
        <w:ind w:firstLine="480"/>
        <w:rPr>
          <w:highlight w:val="none"/>
        </w:rPr>
      </w:pPr>
      <w:r>
        <w:rPr>
          <w:rFonts w:hint="eastAsia"/>
          <w:highlight w:val="none"/>
        </w:rPr>
        <w:t>39.4不可享受本办法规定的中小企业扶持政策的情形</w:t>
      </w:r>
    </w:p>
    <w:p w14:paraId="37EF4C30">
      <w:pPr>
        <w:ind w:firstLine="480"/>
        <w:rPr>
          <w:highlight w:val="none"/>
        </w:rPr>
      </w:pPr>
      <w:r>
        <w:rPr>
          <w:rFonts w:hint="eastAsia"/>
          <w:highlight w:val="none"/>
        </w:rPr>
        <w:t>（1）未提供《中小企业声明函》</w:t>
      </w:r>
      <w:r>
        <w:rPr>
          <w:rFonts w:hint="eastAsia"/>
          <w:highlight w:val="none"/>
          <w:lang w:eastAsia="zh-CN"/>
        </w:rPr>
        <w:t>，</w:t>
      </w:r>
      <w:r>
        <w:rPr>
          <w:rFonts w:hint="eastAsia"/>
          <w:highlight w:val="none"/>
        </w:rPr>
        <w:t>或者提供的《中小企业声明函》不符合相关规定。</w:t>
      </w:r>
    </w:p>
    <w:p w14:paraId="3BBDD4C9">
      <w:pPr>
        <w:bidi w:val="0"/>
        <w:rPr>
          <w:highlight w:val="none"/>
        </w:rPr>
      </w:pPr>
      <w:r>
        <w:rPr>
          <w:rFonts w:hint="eastAsia"/>
          <w:highlight w:val="none"/>
        </w:rPr>
        <w:t>（2）监狱企业、残疾人福利性单位属于小型微型企业的</w:t>
      </w:r>
      <w:r>
        <w:rPr>
          <w:rFonts w:hint="eastAsia"/>
          <w:highlight w:val="none"/>
          <w:lang w:eastAsia="zh-CN"/>
        </w:rPr>
        <w:t>，</w:t>
      </w:r>
      <w:r>
        <w:rPr>
          <w:rFonts w:hint="eastAsia"/>
          <w:highlight w:val="none"/>
        </w:rPr>
        <w:t>不重复享受小微企业优惠政策。</w:t>
      </w:r>
    </w:p>
    <w:p w14:paraId="3E75F11E">
      <w:pPr>
        <w:bidi w:val="0"/>
        <w:rPr>
          <w:highlight w:val="none"/>
        </w:rPr>
      </w:pPr>
      <w:r>
        <w:rPr>
          <w:rFonts w:hint="eastAsia"/>
          <w:highlight w:val="none"/>
        </w:rPr>
        <w:t>（3）事业单位和社会团体不属于企业</w:t>
      </w:r>
      <w:r>
        <w:rPr>
          <w:rFonts w:hint="eastAsia"/>
          <w:highlight w:val="none"/>
          <w:lang w:eastAsia="zh-CN"/>
        </w:rPr>
        <w:t>，</w:t>
      </w:r>
      <w:r>
        <w:rPr>
          <w:rFonts w:hint="eastAsia"/>
          <w:highlight w:val="none"/>
        </w:rPr>
        <w:t>不享受小微企业扶持政策。</w:t>
      </w:r>
    </w:p>
    <w:p w14:paraId="58178577">
      <w:pPr>
        <w:bidi w:val="0"/>
        <w:rPr>
          <w:highlight w:val="none"/>
        </w:rPr>
      </w:pPr>
      <w:r>
        <w:rPr>
          <w:rFonts w:hint="eastAsia"/>
          <w:highlight w:val="none"/>
        </w:rPr>
        <w:t>40.监狱企业</w:t>
      </w:r>
    </w:p>
    <w:p w14:paraId="1F34D037">
      <w:pPr>
        <w:bidi w:val="0"/>
        <w:rPr>
          <w:highlight w:val="none"/>
        </w:rPr>
      </w:pPr>
      <w:r>
        <w:rPr>
          <w:rFonts w:hint="eastAsia"/>
          <w:highlight w:val="none"/>
        </w:rPr>
        <w:t>根据财政部、司法部《关于政府采购支持监狱企业发展有关问题的通知》（财库[2014]68号）的规定</w:t>
      </w:r>
      <w:r>
        <w:rPr>
          <w:rFonts w:hint="eastAsia"/>
          <w:highlight w:val="none"/>
          <w:lang w:eastAsia="zh-CN"/>
        </w:rPr>
        <w:t>，</w:t>
      </w:r>
      <w:r>
        <w:rPr>
          <w:rFonts w:hint="eastAsia"/>
          <w:highlight w:val="none"/>
        </w:rPr>
        <w:t>监狱企业视同小微企业。</w:t>
      </w:r>
    </w:p>
    <w:p w14:paraId="1855E31C">
      <w:pPr>
        <w:bidi w:val="0"/>
        <w:rPr>
          <w:highlight w:val="none"/>
        </w:rPr>
      </w:pPr>
      <w:r>
        <w:rPr>
          <w:rFonts w:hint="eastAsia"/>
          <w:highlight w:val="none"/>
        </w:rPr>
        <w:t>监狱企业应当提供《监狱企业声明函》及由省级以上监狱管理局、戒毒管理局（含新疆生产建设兵团）出具的属于监狱企业证明文件的</w:t>
      </w:r>
      <w:r>
        <w:rPr>
          <w:rFonts w:hint="eastAsia"/>
          <w:highlight w:val="none"/>
          <w:lang w:eastAsia="zh-CN"/>
        </w:rPr>
        <w:t>，</w:t>
      </w:r>
      <w:r>
        <w:rPr>
          <w:rFonts w:hint="eastAsia"/>
          <w:highlight w:val="none"/>
        </w:rPr>
        <w:t>否则不予认可。</w:t>
      </w:r>
    </w:p>
    <w:p w14:paraId="4E235831">
      <w:pPr>
        <w:bidi w:val="0"/>
        <w:rPr>
          <w:highlight w:val="none"/>
        </w:rPr>
      </w:pPr>
      <w:r>
        <w:rPr>
          <w:rFonts w:hint="eastAsia"/>
          <w:highlight w:val="none"/>
        </w:rPr>
        <w:t>41.残疾人福利性单位</w:t>
      </w:r>
    </w:p>
    <w:p w14:paraId="0D53E2A9">
      <w:pPr>
        <w:bidi w:val="0"/>
        <w:rPr>
          <w:highlight w:val="none"/>
        </w:rPr>
      </w:pPr>
      <w:r>
        <w:rPr>
          <w:rFonts w:hint="eastAsia"/>
          <w:highlight w:val="none"/>
        </w:rPr>
        <w:t>根据财政部、民政部、中国残疾人联合会《关于促进残疾人就业政府采购政策的通知》（财库〔2017〕141号）规定</w:t>
      </w:r>
      <w:r>
        <w:rPr>
          <w:rFonts w:hint="eastAsia"/>
          <w:highlight w:val="none"/>
          <w:lang w:eastAsia="zh-CN"/>
        </w:rPr>
        <w:t>，</w:t>
      </w:r>
      <w:r>
        <w:rPr>
          <w:rFonts w:hint="eastAsia"/>
          <w:highlight w:val="none"/>
        </w:rPr>
        <w:t>残疾人福利性单位视同小型微型企业。</w:t>
      </w:r>
    </w:p>
    <w:p w14:paraId="6BC33355">
      <w:pPr>
        <w:ind w:firstLine="480"/>
        <w:rPr>
          <w:rFonts w:ascii="宋体" w:hAnsi="宋体" w:cs="宋体"/>
          <w:color w:val="000000"/>
          <w:szCs w:val="21"/>
          <w:highlight w:val="none"/>
        </w:rPr>
      </w:pPr>
      <w:r>
        <w:rPr>
          <w:rFonts w:hint="eastAsia"/>
          <w:highlight w:val="none"/>
        </w:rPr>
        <w:t>残疾人福利性单位应当提供《残疾人福利性单位声明函》</w:t>
      </w:r>
      <w:r>
        <w:rPr>
          <w:rFonts w:hint="eastAsia"/>
          <w:highlight w:val="none"/>
          <w:lang w:eastAsia="zh-CN"/>
        </w:rPr>
        <w:t>，</w:t>
      </w:r>
      <w:r>
        <w:rPr>
          <w:rFonts w:hint="eastAsia"/>
          <w:highlight w:val="none"/>
        </w:rPr>
        <w:t>否则不予认可。</w:t>
      </w:r>
    </w:p>
    <w:p w14:paraId="356C804E">
      <w:pPr>
        <w:pStyle w:val="5"/>
        <w:rPr>
          <w:highlight w:val="none"/>
        </w:rPr>
      </w:pPr>
      <w:bookmarkStart w:id="294" w:name="_Toc9702"/>
      <w:bookmarkStart w:id="295" w:name="_Toc24773"/>
      <w:bookmarkStart w:id="296" w:name="_Toc18464"/>
      <w:bookmarkStart w:id="297" w:name="_Toc9723"/>
      <w:bookmarkStart w:id="298" w:name="_Toc5894"/>
      <w:bookmarkStart w:id="299" w:name="_Toc22501"/>
      <w:bookmarkStart w:id="300" w:name="_Toc25686"/>
      <w:bookmarkStart w:id="301" w:name="_Toc13414"/>
      <w:bookmarkStart w:id="302" w:name="_Toc4949"/>
      <w:bookmarkStart w:id="303" w:name="_Toc18234"/>
      <w:bookmarkStart w:id="304" w:name="_Toc4721"/>
      <w:bookmarkStart w:id="305" w:name="_Toc22602"/>
      <w:bookmarkStart w:id="306" w:name="_Toc28565"/>
      <w:bookmarkStart w:id="307" w:name="_Toc26529"/>
      <w:bookmarkStart w:id="308" w:name="_Toc23835"/>
      <w:bookmarkStart w:id="309" w:name="_Toc16029"/>
      <w:bookmarkStart w:id="310" w:name="_Toc24213"/>
      <w:bookmarkStart w:id="311" w:name="_Toc11568"/>
      <w:bookmarkStart w:id="312" w:name="_Toc8615"/>
      <w:bookmarkStart w:id="313" w:name="_Toc31762"/>
      <w:bookmarkStart w:id="314" w:name="_Toc21327"/>
      <w:r>
        <w:rPr>
          <w:rFonts w:hint="eastAsia"/>
          <w:highlight w:val="none"/>
        </w:rPr>
        <w:t>十、其他</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72C1277D">
      <w:pPr>
        <w:ind w:firstLine="480"/>
        <w:rPr>
          <w:highlight w:val="none"/>
        </w:rPr>
      </w:pPr>
      <w:r>
        <w:rPr>
          <w:rFonts w:hint="eastAsia"/>
          <w:highlight w:val="none"/>
        </w:rPr>
        <w:t>42.解释权：本招标文件是依据《政府采购法》及有关规定编制的</w:t>
      </w:r>
      <w:r>
        <w:rPr>
          <w:rFonts w:hint="eastAsia"/>
          <w:highlight w:val="none"/>
          <w:lang w:eastAsia="zh-CN"/>
        </w:rPr>
        <w:t>，</w:t>
      </w:r>
      <w:r>
        <w:rPr>
          <w:rFonts w:hint="eastAsia"/>
          <w:highlight w:val="none"/>
        </w:rPr>
        <w:t>解释权属采购人。</w:t>
      </w:r>
    </w:p>
    <w:p w14:paraId="60728122">
      <w:pPr>
        <w:ind w:firstLine="480"/>
        <w:rPr>
          <w:highlight w:val="none"/>
        </w:rPr>
      </w:pPr>
      <w:r>
        <w:rPr>
          <w:rFonts w:hint="eastAsia"/>
          <w:highlight w:val="none"/>
        </w:rPr>
        <w:t>43.联系方式：所有与招标有关的函电请按下面联系</w:t>
      </w:r>
      <w:r>
        <w:rPr>
          <w:rFonts w:hint="eastAsia"/>
          <w:highlight w:val="none"/>
          <w:lang w:eastAsia="zh-CN"/>
        </w:rPr>
        <w:t>，</w:t>
      </w:r>
      <w:r>
        <w:rPr>
          <w:rFonts w:hint="eastAsia"/>
          <w:highlight w:val="none"/>
        </w:rPr>
        <w:t>其他任何方式或信息来源均无效。</w:t>
      </w:r>
    </w:p>
    <w:p w14:paraId="62D301B2">
      <w:pPr>
        <w:ind w:firstLine="480"/>
        <w:rPr>
          <w:highlight w:val="none"/>
        </w:rPr>
      </w:pPr>
      <w:r>
        <w:rPr>
          <w:rFonts w:hint="eastAsia"/>
          <w:highlight w:val="none"/>
        </w:rPr>
        <w:t>通讯地址：龙游久圆工程管理有限公司（</w:t>
      </w:r>
      <w:r>
        <w:rPr>
          <w:rFonts w:hint="eastAsia"/>
          <w:highlight w:val="none"/>
          <w:lang w:eastAsia="zh-CN"/>
        </w:rPr>
        <w:t>龙游县东华街道永安路60号</w:t>
      </w:r>
      <w:r>
        <w:rPr>
          <w:rFonts w:hint="eastAsia"/>
          <w:highlight w:val="none"/>
        </w:rPr>
        <w:t>）</w:t>
      </w:r>
    </w:p>
    <w:p w14:paraId="600FC9DB">
      <w:pPr>
        <w:ind w:firstLine="480"/>
        <w:rPr>
          <w:highlight w:val="none"/>
        </w:rPr>
      </w:pPr>
      <w:r>
        <w:rPr>
          <w:rFonts w:hint="eastAsia"/>
          <w:highlight w:val="none"/>
        </w:rPr>
        <w:t>项目联系人：李女士</w:t>
      </w:r>
    </w:p>
    <w:p w14:paraId="096E1203">
      <w:pPr>
        <w:ind w:firstLine="480"/>
        <w:rPr>
          <w:highlight w:val="none"/>
        </w:rPr>
      </w:pPr>
      <w:r>
        <w:rPr>
          <w:rFonts w:hint="eastAsia"/>
          <w:highlight w:val="none"/>
        </w:rPr>
        <w:t>答疑咨询电话：</w:t>
      </w:r>
      <w:r>
        <w:rPr>
          <w:highlight w:val="none"/>
        </w:rPr>
        <w:t>0570-7032353</w:t>
      </w:r>
    </w:p>
    <w:p w14:paraId="0E3FA612">
      <w:pPr>
        <w:ind w:firstLine="480"/>
        <w:rPr>
          <w:rFonts w:ascii="宋体" w:hAnsi="宋体" w:cs="Arial"/>
          <w:highlight w:val="none"/>
        </w:rPr>
      </w:pPr>
      <w:r>
        <w:rPr>
          <w:rFonts w:hint="eastAsia"/>
          <w:highlight w:val="none"/>
        </w:rPr>
        <w:t>公告网址：</w:t>
      </w:r>
      <w:r>
        <w:rPr>
          <w:highlight w:val="none"/>
        </w:rPr>
        <w:t>www.zjzfcg.gov.cn（浙江省政府采购网）</w:t>
      </w:r>
    </w:p>
    <w:p w14:paraId="2256D960">
      <w:pPr>
        <w:pStyle w:val="5"/>
        <w:rPr>
          <w:highlight w:val="none"/>
        </w:rPr>
        <w:sectPr>
          <w:footerReference r:id="rId18" w:type="first"/>
          <w:footerReference r:id="rId17" w:type="default"/>
          <w:pgSz w:w="11906" w:h="16838"/>
          <w:pgMar w:top="1440" w:right="1800" w:bottom="1440" w:left="1800" w:header="851" w:footer="992" w:gutter="0"/>
          <w:pgNumType w:fmt="decimal"/>
          <w:cols w:space="425" w:num="1"/>
          <w:docGrid w:type="lines" w:linePitch="326" w:charSpace="0"/>
        </w:sectPr>
      </w:pPr>
    </w:p>
    <w:p w14:paraId="4BC7A604">
      <w:pPr>
        <w:pStyle w:val="4"/>
        <w:bidi w:val="0"/>
        <w:rPr>
          <w:highlight w:val="none"/>
        </w:rPr>
      </w:pPr>
      <w:bookmarkStart w:id="315" w:name="_Toc11087"/>
      <w:bookmarkStart w:id="316" w:name="_Toc14470"/>
      <w:bookmarkStart w:id="317" w:name="_Toc11031"/>
      <w:bookmarkStart w:id="318" w:name="_Toc1491"/>
      <w:bookmarkStart w:id="319" w:name="_Toc1571"/>
      <w:bookmarkStart w:id="320" w:name="_Toc9221"/>
      <w:bookmarkStart w:id="321" w:name="_Toc8522"/>
      <w:bookmarkStart w:id="322" w:name="_Toc13003"/>
      <w:r>
        <w:rPr>
          <w:highlight w:val="none"/>
        </w:rPr>
        <w:t>第四章</w:t>
      </w:r>
      <w:r>
        <w:rPr>
          <w:rFonts w:hint="eastAsia"/>
          <w:highlight w:val="none"/>
        </w:rPr>
        <w:t xml:space="preserve">  采购需求</w:t>
      </w:r>
      <w:bookmarkEnd w:id="315"/>
      <w:bookmarkEnd w:id="316"/>
      <w:bookmarkEnd w:id="317"/>
      <w:bookmarkEnd w:id="318"/>
      <w:bookmarkEnd w:id="319"/>
      <w:bookmarkEnd w:id="320"/>
      <w:bookmarkEnd w:id="321"/>
    </w:p>
    <w:bookmarkEnd w:id="322"/>
    <w:p w14:paraId="0B0BC592">
      <w:pPr>
        <w:pStyle w:val="5"/>
        <w:bidi w:val="0"/>
        <w:rPr>
          <w:rFonts w:hint="default"/>
          <w:highlight w:val="none"/>
          <w:lang w:val="en-US" w:eastAsia="zh-CN"/>
        </w:rPr>
      </w:pPr>
      <w:bookmarkStart w:id="323" w:name="_Toc5614"/>
      <w:bookmarkStart w:id="324" w:name="_Toc4338"/>
      <w:r>
        <w:rPr>
          <w:rFonts w:hint="eastAsia"/>
          <w:highlight w:val="none"/>
          <w:lang w:val="en-US" w:eastAsia="zh-CN"/>
        </w:rPr>
        <w:t>一、</w:t>
      </w:r>
      <w:bookmarkEnd w:id="323"/>
      <w:bookmarkStart w:id="325" w:name="_Hlk38267660"/>
      <w:r>
        <w:rPr>
          <w:rFonts w:hint="eastAsia"/>
          <w:highlight w:val="none"/>
          <w:lang w:val="en-US" w:eastAsia="zh-CN"/>
        </w:rPr>
        <w:t>电子政务网络安全</w:t>
      </w:r>
      <w:bookmarkEnd w:id="324"/>
      <w:r>
        <w:rPr>
          <w:rFonts w:hint="eastAsia"/>
          <w:highlight w:val="none"/>
          <w:lang w:val="en-US" w:eastAsia="zh-CN"/>
        </w:rPr>
        <w:t>服务</w:t>
      </w:r>
    </w:p>
    <w:p w14:paraId="67CF03F7">
      <w:pPr>
        <w:pStyle w:val="6"/>
        <w:bidi w:val="0"/>
        <w:rPr>
          <w:rFonts w:hint="eastAsia"/>
          <w:highlight w:val="none"/>
          <w:lang w:val="en-US" w:eastAsia="zh-CN"/>
        </w:rPr>
      </w:pPr>
      <w:r>
        <w:rPr>
          <w:rFonts w:hint="eastAsia"/>
          <w:highlight w:val="none"/>
          <w:lang w:val="en-US" w:eastAsia="zh-CN"/>
        </w:rPr>
        <w:t>1.1态势感知服务</w:t>
      </w:r>
    </w:p>
    <w:p w14:paraId="2ABD1D3E">
      <w:pPr>
        <w:rPr>
          <w:rFonts w:hint="default"/>
          <w:highlight w:val="none"/>
          <w:lang w:val="en-US" w:eastAsia="zh-CN"/>
        </w:rPr>
      </w:pPr>
      <w:r>
        <w:rPr>
          <w:rFonts w:hint="default"/>
          <w:highlight w:val="none"/>
          <w:lang w:val="en-US" w:eastAsia="zh-CN"/>
        </w:rPr>
        <w:t>提供政务外网出口网络流量进行采集、协议识别、重组还原</w:t>
      </w:r>
      <w:r>
        <w:rPr>
          <w:rFonts w:hint="eastAsia"/>
          <w:highlight w:val="none"/>
          <w:lang w:val="en-US" w:eastAsia="zh-CN"/>
        </w:rPr>
        <w:t>，</w:t>
      </w:r>
      <w:r>
        <w:rPr>
          <w:rFonts w:hint="default"/>
          <w:highlight w:val="none"/>
          <w:lang w:val="en-US" w:eastAsia="zh-CN"/>
        </w:rPr>
        <w:t>提取网络层、传输层和应用层的头部信息</w:t>
      </w:r>
      <w:r>
        <w:rPr>
          <w:rFonts w:hint="eastAsia"/>
          <w:highlight w:val="none"/>
          <w:lang w:val="en-US" w:eastAsia="zh-CN"/>
        </w:rPr>
        <w:t>，</w:t>
      </w:r>
      <w:r>
        <w:rPr>
          <w:rFonts w:hint="default"/>
          <w:highlight w:val="none"/>
          <w:lang w:val="en-US" w:eastAsia="zh-CN"/>
        </w:rPr>
        <w:t>包括重要负载信息、样本信息</w:t>
      </w:r>
      <w:r>
        <w:rPr>
          <w:rFonts w:hint="eastAsia"/>
          <w:highlight w:val="none"/>
          <w:lang w:val="en-US" w:eastAsia="zh-CN"/>
        </w:rPr>
        <w:t>，</w:t>
      </w:r>
      <w:r>
        <w:rPr>
          <w:rFonts w:hint="default"/>
          <w:highlight w:val="none"/>
          <w:lang w:val="en-US" w:eastAsia="zh-CN"/>
        </w:rPr>
        <w:t>并将解析出的流量日志等数据通过加密通道传送到安全大脑统一分析服务。</w:t>
      </w:r>
    </w:p>
    <w:p w14:paraId="0D1E088D">
      <w:pPr>
        <w:bidi w:val="0"/>
        <w:rPr>
          <w:rFonts w:hint="eastAsia" w:eastAsia="宋体"/>
          <w:highlight w:val="none"/>
          <w:lang w:eastAsia="zh-CN"/>
        </w:rPr>
      </w:pPr>
      <w:r>
        <w:rPr>
          <w:rFonts w:hint="eastAsia"/>
          <w:highlight w:val="none"/>
        </w:rPr>
        <w:t>1</w:t>
      </w:r>
      <w:r>
        <w:rPr>
          <w:rFonts w:hint="eastAsia"/>
          <w:highlight w:val="none"/>
          <w:lang w:val="en-US" w:eastAsia="zh-CN"/>
        </w:rPr>
        <w:t>）</w:t>
      </w:r>
      <w:r>
        <w:rPr>
          <w:rFonts w:hint="eastAsia"/>
          <w:highlight w:val="none"/>
        </w:rPr>
        <w:t>需要提供对30种以上网络流量中主流协议进行识别和深度解析</w:t>
      </w:r>
      <w:r>
        <w:rPr>
          <w:rFonts w:hint="eastAsia"/>
          <w:highlight w:val="none"/>
          <w:lang w:eastAsia="zh-CN"/>
        </w:rPr>
        <w:t>，</w:t>
      </w:r>
      <w:r>
        <w:rPr>
          <w:rFonts w:hint="eastAsia"/>
          <w:highlight w:val="none"/>
        </w:rPr>
        <w:t>用于取证分析、威胁发现</w:t>
      </w:r>
      <w:r>
        <w:rPr>
          <w:rFonts w:hint="eastAsia"/>
          <w:highlight w:val="none"/>
          <w:lang w:eastAsia="zh-CN"/>
        </w:rPr>
        <w:t>，</w:t>
      </w:r>
      <w:r>
        <w:rPr>
          <w:rFonts w:hint="eastAsia"/>
          <w:highlight w:val="none"/>
        </w:rPr>
        <w:t>支持协议包括：flow、HTTP、DNS、SMB、NFS、FTP、tftp、DHCP、ICMP、NTP、HTTPS（SSL）、邮件协议（SMTP、POP3、IMAP）、数据库协议（SQL Server、Sybase、Mysql、Postgresql、DB2、Oracle、Mongodb、Redis）、认证协议（ldap、Radius）、路由协议（RIP、BGP、OSPF）、远程管理协议（RSH、SSH、RDP、Rlogin、Telnet、VNC）等服务</w:t>
      </w:r>
      <w:r>
        <w:rPr>
          <w:rFonts w:hint="eastAsia"/>
          <w:highlight w:val="none"/>
          <w:lang w:eastAsia="zh-CN"/>
        </w:rPr>
        <w:t>。</w:t>
      </w:r>
    </w:p>
    <w:p w14:paraId="7A222303">
      <w:pPr>
        <w:bidi w:val="0"/>
        <w:rPr>
          <w:rFonts w:hint="eastAsia" w:eastAsia="宋体"/>
          <w:highlight w:val="none"/>
          <w:lang w:eastAsia="zh-CN"/>
        </w:rPr>
      </w:pPr>
      <w:r>
        <w:rPr>
          <w:rFonts w:hint="eastAsia"/>
          <w:highlight w:val="none"/>
        </w:rPr>
        <w:t>2</w:t>
      </w:r>
      <w:r>
        <w:rPr>
          <w:rFonts w:hint="eastAsia"/>
          <w:highlight w:val="none"/>
          <w:lang w:val="en-US" w:eastAsia="zh-CN"/>
        </w:rPr>
        <w:t>）</w:t>
      </w:r>
      <w:r>
        <w:rPr>
          <w:rFonts w:hint="eastAsia"/>
          <w:highlight w:val="none"/>
        </w:rPr>
        <w:t>提供解析VLAN、VxLAN、ikev2等协议解析和还原</w:t>
      </w:r>
      <w:r>
        <w:rPr>
          <w:rFonts w:hint="eastAsia"/>
          <w:highlight w:val="none"/>
          <w:lang w:eastAsia="zh-CN"/>
        </w:rPr>
        <w:t>，</w:t>
      </w:r>
      <w:r>
        <w:rPr>
          <w:rFonts w:hint="eastAsia"/>
          <w:highlight w:val="none"/>
        </w:rPr>
        <w:t>支持IP分片还原服务</w:t>
      </w:r>
      <w:r>
        <w:rPr>
          <w:rFonts w:hint="eastAsia"/>
          <w:highlight w:val="none"/>
          <w:lang w:eastAsia="zh-CN"/>
        </w:rPr>
        <w:t>。</w:t>
      </w:r>
    </w:p>
    <w:p w14:paraId="26B542CD">
      <w:pPr>
        <w:bidi w:val="0"/>
        <w:rPr>
          <w:rFonts w:hint="eastAsia" w:eastAsia="宋体"/>
          <w:highlight w:val="none"/>
          <w:lang w:eastAsia="zh-CN"/>
        </w:rPr>
      </w:pPr>
      <w:r>
        <w:rPr>
          <w:rFonts w:hint="eastAsia"/>
          <w:highlight w:val="none"/>
        </w:rPr>
        <w:t>3</w:t>
      </w:r>
      <w:r>
        <w:rPr>
          <w:rFonts w:hint="eastAsia"/>
          <w:highlight w:val="none"/>
          <w:lang w:val="en-US" w:eastAsia="zh-CN"/>
        </w:rPr>
        <w:t>）</w:t>
      </w:r>
      <w:r>
        <w:rPr>
          <w:rFonts w:hint="eastAsia"/>
          <w:highlight w:val="none"/>
        </w:rPr>
        <w:t>需提供满足现网2Gbps应用层流量以及网络层至少4.5Gbps吞吐量的服务</w:t>
      </w:r>
      <w:r>
        <w:rPr>
          <w:rFonts w:hint="eastAsia"/>
          <w:highlight w:val="none"/>
          <w:lang w:eastAsia="zh-CN"/>
        </w:rPr>
        <w:t>。</w:t>
      </w:r>
    </w:p>
    <w:p w14:paraId="62341C80">
      <w:pPr>
        <w:bidi w:val="0"/>
        <w:rPr>
          <w:rFonts w:hint="eastAsia" w:eastAsia="宋体"/>
          <w:highlight w:val="none"/>
          <w:lang w:eastAsia="zh-CN"/>
        </w:rPr>
      </w:pPr>
      <w:r>
        <w:rPr>
          <w:rFonts w:hint="eastAsia"/>
          <w:highlight w:val="none"/>
        </w:rPr>
        <w:t>★4</w:t>
      </w:r>
      <w:r>
        <w:rPr>
          <w:rFonts w:hint="eastAsia"/>
          <w:highlight w:val="none"/>
          <w:lang w:val="en-US" w:eastAsia="zh-CN"/>
        </w:rPr>
        <w:t>）</w:t>
      </w:r>
      <w:r>
        <w:rPr>
          <w:rFonts w:hint="eastAsia"/>
          <w:highlight w:val="none"/>
        </w:rPr>
        <w:t>需要提供并满足对中间流还原</w:t>
      </w:r>
      <w:r>
        <w:rPr>
          <w:rFonts w:hint="eastAsia"/>
          <w:highlight w:val="none"/>
          <w:lang w:val="en-US" w:eastAsia="zh-CN"/>
        </w:rPr>
        <w:t>服务</w:t>
      </w:r>
      <w:r>
        <w:rPr>
          <w:rFonts w:hint="eastAsia"/>
          <w:highlight w:val="none"/>
          <w:lang w:eastAsia="zh-CN"/>
        </w:rPr>
        <w:t>，</w:t>
      </w:r>
      <w:r>
        <w:rPr>
          <w:rFonts w:hint="eastAsia"/>
          <w:highlight w:val="none"/>
        </w:rPr>
        <w:t>在非完整TCP握手情况下</w:t>
      </w:r>
      <w:r>
        <w:rPr>
          <w:rFonts w:hint="eastAsia"/>
          <w:highlight w:val="none"/>
          <w:lang w:eastAsia="zh-CN"/>
        </w:rPr>
        <w:t>，</w:t>
      </w:r>
      <w:r>
        <w:rPr>
          <w:rFonts w:hint="eastAsia"/>
          <w:highlight w:val="none"/>
        </w:rPr>
        <w:t>能够</w:t>
      </w:r>
      <w:r>
        <w:rPr>
          <w:rFonts w:hint="eastAsia"/>
          <w:highlight w:val="none"/>
          <w:lang w:val="en-US" w:eastAsia="zh-CN"/>
        </w:rPr>
        <w:t>提供</w:t>
      </w:r>
      <w:r>
        <w:rPr>
          <w:rFonts w:hint="eastAsia"/>
          <w:highlight w:val="none"/>
        </w:rPr>
        <w:t>还原会话的功能</w:t>
      </w:r>
      <w:r>
        <w:rPr>
          <w:rFonts w:hint="eastAsia"/>
          <w:highlight w:val="none"/>
          <w:lang w:val="en-US" w:eastAsia="zh-CN"/>
        </w:rPr>
        <w:t>服务</w:t>
      </w:r>
      <w:r>
        <w:rPr>
          <w:rFonts w:hint="eastAsia"/>
          <w:highlight w:val="none"/>
        </w:rPr>
        <w:t>（提供截图）</w:t>
      </w:r>
      <w:r>
        <w:rPr>
          <w:rFonts w:hint="eastAsia"/>
          <w:highlight w:val="none"/>
          <w:lang w:eastAsia="zh-CN"/>
        </w:rPr>
        <w:t>。</w:t>
      </w:r>
    </w:p>
    <w:p w14:paraId="29DCD5DD">
      <w:pPr>
        <w:bidi w:val="0"/>
        <w:rPr>
          <w:rFonts w:hint="eastAsia" w:eastAsia="宋体"/>
          <w:highlight w:val="none"/>
          <w:lang w:eastAsia="zh-CN"/>
        </w:rPr>
      </w:pPr>
      <w:r>
        <w:rPr>
          <w:rFonts w:hint="eastAsia"/>
          <w:highlight w:val="none"/>
        </w:rPr>
        <w:t>5</w:t>
      </w:r>
      <w:r>
        <w:rPr>
          <w:rFonts w:hint="eastAsia"/>
          <w:highlight w:val="none"/>
          <w:lang w:val="en-US" w:eastAsia="zh-CN"/>
        </w:rPr>
        <w:t>）</w:t>
      </w:r>
      <w:r>
        <w:rPr>
          <w:rFonts w:hint="eastAsia"/>
          <w:highlight w:val="none"/>
        </w:rPr>
        <w:t>需要提供对多种常见协议的登录行为数据进行还原</w:t>
      </w:r>
      <w:r>
        <w:rPr>
          <w:rFonts w:hint="eastAsia"/>
          <w:highlight w:val="none"/>
          <w:lang w:eastAsia="zh-CN"/>
        </w:rPr>
        <w:t>，</w:t>
      </w:r>
      <w:r>
        <w:rPr>
          <w:rFonts w:hint="eastAsia"/>
          <w:highlight w:val="none"/>
        </w:rPr>
        <w:t>包括：ldap、ftp、mysql、postgresql、redis、sql server、oracle、db2、mongodb、sybase；还原的信息包括账号、密码等信息服务</w:t>
      </w:r>
      <w:r>
        <w:rPr>
          <w:rFonts w:hint="eastAsia"/>
          <w:highlight w:val="none"/>
          <w:lang w:eastAsia="zh-CN"/>
        </w:rPr>
        <w:t>。</w:t>
      </w:r>
    </w:p>
    <w:p w14:paraId="3A56B4FF">
      <w:pPr>
        <w:bidi w:val="0"/>
        <w:rPr>
          <w:rFonts w:hint="eastAsia" w:eastAsia="宋体"/>
          <w:highlight w:val="none"/>
          <w:lang w:eastAsia="zh-CN"/>
        </w:rPr>
      </w:pPr>
      <w:r>
        <w:rPr>
          <w:rFonts w:hint="eastAsia"/>
          <w:highlight w:val="none"/>
        </w:rPr>
        <w:t>6</w:t>
      </w:r>
      <w:r>
        <w:rPr>
          <w:rFonts w:hint="eastAsia"/>
          <w:highlight w:val="none"/>
          <w:lang w:val="en-US" w:eastAsia="zh-CN"/>
        </w:rPr>
        <w:t>）</w:t>
      </w:r>
      <w:r>
        <w:rPr>
          <w:rFonts w:hint="eastAsia"/>
          <w:highlight w:val="none"/>
        </w:rPr>
        <w:t>提供渗透攻击实时精准告警能力</w:t>
      </w:r>
      <w:r>
        <w:rPr>
          <w:rFonts w:hint="eastAsia"/>
          <w:highlight w:val="none"/>
          <w:lang w:eastAsia="zh-CN"/>
        </w:rPr>
        <w:t>，</w:t>
      </w:r>
      <w:r>
        <w:rPr>
          <w:rFonts w:hint="eastAsia"/>
          <w:highlight w:val="none"/>
        </w:rPr>
        <w:t>并对告警按照网安法进行分类</w:t>
      </w:r>
      <w:r>
        <w:rPr>
          <w:rFonts w:hint="eastAsia"/>
          <w:highlight w:val="none"/>
          <w:lang w:eastAsia="zh-CN"/>
        </w:rPr>
        <w:t>，</w:t>
      </w:r>
      <w:r>
        <w:rPr>
          <w:rFonts w:hint="eastAsia"/>
          <w:highlight w:val="none"/>
        </w:rPr>
        <w:t>包括但不限于：有害程序、网络攻击事件、信息破坏事件、信息内容安全事件、安全管理、APT事件、其他事件等大类</w:t>
      </w:r>
      <w:r>
        <w:rPr>
          <w:rFonts w:hint="eastAsia"/>
          <w:highlight w:val="none"/>
          <w:lang w:eastAsia="zh-CN"/>
        </w:rPr>
        <w:t>，</w:t>
      </w:r>
      <w:r>
        <w:rPr>
          <w:rFonts w:hint="eastAsia"/>
          <w:highlight w:val="none"/>
        </w:rPr>
        <w:t>以及包括：病毒、蠕虫、木马、僵尸网络、网页内嵌恶意代码、勒索软件、挖矿活动、间谍软件、其他有害程序、后门攻击、拒绝服务、网络扫描、网络钓鱼、注入攻击、登录尝试、路径遍历、、跨站脚本、缓冲区错误、权限许可和访问控制问题、其他网络攻击、信息篡改事件、信息假冒事件、信息泄漏事件、其他信息破坏事件、淫秽色情内容、暴恐极端内容、危害国家安全内容、其它有害内容、明文口令传输、代理软件、应用管理后台、远控应用软件、弱口令、脆弱性、其他安全管理、已知APT攻击、疑似APT攻击、隐蔽信道事件、DGA域名、可疑活动事件等40+种二级分类服务</w:t>
      </w:r>
      <w:r>
        <w:rPr>
          <w:rFonts w:hint="eastAsia"/>
          <w:highlight w:val="none"/>
          <w:lang w:eastAsia="zh-CN"/>
        </w:rPr>
        <w:t>。</w:t>
      </w:r>
    </w:p>
    <w:p w14:paraId="31E3B7A0">
      <w:pPr>
        <w:bidi w:val="0"/>
        <w:rPr>
          <w:rFonts w:hint="eastAsia" w:eastAsia="宋体"/>
          <w:highlight w:val="none"/>
          <w:lang w:eastAsia="zh-CN"/>
        </w:rPr>
      </w:pPr>
      <w:r>
        <w:rPr>
          <w:rFonts w:hint="eastAsia"/>
          <w:highlight w:val="none"/>
        </w:rPr>
        <w:t>7</w:t>
      </w:r>
      <w:r>
        <w:rPr>
          <w:rFonts w:hint="eastAsia"/>
          <w:highlight w:val="none"/>
          <w:lang w:val="en-US" w:eastAsia="zh-CN"/>
        </w:rPr>
        <w:t>）</w:t>
      </w:r>
      <w:r>
        <w:rPr>
          <w:rFonts w:hint="eastAsia"/>
          <w:highlight w:val="none"/>
        </w:rPr>
        <w:t>提供并满足通过双向会话流数据进行二次分析</w:t>
      </w:r>
      <w:r>
        <w:rPr>
          <w:rFonts w:hint="eastAsia"/>
          <w:highlight w:val="none"/>
          <w:lang w:eastAsia="zh-CN"/>
        </w:rPr>
        <w:t>，</w:t>
      </w:r>
      <w:r>
        <w:rPr>
          <w:rFonts w:hint="eastAsia"/>
          <w:highlight w:val="none"/>
        </w:rPr>
        <w:t>判定攻击的结果状态</w:t>
      </w:r>
      <w:r>
        <w:rPr>
          <w:rFonts w:hint="eastAsia"/>
          <w:highlight w:val="none"/>
          <w:lang w:eastAsia="zh-CN"/>
        </w:rPr>
        <w:t>，</w:t>
      </w:r>
      <w:r>
        <w:rPr>
          <w:rFonts w:hint="eastAsia"/>
          <w:highlight w:val="none"/>
        </w:rPr>
        <w:t>包括攻击成功、失败、未知等状态服务</w:t>
      </w:r>
      <w:r>
        <w:rPr>
          <w:rFonts w:hint="eastAsia"/>
          <w:highlight w:val="none"/>
          <w:lang w:eastAsia="zh-CN"/>
        </w:rPr>
        <w:t>。</w:t>
      </w:r>
    </w:p>
    <w:p w14:paraId="69B7BA93">
      <w:pPr>
        <w:bidi w:val="0"/>
        <w:rPr>
          <w:rFonts w:hint="eastAsia" w:eastAsia="宋体"/>
          <w:highlight w:val="none"/>
          <w:lang w:eastAsia="zh-CN"/>
        </w:rPr>
      </w:pPr>
      <w:r>
        <w:rPr>
          <w:rFonts w:hint="eastAsia"/>
          <w:highlight w:val="none"/>
        </w:rPr>
        <w:t>8</w:t>
      </w:r>
      <w:r>
        <w:rPr>
          <w:rFonts w:hint="eastAsia"/>
          <w:highlight w:val="none"/>
          <w:lang w:val="en-US" w:eastAsia="zh-CN"/>
        </w:rPr>
        <w:t>）</w:t>
      </w:r>
      <w:r>
        <w:rPr>
          <w:rFonts w:hint="eastAsia"/>
          <w:highlight w:val="none"/>
        </w:rPr>
        <w:t>提供并满足挖矿活动生命周期各个阶段的检测</w:t>
      </w:r>
      <w:r>
        <w:rPr>
          <w:rFonts w:hint="eastAsia"/>
          <w:highlight w:val="none"/>
          <w:lang w:eastAsia="zh-CN"/>
        </w:rPr>
        <w:t>，</w:t>
      </w:r>
      <w:r>
        <w:rPr>
          <w:rFonts w:hint="eastAsia"/>
          <w:highlight w:val="none"/>
        </w:rPr>
        <w:t>在侦察阶段</w:t>
      </w:r>
      <w:r>
        <w:rPr>
          <w:rFonts w:hint="eastAsia"/>
          <w:highlight w:val="none"/>
          <w:lang w:eastAsia="zh-CN"/>
        </w:rPr>
        <w:t>，</w:t>
      </w:r>
      <w:r>
        <w:rPr>
          <w:rFonts w:hint="eastAsia"/>
          <w:highlight w:val="none"/>
        </w:rPr>
        <w:t>支持对资产探测、端口扫描行为的检测；在投放植入阶段</w:t>
      </w:r>
      <w:r>
        <w:rPr>
          <w:rFonts w:hint="eastAsia"/>
          <w:highlight w:val="none"/>
          <w:lang w:eastAsia="zh-CN"/>
        </w:rPr>
        <w:t>，</w:t>
      </w:r>
      <w:r>
        <w:rPr>
          <w:rFonts w:hint="eastAsia"/>
          <w:highlight w:val="none"/>
        </w:rPr>
        <w:t>支持漏洞植入利用行为检测</w:t>
      </w:r>
      <w:r>
        <w:rPr>
          <w:rFonts w:hint="eastAsia"/>
          <w:highlight w:val="none"/>
          <w:lang w:eastAsia="zh-CN"/>
        </w:rPr>
        <w:t>，</w:t>
      </w:r>
      <w:r>
        <w:rPr>
          <w:rFonts w:hint="eastAsia"/>
          <w:highlight w:val="none"/>
        </w:rPr>
        <w:t>支持文件传递虚拟沙箱动静态行为预警；在控制阶段</w:t>
      </w:r>
      <w:r>
        <w:rPr>
          <w:rFonts w:hint="eastAsia"/>
          <w:highlight w:val="none"/>
          <w:lang w:eastAsia="zh-CN"/>
        </w:rPr>
        <w:t>，</w:t>
      </w:r>
      <w:r>
        <w:rPr>
          <w:rFonts w:hint="eastAsia"/>
          <w:highlight w:val="none"/>
        </w:rPr>
        <w:t>支持僵尸网络、P2P网络等通信控制行为的检测；在挖矿运行阶段</w:t>
      </w:r>
      <w:r>
        <w:rPr>
          <w:rFonts w:hint="eastAsia"/>
          <w:highlight w:val="none"/>
          <w:lang w:eastAsia="zh-CN"/>
        </w:rPr>
        <w:t>，</w:t>
      </w:r>
      <w:r>
        <w:rPr>
          <w:rFonts w:hint="eastAsia"/>
          <w:highlight w:val="none"/>
        </w:rPr>
        <w:t>支持挖矿通信、矿池连接通信行为的检测；在横向移动阶段</w:t>
      </w:r>
      <w:r>
        <w:rPr>
          <w:rFonts w:hint="eastAsia"/>
          <w:highlight w:val="none"/>
          <w:lang w:eastAsia="zh-CN"/>
        </w:rPr>
        <w:t>，</w:t>
      </w:r>
      <w:r>
        <w:rPr>
          <w:rFonts w:hint="eastAsia"/>
          <w:highlight w:val="none"/>
        </w:rPr>
        <w:t>支持内网横向漏洞攻击、端口扫描、暴力破解等横向攻击拓展行为的检测。支持40+挖矿家族通信特征的告警行为</w:t>
      </w:r>
      <w:r>
        <w:rPr>
          <w:rFonts w:hint="eastAsia"/>
          <w:highlight w:val="none"/>
          <w:lang w:eastAsia="zh-CN"/>
        </w:rPr>
        <w:t>，</w:t>
      </w:r>
      <w:r>
        <w:rPr>
          <w:rFonts w:hint="eastAsia"/>
          <w:highlight w:val="none"/>
        </w:rPr>
        <w:t>包括Blouiroet、xMRig、WMAMiner、CoinMiner、GhostMiner、520Miner等</w:t>
      </w:r>
      <w:r>
        <w:rPr>
          <w:rFonts w:hint="eastAsia"/>
          <w:highlight w:val="none"/>
          <w:lang w:eastAsia="zh-CN"/>
        </w:rPr>
        <w:t>，</w:t>
      </w:r>
      <w:r>
        <w:rPr>
          <w:rFonts w:hint="eastAsia"/>
          <w:highlight w:val="none"/>
        </w:rPr>
        <w:t>满足多种挖矿通信协议检测</w:t>
      </w:r>
      <w:r>
        <w:rPr>
          <w:rFonts w:hint="eastAsia"/>
          <w:highlight w:val="none"/>
          <w:lang w:eastAsia="zh-CN"/>
        </w:rPr>
        <w:t>，</w:t>
      </w:r>
      <w:r>
        <w:rPr>
          <w:rFonts w:hint="eastAsia"/>
          <w:highlight w:val="none"/>
        </w:rPr>
        <w:t>挖矿特征覆盖Stratum、Getblocktemplate、JSONRPC、ETH_JSONRPC等协议</w:t>
      </w:r>
      <w:r>
        <w:rPr>
          <w:rFonts w:hint="eastAsia"/>
          <w:highlight w:val="none"/>
          <w:lang w:eastAsia="zh-CN"/>
        </w:rPr>
        <w:t>，</w:t>
      </w:r>
      <w:r>
        <w:rPr>
          <w:rFonts w:hint="eastAsia"/>
          <w:highlight w:val="none"/>
        </w:rPr>
        <w:t>支持10+种虚拟货币的识别</w:t>
      </w:r>
      <w:r>
        <w:rPr>
          <w:rFonts w:hint="eastAsia"/>
          <w:highlight w:val="none"/>
          <w:lang w:eastAsia="zh-CN"/>
        </w:rPr>
        <w:t>，</w:t>
      </w:r>
      <w:r>
        <w:rPr>
          <w:rFonts w:hint="eastAsia"/>
          <w:highlight w:val="none"/>
        </w:rPr>
        <w:t>支持检出的虚拟货币币种包括不限于比特币、门罗币、莱特币、狗狗币、以太坊、达世币、大零币、小零币、奇亚chia、涡轮币</w:t>
      </w:r>
      <w:r>
        <w:rPr>
          <w:rFonts w:hint="eastAsia"/>
          <w:highlight w:val="none"/>
          <w:lang w:eastAsia="zh-CN"/>
        </w:rPr>
        <w:t>（</w:t>
      </w:r>
      <w:r>
        <w:rPr>
          <w:rFonts w:hint="eastAsia"/>
          <w:highlight w:val="none"/>
        </w:rPr>
        <w:t>THP</w:t>
      </w:r>
      <w:r>
        <w:rPr>
          <w:rFonts w:hint="eastAsia"/>
          <w:highlight w:val="none"/>
          <w:lang w:eastAsia="zh-CN"/>
        </w:rPr>
        <w:t>）</w:t>
      </w:r>
      <w:r>
        <w:rPr>
          <w:rFonts w:hint="eastAsia"/>
          <w:highlight w:val="none"/>
        </w:rPr>
        <w:t>、云储币等</w:t>
      </w:r>
      <w:r>
        <w:rPr>
          <w:rFonts w:hint="eastAsia"/>
          <w:highlight w:val="none"/>
          <w:lang w:eastAsia="zh-CN"/>
        </w:rPr>
        <w:t>。</w:t>
      </w:r>
    </w:p>
    <w:p w14:paraId="6AC74C40">
      <w:pPr>
        <w:bidi w:val="0"/>
        <w:rPr>
          <w:rFonts w:hint="eastAsia" w:eastAsia="宋体"/>
          <w:highlight w:val="none"/>
          <w:lang w:eastAsia="zh-CN"/>
        </w:rPr>
      </w:pPr>
      <w:r>
        <w:rPr>
          <w:rFonts w:hint="eastAsia"/>
          <w:highlight w:val="none"/>
        </w:rPr>
        <w:t>9</w:t>
      </w:r>
      <w:r>
        <w:rPr>
          <w:rFonts w:hint="eastAsia"/>
          <w:highlight w:val="none"/>
          <w:lang w:val="en-US" w:eastAsia="zh-CN"/>
        </w:rPr>
        <w:t>）</w:t>
      </w:r>
      <w:r>
        <w:rPr>
          <w:rFonts w:hint="eastAsia"/>
          <w:highlight w:val="none"/>
        </w:rPr>
        <w:t>提供并满足100万+ DGA库对已知的DGA域名进行检测服务</w:t>
      </w:r>
      <w:r>
        <w:rPr>
          <w:rFonts w:hint="eastAsia"/>
          <w:highlight w:val="none"/>
          <w:lang w:eastAsia="zh-CN"/>
        </w:rPr>
        <w:t>。</w:t>
      </w:r>
    </w:p>
    <w:p w14:paraId="0DD45664">
      <w:pPr>
        <w:bidi w:val="0"/>
        <w:rPr>
          <w:rFonts w:hint="eastAsia" w:eastAsia="宋体"/>
          <w:highlight w:val="none"/>
          <w:lang w:eastAsia="zh-CN"/>
        </w:rPr>
      </w:pPr>
      <w:r>
        <w:rPr>
          <w:rFonts w:hint="eastAsia"/>
          <w:highlight w:val="none"/>
        </w:rPr>
        <w:t>10</w:t>
      </w:r>
      <w:r>
        <w:rPr>
          <w:rFonts w:hint="eastAsia"/>
          <w:highlight w:val="none"/>
          <w:lang w:val="en-US" w:eastAsia="zh-CN"/>
        </w:rPr>
        <w:t>）</w:t>
      </w:r>
      <w:r>
        <w:rPr>
          <w:rFonts w:hint="eastAsia"/>
          <w:highlight w:val="none"/>
        </w:rPr>
        <w:t>提供并满足基于人工智能模型检测各种变种漏洞和未知漏洞攻击行为</w:t>
      </w:r>
      <w:r>
        <w:rPr>
          <w:rFonts w:hint="eastAsia"/>
          <w:highlight w:val="none"/>
          <w:lang w:eastAsia="zh-CN"/>
        </w:rPr>
        <w:t>，</w:t>
      </w:r>
      <w:r>
        <w:rPr>
          <w:rFonts w:hint="eastAsia"/>
          <w:highlight w:val="none"/>
        </w:rPr>
        <w:t>如Struts2系列漏洞、SQL注入漏洞、Java反序列化漏洞、CMS类型漏洞等</w:t>
      </w:r>
      <w:r>
        <w:rPr>
          <w:rFonts w:hint="eastAsia"/>
          <w:highlight w:val="none"/>
          <w:lang w:eastAsia="zh-CN"/>
        </w:rPr>
        <w:t>。</w:t>
      </w:r>
    </w:p>
    <w:p w14:paraId="793D0361">
      <w:pPr>
        <w:bidi w:val="0"/>
        <w:rPr>
          <w:rFonts w:hint="eastAsia" w:eastAsia="宋体"/>
          <w:highlight w:val="none"/>
          <w:lang w:eastAsia="zh-CN"/>
        </w:rPr>
      </w:pPr>
      <w:r>
        <w:rPr>
          <w:rFonts w:hint="eastAsia"/>
          <w:highlight w:val="none"/>
        </w:rPr>
        <w:t>11</w:t>
      </w:r>
      <w:r>
        <w:rPr>
          <w:rFonts w:hint="eastAsia"/>
          <w:highlight w:val="none"/>
          <w:lang w:val="en-US" w:eastAsia="zh-CN"/>
        </w:rPr>
        <w:t>）</w:t>
      </w:r>
      <w:r>
        <w:rPr>
          <w:rFonts w:hint="eastAsia"/>
          <w:highlight w:val="none"/>
        </w:rPr>
        <w:t>实现域名、URL、IP进行威胁情报检测</w:t>
      </w:r>
      <w:r>
        <w:rPr>
          <w:rFonts w:hint="eastAsia"/>
          <w:highlight w:val="none"/>
          <w:lang w:eastAsia="zh-CN"/>
        </w:rPr>
        <w:t>，</w:t>
      </w:r>
      <w:r>
        <w:rPr>
          <w:rFonts w:hint="eastAsia"/>
          <w:highlight w:val="none"/>
        </w:rPr>
        <w:t>本地威胁情报的数据不少于300万条</w:t>
      </w:r>
      <w:r>
        <w:rPr>
          <w:rFonts w:hint="eastAsia"/>
          <w:highlight w:val="none"/>
          <w:lang w:eastAsia="zh-CN"/>
        </w:rPr>
        <w:t>。</w:t>
      </w:r>
    </w:p>
    <w:p w14:paraId="6D8B2D29">
      <w:pPr>
        <w:bidi w:val="0"/>
        <w:rPr>
          <w:rFonts w:hint="eastAsia" w:eastAsia="宋体"/>
          <w:highlight w:val="none"/>
          <w:lang w:eastAsia="zh-CN"/>
        </w:rPr>
      </w:pPr>
      <w:r>
        <w:rPr>
          <w:rFonts w:hint="eastAsia"/>
          <w:highlight w:val="none"/>
        </w:rPr>
        <w:t>12</w:t>
      </w:r>
      <w:r>
        <w:rPr>
          <w:rFonts w:hint="eastAsia"/>
          <w:highlight w:val="none"/>
          <w:lang w:val="en-US" w:eastAsia="zh-CN"/>
        </w:rPr>
        <w:t>）</w:t>
      </w:r>
      <w:r>
        <w:rPr>
          <w:rFonts w:hint="eastAsia"/>
          <w:highlight w:val="none"/>
        </w:rPr>
        <w:t>提供并需要对数据进行展示、存储、外发脱敏配置；支持对手机号、身份证号、银行卡、密码的关键敏感信息进行识别和界面展示脱敏服务</w:t>
      </w:r>
      <w:r>
        <w:rPr>
          <w:rFonts w:hint="eastAsia"/>
          <w:highlight w:val="none"/>
          <w:lang w:eastAsia="zh-CN"/>
        </w:rPr>
        <w:t>。</w:t>
      </w:r>
    </w:p>
    <w:p w14:paraId="7480A61C">
      <w:pPr>
        <w:bidi w:val="0"/>
        <w:rPr>
          <w:rFonts w:hint="eastAsia" w:eastAsia="宋体"/>
          <w:highlight w:val="none"/>
          <w:lang w:val="en-US" w:eastAsia="zh-CN"/>
        </w:rPr>
      </w:pPr>
      <w:r>
        <w:rPr>
          <w:rFonts w:hint="eastAsia"/>
          <w:highlight w:val="none"/>
        </w:rPr>
        <w:t>13</w:t>
      </w:r>
      <w:r>
        <w:rPr>
          <w:rFonts w:hint="eastAsia"/>
          <w:highlight w:val="none"/>
          <w:lang w:val="en-US" w:eastAsia="zh-CN"/>
        </w:rPr>
        <w:t>）</w:t>
      </w:r>
      <w:r>
        <w:rPr>
          <w:rFonts w:hint="eastAsia"/>
          <w:highlight w:val="none"/>
        </w:rPr>
        <w:t>提供并需要对敏感数据外发脱敏</w:t>
      </w:r>
      <w:r>
        <w:rPr>
          <w:rFonts w:hint="eastAsia"/>
          <w:highlight w:val="none"/>
          <w:lang w:eastAsia="zh-CN"/>
        </w:rPr>
        <w:t>，</w:t>
      </w:r>
      <w:r>
        <w:rPr>
          <w:rFonts w:hint="eastAsia"/>
          <w:highlight w:val="none"/>
        </w:rPr>
        <w:t>包括流量行为日志和告警信息；外发脱敏支持本地安全大脑、通用Kafka、Syslog等；对系统内置规则的威胁等级、置信度进行人工调整</w:t>
      </w:r>
      <w:r>
        <w:rPr>
          <w:rFonts w:hint="eastAsia"/>
          <w:highlight w:val="none"/>
          <w:lang w:eastAsia="zh-CN"/>
        </w:rPr>
        <w:t>，</w:t>
      </w:r>
      <w:r>
        <w:rPr>
          <w:rFonts w:hint="eastAsia"/>
          <w:highlight w:val="none"/>
        </w:rPr>
        <w:t>以减少误报</w:t>
      </w:r>
      <w:r>
        <w:rPr>
          <w:rFonts w:hint="eastAsia"/>
          <w:highlight w:val="none"/>
          <w:lang w:eastAsia="zh-CN"/>
        </w:rPr>
        <w:t>，</w:t>
      </w:r>
      <w:r>
        <w:rPr>
          <w:rFonts w:hint="eastAsia"/>
          <w:highlight w:val="none"/>
        </w:rPr>
        <w:t>方便研判</w:t>
      </w:r>
      <w:r>
        <w:rPr>
          <w:rFonts w:hint="eastAsia"/>
          <w:highlight w:val="none"/>
          <w:lang w:eastAsia="zh-CN"/>
        </w:rPr>
        <w:t>。</w:t>
      </w:r>
    </w:p>
    <w:p w14:paraId="5BEB1FCC">
      <w:pPr>
        <w:pStyle w:val="6"/>
        <w:bidi w:val="0"/>
        <w:rPr>
          <w:rFonts w:hint="eastAsia"/>
          <w:highlight w:val="none"/>
          <w:lang w:val="en-US" w:eastAsia="zh-CN"/>
        </w:rPr>
      </w:pPr>
      <w:r>
        <w:rPr>
          <w:rFonts w:hint="eastAsia"/>
          <w:highlight w:val="none"/>
          <w:lang w:val="en-US" w:eastAsia="zh-CN"/>
        </w:rPr>
        <w:t>1.2  PE路由器H3C SR8806-X-S续保服务</w:t>
      </w:r>
    </w:p>
    <w:p w14:paraId="35489F2E">
      <w:pPr>
        <w:bidi w:val="0"/>
        <w:rPr>
          <w:rFonts w:hint="eastAsia"/>
          <w:highlight w:val="none"/>
          <w:lang w:val="en-US" w:eastAsia="zh-CN"/>
        </w:rPr>
      </w:pPr>
      <w:r>
        <w:rPr>
          <w:rFonts w:hint="eastAsia"/>
          <w:highlight w:val="none"/>
          <w:lang w:val="en-US" w:eastAsia="zh-CN"/>
        </w:rPr>
        <w:t>2台现网电子政务外网核心路由器H3C SR8806-X-S续保。本次续保的服务能完全匹配现网的设备要求。</w:t>
      </w:r>
    </w:p>
    <w:p w14:paraId="354BEED3">
      <w:pPr>
        <w:pStyle w:val="6"/>
        <w:bidi w:val="0"/>
        <w:rPr>
          <w:rFonts w:hint="eastAsia"/>
          <w:highlight w:val="none"/>
          <w:lang w:val="en-US" w:eastAsia="zh-CN"/>
        </w:rPr>
      </w:pPr>
      <w:r>
        <w:rPr>
          <w:rFonts w:hint="eastAsia"/>
          <w:highlight w:val="none"/>
          <w:lang w:val="en-US" w:eastAsia="zh-CN"/>
        </w:rPr>
        <w:t>1.3  CE交换机续保服务</w:t>
      </w:r>
    </w:p>
    <w:p w14:paraId="24334D58">
      <w:pPr>
        <w:bidi w:val="0"/>
        <w:rPr>
          <w:rFonts w:hint="eastAsia"/>
          <w:highlight w:val="none"/>
          <w:lang w:val="en-US" w:eastAsia="zh-CN"/>
        </w:rPr>
      </w:pPr>
      <w:r>
        <w:rPr>
          <w:rFonts w:hint="eastAsia"/>
          <w:highlight w:val="none"/>
          <w:lang w:val="en-US" w:eastAsia="zh-CN"/>
        </w:rPr>
        <w:t>2台现网电子政务外网核心交换机H3C S7506X-S续保。本次续保的服务能完全匹配现网的设备要求。</w:t>
      </w:r>
    </w:p>
    <w:p w14:paraId="49A6EA07">
      <w:pPr>
        <w:pStyle w:val="6"/>
        <w:bidi w:val="0"/>
        <w:rPr>
          <w:rFonts w:hint="default"/>
          <w:highlight w:val="none"/>
          <w:lang w:val="en-US" w:eastAsia="zh-CN"/>
        </w:rPr>
      </w:pPr>
      <w:r>
        <w:rPr>
          <w:rFonts w:hint="eastAsia"/>
          <w:highlight w:val="none"/>
          <w:lang w:val="en-US" w:eastAsia="zh-CN"/>
        </w:rPr>
        <w:t>1.4行为管理服务</w:t>
      </w:r>
    </w:p>
    <w:p w14:paraId="26A750EC">
      <w:pPr>
        <w:rPr>
          <w:rFonts w:hint="eastAsia"/>
          <w:highlight w:val="none"/>
          <w:lang w:val="en-US" w:eastAsia="zh-CN"/>
        </w:rPr>
      </w:pPr>
      <w:r>
        <w:rPr>
          <w:rFonts w:hint="eastAsia"/>
          <w:highlight w:val="none"/>
          <w:lang w:val="en-US" w:eastAsia="zh-CN"/>
        </w:rPr>
        <w:t>提供安全策略、链路负载、身份认证、流量管理、行为管控、上网审计、日志追溯、网监对接、客户行为分析等实用功能，协助用户规范上网行为、提高工作效率、挖掘数据价值。</w:t>
      </w:r>
    </w:p>
    <w:p w14:paraId="45AB0692">
      <w:pPr>
        <w:bidi w:val="0"/>
        <w:rPr>
          <w:rFonts w:hint="eastAsia" w:eastAsia="宋体"/>
          <w:highlight w:val="none"/>
          <w:lang w:eastAsia="zh-CN"/>
        </w:rPr>
      </w:pPr>
      <w:r>
        <w:rPr>
          <w:rFonts w:hint="eastAsia"/>
          <w:highlight w:val="none"/>
        </w:rPr>
        <w:t>1</w:t>
      </w:r>
      <w:r>
        <w:rPr>
          <w:rFonts w:hint="eastAsia"/>
          <w:highlight w:val="none"/>
          <w:lang w:val="en-US" w:eastAsia="zh-CN"/>
        </w:rPr>
        <w:t>）</w:t>
      </w:r>
      <w:r>
        <w:rPr>
          <w:rFonts w:hint="eastAsia"/>
          <w:highlight w:val="none"/>
        </w:rPr>
        <w:t>提供支持基于应用层服务和SAAS的策略路由</w:t>
      </w:r>
      <w:r>
        <w:rPr>
          <w:rFonts w:hint="eastAsia"/>
          <w:highlight w:val="none"/>
          <w:lang w:eastAsia="zh-CN"/>
        </w:rPr>
        <w:t>，</w:t>
      </w:r>
      <w:r>
        <w:rPr>
          <w:rFonts w:hint="eastAsia"/>
          <w:highlight w:val="none"/>
        </w:rPr>
        <w:t>可基于IP、国家列表、ISP自动地址表和域名来控制目的地址的服务</w:t>
      </w:r>
      <w:r>
        <w:rPr>
          <w:rFonts w:hint="eastAsia"/>
          <w:highlight w:val="none"/>
          <w:lang w:eastAsia="zh-CN"/>
        </w:rPr>
        <w:t>。</w:t>
      </w:r>
    </w:p>
    <w:p w14:paraId="107526C2">
      <w:pPr>
        <w:bidi w:val="0"/>
        <w:rPr>
          <w:rFonts w:hint="eastAsia" w:eastAsia="宋体"/>
          <w:highlight w:val="none"/>
          <w:lang w:eastAsia="zh-CN"/>
        </w:rPr>
      </w:pPr>
      <w:r>
        <w:rPr>
          <w:rFonts w:hint="eastAsia"/>
          <w:highlight w:val="none"/>
        </w:rPr>
        <w:t>2</w:t>
      </w:r>
      <w:r>
        <w:rPr>
          <w:rFonts w:hint="eastAsia"/>
          <w:highlight w:val="none"/>
          <w:lang w:val="en-US" w:eastAsia="zh-CN"/>
        </w:rPr>
        <w:t>）</w:t>
      </w:r>
      <w:r>
        <w:rPr>
          <w:rFonts w:hint="eastAsia"/>
          <w:highlight w:val="none"/>
        </w:rPr>
        <w:t>满足ISP自动地址表（电信、移动、网通、铁通等）的策略路由的选路方式的服务功能</w:t>
      </w:r>
      <w:r>
        <w:rPr>
          <w:rFonts w:hint="eastAsia"/>
          <w:highlight w:val="none"/>
          <w:lang w:eastAsia="zh-CN"/>
        </w:rPr>
        <w:t>。</w:t>
      </w:r>
    </w:p>
    <w:p w14:paraId="4529BF9B">
      <w:pPr>
        <w:bidi w:val="0"/>
        <w:rPr>
          <w:rFonts w:hint="eastAsia" w:eastAsia="宋体"/>
          <w:highlight w:val="none"/>
          <w:lang w:eastAsia="zh-CN"/>
        </w:rPr>
      </w:pPr>
      <w:r>
        <w:rPr>
          <w:rFonts w:hint="eastAsia"/>
          <w:highlight w:val="none"/>
        </w:rPr>
        <w:t>3</w:t>
      </w:r>
      <w:r>
        <w:rPr>
          <w:rFonts w:hint="eastAsia"/>
          <w:highlight w:val="none"/>
          <w:lang w:val="en-US" w:eastAsia="zh-CN"/>
        </w:rPr>
        <w:t>）</w:t>
      </w:r>
      <w:r>
        <w:rPr>
          <w:rFonts w:hint="eastAsia"/>
          <w:highlight w:val="none"/>
        </w:rPr>
        <w:t>提供支持基于轮循、主备、哈希、广播、802.3ad、发送自适应、双向自适应等多种负载方式的功能及服务</w:t>
      </w:r>
      <w:r>
        <w:rPr>
          <w:rFonts w:hint="eastAsia"/>
          <w:highlight w:val="none"/>
          <w:lang w:eastAsia="zh-CN"/>
        </w:rPr>
        <w:t>。</w:t>
      </w:r>
    </w:p>
    <w:p w14:paraId="181DFE08">
      <w:pPr>
        <w:bidi w:val="0"/>
        <w:rPr>
          <w:rFonts w:hint="eastAsia" w:eastAsia="宋体"/>
          <w:highlight w:val="none"/>
          <w:lang w:eastAsia="zh-CN"/>
        </w:rPr>
      </w:pPr>
      <w:r>
        <w:rPr>
          <w:rFonts w:hint="eastAsia"/>
          <w:highlight w:val="none"/>
        </w:rPr>
        <w:t>4</w:t>
      </w:r>
      <w:r>
        <w:rPr>
          <w:rFonts w:hint="eastAsia"/>
          <w:highlight w:val="none"/>
          <w:lang w:val="en-US" w:eastAsia="zh-CN"/>
        </w:rPr>
        <w:t>）</w:t>
      </w:r>
      <w:r>
        <w:rPr>
          <w:rFonts w:hint="eastAsia"/>
          <w:highlight w:val="none"/>
        </w:rPr>
        <w:t>支持智能DNS,对内部服务器负载均衡</w:t>
      </w:r>
      <w:r>
        <w:rPr>
          <w:rFonts w:hint="eastAsia"/>
          <w:highlight w:val="none"/>
          <w:lang w:eastAsia="zh-CN"/>
        </w:rPr>
        <w:t>，</w:t>
      </w:r>
      <w:r>
        <w:rPr>
          <w:rFonts w:hint="eastAsia"/>
          <w:highlight w:val="none"/>
        </w:rPr>
        <w:t>按应用服务的负载均衡多链路冗余切换</w:t>
      </w:r>
      <w:r>
        <w:rPr>
          <w:rFonts w:hint="eastAsia"/>
          <w:highlight w:val="none"/>
          <w:lang w:eastAsia="zh-CN"/>
        </w:rPr>
        <w:t>。</w:t>
      </w:r>
    </w:p>
    <w:p w14:paraId="2168E7C0">
      <w:pPr>
        <w:bidi w:val="0"/>
        <w:rPr>
          <w:rFonts w:hint="eastAsia" w:eastAsia="宋体"/>
          <w:highlight w:val="none"/>
          <w:lang w:eastAsia="zh-CN"/>
        </w:rPr>
      </w:pPr>
      <w:r>
        <w:rPr>
          <w:rFonts w:hint="eastAsia"/>
          <w:highlight w:val="none"/>
        </w:rPr>
        <w:t>★5</w:t>
      </w:r>
      <w:r>
        <w:rPr>
          <w:rFonts w:hint="eastAsia"/>
          <w:highlight w:val="none"/>
          <w:lang w:val="en-US" w:eastAsia="zh-CN"/>
        </w:rPr>
        <w:t>）</w:t>
      </w:r>
      <w:r>
        <w:rPr>
          <w:rFonts w:hint="eastAsia"/>
          <w:highlight w:val="none"/>
        </w:rPr>
        <w:t>信息安全设备、系统软件的开发、生产符合TL9000-HSV 标准（提供证书扫描件）</w:t>
      </w:r>
      <w:r>
        <w:rPr>
          <w:rFonts w:hint="eastAsia"/>
          <w:highlight w:val="none"/>
          <w:lang w:eastAsia="zh-CN"/>
        </w:rPr>
        <w:t>。</w:t>
      </w:r>
    </w:p>
    <w:p w14:paraId="6FC8B287">
      <w:pPr>
        <w:bidi w:val="0"/>
        <w:rPr>
          <w:rFonts w:hint="eastAsia" w:eastAsia="宋体"/>
          <w:highlight w:val="none"/>
          <w:lang w:eastAsia="zh-CN"/>
        </w:rPr>
      </w:pPr>
      <w:r>
        <w:rPr>
          <w:rFonts w:hint="eastAsia"/>
          <w:highlight w:val="none"/>
        </w:rPr>
        <w:t>6</w:t>
      </w:r>
      <w:r>
        <w:rPr>
          <w:rFonts w:hint="eastAsia"/>
          <w:highlight w:val="none"/>
          <w:lang w:val="en-US" w:eastAsia="zh-CN"/>
        </w:rPr>
        <w:t>）</w:t>
      </w:r>
      <w:r>
        <w:rPr>
          <w:rFonts w:hint="eastAsia"/>
          <w:highlight w:val="none"/>
        </w:rPr>
        <w:t>支持基于链路的上行、下行、总流量自动均衡的多链路负载均衡算法</w:t>
      </w:r>
      <w:r>
        <w:rPr>
          <w:rFonts w:hint="eastAsia"/>
          <w:highlight w:val="none"/>
          <w:lang w:eastAsia="zh-CN"/>
        </w:rPr>
        <w:t>，</w:t>
      </w:r>
      <w:r>
        <w:rPr>
          <w:rFonts w:hint="eastAsia"/>
          <w:highlight w:val="none"/>
        </w:rPr>
        <w:t>基于固定指派链路的自动均衡算法</w:t>
      </w:r>
      <w:r>
        <w:rPr>
          <w:rFonts w:hint="eastAsia"/>
          <w:highlight w:val="none"/>
          <w:lang w:eastAsia="zh-CN"/>
        </w:rPr>
        <w:t>，</w:t>
      </w:r>
      <w:r>
        <w:rPr>
          <w:rFonts w:hint="eastAsia"/>
          <w:highlight w:val="none"/>
        </w:rPr>
        <w:t>基于最佳路径的多链路负载均衡算法</w:t>
      </w:r>
      <w:r>
        <w:rPr>
          <w:rFonts w:hint="eastAsia"/>
          <w:highlight w:val="none"/>
          <w:lang w:eastAsia="zh-CN"/>
        </w:rPr>
        <w:t>。</w:t>
      </w:r>
    </w:p>
    <w:p w14:paraId="0B899A5C">
      <w:pPr>
        <w:bidi w:val="0"/>
        <w:rPr>
          <w:rFonts w:hint="eastAsia"/>
          <w:highlight w:val="none"/>
        </w:rPr>
      </w:pPr>
      <w:r>
        <w:rPr>
          <w:rFonts w:hint="eastAsia"/>
          <w:highlight w:val="none"/>
        </w:rPr>
        <w:t>7</w:t>
      </w:r>
      <w:r>
        <w:rPr>
          <w:rFonts w:hint="eastAsia"/>
          <w:highlight w:val="none"/>
          <w:lang w:val="en-US" w:eastAsia="zh-CN"/>
        </w:rPr>
        <w:t>）</w:t>
      </w:r>
      <w:r>
        <w:rPr>
          <w:rFonts w:hint="eastAsia"/>
          <w:highlight w:val="none"/>
        </w:rPr>
        <w:t xml:space="preserve">支持DNS链路健康检查算法；支持ICMP链路健康检查算法；支持TCP链路健康检查算法；支持自定义的链路健康检查算法； </w:t>
      </w:r>
    </w:p>
    <w:p w14:paraId="5DCE88AD">
      <w:pPr>
        <w:bidi w:val="0"/>
        <w:rPr>
          <w:rFonts w:hint="eastAsia" w:eastAsia="宋体"/>
          <w:highlight w:val="none"/>
          <w:lang w:eastAsia="zh-CN"/>
        </w:rPr>
      </w:pPr>
      <w:r>
        <w:rPr>
          <w:rFonts w:hint="eastAsia"/>
          <w:highlight w:val="none"/>
        </w:rPr>
        <w:t>系统能够支持简体中文、繁体中文/英文操作界面</w:t>
      </w:r>
      <w:r>
        <w:rPr>
          <w:rFonts w:hint="eastAsia"/>
          <w:highlight w:val="none"/>
          <w:lang w:eastAsia="zh-CN"/>
        </w:rPr>
        <w:t>。</w:t>
      </w:r>
    </w:p>
    <w:p w14:paraId="4C45D573">
      <w:pPr>
        <w:bidi w:val="0"/>
        <w:rPr>
          <w:rFonts w:hint="eastAsia" w:eastAsia="宋体"/>
          <w:highlight w:val="none"/>
          <w:lang w:eastAsia="zh-CN"/>
        </w:rPr>
      </w:pPr>
      <w:r>
        <w:rPr>
          <w:rFonts w:hint="eastAsia"/>
          <w:highlight w:val="none"/>
        </w:rPr>
        <w:t>8</w:t>
      </w:r>
      <w:r>
        <w:rPr>
          <w:rFonts w:hint="eastAsia"/>
          <w:highlight w:val="none"/>
          <w:lang w:val="en-US" w:eastAsia="zh-CN"/>
        </w:rPr>
        <w:t>）</w:t>
      </w:r>
      <w:r>
        <w:rPr>
          <w:rFonts w:hint="eastAsia"/>
          <w:highlight w:val="none"/>
        </w:rPr>
        <w:t>满足基于ip的网管策略</w:t>
      </w:r>
      <w:r>
        <w:rPr>
          <w:rFonts w:hint="eastAsia"/>
          <w:highlight w:val="none"/>
          <w:lang w:eastAsia="zh-CN"/>
        </w:rPr>
        <w:t>，</w:t>
      </w:r>
      <w:r>
        <w:rPr>
          <w:rFonts w:hint="eastAsia"/>
          <w:highlight w:val="none"/>
        </w:rPr>
        <w:t>防止恶意ip探测攻击设备</w:t>
      </w:r>
      <w:r>
        <w:rPr>
          <w:rFonts w:hint="eastAsia"/>
          <w:highlight w:val="none"/>
          <w:lang w:eastAsia="zh-CN"/>
        </w:rPr>
        <w:t>，</w:t>
      </w:r>
      <w:r>
        <w:rPr>
          <w:rFonts w:hint="eastAsia"/>
          <w:highlight w:val="none"/>
        </w:rPr>
        <w:t>增加网关的安全性的功能</w:t>
      </w:r>
      <w:r>
        <w:rPr>
          <w:rFonts w:hint="eastAsia"/>
          <w:highlight w:val="none"/>
          <w:lang w:eastAsia="zh-CN"/>
        </w:rPr>
        <w:t>。</w:t>
      </w:r>
    </w:p>
    <w:p w14:paraId="71B354FE">
      <w:pPr>
        <w:bidi w:val="0"/>
        <w:rPr>
          <w:rFonts w:hint="eastAsia" w:eastAsia="宋体"/>
          <w:highlight w:val="none"/>
          <w:lang w:eastAsia="zh-CN"/>
        </w:rPr>
      </w:pPr>
      <w:r>
        <w:rPr>
          <w:rFonts w:hint="eastAsia"/>
          <w:highlight w:val="none"/>
        </w:rPr>
        <w:t>9</w:t>
      </w:r>
      <w:r>
        <w:rPr>
          <w:rFonts w:hint="eastAsia"/>
          <w:highlight w:val="none"/>
          <w:lang w:val="en-US" w:eastAsia="zh-CN"/>
        </w:rPr>
        <w:t>）</w:t>
      </w:r>
      <w:r>
        <w:rPr>
          <w:rFonts w:hint="eastAsia"/>
          <w:highlight w:val="none"/>
        </w:rPr>
        <w:t>满足管理员通过Radius认证后才能登录平台的功能</w:t>
      </w:r>
      <w:r>
        <w:rPr>
          <w:rFonts w:hint="eastAsia"/>
          <w:highlight w:val="none"/>
          <w:lang w:eastAsia="zh-CN"/>
        </w:rPr>
        <w:t>。</w:t>
      </w:r>
    </w:p>
    <w:p w14:paraId="26BE0F93">
      <w:pPr>
        <w:bidi w:val="0"/>
        <w:rPr>
          <w:rFonts w:hint="eastAsia" w:eastAsia="宋体"/>
          <w:highlight w:val="none"/>
          <w:lang w:eastAsia="zh-CN"/>
        </w:rPr>
      </w:pPr>
      <w:r>
        <w:rPr>
          <w:rFonts w:hint="eastAsia"/>
          <w:highlight w:val="none"/>
        </w:rPr>
        <w:t>★10</w:t>
      </w:r>
      <w:r>
        <w:rPr>
          <w:rFonts w:hint="eastAsia"/>
          <w:highlight w:val="none"/>
          <w:lang w:val="en-US" w:eastAsia="zh-CN"/>
        </w:rPr>
        <w:t>）</w:t>
      </w:r>
      <w:r>
        <w:rPr>
          <w:rFonts w:hint="eastAsia"/>
          <w:highlight w:val="none"/>
        </w:rPr>
        <w:t>提供行为管理服务并接入集中管控平台的功能</w:t>
      </w:r>
      <w:r>
        <w:rPr>
          <w:rFonts w:hint="eastAsia"/>
          <w:highlight w:val="none"/>
          <w:lang w:eastAsia="zh-CN"/>
        </w:rPr>
        <w:t>，</w:t>
      </w:r>
      <w:r>
        <w:rPr>
          <w:rFonts w:hint="eastAsia"/>
          <w:highlight w:val="none"/>
        </w:rPr>
        <w:t>并通过APP管理集中管理平台并查各个局点的ACM的状态和告警信息的服务。（提供功能截图）</w:t>
      </w:r>
      <w:r>
        <w:rPr>
          <w:rFonts w:hint="eastAsia"/>
          <w:highlight w:val="none"/>
          <w:lang w:eastAsia="zh-CN"/>
        </w:rPr>
        <w:t>。</w:t>
      </w:r>
    </w:p>
    <w:p w14:paraId="557BB2C9">
      <w:pPr>
        <w:bidi w:val="0"/>
        <w:rPr>
          <w:rFonts w:hint="eastAsia" w:eastAsia="宋体"/>
          <w:highlight w:val="none"/>
          <w:lang w:eastAsia="zh-CN"/>
        </w:rPr>
      </w:pPr>
      <w:r>
        <w:rPr>
          <w:rFonts w:hint="eastAsia"/>
          <w:highlight w:val="none"/>
        </w:rPr>
        <w:t>1</w:t>
      </w:r>
      <w:r>
        <w:rPr>
          <w:rFonts w:hint="eastAsia"/>
          <w:highlight w:val="none"/>
          <w:lang w:val="en-US" w:eastAsia="zh-CN"/>
        </w:rPr>
        <w:t>1）</w:t>
      </w:r>
      <w:r>
        <w:rPr>
          <w:rFonts w:hint="eastAsia"/>
          <w:highlight w:val="none"/>
        </w:rPr>
        <w:t>支持能够实时展现每个接口接收发送流量、字节数、包个数以及错误、丢弃、帧冲突个数</w:t>
      </w:r>
      <w:r>
        <w:rPr>
          <w:rFonts w:hint="eastAsia"/>
          <w:highlight w:val="none"/>
          <w:lang w:eastAsia="zh-CN"/>
        </w:rPr>
        <w:t>。</w:t>
      </w:r>
    </w:p>
    <w:p w14:paraId="63853709">
      <w:pPr>
        <w:bidi w:val="0"/>
        <w:rPr>
          <w:rFonts w:hint="eastAsia" w:eastAsia="宋体"/>
          <w:highlight w:val="none"/>
          <w:lang w:eastAsia="zh-CN"/>
        </w:rPr>
      </w:pPr>
      <w:r>
        <w:rPr>
          <w:rFonts w:hint="eastAsia"/>
          <w:highlight w:val="none"/>
        </w:rPr>
        <w:t>12</w:t>
      </w:r>
      <w:r>
        <w:rPr>
          <w:rFonts w:hint="eastAsia"/>
          <w:highlight w:val="none"/>
          <w:lang w:val="en-US" w:eastAsia="zh-CN"/>
        </w:rPr>
        <w:t>）</w:t>
      </w:r>
      <w:r>
        <w:rPr>
          <w:rFonts w:hint="eastAsia"/>
          <w:highlight w:val="none"/>
        </w:rPr>
        <w:t>支持能够提供服务趋势图、服务组趋势图、活跃服务以及所有服务趋势。并且支持快速定位使用对应服务的用户</w:t>
      </w:r>
      <w:r>
        <w:rPr>
          <w:rFonts w:hint="eastAsia"/>
          <w:highlight w:val="none"/>
          <w:lang w:eastAsia="zh-CN"/>
        </w:rPr>
        <w:t>。</w:t>
      </w:r>
    </w:p>
    <w:p w14:paraId="724262D3">
      <w:pPr>
        <w:bidi w:val="0"/>
        <w:rPr>
          <w:rFonts w:hint="eastAsia" w:eastAsia="宋体"/>
          <w:highlight w:val="none"/>
          <w:lang w:eastAsia="zh-CN"/>
        </w:rPr>
      </w:pPr>
      <w:r>
        <w:rPr>
          <w:rFonts w:hint="eastAsia"/>
          <w:highlight w:val="none"/>
        </w:rPr>
        <w:t>13</w:t>
      </w:r>
      <w:r>
        <w:rPr>
          <w:rFonts w:hint="eastAsia"/>
          <w:highlight w:val="none"/>
          <w:lang w:val="en-US" w:eastAsia="zh-CN"/>
        </w:rPr>
        <w:t>）</w:t>
      </w:r>
      <w:r>
        <w:rPr>
          <w:rFonts w:hint="eastAsia"/>
          <w:highlight w:val="none"/>
        </w:rPr>
        <w:t>支持ARP欺骗防护</w:t>
      </w:r>
      <w:r>
        <w:rPr>
          <w:rFonts w:hint="eastAsia"/>
          <w:highlight w:val="none"/>
          <w:lang w:eastAsia="zh-CN"/>
        </w:rPr>
        <w:t>，</w:t>
      </w:r>
      <w:r>
        <w:rPr>
          <w:rFonts w:hint="eastAsia"/>
          <w:highlight w:val="none"/>
        </w:rPr>
        <w:t>支持arp保护对象以及arp广播间隔设置</w:t>
      </w:r>
      <w:r>
        <w:rPr>
          <w:rFonts w:hint="eastAsia"/>
          <w:highlight w:val="none"/>
          <w:lang w:eastAsia="zh-CN"/>
        </w:rPr>
        <w:t>。</w:t>
      </w:r>
    </w:p>
    <w:p w14:paraId="65A23509">
      <w:pPr>
        <w:bidi w:val="0"/>
        <w:rPr>
          <w:rFonts w:hint="eastAsia" w:eastAsia="宋体"/>
          <w:highlight w:val="none"/>
          <w:lang w:eastAsia="zh-CN"/>
        </w:rPr>
      </w:pPr>
      <w:r>
        <w:rPr>
          <w:rFonts w:hint="eastAsia"/>
          <w:highlight w:val="none"/>
        </w:rPr>
        <w:t>14</w:t>
      </w:r>
      <w:r>
        <w:rPr>
          <w:rFonts w:hint="eastAsia"/>
          <w:highlight w:val="none"/>
          <w:lang w:val="en-US" w:eastAsia="zh-CN"/>
        </w:rPr>
        <w:t>）</w:t>
      </w:r>
      <w:r>
        <w:rPr>
          <w:rFonts w:hint="eastAsia"/>
          <w:highlight w:val="none"/>
        </w:rPr>
        <w:t>支持DOS/DDOS防护功能</w:t>
      </w:r>
      <w:r>
        <w:rPr>
          <w:rFonts w:hint="eastAsia"/>
          <w:highlight w:val="none"/>
          <w:lang w:eastAsia="zh-CN"/>
        </w:rPr>
        <w:t>，</w:t>
      </w:r>
      <w:r>
        <w:rPr>
          <w:rFonts w:hint="eastAsia"/>
          <w:highlight w:val="none"/>
        </w:rPr>
        <w:t>支持ARP洪水攻击防护</w:t>
      </w:r>
      <w:r>
        <w:rPr>
          <w:rFonts w:hint="eastAsia"/>
          <w:highlight w:val="none"/>
          <w:lang w:eastAsia="zh-CN"/>
        </w:rPr>
        <w:t>，</w:t>
      </w:r>
      <w:r>
        <w:rPr>
          <w:rFonts w:hint="eastAsia"/>
          <w:highlight w:val="none"/>
        </w:rPr>
        <w:t>基于数据包攻击、异常报文侦测和扫描防护等功能</w:t>
      </w:r>
      <w:r>
        <w:rPr>
          <w:rFonts w:hint="eastAsia"/>
          <w:highlight w:val="none"/>
          <w:lang w:eastAsia="zh-CN"/>
        </w:rPr>
        <w:t>。</w:t>
      </w:r>
    </w:p>
    <w:p w14:paraId="1976B419">
      <w:pPr>
        <w:bidi w:val="0"/>
        <w:rPr>
          <w:rFonts w:hint="eastAsia" w:eastAsia="宋体"/>
          <w:highlight w:val="none"/>
          <w:lang w:eastAsia="zh-CN"/>
        </w:rPr>
      </w:pPr>
      <w:r>
        <w:rPr>
          <w:rFonts w:hint="eastAsia"/>
          <w:highlight w:val="none"/>
        </w:rPr>
        <w:t>15</w:t>
      </w:r>
      <w:r>
        <w:rPr>
          <w:rFonts w:hint="eastAsia"/>
          <w:highlight w:val="none"/>
          <w:lang w:val="en-US" w:eastAsia="zh-CN"/>
        </w:rPr>
        <w:t>）</w:t>
      </w:r>
      <w:r>
        <w:rPr>
          <w:rFonts w:hint="eastAsia"/>
          <w:highlight w:val="none"/>
        </w:rPr>
        <w:t>支持基于源地址（允许任意地址、允许指定IP其他阻断此两种源地址）过滤的方式</w:t>
      </w:r>
      <w:r>
        <w:rPr>
          <w:rFonts w:hint="eastAsia"/>
          <w:highlight w:val="none"/>
          <w:lang w:eastAsia="zh-CN"/>
        </w:rPr>
        <w:t>，</w:t>
      </w:r>
      <w:r>
        <w:rPr>
          <w:rFonts w:hint="eastAsia"/>
          <w:highlight w:val="none"/>
        </w:rPr>
        <w:t>通过部署环境的不同（三层或者二层）</w:t>
      </w:r>
      <w:r>
        <w:rPr>
          <w:rFonts w:hint="eastAsia"/>
          <w:highlight w:val="none"/>
          <w:lang w:eastAsia="zh-CN"/>
        </w:rPr>
        <w:t>，</w:t>
      </w:r>
      <w:r>
        <w:rPr>
          <w:rFonts w:hint="eastAsia"/>
          <w:highlight w:val="none"/>
        </w:rPr>
        <w:t>设置单日的端口TCP最大连接数、最大攻击包次数、封锁攻击时间等</w:t>
      </w:r>
      <w:r>
        <w:rPr>
          <w:rFonts w:hint="eastAsia"/>
          <w:highlight w:val="none"/>
          <w:lang w:eastAsia="zh-CN"/>
        </w:rPr>
        <w:t>，</w:t>
      </w:r>
      <w:r>
        <w:rPr>
          <w:rFonts w:hint="eastAsia"/>
          <w:highlight w:val="none"/>
        </w:rPr>
        <w:t>另外支持设置排除地址</w:t>
      </w:r>
      <w:r>
        <w:rPr>
          <w:rFonts w:hint="eastAsia"/>
          <w:highlight w:val="none"/>
          <w:lang w:eastAsia="zh-CN"/>
        </w:rPr>
        <w:t>。</w:t>
      </w:r>
    </w:p>
    <w:p w14:paraId="5075651F">
      <w:pPr>
        <w:bidi w:val="0"/>
        <w:rPr>
          <w:rFonts w:hint="eastAsia" w:eastAsia="宋体"/>
          <w:highlight w:val="none"/>
          <w:lang w:eastAsia="zh-CN"/>
        </w:rPr>
      </w:pPr>
      <w:r>
        <w:rPr>
          <w:rFonts w:hint="eastAsia"/>
          <w:highlight w:val="none"/>
        </w:rPr>
        <w:t>16</w:t>
      </w:r>
      <w:r>
        <w:rPr>
          <w:rFonts w:hint="eastAsia"/>
          <w:highlight w:val="none"/>
          <w:lang w:val="en-US" w:eastAsia="zh-CN"/>
        </w:rPr>
        <w:t>）</w:t>
      </w:r>
      <w:r>
        <w:rPr>
          <w:rFonts w:hint="eastAsia"/>
          <w:highlight w:val="none"/>
        </w:rPr>
        <w:t>支持对TCP、UDP、ICMP、TCP SYN超时时间</w:t>
      </w:r>
      <w:r>
        <w:rPr>
          <w:rFonts w:hint="eastAsia"/>
          <w:highlight w:val="none"/>
          <w:lang w:eastAsia="zh-CN"/>
        </w:rPr>
        <w:t>，</w:t>
      </w:r>
      <w:r>
        <w:rPr>
          <w:rFonts w:hint="eastAsia"/>
          <w:highlight w:val="none"/>
        </w:rPr>
        <w:t>无回应UDP超时时间设置</w:t>
      </w:r>
      <w:r>
        <w:rPr>
          <w:rFonts w:hint="eastAsia"/>
          <w:highlight w:val="none"/>
          <w:lang w:eastAsia="zh-CN"/>
        </w:rPr>
        <w:t>，</w:t>
      </w:r>
      <w:r>
        <w:rPr>
          <w:rFonts w:hint="eastAsia"/>
          <w:highlight w:val="none"/>
        </w:rPr>
        <w:t>并能支持按照新建会话与总会话比例设置老化开始或者结束</w:t>
      </w:r>
      <w:r>
        <w:rPr>
          <w:rFonts w:hint="eastAsia"/>
          <w:highlight w:val="none"/>
          <w:lang w:eastAsia="zh-CN"/>
        </w:rPr>
        <w:t>。</w:t>
      </w:r>
    </w:p>
    <w:p w14:paraId="5FB9AE03">
      <w:pPr>
        <w:bidi w:val="0"/>
        <w:rPr>
          <w:rFonts w:hint="eastAsia" w:eastAsia="宋体"/>
          <w:highlight w:val="none"/>
          <w:lang w:eastAsia="zh-CN"/>
        </w:rPr>
      </w:pPr>
      <w:r>
        <w:rPr>
          <w:rFonts w:hint="eastAsia"/>
          <w:highlight w:val="none"/>
        </w:rPr>
        <w:t>对于未创建的用户</w:t>
      </w:r>
      <w:r>
        <w:rPr>
          <w:rFonts w:hint="eastAsia"/>
          <w:highlight w:val="none"/>
          <w:lang w:eastAsia="zh-CN"/>
        </w:rPr>
        <w:t>，</w:t>
      </w:r>
      <w:r>
        <w:rPr>
          <w:rFonts w:hint="eastAsia"/>
          <w:highlight w:val="none"/>
        </w:rPr>
        <w:t>可根据其IP 地址、MAC地址、主机名或者VLAN ID等作为新用户名自动创建帐户</w:t>
      </w:r>
      <w:r>
        <w:rPr>
          <w:rFonts w:hint="eastAsia"/>
          <w:highlight w:val="none"/>
          <w:lang w:eastAsia="zh-CN"/>
        </w:rPr>
        <w:t>，</w:t>
      </w:r>
      <w:r>
        <w:rPr>
          <w:rFonts w:hint="eastAsia"/>
          <w:highlight w:val="none"/>
        </w:rPr>
        <w:t>并可同时绑定IP、绑定 MAC、绑定 IP+MAC、绑定VLAN</w:t>
      </w:r>
      <w:r>
        <w:rPr>
          <w:rFonts w:hint="eastAsia"/>
          <w:highlight w:val="none"/>
          <w:lang w:eastAsia="zh-CN"/>
        </w:rPr>
        <w:t>，</w:t>
      </w:r>
      <w:r>
        <w:rPr>
          <w:rFonts w:hint="eastAsia"/>
          <w:highlight w:val="none"/>
        </w:rPr>
        <w:t>并自动分配到指定用户组</w:t>
      </w:r>
      <w:r>
        <w:rPr>
          <w:rFonts w:hint="eastAsia"/>
          <w:highlight w:val="none"/>
          <w:lang w:eastAsia="zh-CN"/>
        </w:rPr>
        <w:t>，</w:t>
      </w:r>
      <w:r>
        <w:rPr>
          <w:rFonts w:hint="eastAsia"/>
          <w:highlight w:val="none"/>
        </w:rPr>
        <w:t>享有指定网络权限</w:t>
      </w:r>
      <w:r>
        <w:rPr>
          <w:rFonts w:hint="eastAsia"/>
          <w:highlight w:val="none"/>
          <w:lang w:eastAsia="zh-CN"/>
        </w:rPr>
        <w:t>。</w:t>
      </w:r>
    </w:p>
    <w:p w14:paraId="4E42236A">
      <w:pPr>
        <w:bidi w:val="0"/>
        <w:rPr>
          <w:rFonts w:hint="eastAsia" w:eastAsia="宋体"/>
          <w:highlight w:val="none"/>
          <w:lang w:eastAsia="zh-CN"/>
        </w:rPr>
      </w:pPr>
      <w:r>
        <w:rPr>
          <w:rFonts w:hint="eastAsia"/>
          <w:highlight w:val="none"/>
        </w:rPr>
        <w:t>对于创建好的用户也支持绑定 IP、绑定 MAC、绑定 IP+MAC、VLAN绑定</w:t>
      </w:r>
      <w:r>
        <w:rPr>
          <w:rFonts w:hint="eastAsia"/>
          <w:highlight w:val="none"/>
          <w:lang w:eastAsia="zh-CN"/>
        </w:rPr>
        <w:t>。</w:t>
      </w:r>
    </w:p>
    <w:p w14:paraId="2C4B39EF">
      <w:pPr>
        <w:bidi w:val="0"/>
        <w:rPr>
          <w:rFonts w:hint="eastAsia" w:eastAsia="宋体"/>
          <w:highlight w:val="none"/>
          <w:lang w:eastAsia="zh-CN"/>
        </w:rPr>
      </w:pPr>
      <w:r>
        <w:rPr>
          <w:rFonts w:hint="eastAsia"/>
          <w:highlight w:val="none"/>
        </w:rPr>
        <w:t>17</w:t>
      </w:r>
      <w:r>
        <w:rPr>
          <w:rFonts w:hint="eastAsia"/>
          <w:highlight w:val="none"/>
          <w:lang w:val="en-US" w:eastAsia="zh-CN"/>
        </w:rPr>
        <w:t>）</w:t>
      </w:r>
      <w:r>
        <w:rPr>
          <w:rFonts w:hint="eastAsia"/>
          <w:highlight w:val="none"/>
        </w:rPr>
        <w:t>支持url白名单</w:t>
      </w:r>
      <w:r>
        <w:rPr>
          <w:rFonts w:hint="eastAsia"/>
          <w:highlight w:val="none"/>
          <w:lang w:eastAsia="zh-CN"/>
        </w:rPr>
        <w:t>，</w:t>
      </w:r>
      <w:r>
        <w:rPr>
          <w:rFonts w:hint="eastAsia"/>
          <w:highlight w:val="none"/>
        </w:rPr>
        <w:t>添加到白名单的url不受策略控制和审计</w:t>
      </w:r>
      <w:r>
        <w:rPr>
          <w:rFonts w:hint="eastAsia"/>
          <w:highlight w:val="none"/>
          <w:lang w:eastAsia="zh-CN"/>
        </w:rPr>
        <w:t>，</w:t>
      </w:r>
      <w:r>
        <w:rPr>
          <w:rFonts w:hint="eastAsia"/>
          <w:highlight w:val="none"/>
        </w:rPr>
        <w:t>支持ip白名单</w:t>
      </w:r>
      <w:r>
        <w:rPr>
          <w:rFonts w:hint="eastAsia"/>
          <w:highlight w:val="none"/>
          <w:lang w:eastAsia="zh-CN"/>
        </w:rPr>
        <w:t>，</w:t>
      </w:r>
      <w:r>
        <w:rPr>
          <w:rFonts w:hint="eastAsia"/>
          <w:highlight w:val="none"/>
        </w:rPr>
        <w:t>添加到白名单的ip不受策略控制和审计</w:t>
      </w:r>
      <w:r>
        <w:rPr>
          <w:rFonts w:hint="eastAsia"/>
          <w:highlight w:val="none"/>
          <w:lang w:eastAsia="zh-CN"/>
        </w:rPr>
        <w:t>。</w:t>
      </w:r>
    </w:p>
    <w:p w14:paraId="43255F2F">
      <w:pPr>
        <w:bidi w:val="0"/>
        <w:rPr>
          <w:rFonts w:hint="eastAsia" w:eastAsia="宋体"/>
          <w:highlight w:val="none"/>
          <w:lang w:eastAsia="zh-CN"/>
        </w:rPr>
      </w:pPr>
      <w:r>
        <w:rPr>
          <w:rFonts w:hint="eastAsia"/>
          <w:highlight w:val="none"/>
        </w:rPr>
        <w:t>支持认证用户手册登陆修改密码</w:t>
      </w:r>
      <w:r>
        <w:rPr>
          <w:rFonts w:hint="eastAsia"/>
          <w:highlight w:val="none"/>
          <w:lang w:eastAsia="zh-CN"/>
        </w:rPr>
        <w:t>，</w:t>
      </w:r>
      <w:r>
        <w:rPr>
          <w:rFonts w:hint="eastAsia"/>
          <w:highlight w:val="none"/>
        </w:rPr>
        <w:t>支持自定义密码复杂度（包括长度、英文字母、数字、特殊字符的多种组合方式）</w:t>
      </w:r>
      <w:r>
        <w:rPr>
          <w:rFonts w:hint="eastAsia"/>
          <w:highlight w:val="none"/>
          <w:lang w:eastAsia="zh-CN"/>
        </w:rPr>
        <w:t>，</w:t>
      </w:r>
      <w:r>
        <w:rPr>
          <w:rFonts w:hint="eastAsia"/>
          <w:highlight w:val="none"/>
        </w:rPr>
        <w:t>另外支持密码有效期</w:t>
      </w:r>
      <w:r>
        <w:rPr>
          <w:rFonts w:hint="eastAsia"/>
          <w:highlight w:val="none"/>
          <w:lang w:eastAsia="zh-CN"/>
        </w:rPr>
        <w:t>。</w:t>
      </w:r>
    </w:p>
    <w:p w14:paraId="1A0411A2">
      <w:pPr>
        <w:bidi w:val="0"/>
        <w:rPr>
          <w:rFonts w:hint="eastAsia" w:eastAsia="宋体"/>
          <w:highlight w:val="none"/>
          <w:lang w:eastAsia="zh-CN"/>
        </w:rPr>
      </w:pPr>
      <w:r>
        <w:rPr>
          <w:rFonts w:hint="eastAsia"/>
          <w:highlight w:val="none"/>
        </w:rPr>
        <w:t>18</w:t>
      </w:r>
      <w:r>
        <w:rPr>
          <w:rFonts w:hint="eastAsia"/>
          <w:highlight w:val="none"/>
          <w:lang w:val="en-US" w:eastAsia="zh-CN"/>
        </w:rPr>
        <w:t>）</w:t>
      </w:r>
      <w:r>
        <w:rPr>
          <w:rFonts w:hint="eastAsia"/>
          <w:highlight w:val="none"/>
        </w:rPr>
        <w:t>可通过 NetbIOS 协议扫描内网的主机信息</w:t>
      </w:r>
      <w:r>
        <w:rPr>
          <w:rFonts w:hint="eastAsia"/>
          <w:highlight w:val="none"/>
          <w:lang w:eastAsia="zh-CN"/>
        </w:rPr>
        <w:t>，</w:t>
      </w:r>
      <w:r>
        <w:rPr>
          <w:rFonts w:hint="eastAsia"/>
          <w:highlight w:val="none"/>
        </w:rPr>
        <w:t>扫描结果将列出每个主机的 IP 地址、MAC地址和主机名等</w:t>
      </w:r>
      <w:r>
        <w:rPr>
          <w:rFonts w:hint="eastAsia"/>
          <w:highlight w:val="none"/>
          <w:lang w:eastAsia="zh-CN"/>
        </w:rPr>
        <w:t>，</w:t>
      </w:r>
      <w:r>
        <w:rPr>
          <w:rFonts w:hint="eastAsia"/>
          <w:highlight w:val="none"/>
        </w:rPr>
        <w:t>然后可以将其加入某个用户组中</w:t>
      </w:r>
      <w:r>
        <w:rPr>
          <w:rFonts w:hint="eastAsia"/>
          <w:highlight w:val="none"/>
          <w:lang w:eastAsia="zh-CN"/>
        </w:rPr>
        <w:t>，</w:t>
      </w:r>
      <w:r>
        <w:rPr>
          <w:rFonts w:hint="eastAsia"/>
          <w:highlight w:val="none"/>
        </w:rPr>
        <w:t>逐步完善组织结构的管理</w:t>
      </w:r>
      <w:r>
        <w:rPr>
          <w:rFonts w:hint="eastAsia"/>
          <w:highlight w:val="none"/>
          <w:lang w:eastAsia="zh-CN"/>
        </w:rPr>
        <w:t>。</w:t>
      </w:r>
    </w:p>
    <w:p w14:paraId="23CEC4B9">
      <w:pPr>
        <w:bidi w:val="0"/>
        <w:rPr>
          <w:rFonts w:hint="eastAsia"/>
          <w:highlight w:val="none"/>
        </w:rPr>
      </w:pPr>
      <w:r>
        <w:rPr>
          <w:rFonts w:hint="eastAsia"/>
          <w:highlight w:val="none"/>
        </w:rPr>
        <w:t>★19</w:t>
      </w:r>
      <w:r>
        <w:rPr>
          <w:rFonts w:hint="eastAsia"/>
          <w:highlight w:val="none"/>
          <w:lang w:val="en-US" w:eastAsia="zh-CN"/>
        </w:rPr>
        <w:t>）</w:t>
      </w:r>
      <w:r>
        <w:rPr>
          <w:rFonts w:hint="eastAsia"/>
          <w:highlight w:val="none"/>
        </w:rPr>
        <w:t>提供并满足通过指纹识别用户身份</w:t>
      </w:r>
      <w:r>
        <w:rPr>
          <w:rFonts w:hint="eastAsia"/>
          <w:highlight w:val="none"/>
          <w:lang w:eastAsia="zh-CN"/>
        </w:rPr>
        <w:t>，</w:t>
      </w:r>
      <w:r>
        <w:rPr>
          <w:rFonts w:hint="eastAsia"/>
          <w:highlight w:val="none"/>
        </w:rPr>
        <w:t>并对用户做控制的服务功能（提供功能截图）。</w:t>
      </w:r>
    </w:p>
    <w:p w14:paraId="1D6674C3">
      <w:pPr>
        <w:bidi w:val="0"/>
        <w:rPr>
          <w:rFonts w:hint="eastAsia" w:eastAsia="宋体"/>
          <w:highlight w:val="none"/>
          <w:lang w:eastAsia="zh-CN"/>
        </w:rPr>
      </w:pPr>
      <w:r>
        <w:rPr>
          <w:rFonts w:hint="eastAsia"/>
          <w:highlight w:val="none"/>
        </w:rPr>
        <w:t>★20</w:t>
      </w:r>
      <w:r>
        <w:rPr>
          <w:rFonts w:hint="eastAsia"/>
          <w:highlight w:val="none"/>
          <w:lang w:eastAsia="zh-CN"/>
        </w:rPr>
        <w:t>）</w:t>
      </w:r>
      <w:r>
        <w:rPr>
          <w:rFonts w:hint="eastAsia"/>
          <w:highlight w:val="none"/>
        </w:rPr>
        <w:t>提供并满足通过识别翻墙软件流量特征</w:t>
      </w:r>
      <w:r>
        <w:rPr>
          <w:rFonts w:hint="eastAsia"/>
          <w:highlight w:val="none"/>
          <w:lang w:eastAsia="zh-CN"/>
        </w:rPr>
        <w:t>，</w:t>
      </w:r>
      <w:r>
        <w:rPr>
          <w:rFonts w:hint="eastAsia"/>
          <w:highlight w:val="none"/>
        </w:rPr>
        <w:t>对翻墙软件进行审计和管控</w:t>
      </w:r>
      <w:r>
        <w:rPr>
          <w:rFonts w:hint="eastAsia"/>
          <w:highlight w:val="none"/>
          <w:lang w:eastAsia="zh-CN"/>
        </w:rPr>
        <w:t>，</w:t>
      </w:r>
      <w:r>
        <w:rPr>
          <w:rFonts w:hint="eastAsia"/>
          <w:highlight w:val="none"/>
        </w:rPr>
        <w:t>从而实现审计和管控上网用户的翻墙行为的服务功能</w:t>
      </w:r>
      <w:r>
        <w:rPr>
          <w:rFonts w:hint="eastAsia"/>
          <w:highlight w:val="none"/>
          <w:lang w:eastAsia="zh-CN"/>
        </w:rPr>
        <w:t>，</w:t>
      </w:r>
      <w:r>
        <w:rPr>
          <w:rFonts w:hint="eastAsia"/>
          <w:highlight w:val="none"/>
        </w:rPr>
        <w:t>内置翻墙软件特征支持30种以上（提供功能截图）</w:t>
      </w:r>
      <w:r>
        <w:rPr>
          <w:rFonts w:hint="eastAsia"/>
          <w:highlight w:val="none"/>
          <w:lang w:eastAsia="zh-CN"/>
        </w:rPr>
        <w:t>。</w:t>
      </w:r>
    </w:p>
    <w:p w14:paraId="200868FA">
      <w:pPr>
        <w:bidi w:val="0"/>
        <w:rPr>
          <w:rFonts w:hint="eastAsia"/>
          <w:highlight w:val="none"/>
          <w:lang w:val="en-US" w:eastAsia="zh-CN"/>
        </w:rPr>
      </w:pPr>
      <w:r>
        <w:rPr>
          <w:rFonts w:hint="eastAsia"/>
          <w:highlight w:val="none"/>
        </w:rPr>
        <w:t>★21</w:t>
      </w:r>
      <w:r>
        <w:rPr>
          <w:rFonts w:hint="eastAsia"/>
          <w:highlight w:val="none"/>
          <w:lang w:eastAsia="zh-CN"/>
        </w:rPr>
        <w:t>）</w:t>
      </w:r>
      <w:r>
        <w:rPr>
          <w:rFonts w:hint="eastAsia"/>
          <w:highlight w:val="none"/>
        </w:rPr>
        <w:t>提供并满足在设置流量策略后</w:t>
      </w:r>
      <w:r>
        <w:rPr>
          <w:rFonts w:hint="eastAsia"/>
          <w:highlight w:val="none"/>
          <w:lang w:eastAsia="zh-CN"/>
        </w:rPr>
        <w:t>，</w:t>
      </w:r>
      <w:r>
        <w:rPr>
          <w:rFonts w:hint="eastAsia"/>
          <w:highlight w:val="none"/>
        </w:rPr>
        <w:t>根据整体线路或者设置某流量通道内的空闲值</w:t>
      </w:r>
      <w:r>
        <w:rPr>
          <w:rFonts w:hint="eastAsia"/>
          <w:highlight w:val="none"/>
          <w:lang w:eastAsia="zh-CN"/>
        </w:rPr>
        <w:t>，</w:t>
      </w:r>
      <w:r>
        <w:rPr>
          <w:rFonts w:hint="eastAsia"/>
          <w:highlight w:val="none"/>
        </w:rPr>
        <w:t>根据通道的空闲情况</w:t>
      </w:r>
      <w:r>
        <w:rPr>
          <w:rFonts w:hint="eastAsia"/>
          <w:highlight w:val="none"/>
          <w:lang w:eastAsia="zh-CN"/>
        </w:rPr>
        <w:t>，</w:t>
      </w:r>
      <w:r>
        <w:rPr>
          <w:rFonts w:hint="eastAsia"/>
          <w:highlight w:val="none"/>
        </w:rPr>
        <w:t>自动启用和停止使用流量控制策略</w:t>
      </w:r>
      <w:r>
        <w:rPr>
          <w:rFonts w:hint="eastAsia"/>
          <w:highlight w:val="none"/>
          <w:lang w:eastAsia="zh-CN"/>
        </w:rPr>
        <w:t>，</w:t>
      </w:r>
      <w:r>
        <w:rPr>
          <w:rFonts w:hint="eastAsia"/>
          <w:highlight w:val="none"/>
        </w:rPr>
        <w:t>以提升带宽的高使用率；空闲值可自定义（提供具备中国认可国际互认检测资质的第三方权威机构功能测试报告</w:t>
      </w:r>
      <w:r>
        <w:rPr>
          <w:rFonts w:hint="eastAsia"/>
          <w:highlight w:val="none"/>
          <w:lang w:val="en-US" w:eastAsia="zh-CN"/>
        </w:rPr>
        <w:t>扫描件</w:t>
      </w:r>
      <w:r>
        <w:rPr>
          <w:rFonts w:hint="eastAsia"/>
          <w:highlight w:val="none"/>
        </w:rPr>
        <w:t>）。</w:t>
      </w:r>
    </w:p>
    <w:p w14:paraId="067EC38E">
      <w:pPr>
        <w:pStyle w:val="6"/>
        <w:bidi w:val="0"/>
        <w:rPr>
          <w:rFonts w:hint="eastAsia"/>
          <w:highlight w:val="none"/>
          <w:lang w:val="en-US" w:eastAsia="zh-CN"/>
        </w:rPr>
      </w:pPr>
      <w:r>
        <w:rPr>
          <w:rFonts w:hint="eastAsia"/>
          <w:highlight w:val="none"/>
          <w:lang w:val="en-US" w:eastAsia="zh-CN"/>
        </w:rPr>
        <w:t>1.5互联网出口万兆防火墙续保及提升服务</w:t>
      </w:r>
    </w:p>
    <w:p w14:paraId="19172405">
      <w:pPr>
        <w:bidi w:val="0"/>
        <w:rPr>
          <w:rFonts w:hint="eastAsia"/>
          <w:highlight w:val="none"/>
          <w:lang w:val="en-US" w:eastAsia="zh-CN"/>
        </w:rPr>
      </w:pPr>
      <w:r>
        <w:rPr>
          <w:rFonts w:hint="eastAsia"/>
          <w:highlight w:val="none"/>
          <w:lang w:val="en-US" w:eastAsia="zh-CN"/>
        </w:rPr>
        <w:t>1.5.1现有互联网防火墙（NGFW4000-UF（FT-A）（万兆）V3）硬件设备续保。</w:t>
      </w:r>
      <w:r>
        <w:rPr>
          <w:rFonts w:hint="default"/>
          <w:highlight w:val="none"/>
          <w:lang w:val="en-US" w:eastAsia="zh-CN"/>
        </w:rPr>
        <w:t>本次续保的服务能完全匹配现网的设备要求</w:t>
      </w:r>
      <w:r>
        <w:rPr>
          <w:rFonts w:hint="eastAsia"/>
          <w:highlight w:val="none"/>
          <w:lang w:val="en-US" w:eastAsia="zh-CN"/>
        </w:rPr>
        <w:t>。</w:t>
      </w:r>
    </w:p>
    <w:p w14:paraId="62B8355E">
      <w:pPr>
        <w:bidi w:val="0"/>
        <w:rPr>
          <w:rFonts w:hint="eastAsia"/>
          <w:highlight w:val="none"/>
          <w:lang w:val="en-US" w:eastAsia="zh-CN"/>
        </w:rPr>
      </w:pPr>
      <w:r>
        <w:rPr>
          <w:rFonts w:hint="eastAsia"/>
          <w:highlight w:val="none"/>
          <w:lang w:val="en-US" w:eastAsia="zh-CN"/>
        </w:rPr>
        <w:t>1.5.2在现有的防火墙基础上增配入侵防御（IPS）、反病毒网关（AV）模块；IPS入侵防御：实时发现和阻止从外部网络发起的网络攻击行为，根据入侵防御实时规则，对威胁事件、攻击来源、受威胁主机查询攻击进行检测，支持发现并阻断网络入侵攻击行为，阻止来自其它网络区域的攻击流量。</w:t>
      </w:r>
    </w:p>
    <w:p w14:paraId="6ACB6949">
      <w:pPr>
        <w:bidi w:val="0"/>
        <w:rPr>
          <w:rFonts w:hint="default"/>
          <w:highlight w:val="none"/>
          <w:lang w:val="en-US" w:eastAsia="zh-CN"/>
        </w:rPr>
      </w:pPr>
      <w:r>
        <w:rPr>
          <w:rFonts w:hint="eastAsia"/>
          <w:highlight w:val="none"/>
          <w:lang w:val="en-US" w:eastAsia="zh-CN"/>
        </w:rPr>
        <w:t>AV防病毒：实时对进出的网络数据流进行病毒、恶意代码扫描和和过滤处理，并提供病毒代码库的自动或手动升级，彻底阻断外部网络的病毒、蠕虫、木马及各种恶意代码向网络内部传播。本次增配的入侵防御、防病毒模块需要和现网运行设备完全匹配。</w:t>
      </w:r>
    </w:p>
    <w:p w14:paraId="309F1FB8">
      <w:pPr>
        <w:pStyle w:val="6"/>
        <w:bidi w:val="0"/>
        <w:rPr>
          <w:rFonts w:hint="eastAsia"/>
          <w:highlight w:val="none"/>
          <w:lang w:val="en-US" w:eastAsia="zh-CN"/>
        </w:rPr>
      </w:pPr>
      <w:r>
        <w:rPr>
          <w:rFonts w:hint="eastAsia"/>
          <w:highlight w:val="none"/>
          <w:lang w:val="en-US" w:eastAsia="zh-CN"/>
        </w:rPr>
        <w:t>1.6政务网出口千兆防火墙续保及提升服务</w:t>
      </w:r>
    </w:p>
    <w:p w14:paraId="59A46498">
      <w:pPr>
        <w:rPr>
          <w:rFonts w:hint="eastAsia"/>
          <w:highlight w:val="none"/>
          <w:lang w:val="en-US" w:eastAsia="zh-CN"/>
        </w:rPr>
      </w:pPr>
      <w:r>
        <w:rPr>
          <w:rFonts w:hint="eastAsia"/>
          <w:highlight w:val="none"/>
          <w:lang w:val="en-US" w:eastAsia="zh-CN"/>
        </w:rPr>
        <w:t>1.6.1现有政务外网出口千兆防火墙（NGFW4000-UF（FT-B）（千兆）V3）硬件续保。本次续保的服务能完全匹配现网的设备要求。</w:t>
      </w:r>
    </w:p>
    <w:p w14:paraId="263EC508">
      <w:pPr>
        <w:bidi w:val="0"/>
        <w:rPr>
          <w:rFonts w:hint="eastAsia"/>
          <w:highlight w:val="none"/>
          <w:lang w:val="en-US" w:eastAsia="zh-CN"/>
        </w:rPr>
      </w:pPr>
      <w:r>
        <w:rPr>
          <w:rFonts w:hint="eastAsia"/>
          <w:highlight w:val="none"/>
          <w:lang w:val="en-US" w:eastAsia="zh-CN"/>
        </w:rPr>
        <w:t>1.6.2在现有的防火墙基础上增配入侵防御（IPS）、反病毒网关（AV）模块；IPS入侵防御：实时发现和阻止从外部网络发起的网络攻击行为，根据入侵防御实时规则，对威胁事件、攻击来源、受威胁主机查询攻击进行检测，支持发现并阻断网络入侵攻击行为，阻止来自其它网络区域的攻击流量。</w:t>
      </w:r>
    </w:p>
    <w:p w14:paraId="7D03EC8A">
      <w:pPr>
        <w:bidi w:val="0"/>
        <w:rPr>
          <w:rFonts w:hint="default"/>
          <w:highlight w:val="none"/>
          <w:lang w:val="en-US" w:eastAsia="zh-CN"/>
        </w:rPr>
      </w:pPr>
      <w:r>
        <w:rPr>
          <w:rFonts w:hint="eastAsia"/>
          <w:highlight w:val="none"/>
          <w:lang w:val="en-US" w:eastAsia="zh-CN"/>
        </w:rPr>
        <w:t>AV防病毒：实时对进出的网络数据流进行病毒、恶意代码扫描和和过滤处理，并提供病毒代码库的自动或手动升级，彻底阻断外部网络的病毒、蠕虫、木马及各种恶意代码向网络内部传播。本次增配的入侵防御、防病毒模块需要和现网运行设备完全匹配。</w:t>
      </w:r>
    </w:p>
    <w:p w14:paraId="468EECD1">
      <w:pPr>
        <w:pStyle w:val="6"/>
        <w:bidi w:val="0"/>
        <w:rPr>
          <w:rFonts w:hint="default"/>
          <w:highlight w:val="none"/>
          <w:lang w:val="en-US" w:eastAsia="zh-CN"/>
        </w:rPr>
      </w:pPr>
      <w:r>
        <w:rPr>
          <w:rFonts w:hint="eastAsia"/>
          <w:highlight w:val="none"/>
          <w:lang w:val="en-US" w:eastAsia="zh-CN"/>
        </w:rPr>
        <w:t>1.7日志审计续保服务</w:t>
      </w:r>
    </w:p>
    <w:p w14:paraId="1EB0B5DF">
      <w:pPr>
        <w:bidi w:val="0"/>
        <w:rPr>
          <w:rFonts w:hint="default"/>
          <w:highlight w:val="none"/>
          <w:lang w:val="en-US" w:eastAsia="zh-CN"/>
        </w:rPr>
      </w:pPr>
      <w:r>
        <w:rPr>
          <w:rFonts w:hint="default"/>
          <w:highlight w:val="none"/>
          <w:lang w:val="en-US" w:eastAsia="zh-CN"/>
        </w:rPr>
        <w:t>现有电子政务外网日志审计设备TA-L-HSE-B50续保。本次续保的服务能完全匹配现网的设备要求</w:t>
      </w:r>
      <w:r>
        <w:rPr>
          <w:rFonts w:hint="eastAsia"/>
          <w:highlight w:val="none"/>
          <w:lang w:val="en-US" w:eastAsia="zh-CN"/>
        </w:rPr>
        <w:t>。</w:t>
      </w:r>
    </w:p>
    <w:p w14:paraId="271653EA">
      <w:pPr>
        <w:pStyle w:val="5"/>
        <w:numPr>
          <w:ilvl w:val="0"/>
          <w:numId w:val="1"/>
        </w:numPr>
        <w:bidi w:val="0"/>
        <w:rPr>
          <w:rFonts w:hint="eastAsia"/>
          <w:highlight w:val="none"/>
          <w:lang w:val="en-US" w:eastAsia="zh-CN"/>
        </w:rPr>
      </w:pPr>
      <w:bookmarkStart w:id="326" w:name="_Toc27811"/>
      <w:r>
        <w:rPr>
          <w:rFonts w:hint="eastAsia"/>
          <w:highlight w:val="none"/>
          <w:lang w:val="en-US" w:eastAsia="zh-CN"/>
        </w:rPr>
        <w:t>数据安全</w:t>
      </w:r>
      <w:bookmarkEnd w:id="326"/>
    </w:p>
    <w:p w14:paraId="4722DB0C">
      <w:pPr>
        <w:pStyle w:val="6"/>
        <w:bidi w:val="0"/>
        <w:rPr>
          <w:rFonts w:hint="eastAsia"/>
          <w:highlight w:val="none"/>
          <w:lang w:val="en-US" w:eastAsia="zh-CN"/>
        </w:rPr>
      </w:pPr>
      <w:r>
        <w:rPr>
          <w:rFonts w:hint="eastAsia"/>
          <w:highlight w:val="none"/>
          <w:lang w:val="en-US" w:eastAsia="zh-CN"/>
        </w:rPr>
        <w:t>2.1数据安全风险评估服务</w:t>
      </w:r>
    </w:p>
    <w:p w14:paraId="799C81C4">
      <w:pPr>
        <w:rPr>
          <w:rFonts w:hint="eastAsia"/>
          <w:highlight w:val="none"/>
          <w:lang w:val="en-US" w:eastAsia="zh-CN"/>
        </w:rPr>
      </w:pPr>
      <w:r>
        <w:rPr>
          <w:rFonts w:hint="eastAsia"/>
          <w:highlight w:val="none"/>
          <w:lang w:val="en-US" w:eastAsia="zh-CN"/>
        </w:rPr>
        <w:t>对以公共数据平台为主的相关系统的数据安全现状开展评估检查，从管理、制度、技术、运营等维度开展全方位的评估工作，输出评估报告。具有专业信息风险评估资质的数据安全公司，每年至少2次对公共数据平台开展数据安全评估工作并出具数据安全评估报告。</w:t>
      </w:r>
    </w:p>
    <w:p w14:paraId="2DB5DC92">
      <w:pPr>
        <w:pStyle w:val="6"/>
        <w:bidi w:val="0"/>
        <w:rPr>
          <w:rFonts w:hint="eastAsia"/>
          <w:highlight w:val="none"/>
          <w:lang w:val="en-US" w:eastAsia="zh-CN"/>
        </w:rPr>
      </w:pPr>
      <w:r>
        <w:rPr>
          <w:rFonts w:hint="eastAsia"/>
          <w:highlight w:val="none"/>
          <w:lang w:val="en-US" w:eastAsia="zh-CN"/>
        </w:rPr>
        <w:t>2.2国产化迁移服务</w:t>
      </w:r>
    </w:p>
    <w:p w14:paraId="697816CF">
      <w:pPr>
        <w:rPr>
          <w:rFonts w:hint="eastAsia"/>
          <w:highlight w:val="none"/>
          <w:lang w:val="en-US" w:eastAsia="zh-CN"/>
        </w:rPr>
      </w:pPr>
      <w:r>
        <w:rPr>
          <w:rFonts w:hint="eastAsia"/>
          <w:highlight w:val="none"/>
          <w:lang w:val="en-US" w:eastAsia="zh-CN"/>
        </w:rPr>
        <w:t>按照数字化改革国产化建设要求，对数据安全技术平台进行国产化环境迁移部署，满足国产化要求。每年1次对现有数据安全平台提供国产化迁移服务。</w:t>
      </w:r>
    </w:p>
    <w:p w14:paraId="366806F6">
      <w:pPr>
        <w:pStyle w:val="6"/>
        <w:bidi w:val="0"/>
        <w:rPr>
          <w:rFonts w:hint="eastAsia"/>
          <w:highlight w:val="none"/>
          <w:lang w:val="en-US" w:eastAsia="zh-CN"/>
        </w:rPr>
      </w:pPr>
      <w:r>
        <w:rPr>
          <w:rFonts w:hint="eastAsia"/>
          <w:highlight w:val="none"/>
          <w:lang w:val="en-US" w:eastAsia="zh-CN"/>
        </w:rPr>
        <w:t>2.3公共数据平台数据安全管理系统维保服务</w:t>
      </w:r>
    </w:p>
    <w:p w14:paraId="637E9B42">
      <w:pPr>
        <w:bidi w:val="0"/>
        <w:rPr>
          <w:rFonts w:hint="default"/>
          <w:highlight w:val="none"/>
          <w:lang w:val="en-US" w:eastAsia="zh-CN"/>
        </w:rPr>
      </w:pPr>
      <w:r>
        <w:rPr>
          <w:rFonts w:hint="default"/>
          <w:highlight w:val="none"/>
          <w:lang w:val="en-US" w:eastAsia="zh-CN"/>
        </w:rPr>
        <w:t>2021年建设了龙游县县级公共数据平台项目，其中的数据安全能力包括数据分类分级、数据权限管控、数据库审计、静态脱敏、数据库防火墙、数据水印、数据加密、数据安全态势感知等安全能力，实现了对龙游县公共数据平台的日常安全防护。</w:t>
      </w:r>
    </w:p>
    <w:p w14:paraId="24A40A3A">
      <w:pPr>
        <w:bidi w:val="0"/>
        <w:rPr>
          <w:rFonts w:hint="default"/>
          <w:highlight w:val="none"/>
          <w:lang w:val="en-US" w:eastAsia="zh-CN"/>
        </w:rPr>
      </w:pPr>
      <w:r>
        <w:rPr>
          <w:rFonts w:hint="default"/>
          <w:highlight w:val="none"/>
          <w:lang w:val="en-US" w:eastAsia="zh-CN"/>
        </w:rPr>
        <w:t>2024年11月，公共数据平台项目的平台维护服务已经到期，需要开展新一期的龙游县数据安全平台运维服务。</w:t>
      </w:r>
    </w:p>
    <w:p w14:paraId="09CD43D2">
      <w:pPr>
        <w:bidi w:val="0"/>
        <w:rPr>
          <w:rFonts w:hint="default"/>
          <w:highlight w:val="none"/>
          <w:lang w:val="en-US" w:eastAsia="zh-CN"/>
        </w:rPr>
      </w:pPr>
      <w:r>
        <w:rPr>
          <w:rFonts w:hint="default"/>
          <w:highlight w:val="none"/>
          <w:lang w:val="en-US" w:eastAsia="zh-CN"/>
        </w:rPr>
        <w:t>运维服务主要包括由原厂提供的对</w:t>
      </w:r>
      <w:r>
        <w:rPr>
          <w:rFonts w:hint="eastAsia"/>
          <w:highlight w:val="none"/>
          <w:lang w:val="en-US" w:eastAsia="zh-CN"/>
        </w:rPr>
        <w:t>龙游县人民政府办公室（龙游县数据局）</w:t>
      </w:r>
      <w:r>
        <w:rPr>
          <w:rFonts w:hint="default"/>
          <w:highlight w:val="none"/>
          <w:lang w:val="en-US" w:eastAsia="zh-CN"/>
        </w:rPr>
        <w:t>已有的数据安全技术平台，包括数据权限管控、分类分级、静态脱敏、数据库防火墙、数据水印、数据安全态势感知等系统，按照系统的更新计划，由原厂定期完成系统的升级工作；</w:t>
      </w:r>
    </w:p>
    <w:p w14:paraId="0003D1F1">
      <w:pPr>
        <w:bidi w:val="0"/>
        <w:rPr>
          <w:rFonts w:hint="default"/>
          <w:highlight w:val="none"/>
          <w:lang w:val="en-US" w:eastAsia="zh-CN"/>
        </w:rPr>
      </w:pPr>
      <w:r>
        <w:rPr>
          <w:rFonts w:hint="default"/>
          <w:highlight w:val="none"/>
          <w:lang w:val="en-US" w:eastAsia="zh-CN"/>
        </w:rPr>
        <w:t>对数据安全平台运行过程中主动发现或其他途径反馈的程序故障、资源故障、服务故障等进行排查和处理，由原厂提供临时解决方案并将确认和处理结果反馈相关负责人，保证平台运行的稳定性；</w:t>
      </w:r>
    </w:p>
    <w:p w14:paraId="191681AA">
      <w:pPr>
        <w:bidi w:val="0"/>
        <w:rPr>
          <w:rFonts w:hint="default"/>
          <w:highlight w:val="none"/>
          <w:lang w:val="en-US" w:eastAsia="zh-CN"/>
        </w:rPr>
      </w:pPr>
      <w:r>
        <w:rPr>
          <w:rFonts w:hint="default"/>
          <w:highlight w:val="none"/>
          <w:lang w:val="en-US" w:eastAsia="zh-CN"/>
        </w:rPr>
        <w:t>定期由原厂对数据安全平台的使用情况提供健康、安全、专业的系统巡检，主动了解系统存在的问题，以便并及时解决这些问题；</w:t>
      </w:r>
    </w:p>
    <w:p w14:paraId="46A3FA4C">
      <w:pPr>
        <w:bidi w:val="0"/>
        <w:rPr>
          <w:rFonts w:hint="default"/>
          <w:highlight w:val="none"/>
          <w:lang w:val="en-US" w:eastAsia="zh-CN"/>
        </w:rPr>
      </w:pPr>
      <w:r>
        <w:rPr>
          <w:rFonts w:hint="default"/>
          <w:highlight w:val="none"/>
          <w:lang w:val="en-US" w:eastAsia="zh-CN"/>
        </w:rPr>
        <w:t>对巡检发现的或者数据局反馈的数据安全策略问题，开展对应的策略更新工作，保障数据安全平台的策略有效性。</w:t>
      </w:r>
    </w:p>
    <w:p w14:paraId="0B41C259">
      <w:pPr>
        <w:bidi w:val="0"/>
        <w:rPr>
          <w:rFonts w:hint="default"/>
          <w:highlight w:val="none"/>
          <w:lang w:val="en-US" w:eastAsia="zh-CN"/>
        </w:rPr>
      </w:pPr>
      <w:r>
        <w:rPr>
          <w:rFonts w:hint="default"/>
          <w:highlight w:val="none"/>
          <w:lang w:val="en-US" w:eastAsia="zh-CN"/>
        </w:rPr>
        <w:t>对现有数据安全平台提供系统维保服务包括平台升级更新服务、系统日志分析、系统日常巡检、故障处理、国产化环境适配服务内容</w:t>
      </w:r>
      <w:r>
        <w:rPr>
          <w:rFonts w:hint="eastAsia"/>
          <w:highlight w:val="none"/>
          <w:lang w:val="en-US" w:eastAsia="zh-CN"/>
        </w:rPr>
        <w:t>。</w:t>
      </w:r>
    </w:p>
    <w:p w14:paraId="6CE353A7">
      <w:pPr>
        <w:pStyle w:val="5"/>
        <w:numPr>
          <w:ilvl w:val="0"/>
          <w:numId w:val="0"/>
        </w:numPr>
        <w:bidi w:val="0"/>
        <w:rPr>
          <w:rFonts w:hint="eastAsia"/>
          <w:highlight w:val="none"/>
          <w:lang w:val="en-US" w:eastAsia="zh-CN"/>
        </w:rPr>
      </w:pPr>
      <w:bookmarkStart w:id="327" w:name="_Toc31157"/>
      <w:r>
        <w:rPr>
          <w:rFonts w:hint="eastAsia"/>
          <w:highlight w:val="none"/>
          <w:lang w:val="en-US" w:eastAsia="zh-CN"/>
        </w:rPr>
        <w:t>三、其他要求</w:t>
      </w:r>
      <w:bookmarkEnd w:id="327"/>
    </w:p>
    <w:p w14:paraId="3BFBA7A9">
      <w:pPr>
        <w:bidi w:val="0"/>
        <w:rPr>
          <w:rFonts w:hint="default"/>
          <w:highlight w:val="none"/>
          <w:lang w:val="en-US" w:eastAsia="zh-CN"/>
        </w:rPr>
      </w:pPr>
      <w:r>
        <w:rPr>
          <w:rFonts w:hint="eastAsia"/>
          <w:highlight w:val="none"/>
        </w:rPr>
        <w:t>▲</w:t>
      </w:r>
      <w:r>
        <w:rPr>
          <w:rFonts w:hint="eastAsia"/>
          <w:highlight w:val="none"/>
          <w:lang w:val="en-US" w:eastAsia="zh-CN"/>
        </w:rPr>
        <w:t>为保证与原有项目的一致性及服务配套性的要求，若更换承接主体，成交供应商须在合同签订后十日内恢复与原有系统的无缝对接，确保系统正常运行。涉及专线、互联链路一切事宜与原维护单位自行协商。</w:t>
      </w:r>
    </w:p>
    <w:bookmarkEnd w:id="325"/>
    <w:p w14:paraId="44B2775A">
      <w:pPr>
        <w:ind w:firstLine="480"/>
        <w:rPr>
          <w:rFonts w:hint="eastAsia" w:ascii="Times New Roman" w:hAnsi="Times New Roman" w:cs="Times New Roman"/>
          <w:highlight w:val="none"/>
          <w:lang w:val="en-US" w:eastAsia="zh-CN"/>
        </w:rPr>
      </w:pPr>
    </w:p>
    <w:p w14:paraId="70968567">
      <w:pPr>
        <w:pStyle w:val="2"/>
        <w:rPr>
          <w:rFonts w:hint="eastAsia"/>
          <w:highlight w:val="none"/>
          <w:lang w:val="en-US" w:eastAsia="zh-CN"/>
        </w:rPr>
      </w:pPr>
    </w:p>
    <w:p w14:paraId="7F94BBAA">
      <w:pPr>
        <w:pStyle w:val="37"/>
        <w:rPr>
          <w:rFonts w:hint="default"/>
          <w:highlight w:val="none"/>
        </w:rPr>
        <w:sectPr>
          <w:footerReference r:id="rId20" w:type="first"/>
          <w:footerReference r:id="rId19" w:type="default"/>
          <w:pgSz w:w="11906" w:h="16838"/>
          <w:pgMar w:top="1440" w:right="1800" w:bottom="1440" w:left="1800" w:header="1020" w:footer="992" w:gutter="0"/>
          <w:pgNumType w:fmt="decimal"/>
          <w:cols w:space="425" w:num="1"/>
          <w:titlePg/>
          <w:docGrid w:type="lines" w:linePitch="326" w:charSpace="0"/>
        </w:sectPr>
      </w:pPr>
    </w:p>
    <w:p w14:paraId="02B06A21">
      <w:pPr>
        <w:pStyle w:val="4"/>
        <w:rPr>
          <w:highlight w:val="none"/>
        </w:rPr>
      </w:pPr>
      <w:bookmarkStart w:id="328" w:name="_Toc26720"/>
      <w:bookmarkStart w:id="329" w:name="_Toc18682"/>
      <w:bookmarkStart w:id="330" w:name="_Toc21110"/>
      <w:bookmarkStart w:id="331" w:name="_Toc24638"/>
      <w:bookmarkStart w:id="332" w:name="_Toc8721"/>
      <w:bookmarkStart w:id="333" w:name="_Toc12313"/>
      <w:bookmarkStart w:id="334" w:name="_Toc26221"/>
      <w:bookmarkStart w:id="335" w:name="_Toc28185"/>
      <w:r>
        <w:rPr>
          <w:rFonts w:hint="eastAsia"/>
          <w:highlight w:val="none"/>
        </w:rPr>
        <w:t>第五章  合同</w:t>
      </w:r>
      <w:bookmarkEnd w:id="328"/>
      <w:bookmarkEnd w:id="329"/>
      <w:bookmarkEnd w:id="330"/>
      <w:bookmarkEnd w:id="331"/>
      <w:bookmarkEnd w:id="332"/>
      <w:bookmarkEnd w:id="333"/>
      <w:bookmarkEnd w:id="334"/>
    </w:p>
    <w:p w14:paraId="56D5BE25">
      <w:pPr>
        <w:ind w:firstLine="0" w:firstLineChars="0"/>
        <w:jc w:val="center"/>
        <w:rPr>
          <w:highlight w:val="none"/>
        </w:rPr>
      </w:pPr>
      <w:r>
        <w:rPr>
          <w:rFonts w:hint="eastAsia"/>
          <w:highlight w:val="none"/>
        </w:rPr>
        <w:t>浙江省政府采购合同指引</w:t>
      </w:r>
    </w:p>
    <w:p w14:paraId="07B94B6A">
      <w:pPr>
        <w:ind w:left="1680" w:leftChars="200" w:hanging="1200" w:hangingChars="5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项目名称：</w:t>
      </w:r>
      <w:r>
        <w:rPr>
          <w:rFonts w:hint="eastAsia" w:cs="Times New Roman"/>
          <w:kern w:val="2"/>
          <w:sz w:val="24"/>
          <w:szCs w:val="24"/>
          <w:highlight w:val="none"/>
          <w:lang w:val="en-US" w:eastAsia="zh-CN" w:bidi="ar-SA"/>
        </w:rPr>
        <w:t>龙游县电子政务外网网络数据安全运维服务项目</w:t>
      </w:r>
    </w:p>
    <w:p w14:paraId="5C0D4C12">
      <w:pPr>
        <w:ind w:firstLine="48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项目编号：</w:t>
      </w:r>
      <w:r>
        <w:rPr>
          <w:rFonts w:hint="eastAsia" w:cs="Times New Roman"/>
          <w:kern w:val="2"/>
          <w:sz w:val="24"/>
          <w:szCs w:val="24"/>
          <w:highlight w:val="none"/>
          <w:lang w:val="en-US" w:eastAsia="zh-CN" w:bidi="ar-SA"/>
        </w:rPr>
        <w:t>LYJY2025006</w:t>
      </w:r>
    </w:p>
    <w:p w14:paraId="52336F4A">
      <w:pPr>
        <w:ind w:firstLine="48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甲  方：</w:t>
      </w:r>
      <w:r>
        <w:rPr>
          <w:rFonts w:hint="eastAsia" w:cs="Times New Roman"/>
          <w:kern w:val="2"/>
          <w:sz w:val="24"/>
          <w:szCs w:val="24"/>
          <w:highlight w:val="none"/>
          <w:lang w:val="en-US" w:eastAsia="zh-CN" w:bidi="ar-SA"/>
        </w:rPr>
        <w:t>龙游县人民政府办公室（龙游县数据局）</w:t>
      </w:r>
    </w:p>
    <w:p w14:paraId="54E8D9FA">
      <w:pPr>
        <w:ind w:firstLine="48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 xml:space="preserve">乙  方：          </w:t>
      </w:r>
    </w:p>
    <w:p w14:paraId="0F5532EA">
      <w:pPr>
        <w:ind w:firstLine="480"/>
        <w:rPr>
          <w:highlight w:val="none"/>
        </w:rPr>
      </w:pPr>
      <w:r>
        <w:rPr>
          <w:rFonts w:hint="eastAsia"/>
          <w:highlight w:val="none"/>
        </w:rPr>
        <w:t>根据</w:t>
      </w:r>
      <w:r>
        <w:rPr>
          <w:rFonts w:hint="eastAsia"/>
          <w:highlight w:val="none"/>
          <w:lang w:val="en-US" w:eastAsia="zh-CN"/>
        </w:rPr>
        <w:t>龙游县电子政务外网网络数据安全运维服务项目</w:t>
      </w:r>
      <w:r>
        <w:rPr>
          <w:rFonts w:hint="eastAsia"/>
          <w:highlight w:val="none"/>
        </w:rPr>
        <w:t>采购结果</w:t>
      </w:r>
      <w:r>
        <w:rPr>
          <w:rFonts w:hint="eastAsia"/>
          <w:highlight w:val="none"/>
          <w:lang w:eastAsia="zh-CN"/>
        </w:rPr>
        <w:t>，</w:t>
      </w:r>
      <w:r>
        <w:rPr>
          <w:rFonts w:hint="eastAsia"/>
          <w:highlight w:val="none"/>
        </w:rPr>
        <w:t>按照《中华人民共和国政府采购法》、《中华人民共和国民法典》等法律法规规定</w:t>
      </w:r>
      <w:r>
        <w:rPr>
          <w:rFonts w:hint="eastAsia"/>
          <w:highlight w:val="none"/>
          <w:lang w:eastAsia="zh-CN"/>
        </w:rPr>
        <w:t>，</w:t>
      </w:r>
      <w:r>
        <w:rPr>
          <w:rFonts w:hint="eastAsia"/>
          <w:highlight w:val="none"/>
        </w:rPr>
        <w:t>经双方友好协商</w:t>
      </w:r>
      <w:r>
        <w:rPr>
          <w:rFonts w:hint="eastAsia"/>
          <w:highlight w:val="none"/>
          <w:lang w:eastAsia="zh-CN"/>
        </w:rPr>
        <w:t>，</w:t>
      </w:r>
      <w:r>
        <w:rPr>
          <w:rFonts w:hint="eastAsia"/>
          <w:highlight w:val="none"/>
        </w:rPr>
        <w:t>本着平等互利和诚实守信原则</w:t>
      </w:r>
      <w:r>
        <w:rPr>
          <w:rFonts w:hint="eastAsia"/>
          <w:highlight w:val="none"/>
          <w:lang w:eastAsia="zh-CN"/>
        </w:rPr>
        <w:t>，</w:t>
      </w:r>
      <w:r>
        <w:rPr>
          <w:rFonts w:hint="eastAsia"/>
          <w:highlight w:val="none"/>
        </w:rPr>
        <w:t>一致同意签订本合同如下：</w:t>
      </w:r>
    </w:p>
    <w:p w14:paraId="5E81552D">
      <w:pPr>
        <w:pStyle w:val="5"/>
        <w:rPr>
          <w:rFonts w:hAnsi="宋体" w:cs="微软雅黑"/>
          <w:szCs w:val="21"/>
          <w:highlight w:val="none"/>
        </w:rPr>
      </w:pPr>
      <w:bookmarkStart w:id="336" w:name="_Toc30934"/>
      <w:bookmarkStart w:id="337" w:name="_Toc7971"/>
      <w:r>
        <w:rPr>
          <w:rFonts w:hint="eastAsia"/>
          <w:highlight w:val="none"/>
        </w:rPr>
        <w:t>一、说明</w:t>
      </w:r>
      <w:bookmarkEnd w:id="336"/>
      <w:bookmarkEnd w:id="337"/>
    </w:p>
    <w:p w14:paraId="2D600A5C">
      <w:pPr>
        <w:ind w:firstLine="480"/>
        <w:rPr>
          <w:highlight w:val="none"/>
        </w:rPr>
      </w:pPr>
      <w:r>
        <w:rPr>
          <w:rFonts w:hint="eastAsia"/>
          <w:highlight w:val="none"/>
        </w:rPr>
        <w:t>1.合同基本条款是指采购人（以下简称甲方）和供应商（以下简称乙方）应共同遵守的基本原则</w:t>
      </w:r>
      <w:r>
        <w:rPr>
          <w:rFonts w:hint="eastAsia"/>
          <w:highlight w:val="none"/>
          <w:lang w:eastAsia="zh-CN"/>
        </w:rPr>
        <w:t>，</w:t>
      </w:r>
      <w:r>
        <w:rPr>
          <w:rFonts w:hint="eastAsia"/>
          <w:highlight w:val="none"/>
        </w:rPr>
        <w:t>并作为双方签约的依据。对于合同的其他条款</w:t>
      </w:r>
      <w:r>
        <w:rPr>
          <w:rFonts w:hint="eastAsia"/>
          <w:highlight w:val="none"/>
          <w:lang w:eastAsia="zh-CN"/>
        </w:rPr>
        <w:t>，</w:t>
      </w:r>
      <w:r>
        <w:rPr>
          <w:rFonts w:hint="eastAsia"/>
          <w:highlight w:val="none"/>
        </w:rPr>
        <w:t>双方应本着互谅互让的精神协商解决。</w:t>
      </w:r>
    </w:p>
    <w:p w14:paraId="177A490E">
      <w:pPr>
        <w:ind w:firstLine="480"/>
        <w:rPr>
          <w:highlight w:val="none"/>
        </w:rPr>
      </w:pPr>
      <w:r>
        <w:rPr>
          <w:rFonts w:hint="eastAsia"/>
          <w:highlight w:val="none"/>
        </w:rPr>
        <w:t>2.制定</w:t>
      </w:r>
      <w:r>
        <w:rPr>
          <w:rFonts w:hint="eastAsia"/>
          <w:highlight w:val="none"/>
          <w:lang w:eastAsia="zh-CN"/>
        </w:rPr>
        <w:t>“</w:t>
      </w:r>
      <w:r>
        <w:rPr>
          <w:rFonts w:hint="eastAsia"/>
          <w:highlight w:val="none"/>
        </w:rPr>
        <w:t>合同主要条款</w:t>
      </w:r>
      <w:r>
        <w:rPr>
          <w:rFonts w:hint="eastAsia"/>
          <w:highlight w:val="none"/>
          <w:lang w:eastAsia="zh-CN"/>
        </w:rPr>
        <w:t>”</w:t>
      </w:r>
      <w:r>
        <w:rPr>
          <w:rFonts w:hint="eastAsia"/>
          <w:highlight w:val="none"/>
        </w:rPr>
        <w:t>的依据是《中华人民共和国民法典》。</w:t>
      </w:r>
    </w:p>
    <w:p w14:paraId="2694BA62">
      <w:pPr>
        <w:pStyle w:val="5"/>
        <w:rPr>
          <w:rFonts w:hAnsi="宋体" w:cs="微软雅黑"/>
          <w:szCs w:val="21"/>
          <w:highlight w:val="none"/>
        </w:rPr>
      </w:pPr>
      <w:bookmarkStart w:id="338" w:name="_Toc10785"/>
      <w:bookmarkStart w:id="339" w:name="_Toc17882"/>
      <w:r>
        <w:rPr>
          <w:rFonts w:hint="eastAsia"/>
          <w:highlight w:val="none"/>
        </w:rPr>
        <w:t>二、合同金额</w:t>
      </w:r>
      <w:bookmarkEnd w:id="338"/>
      <w:bookmarkEnd w:id="339"/>
    </w:p>
    <w:p w14:paraId="123C86FB">
      <w:pPr>
        <w:ind w:firstLine="480"/>
        <w:rPr>
          <w:highlight w:val="none"/>
        </w:rPr>
      </w:pPr>
      <w:r>
        <w:rPr>
          <w:rFonts w:hint="eastAsia"/>
          <w:highlight w:val="none"/>
        </w:rPr>
        <w:t>本合同金额为人民币（大写</w:t>
      </w:r>
      <w:r>
        <w:rPr>
          <w:rFonts w:hint="eastAsia" w:asciiTheme="minorEastAsia" w:hAnsiTheme="minorEastAsia" w:cstheme="minorEastAsia"/>
          <w:szCs w:val="21"/>
          <w:highlight w:val="none"/>
        </w:rPr>
        <w:t>）：</w:t>
      </w:r>
      <w:r>
        <w:rPr>
          <w:rFonts w:hint="eastAsia" w:asciiTheme="minorEastAsia" w:hAnsiTheme="minorEastAsia" w:cstheme="minorEastAsia"/>
          <w:szCs w:val="21"/>
          <w:highlight w:val="none"/>
          <w:u w:val="none"/>
        </w:rPr>
        <w:t xml:space="preserve">        元整</w:t>
      </w:r>
      <w:r>
        <w:rPr>
          <w:rFonts w:hint="eastAsia" w:asciiTheme="minorEastAsia" w:hAnsiTheme="minorEastAsia" w:cstheme="minorEastAsia"/>
          <w:szCs w:val="21"/>
          <w:highlight w:val="none"/>
          <w:u w:val="none"/>
          <w:lang w:eastAsia="zh-CN"/>
        </w:rPr>
        <w:t>；</w:t>
      </w:r>
      <w:r>
        <w:rPr>
          <w:rFonts w:hint="eastAsia" w:asciiTheme="minorEastAsia" w:hAnsiTheme="minorEastAsia" w:cstheme="minorEastAsia"/>
          <w:szCs w:val="21"/>
          <w:highlight w:val="none"/>
          <w:u w:val="none"/>
        </w:rPr>
        <w:t>小写￥：    元</w:t>
      </w:r>
    </w:p>
    <w:p w14:paraId="02D48095">
      <w:pPr>
        <w:pStyle w:val="5"/>
        <w:rPr>
          <w:rFonts w:hAnsi="宋体" w:cs="微软雅黑"/>
          <w:szCs w:val="21"/>
          <w:highlight w:val="none"/>
        </w:rPr>
      </w:pPr>
      <w:bookmarkStart w:id="340" w:name="_Toc5406"/>
      <w:bookmarkStart w:id="341" w:name="_Toc17911"/>
      <w:r>
        <w:rPr>
          <w:rFonts w:hint="eastAsia"/>
          <w:highlight w:val="none"/>
          <w:lang w:val="en-US" w:eastAsia="zh-CN"/>
        </w:rPr>
        <w:t>三</w:t>
      </w:r>
      <w:r>
        <w:rPr>
          <w:rFonts w:hint="eastAsia"/>
          <w:highlight w:val="none"/>
        </w:rPr>
        <w:t>、履约保证金</w:t>
      </w:r>
      <w:bookmarkEnd w:id="340"/>
      <w:bookmarkEnd w:id="341"/>
    </w:p>
    <w:p w14:paraId="1B7795B6">
      <w:pPr>
        <w:ind w:firstLine="480"/>
        <w:rPr>
          <w:rFonts w:hint="eastAsia"/>
          <w:highlight w:val="none"/>
        </w:rPr>
      </w:pPr>
      <w:r>
        <w:rPr>
          <w:rFonts w:hint="eastAsia"/>
          <w:highlight w:val="none"/>
          <w:lang w:val="en-US" w:eastAsia="zh-CN"/>
        </w:rPr>
        <w:t>无</w:t>
      </w:r>
      <w:r>
        <w:rPr>
          <w:rFonts w:hint="eastAsia"/>
          <w:highlight w:val="none"/>
        </w:rPr>
        <w:t>。</w:t>
      </w:r>
    </w:p>
    <w:p w14:paraId="711A8A9F">
      <w:pPr>
        <w:pStyle w:val="5"/>
        <w:rPr>
          <w:rFonts w:hAnsi="宋体" w:cs="微软雅黑"/>
          <w:szCs w:val="21"/>
          <w:highlight w:val="none"/>
        </w:rPr>
      </w:pPr>
      <w:bookmarkStart w:id="342" w:name="_Toc16516"/>
      <w:bookmarkStart w:id="343" w:name="_Toc22281"/>
      <w:r>
        <w:rPr>
          <w:rFonts w:hint="eastAsia"/>
          <w:highlight w:val="none"/>
          <w:lang w:val="en-US" w:eastAsia="zh-CN"/>
        </w:rPr>
        <w:t>四</w:t>
      </w:r>
      <w:r>
        <w:rPr>
          <w:rFonts w:hint="eastAsia"/>
          <w:highlight w:val="none"/>
        </w:rPr>
        <w:t>、转包或分包</w:t>
      </w:r>
      <w:bookmarkEnd w:id="342"/>
      <w:bookmarkEnd w:id="343"/>
    </w:p>
    <w:p w14:paraId="7DD22E62">
      <w:pPr>
        <w:ind w:firstLine="480"/>
        <w:rPr>
          <w:highlight w:val="none"/>
        </w:rPr>
      </w:pPr>
      <w:r>
        <w:rPr>
          <w:rFonts w:hint="eastAsia"/>
          <w:highlight w:val="none"/>
        </w:rPr>
        <w:t>1.本合同范围的货物和服务</w:t>
      </w:r>
      <w:r>
        <w:rPr>
          <w:rFonts w:hint="eastAsia"/>
          <w:highlight w:val="none"/>
          <w:lang w:eastAsia="zh-CN"/>
        </w:rPr>
        <w:t>，</w:t>
      </w:r>
      <w:r>
        <w:rPr>
          <w:rFonts w:hint="eastAsia"/>
          <w:highlight w:val="none"/>
        </w:rPr>
        <w:t>应由乙方直接供应</w:t>
      </w:r>
      <w:r>
        <w:rPr>
          <w:rFonts w:hint="eastAsia"/>
          <w:highlight w:val="none"/>
          <w:lang w:eastAsia="zh-CN"/>
        </w:rPr>
        <w:t>，</w:t>
      </w:r>
      <w:r>
        <w:rPr>
          <w:rFonts w:hint="eastAsia"/>
          <w:highlight w:val="none"/>
        </w:rPr>
        <w:t>不得转让他人供应</w:t>
      </w:r>
      <w:r>
        <w:rPr>
          <w:rFonts w:hint="eastAsia"/>
          <w:highlight w:val="none"/>
          <w:lang w:eastAsia="zh-CN"/>
        </w:rPr>
        <w:t>，</w:t>
      </w:r>
      <w:r>
        <w:rPr>
          <w:rFonts w:hint="eastAsia"/>
          <w:highlight w:val="none"/>
        </w:rPr>
        <w:t>也不得</w:t>
      </w:r>
      <w:r>
        <w:rPr>
          <w:rFonts w:hint="eastAsia"/>
          <w:highlight w:val="none"/>
          <w:lang w:val="en-US" w:eastAsia="zh-CN"/>
        </w:rPr>
        <w:t>分解后</w:t>
      </w:r>
      <w:r>
        <w:rPr>
          <w:rFonts w:hint="eastAsia"/>
          <w:highlight w:val="none"/>
        </w:rPr>
        <w:t>分别向他人转让。</w:t>
      </w:r>
    </w:p>
    <w:p w14:paraId="29BB2297">
      <w:pPr>
        <w:ind w:firstLine="480"/>
        <w:rPr>
          <w:highlight w:val="none"/>
        </w:rPr>
      </w:pPr>
      <w:r>
        <w:rPr>
          <w:rFonts w:hint="eastAsia"/>
          <w:highlight w:val="none"/>
          <w:lang w:val="en-US" w:eastAsia="zh-CN"/>
        </w:rPr>
        <w:t>2</w:t>
      </w:r>
      <w:r>
        <w:rPr>
          <w:rFonts w:hint="eastAsia"/>
          <w:highlight w:val="none"/>
        </w:rPr>
        <w:t>.如有转让和未经甲方同意的分包行为</w:t>
      </w:r>
      <w:r>
        <w:rPr>
          <w:rFonts w:hint="eastAsia"/>
          <w:highlight w:val="none"/>
          <w:lang w:eastAsia="zh-CN"/>
        </w:rPr>
        <w:t>，</w:t>
      </w:r>
      <w:r>
        <w:rPr>
          <w:rFonts w:hint="eastAsia"/>
          <w:highlight w:val="none"/>
        </w:rPr>
        <w:t>甲方有权解除合同</w:t>
      </w:r>
      <w:r>
        <w:rPr>
          <w:rFonts w:hint="eastAsia"/>
          <w:highlight w:val="none"/>
          <w:lang w:eastAsia="zh-CN"/>
        </w:rPr>
        <w:t>，</w:t>
      </w:r>
      <w:r>
        <w:rPr>
          <w:rFonts w:hint="eastAsia"/>
          <w:highlight w:val="none"/>
          <w:lang w:val="en-US" w:eastAsia="zh-CN"/>
        </w:rPr>
        <w:t>并</w:t>
      </w:r>
      <w:r>
        <w:rPr>
          <w:rFonts w:hint="eastAsia"/>
          <w:highlight w:val="none"/>
        </w:rPr>
        <w:t>追究乙方的违约责任。</w:t>
      </w:r>
    </w:p>
    <w:p w14:paraId="411909B3">
      <w:pPr>
        <w:pStyle w:val="5"/>
        <w:rPr>
          <w:highlight w:val="none"/>
        </w:rPr>
      </w:pPr>
      <w:bookmarkStart w:id="344" w:name="_Toc12160"/>
      <w:bookmarkStart w:id="345" w:name="_Toc3871"/>
      <w:r>
        <w:rPr>
          <w:rFonts w:hint="eastAsia"/>
          <w:highlight w:val="none"/>
          <w:lang w:val="en-US" w:eastAsia="zh-CN"/>
        </w:rPr>
        <w:t>五</w:t>
      </w:r>
      <w:r>
        <w:rPr>
          <w:rFonts w:hint="eastAsia"/>
          <w:highlight w:val="none"/>
        </w:rPr>
        <w:t>、</w:t>
      </w:r>
      <w:bookmarkEnd w:id="344"/>
      <w:r>
        <w:rPr>
          <w:rFonts w:hint="eastAsia"/>
          <w:highlight w:val="none"/>
        </w:rPr>
        <w:t>服务期限</w:t>
      </w:r>
      <w:bookmarkEnd w:id="345"/>
    </w:p>
    <w:p w14:paraId="3FCD19DF">
      <w:pPr>
        <w:bidi w:val="0"/>
        <w:rPr>
          <w:highlight w:val="none"/>
        </w:rPr>
      </w:pPr>
      <w:r>
        <w:rPr>
          <w:rFonts w:hint="eastAsia"/>
          <w:highlight w:val="none"/>
          <w:lang w:val="en-US" w:eastAsia="zh-CN"/>
        </w:rPr>
        <w:t>1</w:t>
      </w:r>
      <w:r>
        <w:rPr>
          <w:rFonts w:hint="eastAsia"/>
          <w:highlight w:val="none"/>
          <w:lang w:eastAsia="zh-CN"/>
        </w:rPr>
        <w:t>年。</w:t>
      </w:r>
    </w:p>
    <w:p w14:paraId="047B3094">
      <w:pPr>
        <w:pStyle w:val="5"/>
        <w:bidi w:val="0"/>
        <w:rPr>
          <w:highlight w:val="none"/>
        </w:rPr>
      </w:pPr>
      <w:bookmarkStart w:id="346" w:name="_Toc3599"/>
      <w:bookmarkStart w:id="347" w:name="_Toc12088"/>
      <w:r>
        <w:rPr>
          <w:rFonts w:hint="eastAsia"/>
          <w:highlight w:val="none"/>
          <w:lang w:val="en-US" w:eastAsia="zh-CN"/>
        </w:rPr>
        <w:t>六</w:t>
      </w:r>
      <w:r>
        <w:rPr>
          <w:rFonts w:hint="eastAsia"/>
          <w:highlight w:val="none"/>
        </w:rPr>
        <w:t>、</w:t>
      </w:r>
      <w:bookmarkEnd w:id="346"/>
      <w:r>
        <w:rPr>
          <w:rFonts w:hint="eastAsia"/>
          <w:highlight w:val="none"/>
        </w:rPr>
        <w:t>资金结算和支付方式</w:t>
      </w:r>
      <w:bookmarkEnd w:id="347"/>
    </w:p>
    <w:p w14:paraId="7E15134D">
      <w:pPr>
        <w:ind w:firstLine="48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1.合同签约后</w:t>
      </w:r>
      <w:r>
        <w:rPr>
          <w:rFonts w:hint="eastAsia" w:cs="Times New Roman"/>
          <w:color w:val="auto"/>
          <w:highlight w:val="none"/>
          <w:lang w:val="en-US" w:eastAsia="zh-CN"/>
        </w:rPr>
        <w:t>7</w:t>
      </w:r>
      <w:r>
        <w:rPr>
          <w:rFonts w:hint="eastAsia" w:ascii="Times New Roman" w:hAnsi="Times New Roman" w:cs="Times New Roman"/>
          <w:color w:val="auto"/>
          <w:highlight w:val="none"/>
          <w:lang w:val="en-US" w:eastAsia="zh-CN"/>
        </w:rPr>
        <w:t>个工作日支付合同总价的</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0%作为预付款；</w:t>
      </w:r>
    </w:p>
    <w:p w14:paraId="665EBDC2">
      <w:pPr>
        <w:ind w:firstLine="48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r>
        <w:rPr>
          <w:rFonts w:hint="eastAsia" w:cs="Times New Roman"/>
          <w:color w:val="auto"/>
          <w:highlight w:val="none"/>
          <w:lang w:val="en-US" w:eastAsia="zh-CN"/>
        </w:rPr>
        <w:t>服务期满</w:t>
      </w:r>
      <w:r>
        <w:rPr>
          <w:rFonts w:hint="eastAsia" w:ascii="Times New Roman" w:hAnsi="Times New Roman" w:cs="Times New Roman"/>
          <w:color w:val="auto"/>
          <w:highlight w:val="none"/>
          <w:lang w:val="en-US" w:eastAsia="zh-CN"/>
        </w:rPr>
        <w:t>后</w:t>
      </w:r>
      <w:r>
        <w:rPr>
          <w:rFonts w:hint="eastAsia" w:cs="Times New Roman"/>
          <w:color w:val="auto"/>
          <w:highlight w:val="none"/>
          <w:lang w:val="en-US" w:eastAsia="zh-CN"/>
        </w:rPr>
        <w:t>经甲方考核后</w:t>
      </w:r>
      <w:r>
        <w:rPr>
          <w:rFonts w:hint="eastAsia" w:ascii="Times New Roman" w:hAnsi="Times New Roman" w:cs="Times New Roman"/>
          <w:color w:val="auto"/>
          <w:highlight w:val="none"/>
          <w:lang w:val="en-US" w:eastAsia="zh-CN"/>
        </w:rPr>
        <w:t>支付剩余</w:t>
      </w:r>
      <w:r>
        <w:rPr>
          <w:rFonts w:hint="eastAsia" w:cs="Times New Roman"/>
          <w:color w:val="auto"/>
          <w:highlight w:val="none"/>
          <w:lang w:val="en-US" w:eastAsia="zh-CN"/>
        </w:rPr>
        <w:t>尾款（不计息）。</w:t>
      </w:r>
    </w:p>
    <w:p w14:paraId="40B28E1B">
      <w:pPr>
        <w:ind w:firstLine="482"/>
        <w:rPr>
          <w:rFonts w:ascii="宋体" w:hAnsi="宋体"/>
          <w:b/>
          <w:szCs w:val="21"/>
          <w:highlight w:val="none"/>
        </w:rPr>
      </w:pPr>
      <w:r>
        <w:rPr>
          <w:rFonts w:hint="eastAsia"/>
          <w:b/>
          <w:bCs/>
          <w:highlight w:val="none"/>
        </w:rPr>
        <w:t>乙方</w:t>
      </w:r>
      <w:r>
        <w:rPr>
          <w:b/>
          <w:bCs/>
          <w:highlight w:val="none"/>
        </w:rPr>
        <w:t>必须提供给</w:t>
      </w:r>
      <w:r>
        <w:rPr>
          <w:rFonts w:hint="eastAsia"/>
          <w:b/>
          <w:bCs/>
          <w:highlight w:val="none"/>
        </w:rPr>
        <w:t>甲方</w:t>
      </w:r>
      <w:r>
        <w:rPr>
          <w:b/>
          <w:bCs/>
          <w:highlight w:val="none"/>
        </w:rPr>
        <w:t>合法、有效的</w:t>
      </w:r>
      <w:r>
        <w:rPr>
          <w:rFonts w:hint="eastAsia"/>
          <w:b/>
          <w:bCs/>
          <w:highlight w:val="none"/>
        </w:rPr>
        <w:t>增值税</w:t>
      </w:r>
      <w:r>
        <w:rPr>
          <w:b/>
          <w:bCs/>
          <w:highlight w:val="none"/>
        </w:rPr>
        <w:t>发票</w:t>
      </w:r>
      <w:r>
        <w:rPr>
          <w:rFonts w:hint="eastAsia"/>
          <w:b/>
          <w:bCs/>
          <w:highlight w:val="none"/>
          <w:lang w:eastAsia="zh-CN"/>
        </w:rPr>
        <w:t>，</w:t>
      </w:r>
      <w:r>
        <w:rPr>
          <w:b/>
          <w:bCs/>
          <w:highlight w:val="none"/>
        </w:rPr>
        <w:t>否则</w:t>
      </w:r>
      <w:r>
        <w:rPr>
          <w:rFonts w:hint="eastAsia"/>
          <w:b/>
          <w:bCs/>
          <w:highlight w:val="none"/>
        </w:rPr>
        <w:t>甲方</w:t>
      </w:r>
      <w:r>
        <w:rPr>
          <w:b/>
          <w:bCs/>
          <w:highlight w:val="none"/>
        </w:rPr>
        <w:t>有权延期付款</w:t>
      </w:r>
      <w:r>
        <w:rPr>
          <w:rFonts w:hint="eastAsia"/>
          <w:b/>
          <w:bCs/>
          <w:highlight w:val="none"/>
          <w:lang w:eastAsia="zh-CN"/>
        </w:rPr>
        <w:t>，</w:t>
      </w:r>
      <w:r>
        <w:rPr>
          <w:b/>
          <w:bCs/>
          <w:highlight w:val="none"/>
        </w:rPr>
        <w:t>直至收到</w:t>
      </w:r>
      <w:r>
        <w:rPr>
          <w:rFonts w:hint="eastAsia"/>
          <w:b/>
          <w:bCs/>
          <w:highlight w:val="none"/>
        </w:rPr>
        <w:t>乙方</w:t>
      </w:r>
      <w:r>
        <w:rPr>
          <w:b/>
          <w:bCs/>
          <w:highlight w:val="none"/>
        </w:rPr>
        <w:t>相应</w:t>
      </w:r>
      <w:r>
        <w:rPr>
          <w:rFonts w:hint="eastAsia"/>
          <w:b/>
          <w:bCs/>
          <w:highlight w:val="none"/>
        </w:rPr>
        <w:t>增值税</w:t>
      </w:r>
      <w:r>
        <w:rPr>
          <w:b/>
          <w:bCs/>
          <w:highlight w:val="none"/>
        </w:rPr>
        <w:t>发票为止。</w:t>
      </w:r>
    </w:p>
    <w:p w14:paraId="7DAFCBD4">
      <w:pPr>
        <w:pStyle w:val="5"/>
        <w:rPr>
          <w:rFonts w:hAnsi="宋体" w:cs="微软雅黑"/>
          <w:szCs w:val="21"/>
          <w:highlight w:val="none"/>
        </w:rPr>
      </w:pPr>
      <w:bookmarkStart w:id="348" w:name="_Toc11766"/>
      <w:bookmarkStart w:id="349" w:name="_Toc5919"/>
      <w:r>
        <w:rPr>
          <w:rFonts w:hint="eastAsia"/>
          <w:highlight w:val="none"/>
          <w:lang w:val="en-US" w:eastAsia="zh-CN"/>
        </w:rPr>
        <w:t>七</w:t>
      </w:r>
      <w:r>
        <w:rPr>
          <w:rFonts w:hint="eastAsia"/>
          <w:highlight w:val="none"/>
        </w:rPr>
        <w:t>、税费</w:t>
      </w:r>
      <w:bookmarkEnd w:id="348"/>
      <w:bookmarkEnd w:id="349"/>
    </w:p>
    <w:p w14:paraId="29314D30">
      <w:pPr>
        <w:bidi w:val="0"/>
        <w:rPr>
          <w:highlight w:val="none"/>
        </w:rPr>
      </w:pPr>
      <w:r>
        <w:rPr>
          <w:rFonts w:hint="eastAsia"/>
          <w:highlight w:val="none"/>
        </w:rPr>
        <w:t>本合同执行中相关的一切税费均由乙方负担。</w:t>
      </w:r>
    </w:p>
    <w:p w14:paraId="3D0F1389">
      <w:pPr>
        <w:pStyle w:val="5"/>
        <w:spacing w:line="400" w:lineRule="exact"/>
        <w:rPr>
          <w:highlight w:val="none"/>
        </w:rPr>
      </w:pPr>
      <w:bookmarkStart w:id="350" w:name="_Toc775"/>
      <w:bookmarkStart w:id="351" w:name="_Toc17186"/>
      <w:r>
        <w:rPr>
          <w:rFonts w:hint="eastAsia"/>
          <w:highlight w:val="none"/>
          <w:lang w:val="en-US" w:eastAsia="zh-CN"/>
        </w:rPr>
        <w:t>八</w:t>
      </w:r>
      <w:r>
        <w:rPr>
          <w:rFonts w:hint="eastAsia"/>
          <w:highlight w:val="none"/>
        </w:rPr>
        <w:t>、合同争议与解决</w:t>
      </w:r>
      <w:bookmarkEnd w:id="350"/>
    </w:p>
    <w:p w14:paraId="1DC54C79">
      <w:pPr>
        <w:ind w:firstLine="480"/>
        <w:rPr>
          <w:highlight w:val="none"/>
        </w:rPr>
      </w:pPr>
      <w:r>
        <w:rPr>
          <w:rFonts w:hint="eastAsia"/>
          <w:highlight w:val="none"/>
        </w:rPr>
        <w:t>1.本合同供需双方的任何一方无权对合同内容进行修改</w:t>
      </w:r>
      <w:r>
        <w:rPr>
          <w:rFonts w:hint="eastAsia"/>
          <w:highlight w:val="none"/>
          <w:lang w:eastAsia="zh-CN"/>
        </w:rPr>
        <w:t>，</w:t>
      </w:r>
      <w:r>
        <w:rPr>
          <w:rFonts w:hint="eastAsia"/>
          <w:highlight w:val="none"/>
        </w:rPr>
        <w:t>本合同如需修改</w:t>
      </w:r>
      <w:r>
        <w:rPr>
          <w:rFonts w:hint="eastAsia"/>
          <w:highlight w:val="none"/>
          <w:lang w:eastAsia="zh-CN"/>
        </w:rPr>
        <w:t>，</w:t>
      </w:r>
      <w:r>
        <w:rPr>
          <w:rFonts w:hint="eastAsia"/>
          <w:highlight w:val="none"/>
        </w:rPr>
        <w:t>必须达成书面协议</w:t>
      </w:r>
      <w:r>
        <w:rPr>
          <w:rFonts w:hint="eastAsia"/>
          <w:highlight w:val="none"/>
          <w:lang w:eastAsia="zh-CN"/>
        </w:rPr>
        <w:t>，</w:t>
      </w:r>
      <w:r>
        <w:rPr>
          <w:rFonts w:hint="eastAsia"/>
          <w:highlight w:val="none"/>
        </w:rPr>
        <w:t>并作为该合同的有效组成部分。</w:t>
      </w:r>
    </w:p>
    <w:p w14:paraId="50138AFB">
      <w:pPr>
        <w:ind w:firstLine="480"/>
        <w:rPr>
          <w:highlight w:val="none"/>
        </w:rPr>
      </w:pPr>
      <w:r>
        <w:rPr>
          <w:rFonts w:hint="eastAsia"/>
          <w:highlight w:val="none"/>
        </w:rPr>
        <w:t>2.协议期满后</w:t>
      </w:r>
      <w:r>
        <w:rPr>
          <w:rFonts w:hint="eastAsia"/>
          <w:highlight w:val="none"/>
          <w:lang w:eastAsia="zh-CN"/>
        </w:rPr>
        <w:t>，</w:t>
      </w:r>
      <w:r>
        <w:rPr>
          <w:rFonts w:hint="eastAsia"/>
          <w:highlight w:val="none"/>
        </w:rPr>
        <w:t>如甲方需乙方延续提供服务的</w:t>
      </w:r>
      <w:r>
        <w:rPr>
          <w:rFonts w:hint="eastAsia"/>
          <w:highlight w:val="none"/>
          <w:lang w:eastAsia="zh-CN"/>
        </w:rPr>
        <w:t>，</w:t>
      </w:r>
      <w:r>
        <w:rPr>
          <w:rFonts w:hint="eastAsia"/>
          <w:highlight w:val="none"/>
        </w:rPr>
        <w:t>乙方应按照本协议要求继续提供相关服务</w:t>
      </w:r>
      <w:r>
        <w:rPr>
          <w:rFonts w:hint="eastAsia"/>
          <w:highlight w:val="none"/>
          <w:lang w:eastAsia="zh-CN"/>
        </w:rPr>
        <w:t>，</w:t>
      </w:r>
      <w:r>
        <w:rPr>
          <w:rFonts w:hint="eastAsia"/>
          <w:highlight w:val="none"/>
        </w:rPr>
        <w:t>服务费用按照本协议约定金额的日均费用计算</w:t>
      </w:r>
      <w:r>
        <w:rPr>
          <w:rFonts w:hint="eastAsia"/>
          <w:highlight w:val="none"/>
          <w:lang w:eastAsia="zh-CN"/>
        </w:rPr>
        <w:t>，</w:t>
      </w:r>
      <w:r>
        <w:rPr>
          <w:rFonts w:hint="eastAsia"/>
          <w:highlight w:val="none"/>
        </w:rPr>
        <w:t>延续服务期不得超出本协议合同款项的10%</w:t>
      </w:r>
      <w:r>
        <w:rPr>
          <w:rFonts w:hint="eastAsia"/>
          <w:highlight w:val="none"/>
          <w:lang w:eastAsia="zh-CN"/>
        </w:rPr>
        <w:t>，</w:t>
      </w:r>
      <w:r>
        <w:rPr>
          <w:rFonts w:hint="eastAsia"/>
          <w:highlight w:val="none"/>
        </w:rPr>
        <w:t>服务费由甲方在延续服务期满后一个月内一次性支付乙方。</w:t>
      </w:r>
    </w:p>
    <w:p w14:paraId="3B2F6B1D">
      <w:pPr>
        <w:ind w:firstLine="480"/>
        <w:rPr>
          <w:highlight w:val="none"/>
        </w:rPr>
      </w:pPr>
      <w:r>
        <w:rPr>
          <w:rFonts w:hint="eastAsia"/>
          <w:highlight w:val="none"/>
        </w:rPr>
        <w:t>3.合同可以经双方协商一致解除</w:t>
      </w:r>
      <w:r>
        <w:rPr>
          <w:rFonts w:hint="eastAsia"/>
          <w:highlight w:val="none"/>
          <w:lang w:eastAsia="zh-CN"/>
        </w:rPr>
        <w:t>，</w:t>
      </w:r>
      <w:r>
        <w:rPr>
          <w:rFonts w:hint="eastAsia"/>
          <w:highlight w:val="none"/>
        </w:rPr>
        <w:t>或按照《</w:t>
      </w:r>
      <w:r>
        <w:rPr>
          <w:rFonts w:hint="eastAsia"/>
          <w:highlight w:val="none"/>
          <w:lang w:val="en-US" w:eastAsia="zh-CN"/>
        </w:rPr>
        <w:t>中华人民共和国</w:t>
      </w:r>
      <w:r>
        <w:rPr>
          <w:rFonts w:hint="eastAsia"/>
          <w:highlight w:val="none"/>
        </w:rPr>
        <w:t>民法典》的规定单方解除。</w:t>
      </w:r>
    </w:p>
    <w:p w14:paraId="7739D284">
      <w:pPr>
        <w:pStyle w:val="5"/>
        <w:rPr>
          <w:highlight w:val="none"/>
        </w:rPr>
      </w:pPr>
      <w:bookmarkStart w:id="352" w:name="_Toc8170"/>
      <w:r>
        <w:rPr>
          <w:rFonts w:hint="eastAsia"/>
          <w:highlight w:val="none"/>
          <w:lang w:val="en-US" w:eastAsia="zh-CN"/>
        </w:rPr>
        <w:t>九</w:t>
      </w:r>
      <w:r>
        <w:rPr>
          <w:rFonts w:hint="eastAsia"/>
          <w:highlight w:val="none"/>
        </w:rPr>
        <w:t>、</w:t>
      </w:r>
      <w:bookmarkEnd w:id="351"/>
      <w:bookmarkStart w:id="353" w:name="_Toc304"/>
      <w:r>
        <w:rPr>
          <w:rFonts w:hint="eastAsia"/>
          <w:highlight w:val="none"/>
        </w:rPr>
        <w:t>违约责任</w:t>
      </w:r>
      <w:bookmarkEnd w:id="353"/>
      <w:r>
        <w:rPr>
          <w:rFonts w:hint="eastAsia"/>
          <w:highlight w:val="none"/>
        </w:rPr>
        <w:t>与赔偿损失</w:t>
      </w:r>
      <w:bookmarkEnd w:id="352"/>
    </w:p>
    <w:p w14:paraId="0BEFE63D">
      <w:pPr>
        <w:ind w:firstLine="480"/>
        <w:rPr>
          <w:highlight w:val="none"/>
        </w:rPr>
      </w:pPr>
      <w:r>
        <w:rPr>
          <w:rFonts w:hint="eastAsia"/>
          <w:highlight w:val="none"/>
        </w:rPr>
        <w:t>1.</w:t>
      </w:r>
      <w:r>
        <w:rPr>
          <w:highlight w:val="none"/>
        </w:rPr>
        <w:t>甲方无正当理由拒收接受服务的</w:t>
      </w:r>
      <w:r>
        <w:rPr>
          <w:rFonts w:hint="eastAsia"/>
          <w:highlight w:val="none"/>
          <w:lang w:eastAsia="zh-CN"/>
        </w:rPr>
        <w:t>，</w:t>
      </w:r>
      <w:r>
        <w:rPr>
          <w:highlight w:val="none"/>
        </w:rPr>
        <w:t>甲方向乙方偿付合同款项百分之五作为违约金。</w:t>
      </w:r>
    </w:p>
    <w:p w14:paraId="0A6E29E3">
      <w:pPr>
        <w:ind w:firstLine="480"/>
        <w:rPr>
          <w:highlight w:val="none"/>
        </w:rPr>
      </w:pPr>
      <w:r>
        <w:rPr>
          <w:rFonts w:hint="eastAsia"/>
          <w:highlight w:val="none"/>
        </w:rPr>
        <w:t>2.甲方无故逾期验收和办理款项支付手续的</w:t>
      </w:r>
      <w:r>
        <w:rPr>
          <w:rFonts w:hint="eastAsia"/>
          <w:highlight w:val="none"/>
          <w:lang w:eastAsia="zh-CN"/>
        </w:rPr>
        <w:t>，</w:t>
      </w:r>
      <w:r>
        <w:rPr>
          <w:highlight w:val="none"/>
        </w:rPr>
        <w:t>甲方应按逾期付款总额每日万分之五向乙方支付违约金。</w:t>
      </w:r>
    </w:p>
    <w:p w14:paraId="76CFA08C">
      <w:pPr>
        <w:ind w:firstLine="480"/>
        <w:rPr>
          <w:highlight w:val="none"/>
        </w:rPr>
      </w:pPr>
      <w:r>
        <w:rPr>
          <w:rFonts w:hint="eastAsia"/>
          <w:highlight w:val="none"/>
        </w:rPr>
        <w:t>3.因乙方原因造成的质量事故、安全事故</w:t>
      </w:r>
      <w:r>
        <w:rPr>
          <w:rFonts w:hint="eastAsia"/>
          <w:highlight w:val="none"/>
          <w:lang w:eastAsia="zh-CN"/>
        </w:rPr>
        <w:t>，</w:t>
      </w:r>
      <w:r>
        <w:rPr>
          <w:rFonts w:hint="eastAsia"/>
          <w:highlight w:val="none"/>
        </w:rPr>
        <w:t>造成人身和财产损害的</w:t>
      </w:r>
      <w:r>
        <w:rPr>
          <w:rFonts w:hint="eastAsia"/>
          <w:highlight w:val="none"/>
          <w:lang w:eastAsia="zh-CN"/>
        </w:rPr>
        <w:t>，</w:t>
      </w:r>
      <w:r>
        <w:rPr>
          <w:rFonts w:hint="eastAsia"/>
          <w:highlight w:val="none"/>
        </w:rPr>
        <w:t>乙方承担全部行政、民事和刑事责任</w:t>
      </w:r>
      <w:r>
        <w:rPr>
          <w:rFonts w:hint="eastAsia"/>
          <w:highlight w:val="none"/>
          <w:lang w:eastAsia="zh-CN"/>
        </w:rPr>
        <w:t>，</w:t>
      </w:r>
      <w:r>
        <w:rPr>
          <w:rFonts w:hint="eastAsia"/>
          <w:highlight w:val="none"/>
        </w:rPr>
        <w:t>并承担损害赔偿责任。造成人员死亡等重大安全事故的还必须向甲方承担每次人民币5万元的违约赔偿金。</w:t>
      </w:r>
    </w:p>
    <w:p w14:paraId="1D6C20A9">
      <w:pPr>
        <w:ind w:firstLine="480"/>
        <w:rPr>
          <w:highlight w:val="none"/>
        </w:rPr>
      </w:pPr>
      <w:r>
        <w:rPr>
          <w:rFonts w:hint="eastAsia"/>
          <w:highlight w:val="none"/>
        </w:rPr>
        <w:t>4.乙方违反国家、省、市有关文明施工管理、卫生管理、噪声扬尘污染防治等规定</w:t>
      </w:r>
      <w:r>
        <w:rPr>
          <w:rFonts w:hint="eastAsia"/>
          <w:highlight w:val="none"/>
          <w:lang w:eastAsia="zh-CN"/>
        </w:rPr>
        <w:t>，</w:t>
      </w:r>
      <w:r>
        <w:rPr>
          <w:rFonts w:hint="eastAsia"/>
          <w:highlight w:val="none"/>
        </w:rPr>
        <w:t>造成后果的</w:t>
      </w:r>
      <w:r>
        <w:rPr>
          <w:rFonts w:hint="eastAsia"/>
          <w:highlight w:val="none"/>
          <w:lang w:eastAsia="zh-CN"/>
        </w:rPr>
        <w:t>，</w:t>
      </w:r>
      <w:r>
        <w:rPr>
          <w:rFonts w:hint="eastAsia"/>
          <w:highlight w:val="none"/>
        </w:rPr>
        <w:t>由乙方承担一切责任。一旦被政府有关职能部门处罚、负面通报和媒体负面曝光</w:t>
      </w:r>
      <w:r>
        <w:rPr>
          <w:rFonts w:hint="eastAsia"/>
          <w:highlight w:val="none"/>
          <w:lang w:eastAsia="zh-CN"/>
        </w:rPr>
        <w:t>，</w:t>
      </w:r>
      <w:r>
        <w:rPr>
          <w:rFonts w:hint="eastAsia"/>
          <w:highlight w:val="none"/>
        </w:rPr>
        <w:t>除接受相关部门处罚外</w:t>
      </w:r>
      <w:r>
        <w:rPr>
          <w:rFonts w:hint="eastAsia"/>
          <w:highlight w:val="none"/>
          <w:lang w:eastAsia="zh-CN"/>
        </w:rPr>
        <w:t>，</w:t>
      </w:r>
      <w:r>
        <w:rPr>
          <w:rFonts w:hint="eastAsia"/>
          <w:highlight w:val="none"/>
        </w:rPr>
        <w:t>还必须向甲方承担每次人民币1万元的违约赔偿金。</w:t>
      </w:r>
    </w:p>
    <w:p w14:paraId="645ECE85">
      <w:pPr>
        <w:ind w:firstLine="480"/>
        <w:rPr>
          <w:highlight w:val="none"/>
        </w:rPr>
      </w:pPr>
      <w:r>
        <w:rPr>
          <w:rFonts w:hint="eastAsia"/>
          <w:highlight w:val="none"/>
        </w:rPr>
        <w:t>5.以上违约赔偿</w:t>
      </w:r>
      <w:r>
        <w:rPr>
          <w:rFonts w:hint="eastAsia"/>
          <w:highlight w:val="none"/>
          <w:lang w:eastAsia="zh-CN"/>
        </w:rPr>
        <w:t>，</w:t>
      </w:r>
      <w:r>
        <w:rPr>
          <w:rFonts w:hint="eastAsia"/>
          <w:highlight w:val="none"/>
        </w:rPr>
        <w:t>甲方可在应付项目款中直接扣除。</w:t>
      </w:r>
    </w:p>
    <w:p w14:paraId="6913BAFA">
      <w:pPr>
        <w:pStyle w:val="5"/>
        <w:rPr>
          <w:rFonts w:hAnsi="宋体" w:cs="微软雅黑"/>
          <w:szCs w:val="21"/>
          <w:highlight w:val="none"/>
        </w:rPr>
      </w:pPr>
      <w:bookmarkStart w:id="354" w:name="_Toc1310"/>
      <w:bookmarkStart w:id="355" w:name="_Toc2291"/>
      <w:r>
        <w:rPr>
          <w:rFonts w:hint="eastAsia"/>
          <w:highlight w:val="none"/>
        </w:rPr>
        <w:t>十、不可抗力事件处理</w:t>
      </w:r>
      <w:bookmarkEnd w:id="354"/>
      <w:bookmarkEnd w:id="355"/>
    </w:p>
    <w:p w14:paraId="4CBBBA29">
      <w:pPr>
        <w:ind w:firstLine="480"/>
        <w:rPr>
          <w:highlight w:val="none"/>
        </w:rPr>
      </w:pPr>
      <w:r>
        <w:rPr>
          <w:rFonts w:hint="eastAsia"/>
          <w:highlight w:val="none"/>
        </w:rPr>
        <w:t>1.在合同有效期内</w:t>
      </w:r>
      <w:r>
        <w:rPr>
          <w:rFonts w:hint="eastAsia"/>
          <w:highlight w:val="none"/>
          <w:lang w:eastAsia="zh-CN"/>
        </w:rPr>
        <w:t>，</w:t>
      </w:r>
      <w:r>
        <w:rPr>
          <w:rFonts w:hint="eastAsia"/>
          <w:highlight w:val="none"/>
        </w:rPr>
        <w:t>任何一方因不可抗力事件导致不能履行合同</w:t>
      </w:r>
      <w:r>
        <w:rPr>
          <w:rFonts w:hint="eastAsia"/>
          <w:highlight w:val="none"/>
          <w:lang w:eastAsia="zh-CN"/>
        </w:rPr>
        <w:t>，</w:t>
      </w:r>
      <w:r>
        <w:rPr>
          <w:rFonts w:hint="eastAsia"/>
          <w:highlight w:val="none"/>
        </w:rPr>
        <w:t>则合同履行期可延长</w:t>
      </w:r>
      <w:r>
        <w:rPr>
          <w:rFonts w:hint="eastAsia"/>
          <w:highlight w:val="none"/>
          <w:lang w:eastAsia="zh-CN"/>
        </w:rPr>
        <w:t>，</w:t>
      </w:r>
      <w:r>
        <w:rPr>
          <w:rFonts w:hint="eastAsia"/>
          <w:highlight w:val="none"/>
        </w:rPr>
        <w:t>其延长期与不可抗力影响期相同。</w:t>
      </w:r>
    </w:p>
    <w:p w14:paraId="2884F1B7">
      <w:pPr>
        <w:ind w:firstLine="480"/>
        <w:rPr>
          <w:highlight w:val="none"/>
        </w:rPr>
      </w:pPr>
      <w:r>
        <w:rPr>
          <w:rFonts w:hint="eastAsia"/>
          <w:highlight w:val="none"/>
        </w:rPr>
        <w:t>2.不可抗力事件发生后</w:t>
      </w:r>
      <w:r>
        <w:rPr>
          <w:rFonts w:hint="eastAsia"/>
          <w:highlight w:val="none"/>
          <w:lang w:eastAsia="zh-CN"/>
        </w:rPr>
        <w:t>，</w:t>
      </w:r>
      <w:r>
        <w:rPr>
          <w:rFonts w:hint="eastAsia"/>
          <w:highlight w:val="none"/>
        </w:rPr>
        <w:t>应立即通知对方</w:t>
      </w:r>
      <w:r>
        <w:rPr>
          <w:rFonts w:hint="eastAsia"/>
          <w:highlight w:val="none"/>
          <w:lang w:eastAsia="zh-CN"/>
        </w:rPr>
        <w:t>，</w:t>
      </w:r>
      <w:r>
        <w:rPr>
          <w:rFonts w:hint="eastAsia"/>
          <w:highlight w:val="none"/>
        </w:rPr>
        <w:t>并寄送有关权威机构出具的证明。</w:t>
      </w:r>
    </w:p>
    <w:p w14:paraId="7C3C6233">
      <w:pPr>
        <w:ind w:firstLine="480"/>
        <w:rPr>
          <w:highlight w:val="none"/>
        </w:rPr>
      </w:pPr>
      <w:r>
        <w:rPr>
          <w:rFonts w:hint="eastAsia"/>
          <w:highlight w:val="none"/>
        </w:rPr>
        <w:t>3.不可抗力事件延续120天以上</w:t>
      </w:r>
      <w:r>
        <w:rPr>
          <w:rFonts w:hint="eastAsia"/>
          <w:highlight w:val="none"/>
          <w:lang w:eastAsia="zh-CN"/>
        </w:rPr>
        <w:t>，</w:t>
      </w:r>
      <w:r>
        <w:rPr>
          <w:rFonts w:hint="eastAsia"/>
          <w:highlight w:val="none"/>
        </w:rPr>
        <w:t>双方应通过友好协商</w:t>
      </w:r>
      <w:r>
        <w:rPr>
          <w:rFonts w:hint="eastAsia"/>
          <w:highlight w:val="none"/>
          <w:lang w:eastAsia="zh-CN"/>
        </w:rPr>
        <w:t>，</w:t>
      </w:r>
      <w:r>
        <w:rPr>
          <w:rFonts w:hint="eastAsia"/>
          <w:highlight w:val="none"/>
        </w:rPr>
        <w:t>确定是否继续履行合同。</w:t>
      </w:r>
    </w:p>
    <w:p w14:paraId="35334C9B">
      <w:pPr>
        <w:pStyle w:val="5"/>
        <w:rPr>
          <w:rFonts w:hAnsi="宋体" w:cs="微软雅黑"/>
          <w:szCs w:val="21"/>
          <w:highlight w:val="none"/>
        </w:rPr>
      </w:pPr>
      <w:bookmarkStart w:id="356" w:name="_Toc24855"/>
      <w:bookmarkStart w:id="357" w:name="_Toc18651"/>
      <w:r>
        <w:rPr>
          <w:rFonts w:hint="eastAsia"/>
          <w:highlight w:val="none"/>
        </w:rPr>
        <w:t>十</w:t>
      </w:r>
      <w:r>
        <w:rPr>
          <w:rFonts w:hint="eastAsia"/>
          <w:highlight w:val="none"/>
          <w:lang w:val="en-US" w:eastAsia="zh-CN"/>
        </w:rPr>
        <w:t>一</w:t>
      </w:r>
      <w:r>
        <w:rPr>
          <w:rFonts w:hint="eastAsia"/>
          <w:highlight w:val="none"/>
        </w:rPr>
        <w:t>、诉讼</w:t>
      </w:r>
      <w:bookmarkEnd w:id="356"/>
      <w:bookmarkEnd w:id="357"/>
    </w:p>
    <w:p w14:paraId="2B910425">
      <w:pPr>
        <w:ind w:firstLine="480"/>
        <w:rPr>
          <w:highlight w:val="none"/>
        </w:rPr>
      </w:pPr>
      <w:r>
        <w:rPr>
          <w:rFonts w:hint="eastAsia"/>
          <w:highlight w:val="none"/>
        </w:rPr>
        <w:t>双方在执行合同中所发生的一切争议</w:t>
      </w:r>
      <w:r>
        <w:rPr>
          <w:rFonts w:hint="eastAsia"/>
          <w:highlight w:val="none"/>
          <w:lang w:eastAsia="zh-CN"/>
        </w:rPr>
        <w:t>，</w:t>
      </w:r>
      <w:r>
        <w:rPr>
          <w:rFonts w:hint="eastAsia"/>
          <w:highlight w:val="none"/>
        </w:rPr>
        <w:t>应通过协商解决。如协商不成</w:t>
      </w:r>
      <w:r>
        <w:rPr>
          <w:rFonts w:hint="eastAsia"/>
          <w:highlight w:val="none"/>
          <w:lang w:eastAsia="zh-CN"/>
        </w:rPr>
        <w:t>，</w:t>
      </w:r>
      <w:r>
        <w:rPr>
          <w:rFonts w:hint="eastAsia"/>
          <w:highlight w:val="none"/>
        </w:rPr>
        <w:t>可向甲方所在地法院起诉。</w:t>
      </w:r>
    </w:p>
    <w:p w14:paraId="3643C866">
      <w:pPr>
        <w:pStyle w:val="5"/>
        <w:rPr>
          <w:rFonts w:hAnsi="宋体" w:cs="微软雅黑"/>
          <w:szCs w:val="21"/>
          <w:highlight w:val="none"/>
        </w:rPr>
      </w:pPr>
      <w:bookmarkStart w:id="358" w:name="_Toc10961"/>
      <w:bookmarkStart w:id="359" w:name="_Toc28361"/>
      <w:r>
        <w:rPr>
          <w:rFonts w:hint="eastAsia"/>
          <w:highlight w:val="none"/>
        </w:rPr>
        <w:t>十</w:t>
      </w:r>
      <w:r>
        <w:rPr>
          <w:rFonts w:hint="eastAsia"/>
          <w:highlight w:val="none"/>
          <w:lang w:val="en-US" w:eastAsia="zh-CN"/>
        </w:rPr>
        <w:t>二</w:t>
      </w:r>
      <w:r>
        <w:rPr>
          <w:rFonts w:hint="eastAsia"/>
          <w:highlight w:val="none"/>
        </w:rPr>
        <w:t>、合同生效及其它</w:t>
      </w:r>
      <w:bookmarkEnd w:id="358"/>
      <w:bookmarkEnd w:id="359"/>
    </w:p>
    <w:p w14:paraId="3DD12074">
      <w:pPr>
        <w:ind w:firstLine="480"/>
        <w:rPr>
          <w:highlight w:val="none"/>
        </w:rPr>
      </w:pPr>
      <w:r>
        <w:rPr>
          <w:rFonts w:hint="eastAsia"/>
          <w:highlight w:val="none"/>
        </w:rPr>
        <w:t>1.合同经双方法定代表人或授权代表签字并加盖单位公章</w:t>
      </w:r>
      <w:r>
        <w:rPr>
          <w:rFonts w:hint="eastAsia"/>
          <w:highlight w:val="none"/>
          <w:lang w:eastAsia="zh-CN"/>
        </w:rPr>
        <w:t>，</w:t>
      </w:r>
      <w:r>
        <w:rPr>
          <w:rFonts w:hint="eastAsia"/>
          <w:highlight w:val="none"/>
        </w:rPr>
        <w:t>龙游久圆工程管理有限公司加盖鉴证章后生效。</w:t>
      </w:r>
    </w:p>
    <w:p w14:paraId="2B2D5E59">
      <w:pPr>
        <w:ind w:firstLine="480"/>
        <w:rPr>
          <w:highlight w:val="none"/>
        </w:rPr>
      </w:pPr>
      <w:r>
        <w:rPr>
          <w:rFonts w:hint="eastAsia"/>
          <w:highlight w:val="none"/>
        </w:rPr>
        <w:t>2.本合同所有附件是合同之组成部分</w:t>
      </w:r>
      <w:r>
        <w:rPr>
          <w:rFonts w:hint="eastAsia"/>
          <w:highlight w:val="none"/>
          <w:lang w:eastAsia="zh-CN"/>
        </w:rPr>
        <w:t>，</w:t>
      </w:r>
      <w:r>
        <w:rPr>
          <w:rFonts w:hint="eastAsia"/>
          <w:highlight w:val="none"/>
        </w:rPr>
        <w:t>具同等法律效力</w:t>
      </w:r>
      <w:r>
        <w:rPr>
          <w:rFonts w:hint="eastAsia"/>
          <w:highlight w:val="none"/>
          <w:lang w:eastAsia="zh-CN"/>
        </w:rPr>
        <w:t>，</w:t>
      </w:r>
      <w:r>
        <w:rPr>
          <w:rFonts w:hint="eastAsia"/>
          <w:highlight w:val="none"/>
        </w:rPr>
        <w:t>并自合同签订之日起一并生效。</w:t>
      </w:r>
    </w:p>
    <w:p w14:paraId="4C7DBBDD">
      <w:pPr>
        <w:ind w:firstLine="480"/>
        <w:rPr>
          <w:highlight w:val="none"/>
        </w:rPr>
      </w:pPr>
      <w:r>
        <w:rPr>
          <w:rFonts w:hint="eastAsia"/>
          <w:highlight w:val="none"/>
        </w:rPr>
        <w:t>3.本合同未尽事宜</w:t>
      </w:r>
      <w:r>
        <w:rPr>
          <w:rFonts w:hint="eastAsia"/>
          <w:highlight w:val="none"/>
          <w:lang w:eastAsia="zh-CN"/>
        </w:rPr>
        <w:t>，</w:t>
      </w:r>
      <w:r>
        <w:rPr>
          <w:rFonts w:hint="eastAsia"/>
          <w:highlight w:val="none"/>
        </w:rPr>
        <w:t>遵照《中华人民共和国民法典》有关条文执行。</w:t>
      </w:r>
    </w:p>
    <w:p w14:paraId="4EE9490F">
      <w:pPr>
        <w:ind w:firstLine="480"/>
        <w:rPr>
          <w:highlight w:val="none"/>
        </w:rPr>
      </w:pPr>
      <w:r>
        <w:rPr>
          <w:rFonts w:hint="eastAsia"/>
          <w:highlight w:val="none"/>
        </w:rPr>
        <w:t>4.本合同正本一式七份</w:t>
      </w:r>
      <w:r>
        <w:rPr>
          <w:rFonts w:hint="eastAsia"/>
          <w:highlight w:val="none"/>
          <w:lang w:eastAsia="zh-CN"/>
        </w:rPr>
        <w:t>，</w:t>
      </w:r>
      <w:r>
        <w:rPr>
          <w:rFonts w:hint="eastAsia"/>
          <w:highlight w:val="none"/>
        </w:rPr>
        <w:t>具有同等法律效力</w:t>
      </w:r>
      <w:r>
        <w:rPr>
          <w:rFonts w:hint="eastAsia"/>
          <w:highlight w:val="none"/>
          <w:lang w:eastAsia="zh-CN"/>
        </w:rPr>
        <w:t>，</w:t>
      </w:r>
      <w:r>
        <w:rPr>
          <w:rFonts w:hint="eastAsia"/>
          <w:highlight w:val="none"/>
        </w:rPr>
        <w:t>甲乙双方各执三份</w:t>
      </w:r>
      <w:r>
        <w:rPr>
          <w:rFonts w:hint="eastAsia"/>
          <w:highlight w:val="none"/>
          <w:lang w:eastAsia="zh-CN"/>
        </w:rPr>
        <w:t>，</w:t>
      </w:r>
      <w:r>
        <w:rPr>
          <w:rFonts w:hint="eastAsia"/>
          <w:highlight w:val="none"/>
        </w:rPr>
        <w:t>龙游久圆工程管理有限公司执一份。</w:t>
      </w:r>
    </w:p>
    <w:p w14:paraId="2A584CBF">
      <w:pPr>
        <w:bidi w:val="0"/>
        <w:rPr>
          <w:rFonts w:hint="default" w:ascii="Times New Roman" w:hAnsi="Times New Roman" w:eastAsia="宋体"/>
          <w:highlight w:val="none"/>
          <w:lang w:val="en-US" w:eastAsia="zh-CN"/>
        </w:rPr>
      </w:pPr>
      <w:r>
        <w:rPr>
          <w:rFonts w:hint="eastAsia"/>
          <w:highlight w:val="none"/>
          <w:lang w:val="en-US" w:eastAsia="zh-CN"/>
        </w:rPr>
        <w:t>附件：项目绩效考核表</w:t>
      </w:r>
    </w:p>
    <w:p w14:paraId="5324A007">
      <w:pPr>
        <w:pStyle w:val="15"/>
        <w:adjustRightInd w:val="0"/>
        <w:snapToGrid w:val="0"/>
        <w:spacing w:line="400" w:lineRule="exact"/>
        <w:ind w:firstLine="422"/>
        <w:rPr>
          <w:rFonts w:ascii="Times New Roman" w:hAnsi="Times New Roman"/>
          <w:sz w:val="24"/>
          <w:highlight w:val="none"/>
        </w:rPr>
      </w:pPr>
    </w:p>
    <w:p w14:paraId="09F7AFDA">
      <w:pPr>
        <w:pStyle w:val="2"/>
        <w:snapToGrid w:val="0"/>
        <w:spacing w:after="0" w:line="360" w:lineRule="auto"/>
        <w:ind w:firstLine="0" w:firstLineChars="0"/>
        <w:rPr>
          <w:rFonts w:ascii="宋体" w:hAnsi="宋体" w:eastAsia="宋体" w:cs="宋体"/>
          <w:sz w:val="24"/>
          <w:highlight w:val="none"/>
        </w:rPr>
      </w:pPr>
      <w:r>
        <w:rPr>
          <w:rFonts w:hint="eastAsia" w:ascii="宋体" w:hAnsi="宋体" w:eastAsia="宋体" w:cs="宋体"/>
          <w:sz w:val="24"/>
          <w:highlight w:val="none"/>
        </w:rPr>
        <w:t>甲方</w:t>
      </w:r>
      <w:r>
        <w:rPr>
          <w:rFonts w:hint="eastAsia" w:ascii="宋体" w:hAnsi="宋体" w:eastAsia="宋体" w:cs="宋体"/>
          <w:sz w:val="24"/>
          <w:highlight w:val="none"/>
          <w:lang w:eastAsia="zh-CN"/>
        </w:rPr>
        <w:t>（</w:t>
      </w:r>
      <w:r>
        <w:rPr>
          <w:rFonts w:hint="eastAsia" w:ascii="宋体" w:hAnsi="宋体" w:eastAsia="宋体" w:cs="宋体"/>
          <w:sz w:val="24"/>
          <w:highlight w:val="none"/>
        </w:rPr>
        <w:t>盖章</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乙方</w:t>
      </w:r>
      <w:r>
        <w:rPr>
          <w:rFonts w:hint="eastAsia" w:ascii="宋体" w:hAnsi="宋体" w:eastAsia="宋体" w:cs="宋体"/>
          <w:sz w:val="24"/>
          <w:highlight w:val="none"/>
          <w:lang w:eastAsia="zh-CN"/>
        </w:rPr>
        <w:t>（</w:t>
      </w:r>
      <w:r>
        <w:rPr>
          <w:rFonts w:hint="eastAsia" w:ascii="宋体" w:hAnsi="宋体" w:eastAsia="宋体" w:cs="宋体"/>
          <w:sz w:val="24"/>
          <w:highlight w:val="none"/>
        </w:rPr>
        <w:t>盖章</w:t>
      </w:r>
      <w:r>
        <w:rPr>
          <w:rFonts w:hint="eastAsia" w:ascii="宋体" w:hAnsi="宋体" w:eastAsia="宋体" w:cs="宋体"/>
          <w:sz w:val="24"/>
          <w:highlight w:val="none"/>
          <w:lang w:eastAsia="zh-CN"/>
        </w:rPr>
        <w:t>）</w:t>
      </w:r>
      <w:r>
        <w:rPr>
          <w:rFonts w:hint="eastAsia" w:ascii="宋体" w:hAnsi="宋体" w:eastAsia="宋体" w:cs="宋体"/>
          <w:sz w:val="24"/>
          <w:highlight w:val="none"/>
        </w:rPr>
        <w:t>：</w:t>
      </w:r>
    </w:p>
    <w:p w14:paraId="1D382A32">
      <w:pPr>
        <w:spacing w:line="360" w:lineRule="auto"/>
        <w:ind w:firstLine="0" w:firstLineChars="0"/>
        <w:rPr>
          <w:rFonts w:ascii="宋体" w:hAnsi="宋体" w:cs="宋体"/>
          <w:highlight w:val="none"/>
        </w:rPr>
      </w:pPr>
      <w:r>
        <w:rPr>
          <w:rFonts w:hint="eastAsia" w:ascii="宋体" w:hAnsi="宋体" w:cs="宋体"/>
          <w:highlight w:val="none"/>
        </w:rPr>
        <w:t>法定代表人或委托                        法定代表人或委托</w:t>
      </w:r>
    </w:p>
    <w:p w14:paraId="2E13D2A4">
      <w:pPr>
        <w:spacing w:line="360" w:lineRule="auto"/>
        <w:ind w:firstLine="0" w:firstLineChars="0"/>
        <w:rPr>
          <w:highlight w:val="none"/>
        </w:rPr>
      </w:pPr>
      <w:r>
        <w:rPr>
          <w:rFonts w:hint="eastAsia"/>
          <w:highlight w:val="none"/>
        </w:rPr>
        <w:t>代理人（签字或盖章）：                  代理人（签字或盖章）：</w:t>
      </w:r>
    </w:p>
    <w:p w14:paraId="2AB513B9">
      <w:pPr>
        <w:pStyle w:val="2"/>
        <w:snapToGrid w:val="0"/>
        <w:spacing w:after="0" w:line="360" w:lineRule="auto"/>
        <w:ind w:firstLine="0" w:firstLineChars="0"/>
        <w:rPr>
          <w:rFonts w:ascii="宋体" w:hAnsi="宋体" w:eastAsia="宋体" w:cs="宋体"/>
          <w:sz w:val="24"/>
          <w:highlight w:val="none"/>
        </w:rPr>
      </w:pPr>
      <w:r>
        <w:rPr>
          <w:rFonts w:hint="eastAsia" w:ascii="宋体" w:hAnsi="宋体" w:eastAsia="宋体" w:cs="宋体"/>
          <w:sz w:val="24"/>
          <w:highlight w:val="none"/>
        </w:rPr>
        <w:t>地址：                                  地址：</w:t>
      </w:r>
    </w:p>
    <w:p w14:paraId="27BB9980">
      <w:pPr>
        <w:spacing w:line="360" w:lineRule="auto"/>
        <w:ind w:firstLine="0" w:firstLineChars="0"/>
        <w:rPr>
          <w:highlight w:val="none"/>
        </w:rPr>
      </w:pPr>
      <w:r>
        <w:rPr>
          <w:rFonts w:hint="eastAsia" w:ascii="宋体" w:hAnsi="宋体" w:cs="宋体"/>
          <w:highlight w:val="none"/>
        </w:rPr>
        <w:t>联系方式：                              联系方式：</w:t>
      </w:r>
    </w:p>
    <w:p w14:paraId="416DF7EC">
      <w:pPr>
        <w:pStyle w:val="2"/>
        <w:snapToGrid w:val="0"/>
        <w:spacing w:after="0" w:line="360" w:lineRule="auto"/>
        <w:ind w:firstLine="0" w:firstLineChars="0"/>
        <w:rPr>
          <w:rFonts w:ascii="宋体" w:hAnsi="宋体" w:eastAsia="宋体" w:cs="宋体"/>
          <w:sz w:val="24"/>
          <w:highlight w:val="none"/>
        </w:rPr>
      </w:pPr>
      <w:r>
        <w:rPr>
          <w:rFonts w:hint="eastAsia" w:ascii="宋体" w:hAnsi="宋体" w:eastAsia="宋体" w:cs="宋体"/>
          <w:sz w:val="24"/>
          <w:highlight w:val="none"/>
        </w:rPr>
        <w:t>签订日期：  年  月  日                  签订日期：  年  月  日</w:t>
      </w:r>
    </w:p>
    <w:p w14:paraId="0C3142EE">
      <w:pPr>
        <w:pStyle w:val="14"/>
        <w:spacing w:after="0" w:line="360" w:lineRule="auto"/>
        <w:ind w:left="0" w:leftChars="0" w:firstLine="0" w:firstLineChars="0"/>
        <w:rPr>
          <w:rFonts w:ascii="宋体" w:hAnsi="宋体" w:cs="宋体"/>
          <w:highlight w:val="none"/>
        </w:rPr>
      </w:pPr>
    </w:p>
    <w:p w14:paraId="4B317270">
      <w:pPr>
        <w:ind w:firstLine="0" w:firstLineChars="0"/>
        <w:rPr>
          <w:highlight w:val="none"/>
        </w:rPr>
      </w:pPr>
      <w:r>
        <w:rPr>
          <w:rFonts w:hint="eastAsia"/>
          <w:highlight w:val="none"/>
        </w:rPr>
        <w:t>合同鉴证方：龙游久圆工程管理有限公司</w:t>
      </w:r>
    </w:p>
    <w:p w14:paraId="1E7BB139">
      <w:pPr>
        <w:ind w:firstLine="0" w:firstLineChars="0"/>
        <w:rPr>
          <w:rFonts w:hint="eastAsia"/>
          <w:highlight w:val="none"/>
          <w:lang w:val="zh-CN"/>
        </w:rPr>
        <w:sectPr>
          <w:footerReference r:id="rId22" w:type="first"/>
          <w:footerReference r:id="rId21" w:type="default"/>
          <w:pgSz w:w="11906" w:h="16838"/>
          <w:pgMar w:top="1440" w:right="1800" w:bottom="1440" w:left="1800" w:header="1020" w:footer="992" w:gutter="0"/>
          <w:pgNumType w:fmt="decimal"/>
          <w:cols w:space="425" w:num="1"/>
          <w:titlePg/>
          <w:docGrid w:type="lines" w:linePitch="326" w:charSpace="0"/>
        </w:sectPr>
      </w:pPr>
      <w:r>
        <w:rPr>
          <w:rFonts w:hint="eastAsia"/>
          <w:highlight w:val="none"/>
        </w:rPr>
        <w:t>鉴证日期：</w:t>
      </w:r>
      <w:r>
        <w:rPr>
          <w:rFonts w:hint="eastAsia"/>
          <w:highlight w:val="none"/>
          <w:lang w:val="zh-CN"/>
        </w:rPr>
        <w:t xml:space="preserve">    年  月  日</w:t>
      </w:r>
    </w:p>
    <w:p w14:paraId="70C1F959">
      <w:pPr>
        <w:pStyle w:val="2"/>
        <w:rPr>
          <w:rFonts w:hint="eastAsia"/>
          <w:sz w:val="24"/>
          <w:szCs w:val="24"/>
          <w:highlight w:val="none"/>
          <w:lang w:val="en-US" w:eastAsia="zh-CN"/>
        </w:rPr>
      </w:pPr>
      <w:r>
        <w:rPr>
          <w:rFonts w:hint="eastAsia"/>
          <w:sz w:val="24"/>
          <w:szCs w:val="24"/>
          <w:highlight w:val="none"/>
          <w:lang w:val="en-US" w:eastAsia="zh-CN"/>
        </w:rPr>
        <w:t>附件</w:t>
      </w:r>
    </w:p>
    <w:p w14:paraId="3514A993">
      <w:pPr>
        <w:pStyle w:val="5"/>
        <w:bidi w:val="0"/>
        <w:jc w:val="center"/>
        <w:rPr>
          <w:rFonts w:hint="eastAsia"/>
          <w:highlight w:val="none"/>
          <w:lang w:val="en-US" w:eastAsia="zh-CN"/>
        </w:rPr>
      </w:pPr>
      <w:bookmarkStart w:id="360" w:name="_Toc2048"/>
      <w:r>
        <w:rPr>
          <w:rFonts w:hint="eastAsia"/>
          <w:highlight w:val="none"/>
          <w:lang w:val="en-US" w:eastAsia="zh-CN"/>
        </w:rPr>
        <w:t>项目绩效考核表</w:t>
      </w:r>
      <w:bookmarkEnd w:id="360"/>
    </w:p>
    <w:tbl>
      <w:tblPr>
        <w:tblStyle w:val="26"/>
        <w:tblW w:w="141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4"/>
        <w:gridCol w:w="2265"/>
        <w:gridCol w:w="9088"/>
        <w:gridCol w:w="775"/>
      </w:tblGrid>
      <w:tr w14:paraId="6A35B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jc w:val="center"/>
        </w:trPr>
        <w:tc>
          <w:tcPr>
            <w:tcW w:w="2034" w:type="dxa"/>
            <w:shd w:val="clear" w:color="auto" w:fill="auto"/>
            <w:vAlign w:val="center"/>
          </w:tcPr>
          <w:p w14:paraId="7D724AA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zh-CN"/>
              </w:rPr>
            </w:pPr>
            <w:r>
              <w:rPr>
                <w:rFonts w:hint="eastAsia"/>
                <w:highlight w:val="none"/>
              </w:rPr>
              <w:t>考核指标</w:t>
            </w:r>
          </w:p>
        </w:tc>
        <w:tc>
          <w:tcPr>
            <w:tcW w:w="11353" w:type="dxa"/>
            <w:gridSpan w:val="2"/>
            <w:shd w:val="clear" w:color="auto" w:fill="auto"/>
            <w:vAlign w:val="center"/>
          </w:tcPr>
          <w:p w14:paraId="24759DF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rPr>
            </w:pPr>
            <w:r>
              <w:rPr>
                <w:rFonts w:hint="eastAsia"/>
                <w:highlight w:val="none"/>
              </w:rPr>
              <w:t>评分内容</w:t>
            </w:r>
          </w:p>
        </w:tc>
        <w:tc>
          <w:tcPr>
            <w:tcW w:w="775" w:type="dxa"/>
            <w:shd w:val="clear" w:color="auto" w:fill="auto"/>
            <w:vAlign w:val="center"/>
          </w:tcPr>
          <w:p w14:paraId="3FEEAB5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zh-CN"/>
              </w:rPr>
            </w:pPr>
            <w:r>
              <w:rPr>
                <w:rFonts w:hint="eastAsia"/>
                <w:highlight w:val="none"/>
              </w:rPr>
              <w:t>得</w:t>
            </w:r>
            <w:r>
              <w:rPr>
                <w:rFonts w:hint="eastAsia"/>
                <w:highlight w:val="none"/>
                <w:lang w:val="zh-CN"/>
              </w:rPr>
              <w:t>分</w:t>
            </w:r>
          </w:p>
        </w:tc>
      </w:tr>
      <w:tr w14:paraId="44B15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2034" w:type="dxa"/>
            <w:vMerge w:val="restart"/>
            <w:vAlign w:val="center"/>
          </w:tcPr>
          <w:p w14:paraId="313425D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eastAsia="zh-CN"/>
              </w:rPr>
            </w:pPr>
            <w:r>
              <w:rPr>
                <w:rFonts w:hint="eastAsia"/>
                <w:highlight w:val="none"/>
                <w:lang w:eastAsia="zh-CN"/>
              </w:rPr>
              <w:t>政务网网络定期巡检</w:t>
            </w:r>
            <w:r>
              <w:rPr>
                <w:rFonts w:hint="eastAsia"/>
                <w:highlight w:val="none"/>
                <w:lang w:val="en-US" w:eastAsia="zh-CN"/>
              </w:rPr>
              <w:t>服务</w:t>
            </w:r>
          </w:p>
          <w:p w14:paraId="5ECCE84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eastAsia="zh-CN"/>
              </w:rPr>
            </w:pPr>
            <w:r>
              <w:rPr>
                <w:rFonts w:hint="eastAsia"/>
                <w:highlight w:val="none"/>
                <w:lang w:eastAsia="zh-CN"/>
              </w:rPr>
              <w:t>（</w:t>
            </w:r>
            <w:r>
              <w:rPr>
                <w:rFonts w:hint="eastAsia"/>
                <w:highlight w:val="none"/>
                <w:lang w:val="en-US" w:eastAsia="zh-CN"/>
              </w:rPr>
              <w:t>20分</w:t>
            </w:r>
            <w:r>
              <w:rPr>
                <w:rFonts w:hint="eastAsia"/>
                <w:highlight w:val="none"/>
                <w:lang w:eastAsia="zh-CN"/>
              </w:rPr>
              <w:t>）</w:t>
            </w:r>
          </w:p>
        </w:tc>
        <w:tc>
          <w:tcPr>
            <w:tcW w:w="2265" w:type="dxa"/>
            <w:vAlign w:val="center"/>
          </w:tcPr>
          <w:p w14:paraId="712A679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eastAsia="zh-CN"/>
              </w:rPr>
            </w:pPr>
            <w:r>
              <w:rPr>
                <w:rFonts w:hint="eastAsia"/>
                <w:highlight w:val="none"/>
                <w:lang w:val="en-US" w:eastAsia="zh-CN"/>
              </w:rPr>
              <w:t>月度</w:t>
            </w:r>
            <w:r>
              <w:rPr>
                <w:rFonts w:hint="eastAsia"/>
                <w:highlight w:val="none"/>
                <w:lang w:eastAsia="zh-CN"/>
              </w:rPr>
              <w:t>常态化远程巡检</w:t>
            </w:r>
          </w:p>
          <w:p w14:paraId="40B043E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eastAsia="zh-CN"/>
              </w:rPr>
            </w:pPr>
            <w:r>
              <w:rPr>
                <w:rFonts w:hint="eastAsia"/>
                <w:highlight w:val="none"/>
                <w:lang w:eastAsia="zh-CN"/>
              </w:rPr>
              <w:t>（</w:t>
            </w:r>
            <w:r>
              <w:rPr>
                <w:rFonts w:hint="eastAsia"/>
                <w:highlight w:val="none"/>
                <w:lang w:val="en-US" w:eastAsia="zh-CN"/>
              </w:rPr>
              <w:t>10分）</w:t>
            </w:r>
          </w:p>
        </w:tc>
        <w:tc>
          <w:tcPr>
            <w:tcW w:w="9088" w:type="dxa"/>
            <w:vAlign w:val="center"/>
          </w:tcPr>
          <w:p w14:paraId="0A2B65F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eastAsia="zh-CN"/>
              </w:rPr>
            </w:pPr>
            <w:r>
              <w:rPr>
                <w:rFonts w:hint="eastAsia"/>
                <w:highlight w:val="none"/>
              </w:rPr>
              <w:t>巡检内容包括但不限于网络安全设备、数据制作规范、主干线路运行、异常流量处置、设备告警处置等</w:t>
            </w:r>
            <w:r>
              <w:rPr>
                <w:rFonts w:hint="eastAsia"/>
                <w:highlight w:val="none"/>
                <w:lang w:eastAsia="zh-CN"/>
              </w:rPr>
              <w:t>，未按要求巡检的每发现一次扣</w:t>
            </w:r>
            <w:r>
              <w:rPr>
                <w:rFonts w:hint="eastAsia"/>
                <w:highlight w:val="none"/>
                <w:lang w:val="en-US" w:eastAsia="zh-CN"/>
              </w:rPr>
              <w:t>1分，扣完为止。</w:t>
            </w:r>
          </w:p>
        </w:tc>
        <w:tc>
          <w:tcPr>
            <w:tcW w:w="775" w:type="dxa"/>
            <w:vAlign w:val="center"/>
          </w:tcPr>
          <w:p w14:paraId="5AD55B2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zh-CN"/>
              </w:rPr>
            </w:pPr>
          </w:p>
        </w:tc>
      </w:tr>
      <w:tr w14:paraId="2D65A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2034" w:type="dxa"/>
            <w:vMerge w:val="continue"/>
            <w:vAlign w:val="center"/>
          </w:tcPr>
          <w:p w14:paraId="539C040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eastAsia="zh-CN"/>
              </w:rPr>
            </w:pPr>
          </w:p>
        </w:tc>
        <w:tc>
          <w:tcPr>
            <w:tcW w:w="2265" w:type="dxa"/>
            <w:vAlign w:val="center"/>
          </w:tcPr>
          <w:p w14:paraId="529F00A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eastAsia="zh-CN"/>
              </w:rPr>
            </w:pPr>
            <w:r>
              <w:rPr>
                <w:rFonts w:hint="eastAsia"/>
                <w:highlight w:val="none"/>
                <w:lang w:eastAsia="zh-CN"/>
              </w:rPr>
              <w:t>季度现场巡检</w:t>
            </w:r>
          </w:p>
          <w:p w14:paraId="153736B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rPr>
            </w:pPr>
            <w:r>
              <w:rPr>
                <w:rFonts w:hint="eastAsia"/>
                <w:highlight w:val="none"/>
                <w:lang w:eastAsia="zh-CN"/>
              </w:rPr>
              <w:t>（</w:t>
            </w:r>
            <w:r>
              <w:rPr>
                <w:rFonts w:hint="eastAsia"/>
                <w:highlight w:val="none"/>
                <w:lang w:val="en-US" w:eastAsia="zh-CN"/>
              </w:rPr>
              <w:t>10分</w:t>
            </w:r>
            <w:r>
              <w:rPr>
                <w:rFonts w:hint="eastAsia"/>
                <w:highlight w:val="none"/>
                <w:lang w:eastAsia="zh-CN"/>
              </w:rPr>
              <w:t>）</w:t>
            </w:r>
          </w:p>
        </w:tc>
        <w:tc>
          <w:tcPr>
            <w:tcW w:w="9088" w:type="dxa"/>
            <w:vAlign w:val="center"/>
          </w:tcPr>
          <w:p w14:paraId="2AFA03E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eastAsia="zh-CN"/>
              </w:rPr>
            </w:pPr>
            <w:r>
              <w:rPr>
                <w:rFonts w:hint="eastAsia"/>
                <w:highlight w:val="none"/>
              </w:rPr>
              <w:t>服务商每季度安排1名技术人员进行一次现场巡检。巡检内容包括但不限于光缆电缆的标签、布放、运行情况、传输设备、安全维护等</w:t>
            </w:r>
            <w:r>
              <w:rPr>
                <w:rFonts w:hint="eastAsia"/>
                <w:highlight w:val="none"/>
                <w:lang w:eastAsia="zh-CN"/>
              </w:rPr>
              <w:t>，未按要求巡检的每发现一次扣</w:t>
            </w:r>
            <w:r>
              <w:rPr>
                <w:rFonts w:hint="eastAsia"/>
                <w:highlight w:val="none"/>
                <w:lang w:val="en-US" w:eastAsia="zh-CN"/>
              </w:rPr>
              <w:t>1分，扣完为止。</w:t>
            </w:r>
          </w:p>
        </w:tc>
        <w:tc>
          <w:tcPr>
            <w:tcW w:w="775" w:type="dxa"/>
            <w:vAlign w:val="center"/>
          </w:tcPr>
          <w:p w14:paraId="4077508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zh-CN"/>
              </w:rPr>
            </w:pPr>
          </w:p>
        </w:tc>
      </w:tr>
      <w:tr w14:paraId="4130F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5" w:hRule="atLeast"/>
          <w:jc w:val="center"/>
        </w:trPr>
        <w:tc>
          <w:tcPr>
            <w:tcW w:w="2034" w:type="dxa"/>
            <w:vAlign w:val="center"/>
          </w:tcPr>
          <w:p w14:paraId="4A971FC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eastAsia="zh-CN"/>
              </w:rPr>
            </w:pPr>
            <w:r>
              <w:rPr>
                <w:rFonts w:hint="eastAsia"/>
                <w:highlight w:val="none"/>
                <w:lang w:val="en-US" w:eastAsia="zh-CN"/>
              </w:rPr>
              <w:t>政务网网络质量稳定性服务</w:t>
            </w:r>
          </w:p>
          <w:p w14:paraId="13D9344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eastAsia="zh-CN"/>
              </w:rPr>
            </w:pPr>
            <w:r>
              <w:rPr>
                <w:rFonts w:hint="eastAsia"/>
                <w:highlight w:val="none"/>
                <w:lang w:val="en-US" w:eastAsia="zh-CN"/>
              </w:rPr>
              <w:t>（25分）</w:t>
            </w:r>
          </w:p>
        </w:tc>
        <w:tc>
          <w:tcPr>
            <w:tcW w:w="2265" w:type="dxa"/>
            <w:vAlign w:val="center"/>
          </w:tcPr>
          <w:p w14:paraId="343F0DC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rPr>
            </w:pPr>
            <w:r>
              <w:rPr>
                <w:rFonts w:hint="eastAsia"/>
                <w:highlight w:val="none"/>
                <w:lang w:val="en-US"/>
              </w:rPr>
              <w:t>网络质量稳定性</w:t>
            </w:r>
          </w:p>
          <w:p w14:paraId="1D7D0BB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rPr>
            </w:pPr>
            <w:r>
              <w:rPr>
                <w:rFonts w:hint="eastAsia"/>
                <w:highlight w:val="none"/>
                <w:lang w:val="en-US"/>
              </w:rPr>
              <w:t>（25分）</w:t>
            </w:r>
          </w:p>
        </w:tc>
        <w:tc>
          <w:tcPr>
            <w:tcW w:w="9088" w:type="dxa"/>
            <w:vAlign w:val="center"/>
          </w:tcPr>
          <w:p w14:paraId="107E9E9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rPr>
            </w:pPr>
            <w:r>
              <w:rPr>
                <w:rFonts w:hint="eastAsia"/>
                <w:highlight w:val="none"/>
                <w:lang w:val="en-US"/>
              </w:rPr>
              <w:t>保障网络稳定运行，在网络结构上和运维服务上须确保龙游县政务外网的平稳运行，总体可用率不低于99.99%（计划性网络割接及意外突发性道路施工造成光缆中断等非抗力因素的原因除外）；对于接入单位出现的故障应在15分钟内响应，2小时内修复。难解决的故障经县大数据中心同意后，由双方协商限定时间解决。如出现特别重大事故（指造成全网或大部分网络瘫痪）的，扣20分；重大事故（指造成网络部分能力或部分区域瘫痪的），扣10分；一般性事故，扣2至5分，扣完为止。</w:t>
            </w:r>
          </w:p>
        </w:tc>
        <w:tc>
          <w:tcPr>
            <w:tcW w:w="775" w:type="dxa"/>
            <w:vAlign w:val="center"/>
          </w:tcPr>
          <w:p w14:paraId="48F8FB2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zh-CN"/>
              </w:rPr>
            </w:pPr>
          </w:p>
        </w:tc>
      </w:tr>
      <w:tr w14:paraId="1BBEE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2034" w:type="dxa"/>
            <w:vAlign w:val="center"/>
          </w:tcPr>
          <w:p w14:paraId="09FE025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eastAsia="zh-CN"/>
              </w:rPr>
            </w:pPr>
            <w:r>
              <w:rPr>
                <w:rFonts w:hint="eastAsia"/>
                <w:highlight w:val="none"/>
                <w:lang w:val="en-US" w:eastAsia="zh-CN"/>
              </w:rPr>
              <w:t>政务网网络安全保障服务</w:t>
            </w:r>
          </w:p>
          <w:p w14:paraId="26EAE8F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rPr>
            </w:pPr>
            <w:r>
              <w:rPr>
                <w:rFonts w:hint="eastAsia"/>
                <w:highlight w:val="none"/>
                <w:lang w:val="en-US" w:eastAsia="zh-CN"/>
              </w:rPr>
              <w:t>（15分）</w:t>
            </w:r>
          </w:p>
        </w:tc>
        <w:tc>
          <w:tcPr>
            <w:tcW w:w="2265" w:type="dxa"/>
            <w:vAlign w:val="center"/>
          </w:tcPr>
          <w:p w14:paraId="149C4E3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rPr>
            </w:pPr>
            <w:r>
              <w:rPr>
                <w:rFonts w:hint="eastAsia"/>
                <w:highlight w:val="none"/>
                <w:lang w:val="en-US"/>
              </w:rPr>
              <w:t>服务保障</w:t>
            </w:r>
          </w:p>
          <w:p w14:paraId="347B95B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rPr>
            </w:pPr>
            <w:r>
              <w:rPr>
                <w:rFonts w:hint="eastAsia"/>
                <w:highlight w:val="none"/>
                <w:lang w:val="en-US"/>
              </w:rPr>
              <w:t>（15分）</w:t>
            </w:r>
          </w:p>
        </w:tc>
        <w:tc>
          <w:tcPr>
            <w:tcW w:w="9088" w:type="dxa"/>
            <w:vAlign w:val="center"/>
          </w:tcPr>
          <w:p w14:paraId="2DE1465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rPr>
            </w:pPr>
            <w:r>
              <w:rPr>
                <w:rFonts w:hint="eastAsia"/>
                <w:highlight w:val="none"/>
                <w:lang w:val="en-US"/>
              </w:rPr>
              <w:t>因本项目提供的服务或设备出现问题，导致上级考核扣分、通报的，一次扣5分；经认定，因本项目服务内容落实不到位，导致其他单位投诉的，视情形每次扣2-10分，扣完为止。</w:t>
            </w:r>
          </w:p>
        </w:tc>
        <w:tc>
          <w:tcPr>
            <w:tcW w:w="775" w:type="dxa"/>
            <w:vAlign w:val="center"/>
          </w:tcPr>
          <w:p w14:paraId="2008A1F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zh-CN"/>
              </w:rPr>
            </w:pPr>
          </w:p>
        </w:tc>
      </w:tr>
      <w:tr w14:paraId="3C259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2034" w:type="dxa"/>
            <w:vMerge w:val="restart"/>
            <w:vAlign w:val="center"/>
          </w:tcPr>
          <w:p w14:paraId="53C4946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eastAsia="zh-CN"/>
              </w:rPr>
            </w:pPr>
            <w:r>
              <w:rPr>
                <w:rFonts w:hint="eastAsia"/>
                <w:highlight w:val="none"/>
                <w:lang w:val="en-US" w:eastAsia="zh-CN"/>
              </w:rPr>
              <w:t>数据安全平台维护服务</w:t>
            </w:r>
          </w:p>
          <w:p w14:paraId="3C36D79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rPr>
            </w:pPr>
            <w:r>
              <w:rPr>
                <w:rFonts w:hint="eastAsia"/>
                <w:highlight w:val="none"/>
                <w:lang w:val="en-US" w:eastAsia="zh-CN"/>
              </w:rPr>
              <w:t>（40分）</w:t>
            </w:r>
          </w:p>
        </w:tc>
        <w:tc>
          <w:tcPr>
            <w:tcW w:w="2265" w:type="dxa"/>
            <w:vAlign w:val="center"/>
          </w:tcPr>
          <w:p w14:paraId="5E1DD9F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rPr>
            </w:pPr>
            <w:r>
              <w:rPr>
                <w:rFonts w:hint="eastAsia"/>
                <w:highlight w:val="none"/>
                <w:lang w:val="en-US"/>
              </w:rPr>
              <w:t>数据安全检查评估服务（10分）</w:t>
            </w:r>
          </w:p>
        </w:tc>
        <w:tc>
          <w:tcPr>
            <w:tcW w:w="9088" w:type="dxa"/>
            <w:vAlign w:val="center"/>
          </w:tcPr>
          <w:p w14:paraId="6611765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rPr>
            </w:pPr>
            <w:r>
              <w:rPr>
                <w:rFonts w:hint="eastAsia"/>
                <w:highlight w:val="none"/>
                <w:lang w:val="en-US"/>
              </w:rPr>
              <w:t>在</w:t>
            </w:r>
            <w:r>
              <w:rPr>
                <w:rFonts w:hint="eastAsia"/>
                <w:highlight w:val="none"/>
              </w:rPr>
              <w:t>服务期内，</w:t>
            </w:r>
            <w:r>
              <w:rPr>
                <w:rFonts w:hint="eastAsia"/>
                <w:highlight w:val="none"/>
                <w:lang w:val="zh-CN"/>
              </w:rPr>
              <w:t>根据2024年“数安之江”网络数据安全专项行动要求，对公共数据平台开展数据安全评估工作，出具数据安全评估报告，</w:t>
            </w:r>
            <w:r>
              <w:rPr>
                <w:rFonts w:hint="eastAsia"/>
                <w:highlight w:val="none"/>
                <w:lang w:val="en-US"/>
              </w:rPr>
              <w:t>如在服务期内未能出具数据安全评估报告，</w:t>
            </w:r>
            <w:r>
              <w:rPr>
                <w:rFonts w:hint="eastAsia"/>
                <w:highlight w:val="none"/>
              </w:rPr>
              <w:t>本项</w:t>
            </w:r>
            <w:r>
              <w:rPr>
                <w:rFonts w:hint="eastAsia"/>
                <w:highlight w:val="none"/>
                <w:lang w:val="en-US"/>
              </w:rPr>
              <w:t>不得分</w:t>
            </w:r>
            <w:r>
              <w:rPr>
                <w:rFonts w:hint="eastAsia"/>
                <w:highlight w:val="none"/>
              </w:rPr>
              <w:t>。</w:t>
            </w:r>
          </w:p>
        </w:tc>
        <w:tc>
          <w:tcPr>
            <w:tcW w:w="775" w:type="dxa"/>
            <w:vAlign w:val="center"/>
          </w:tcPr>
          <w:p w14:paraId="51A254F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zh-CN"/>
              </w:rPr>
            </w:pPr>
          </w:p>
        </w:tc>
      </w:tr>
      <w:tr w14:paraId="72438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2034" w:type="dxa"/>
            <w:vMerge w:val="continue"/>
            <w:vAlign w:val="center"/>
          </w:tcPr>
          <w:p w14:paraId="2AFA17D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zh-CN"/>
              </w:rPr>
            </w:pPr>
          </w:p>
        </w:tc>
        <w:tc>
          <w:tcPr>
            <w:tcW w:w="2265" w:type="dxa"/>
            <w:vAlign w:val="center"/>
          </w:tcPr>
          <w:p w14:paraId="16DD5F8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rPr>
            </w:pPr>
            <w:r>
              <w:rPr>
                <w:rFonts w:hint="eastAsia"/>
                <w:highlight w:val="none"/>
                <w:lang w:val="en-US"/>
              </w:rPr>
              <w:t>维护迁移数据完整性</w:t>
            </w:r>
          </w:p>
          <w:p w14:paraId="2976EF5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rPr>
            </w:pPr>
            <w:r>
              <w:rPr>
                <w:rFonts w:hint="eastAsia"/>
                <w:highlight w:val="none"/>
                <w:lang w:val="en-US"/>
              </w:rPr>
              <w:t>（10分）</w:t>
            </w:r>
          </w:p>
        </w:tc>
        <w:tc>
          <w:tcPr>
            <w:tcW w:w="9088" w:type="dxa"/>
            <w:vAlign w:val="center"/>
          </w:tcPr>
          <w:p w14:paraId="57415D9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rPr>
            </w:pPr>
            <w:r>
              <w:rPr>
                <w:rFonts w:hint="eastAsia"/>
                <w:highlight w:val="none"/>
                <w:lang w:val="en-US"/>
              </w:rPr>
              <w:t>根据迁移数据的情况，后期对迁移后的数据维护进行评价，数据不完整、格式不规范的数据集，每个扣1分，扣完为止。</w:t>
            </w:r>
          </w:p>
        </w:tc>
        <w:tc>
          <w:tcPr>
            <w:tcW w:w="775" w:type="dxa"/>
            <w:vAlign w:val="center"/>
          </w:tcPr>
          <w:p w14:paraId="1AFD095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zh-CN"/>
              </w:rPr>
            </w:pPr>
          </w:p>
        </w:tc>
      </w:tr>
      <w:tr w14:paraId="49A83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2034" w:type="dxa"/>
            <w:vMerge w:val="continue"/>
            <w:vAlign w:val="center"/>
          </w:tcPr>
          <w:p w14:paraId="3C92C2A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zh-CN"/>
              </w:rPr>
            </w:pPr>
          </w:p>
        </w:tc>
        <w:tc>
          <w:tcPr>
            <w:tcW w:w="2265" w:type="dxa"/>
            <w:vAlign w:val="center"/>
          </w:tcPr>
          <w:p w14:paraId="233837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rPr>
            </w:pPr>
            <w:r>
              <w:rPr>
                <w:rFonts w:hint="eastAsia"/>
                <w:highlight w:val="none"/>
                <w:lang w:val="en-US"/>
              </w:rPr>
              <w:t>数据维护服务完整性</w:t>
            </w:r>
          </w:p>
          <w:p w14:paraId="3110406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rPr>
            </w:pPr>
            <w:r>
              <w:rPr>
                <w:rFonts w:hint="eastAsia"/>
                <w:highlight w:val="none"/>
                <w:lang w:val="en-US"/>
              </w:rPr>
              <w:t>（10分）</w:t>
            </w:r>
          </w:p>
        </w:tc>
        <w:tc>
          <w:tcPr>
            <w:tcW w:w="9088" w:type="dxa"/>
            <w:vAlign w:val="center"/>
          </w:tcPr>
          <w:p w14:paraId="316EB61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rPr>
            </w:pPr>
            <w:r>
              <w:rPr>
                <w:rFonts w:hint="eastAsia"/>
                <w:highlight w:val="none"/>
                <w:lang w:val="en-US"/>
              </w:rPr>
              <w:t>已有的数据安全技术平台，数据分类分级、数据权限管控、数据库审计、静态脱敏、数据库防火墙、数据水印、数据加密、数据安全态势感知等安全能力平台，按照系统更新计划定期完成系统升级；对平台运行过程中的系统故障进行排查和处理，保证平台运行稳定性；定期对平台使用情况进行巡检，及时解决巡检发现的问题；对数据局反馈的数据安全策略问题，协助开展对应策略更新，保障数据安全平台策略有效性，服务内容每少一项或未按时完成一项，扣1分，扣完为止。</w:t>
            </w:r>
          </w:p>
        </w:tc>
        <w:tc>
          <w:tcPr>
            <w:tcW w:w="775" w:type="dxa"/>
            <w:vAlign w:val="center"/>
          </w:tcPr>
          <w:p w14:paraId="7B8F610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zh-CN"/>
              </w:rPr>
            </w:pPr>
          </w:p>
        </w:tc>
      </w:tr>
      <w:tr w14:paraId="5543C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2034" w:type="dxa"/>
            <w:vMerge w:val="continue"/>
            <w:vAlign w:val="center"/>
          </w:tcPr>
          <w:p w14:paraId="0CD2EA1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rPr>
            </w:pPr>
          </w:p>
        </w:tc>
        <w:tc>
          <w:tcPr>
            <w:tcW w:w="2265" w:type="dxa"/>
            <w:vAlign w:val="center"/>
          </w:tcPr>
          <w:p w14:paraId="04175C5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rPr>
            </w:pPr>
            <w:r>
              <w:rPr>
                <w:rFonts w:hint="eastAsia"/>
                <w:highlight w:val="none"/>
                <w:lang w:val="en-US" w:eastAsia="zh-CN"/>
              </w:rPr>
              <w:t>数据</w:t>
            </w:r>
            <w:r>
              <w:rPr>
                <w:rFonts w:hint="eastAsia"/>
                <w:highlight w:val="none"/>
              </w:rPr>
              <w:t>安全隐患</w:t>
            </w:r>
            <w:r>
              <w:rPr>
                <w:rFonts w:hint="eastAsia"/>
                <w:highlight w:val="none"/>
                <w:lang w:val="en-US" w:eastAsia="zh-CN"/>
              </w:rPr>
              <w:t>及数据安全</w:t>
            </w:r>
            <w:r>
              <w:rPr>
                <w:rFonts w:hint="eastAsia"/>
                <w:highlight w:val="none"/>
              </w:rPr>
              <w:t>事件</w:t>
            </w:r>
          </w:p>
          <w:p w14:paraId="618825B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eastAsia="zh-CN"/>
              </w:rPr>
            </w:pPr>
            <w:r>
              <w:rPr>
                <w:rFonts w:hint="eastAsia"/>
                <w:highlight w:val="none"/>
                <w:lang w:eastAsia="zh-CN"/>
              </w:rPr>
              <w:t>（</w:t>
            </w:r>
            <w:r>
              <w:rPr>
                <w:rFonts w:hint="eastAsia"/>
                <w:highlight w:val="none"/>
                <w:lang w:val="en-US" w:eastAsia="zh-CN"/>
              </w:rPr>
              <w:t>10分</w:t>
            </w:r>
            <w:r>
              <w:rPr>
                <w:rFonts w:hint="eastAsia"/>
                <w:highlight w:val="none"/>
                <w:lang w:eastAsia="zh-CN"/>
              </w:rPr>
              <w:t>）</w:t>
            </w:r>
          </w:p>
        </w:tc>
        <w:tc>
          <w:tcPr>
            <w:tcW w:w="9088" w:type="dxa"/>
            <w:vAlign w:val="center"/>
          </w:tcPr>
          <w:p w14:paraId="3773F11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rPr>
            </w:pPr>
            <w:r>
              <w:rPr>
                <w:rFonts w:hint="eastAsia"/>
                <w:highlight w:val="none"/>
                <w:lang w:val="en-US"/>
              </w:rPr>
              <w:t>发现数据安全隐患，被省市通报的，经确认跟数据安全服务相关导致的问题，每发生一次扣1分</w:t>
            </w:r>
            <w:r>
              <w:rPr>
                <w:rFonts w:hint="eastAsia"/>
                <w:highlight w:val="none"/>
              </w:rPr>
              <w:t>，</w:t>
            </w:r>
            <w:r>
              <w:rPr>
                <w:rFonts w:hint="eastAsia"/>
                <w:highlight w:val="none"/>
                <w:lang w:val="en-US"/>
              </w:rPr>
              <w:t>扣完为止</w:t>
            </w:r>
            <w:r>
              <w:rPr>
                <w:rFonts w:hint="eastAsia"/>
                <w:highlight w:val="none"/>
              </w:rPr>
              <w:t>。发生数据安全事件，经确认跟数据安全服务相关导致的问题，每发生一次扣5分，扣完为止。</w:t>
            </w:r>
          </w:p>
        </w:tc>
        <w:tc>
          <w:tcPr>
            <w:tcW w:w="775" w:type="dxa"/>
            <w:vAlign w:val="center"/>
          </w:tcPr>
          <w:p w14:paraId="57991AB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zh-CN"/>
              </w:rPr>
            </w:pPr>
          </w:p>
        </w:tc>
      </w:tr>
      <w:tr w14:paraId="3C2DD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034" w:type="dxa"/>
            <w:vAlign w:val="center"/>
          </w:tcPr>
          <w:p w14:paraId="5E0345F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zh-CN"/>
              </w:rPr>
            </w:pPr>
            <w:r>
              <w:rPr>
                <w:rFonts w:hint="eastAsia"/>
                <w:highlight w:val="none"/>
                <w:lang w:val="zh-CN"/>
              </w:rPr>
              <w:t>总</w:t>
            </w:r>
            <w:r>
              <w:rPr>
                <w:rFonts w:hint="eastAsia"/>
                <w:highlight w:val="none"/>
              </w:rPr>
              <w:t>得</w:t>
            </w:r>
            <w:r>
              <w:rPr>
                <w:rFonts w:hint="eastAsia"/>
                <w:highlight w:val="none"/>
                <w:lang w:val="zh-CN"/>
              </w:rPr>
              <w:t>分</w:t>
            </w:r>
          </w:p>
        </w:tc>
        <w:tc>
          <w:tcPr>
            <w:tcW w:w="12128" w:type="dxa"/>
            <w:gridSpan w:val="3"/>
            <w:vAlign w:val="center"/>
          </w:tcPr>
          <w:p w14:paraId="3026059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zh-CN"/>
              </w:rPr>
            </w:pPr>
          </w:p>
        </w:tc>
      </w:tr>
    </w:tbl>
    <w:p w14:paraId="7393C3BF">
      <w:pPr>
        <w:bidi w:val="0"/>
        <w:rPr>
          <w:rFonts w:hint="eastAsia"/>
          <w:highlight w:val="none"/>
          <w:lang w:val="en-US" w:eastAsia="zh-CN"/>
        </w:rPr>
      </w:pPr>
      <w:r>
        <w:rPr>
          <w:rFonts w:hint="eastAsia"/>
          <w:highlight w:val="none"/>
          <w:lang w:val="en-US" w:eastAsia="zh-CN"/>
        </w:rPr>
        <w:t>考核等级分为优良（70-100分）、一般（60-70分）、较差（低于60分），考核结果优秀的，款项按照合同金额全部付清；考核结果为一般的，扣除合同总金额的5%；考核结果较差的扣除合同金额的10%；考核完成后方可开展项目的验收和合同尾款支付。</w:t>
      </w:r>
    </w:p>
    <w:p w14:paraId="113F31FF">
      <w:pPr>
        <w:pStyle w:val="2"/>
        <w:rPr>
          <w:rFonts w:hint="eastAsia"/>
          <w:highlight w:val="none"/>
          <w:lang w:val="en-US" w:eastAsia="zh-CN"/>
        </w:rPr>
      </w:pPr>
    </w:p>
    <w:p w14:paraId="1A6683A1">
      <w:pPr>
        <w:pStyle w:val="3"/>
        <w:rPr>
          <w:rFonts w:hint="eastAsia"/>
          <w:highlight w:val="none"/>
          <w:lang w:val="en-US" w:eastAsia="zh-CN"/>
        </w:rPr>
        <w:sectPr>
          <w:pgSz w:w="16838" w:h="11906" w:orient="landscape"/>
          <w:pgMar w:top="1800" w:right="1440" w:bottom="1800" w:left="1440" w:header="1020" w:footer="992" w:gutter="0"/>
          <w:pgNumType w:fmt="decimal"/>
          <w:cols w:space="425" w:num="1"/>
          <w:titlePg/>
          <w:docGrid w:type="lines" w:linePitch="326" w:charSpace="0"/>
        </w:sectPr>
      </w:pPr>
    </w:p>
    <w:p w14:paraId="0C9E53EA">
      <w:pPr>
        <w:pStyle w:val="2"/>
        <w:rPr>
          <w:rFonts w:hint="eastAsia"/>
          <w:highlight w:val="none"/>
          <w:lang w:val="en-US" w:eastAsia="zh-CN"/>
        </w:rPr>
      </w:pPr>
    </w:p>
    <w:bookmarkEnd w:id="335"/>
    <w:p w14:paraId="4A063EED">
      <w:pPr>
        <w:pStyle w:val="4"/>
        <w:bidi w:val="0"/>
        <w:rPr>
          <w:highlight w:val="none"/>
        </w:rPr>
      </w:pPr>
      <w:bookmarkStart w:id="361" w:name="_Toc932"/>
      <w:bookmarkStart w:id="362" w:name="_Toc5226"/>
      <w:bookmarkStart w:id="363" w:name="_Toc8725"/>
      <w:bookmarkStart w:id="364" w:name="_Toc18417"/>
      <w:bookmarkStart w:id="365" w:name="_Toc5985"/>
      <w:bookmarkStart w:id="366" w:name="_Toc16390"/>
      <w:bookmarkStart w:id="367" w:name="_Toc6085"/>
      <w:bookmarkStart w:id="368" w:name="_Toc17492"/>
      <w:r>
        <w:rPr>
          <w:highlight w:val="none"/>
        </w:rPr>
        <w:t>第</w:t>
      </w:r>
      <w:r>
        <w:rPr>
          <w:rFonts w:hint="eastAsia"/>
          <w:highlight w:val="none"/>
        </w:rPr>
        <w:t>六</w:t>
      </w:r>
      <w:r>
        <w:rPr>
          <w:highlight w:val="none"/>
        </w:rPr>
        <w:t>章</w:t>
      </w:r>
      <w:r>
        <w:rPr>
          <w:rFonts w:hint="eastAsia"/>
          <w:highlight w:val="none"/>
        </w:rPr>
        <w:t xml:space="preserve">  评审办法和评分标准</w:t>
      </w:r>
      <w:bookmarkEnd w:id="361"/>
      <w:bookmarkEnd w:id="362"/>
      <w:bookmarkEnd w:id="363"/>
      <w:bookmarkEnd w:id="364"/>
      <w:bookmarkEnd w:id="365"/>
      <w:bookmarkEnd w:id="366"/>
      <w:bookmarkEnd w:id="367"/>
      <w:bookmarkEnd w:id="368"/>
    </w:p>
    <w:p w14:paraId="69196515">
      <w:pPr>
        <w:ind w:firstLine="480"/>
        <w:rPr>
          <w:rFonts w:ascii="宋体" w:hAnsi="宋体" w:cs="Arial"/>
          <w:szCs w:val="21"/>
          <w:highlight w:val="none"/>
        </w:rPr>
      </w:pPr>
      <w:r>
        <w:rPr>
          <w:highlight w:val="none"/>
        </w:rPr>
        <w:t>本评审办法遵照《中华人民共和国政府采购法》</w:t>
      </w:r>
      <w:r>
        <w:rPr>
          <w:rFonts w:hint="eastAsia"/>
          <w:highlight w:val="none"/>
        </w:rPr>
        <w:t>、《政府采购竞争性磋商采购方式管理暂行办法》等</w:t>
      </w:r>
      <w:r>
        <w:rPr>
          <w:highlight w:val="none"/>
        </w:rPr>
        <w:t>有关规定</w:t>
      </w:r>
      <w:r>
        <w:rPr>
          <w:rFonts w:hint="eastAsia"/>
          <w:highlight w:val="none"/>
          <w:lang w:eastAsia="zh-CN"/>
        </w:rPr>
        <w:t>，</w:t>
      </w:r>
      <w:r>
        <w:rPr>
          <w:highlight w:val="none"/>
        </w:rPr>
        <w:t>并结合本项目的具体情况制定。</w:t>
      </w:r>
    </w:p>
    <w:p w14:paraId="01EBC6E8">
      <w:pPr>
        <w:pStyle w:val="5"/>
        <w:rPr>
          <w:highlight w:val="none"/>
        </w:rPr>
      </w:pPr>
      <w:bookmarkStart w:id="369" w:name="_Toc24288"/>
      <w:bookmarkStart w:id="370" w:name="_Toc10289"/>
      <w:bookmarkStart w:id="371" w:name="_Toc818"/>
      <w:bookmarkStart w:id="372" w:name="_Toc31535"/>
      <w:bookmarkStart w:id="373" w:name="_Toc30786"/>
      <w:bookmarkStart w:id="374" w:name="_Toc32324"/>
      <w:bookmarkStart w:id="375" w:name="_Toc16899"/>
      <w:bookmarkStart w:id="376" w:name="_Toc13324"/>
      <w:r>
        <w:rPr>
          <w:highlight w:val="none"/>
        </w:rPr>
        <w:t>一、总则</w:t>
      </w:r>
      <w:bookmarkEnd w:id="369"/>
      <w:bookmarkEnd w:id="370"/>
      <w:bookmarkEnd w:id="371"/>
      <w:bookmarkEnd w:id="372"/>
      <w:bookmarkEnd w:id="373"/>
      <w:bookmarkEnd w:id="374"/>
      <w:bookmarkEnd w:id="375"/>
      <w:bookmarkEnd w:id="376"/>
    </w:p>
    <w:p w14:paraId="232BC03D">
      <w:pPr>
        <w:ind w:firstLine="480"/>
        <w:rPr>
          <w:highlight w:val="none"/>
        </w:rPr>
      </w:pPr>
      <w:r>
        <w:rPr>
          <w:highlight w:val="none"/>
        </w:rPr>
        <w:t>1.为公正、公平、科学地选择成交供应商</w:t>
      </w:r>
      <w:r>
        <w:rPr>
          <w:rFonts w:hint="eastAsia"/>
          <w:highlight w:val="none"/>
          <w:lang w:eastAsia="zh-CN"/>
        </w:rPr>
        <w:t>，</w:t>
      </w:r>
      <w:r>
        <w:rPr>
          <w:highlight w:val="none"/>
        </w:rPr>
        <w:t>根据《中华人民共和国政府采购法》《中华人民共和国政府采购法实施条例》《政府采购竞争性磋商采购方式管理暂行办法》等有关规定</w:t>
      </w:r>
      <w:r>
        <w:rPr>
          <w:rFonts w:hint="eastAsia"/>
          <w:highlight w:val="none"/>
          <w:lang w:eastAsia="zh-CN"/>
        </w:rPr>
        <w:t>，</w:t>
      </w:r>
      <w:r>
        <w:rPr>
          <w:highlight w:val="none"/>
        </w:rPr>
        <w:t>并结合本项目的实际</w:t>
      </w:r>
      <w:r>
        <w:rPr>
          <w:rFonts w:hint="eastAsia"/>
          <w:highlight w:val="none"/>
          <w:lang w:eastAsia="zh-CN"/>
        </w:rPr>
        <w:t>，</w:t>
      </w:r>
      <w:r>
        <w:rPr>
          <w:highlight w:val="none"/>
        </w:rPr>
        <w:t>制定本办法。</w:t>
      </w:r>
    </w:p>
    <w:p w14:paraId="2FDB96B7">
      <w:pPr>
        <w:ind w:firstLine="480"/>
        <w:rPr>
          <w:highlight w:val="none"/>
        </w:rPr>
      </w:pPr>
      <w:r>
        <w:rPr>
          <w:highlight w:val="none"/>
        </w:rPr>
        <w:t>2.评审工作由采购代理机构负责组织</w:t>
      </w:r>
      <w:r>
        <w:rPr>
          <w:rFonts w:hint="eastAsia"/>
          <w:highlight w:val="none"/>
          <w:lang w:eastAsia="zh-CN"/>
        </w:rPr>
        <w:t>，</w:t>
      </w:r>
      <w:r>
        <w:rPr>
          <w:highlight w:val="none"/>
        </w:rPr>
        <w:t>具体评审事务由采购组织机构依法组建的</w:t>
      </w:r>
      <w:r>
        <w:rPr>
          <w:rFonts w:hint="eastAsia"/>
          <w:highlight w:val="none"/>
        </w:rPr>
        <w:t>磋商小组</w:t>
      </w:r>
      <w:r>
        <w:rPr>
          <w:highlight w:val="none"/>
        </w:rPr>
        <w:t>负责。</w:t>
      </w:r>
    </w:p>
    <w:p w14:paraId="557A924B">
      <w:pPr>
        <w:ind w:firstLine="480"/>
        <w:rPr>
          <w:highlight w:val="none"/>
        </w:rPr>
      </w:pPr>
      <w:r>
        <w:rPr>
          <w:highlight w:val="none"/>
        </w:rPr>
        <w:t>3.</w:t>
      </w:r>
      <w:r>
        <w:rPr>
          <w:rFonts w:hint="eastAsia"/>
          <w:highlight w:val="none"/>
        </w:rPr>
        <w:t>磋商小组</w:t>
      </w:r>
      <w:r>
        <w:rPr>
          <w:highlight w:val="none"/>
        </w:rPr>
        <w:t>评价响应文件的响应性</w:t>
      </w:r>
      <w:r>
        <w:rPr>
          <w:rFonts w:hint="eastAsia"/>
          <w:highlight w:val="none"/>
          <w:lang w:eastAsia="zh-CN"/>
        </w:rPr>
        <w:t>，</w:t>
      </w:r>
      <w:r>
        <w:rPr>
          <w:highlight w:val="none"/>
        </w:rPr>
        <w:t>对于供应商而言</w:t>
      </w:r>
      <w:r>
        <w:rPr>
          <w:rFonts w:hint="eastAsia"/>
          <w:highlight w:val="none"/>
          <w:lang w:eastAsia="zh-CN"/>
        </w:rPr>
        <w:t>，</w:t>
      </w:r>
      <w:r>
        <w:rPr>
          <w:highlight w:val="none"/>
        </w:rPr>
        <w:t>除</w:t>
      </w:r>
      <w:r>
        <w:rPr>
          <w:rFonts w:hint="eastAsia"/>
          <w:highlight w:val="none"/>
        </w:rPr>
        <w:t>磋商小组</w:t>
      </w:r>
      <w:r>
        <w:rPr>
          <w:highlight w:val="none"/>
        </w:rPr>
        <w:t>要求其澄清、说明或者更正而提供的资料外</w:t>
      </w:r>
      <w:r>
        <w:rPr>
          <w:rFonts w:hint="eastAsia"/>
          <w:highlight w:val="none"/>
          <w:lang w:eastAsia="zh-CN"/>
        </w:rPr>
        <w:t>，</w:t>
      </w:r>
      <w:r>
        <w:rPr>
          <w:highlight w:val="none"/>
        </w:rPr>
        <w:t>仅依据响应文件本身的内容</w:t>
      </w:r>
      <w:r>
        <w:rPr>
          <w:rFonts w:hint="eastAsia"/>
          <w:highlight w:val="none"/>
          <w:lang w:eastAsia="zh-CN"/>
        </w:rPr>
        <w:t>，</w:t>
      </w:r>
      <w:r>
        <w:rPr>
          <w:highlight w:val="none"/>
        </w:rPr>
        <w:t>不寻求其他外部证据。如供应商提交的资质证明或其他内容不齐全</w:t>
      </w:r>
      <w:r>
        <w:rPr>
          <w:rFonts w:hint="eastAsia"/>
          <w:highlight w:val="none"/>
          <w:lang w:eastAsia="zh-CN"/>
        </w:rPr>
        <w:t>，</w:t>
      </w:r>
      <w:r>
        <w:rPr>
          <w:highlight w:val="none"/>
        </w:rPr>
        <w:t>由此造成的后果由供应商自己负责。</w:t>
      </w:r>
    </w:p>
    <w:p w14:paraId="28B0695D">
      <w:pPr>
        <w:ind w:firstLine="480"/>
        <w:rPr>
          <w:highlight w:val="none"/>
        </w:rPr>
      </w:pPr>
      <w:r>
        <w:rPr>
          <w:highlight w:val="none"/>
        </w:rPr>
        <w:t>4.本项目评审采用不公开方式进行。供应商商务技术得分、最后报价及得分在磋商结束后一并同时公布。</w:t>
      </w:r>
    </w:p>
    <w:p w14:paraId="67DBD7C9">
      <w:pPr>
        <w:ind w:firstLine="480"/>
        <w:rPr>
          <w:rFonts w:ascii="宋体" w:hAnsi="宋体"/>
          <w:szCs w:val="21"/>
          <w:highlight w:val="none"/>
        </w:rPr>
      </w:pPr>
      <w:r>
        <w:rPr>
          <w:highlight w:val="none"/>
        </w:rPr>
        <w:t>5.本次评审采用综合评分法。</w:t>
      </w:r>
    </w:p>
    <w:p w14:paraId="78DEBB97">
      <w:pPr>
        <w:pStyle w:val="5"/>
        <w:rPr>
          <w:highlight w:val="none"/>
        </w:rPr>
      </w:pPr>
      <w:bookmarkStart w:id="377" w:name="_Toc14156"/>
      <w:bookmarkStart w:id="378" w:name="_Toc8997"/>
      <w:bookmarkStart w:id="379" w:name="_Toc2526"/>
      <w:bookmarkStart w:id="380" w:name="_Toc19212"/>
      <w:bookmarkStart w:id="381" w:name="_Toc29228"/>
      <w:bookmarkStart w:id="382" w:name="_Toc2493"/>
      <w:bookmarkStart w:id="383" w:name="_Toc5402"/>
      <w:bookmarkStart w:id="384" w:name="_Toc30653"/>
      <w:r>
        <w:rPr>
          <w:highlight w:val="none"/>
        </w:rPr>
        <w:t>二、组建</w:t>
      </w:r>
      <w:r>
        <w:rPr>
          <w:rFonts w:hint="eastAsia"/>
          <w:highlight w:val="none"/>
        </w:rPr>
        <w:t>磋商小组</w:t>
      </w:r>
      <w:bookmarkEnd w:id="377"/>
      <w:bookmarkEnd w:id="378"/>
      <w:bookmarkEnd w:id="379"/>
      <w:bookmarkEnd w:id="380"/>
      <w:bookmarkEnd w:id="381"/>
      <w:bookmarkEnd w:id="382"/>
      <w:bookmarkEnd w:id="383"/>
      <w:bookmarkEnd w:id="384"/>
    </w:p>
    <w:p w14:paraId="33E067E5">
      <w:pPr>
        <w:ind w:firstLine="480"/>
        <w:rPr>
          <w:highlight w:val="none"/>
        </w:rPr>
      </w:pPr>
      <w:r>
        <w:rPr>
          <w:highlight w:val="none"/>
        </w:rPr>
        <w:t>1.采购人将根据相关规定和采购项目的特点由采购人和技术、经济等方面专家组成</w:t>
      </w:r>
      <w:r>
        <w:rPr>
          <w:rFonts w:hint="eastAsia"/>
          <w:highlight w:val="none"/>
        </w:rPr>
        <w:t>磋商小组</w:t>
      </w:r>
      <w:r>
        <w:rPr>
          <w:rFonts w:hint="eastAsia"/>
          <w:highlight w:val="none"/>
          <w:lang w:eastAsia="zh-CN"/>
        </w:rPr>
        <w:t>，</w:t>
      </w:r>
      <w:r>
        <w:rPr>
          <w:rFonts w:hint="eastAsia"/>
          <w:highlight w:val="none"/>
        </w:rPr>
        <w:t>磋商小组</w:t>
      </w:r>
      <w:r>
        <w:rPr>
          <w:highlight w:val="none"/>
        </w:rPr>
        <w:t>成员人数见供应商须知前附表。</w:t>
      </w:r>
    </w:p>
    <w:p w14:paraId="40144068">
      <w:pPr>
        <w:ind w:firstLine="480"/>
        <w:rPr>
          <w:rFonts w:ascii="宋体" w:hAnsi="宋体"/>
          <w:szCs w:val="21"/>
          <w:highlight w:val="none"/>
        </w:rPr>
      </w:pPr>
      <w:r>
        <w:rPr>
          <w:highlight w:val="none"/>
        </w:rPr>
        <w:t>2.除依法组建的</w:t>
      </w:r>
      <w:r>
        <w:rPr>
          <w:rFonts w:hint="eastAsia"/>
          <w:highlight w:val="none"/>
        </w:rPr>
        <w:t>磋商小组</w:t>
      </w:r>
      <w:r>
        <w:rPr>
          <w:highlight w:val="none"/>
        </w:rPr>
        <w:t>成员以外</w:t>
      </w:r>
      <w:r>
        <w:rPr>
          <w:rFonts w:hint="eastAsia"/>
          <w:highlight w:val="none"/>
          <w:lang w:eastAsia="zh-CN"/>
        </w:rPr>
        <w:t>，</w:t>
      </w:r>
      <w:r>
        <w:rPr>
          <w:highlight w:val="none"/>
        </w:rPr>
        <w:t>其他任何人不得参加或者替代评审。</w:t>
      </w:r>
    </w:p>
    <w:p w14:paraId="69B04F50">
      <w:pPr>
        <w:pStyle w:val="5"/>
        <w:rPr>
          <w:highlight w:val="none"/>
        </w:rPr>
      </w:pPr>
      <w:bookmarkStart w:id="385" w:name="_Toc28664"/>
      <w:bookmarkStart w:id="386" w:name="_Toc13297"/>
      <w:bookmarkStart w:id="387" w:name="_Toc17372"/>
      <w:bookmarkStart w:id="388" w:name="_Toc29798"/>
      <w:bookmarkStart w:id="389" w:name="_Toc11866"/>
      <w:bookmarkStart w:id="390" w:name="_Toc29094"/>
      <w:bookmarkStart w:id="391" w:name="_Toc8677"/>
      <w:bookmarkStart w:id="392" w:name="_Toc28169"/>
      <w:r>
        <w:rPr>
          <w:highlight w:val="none"/>
        </w:rPr>
        <w:t>三、评审原则</w:t>
      </w:r>
      <w:bookmarkEnd w:id="385"/>
      <w:bookmarkEnd w:id="386"/>
      <w:bookmarkEnd w:id="387"/>
      <w:bookmarkEnd w:id="388"/>
      <w:bookmarkEnd w:id="389"/>
      <w:bookmarkEnd w:id="390"/>
      <w:bookmarkEnd w:id="391"/>
      <w:bookmarkEnd w:id="392"/>
    </w:p>
    <w:p w14:paraId="6F013396">
      <w:pPr>
        <w:ind w:firstLine="480"/>
        <w:rPr>
          <w:highlight w:val="none"/>
        </w:rPr>
      </w:pPr>
      <w:r>
        <w:rPr>
          <w:highlight w:val="none"/>
        </w:rPr>
        <w:t>1.公正、客观、审慎的原则。</w:t>
      </w:r>
    </w:p>
    <w:p w14:paraId="142D1D46">
      <w:pPr>
        <w:ind w:firstLine="480"/>
        <w:rPr>
          <w:highlight w:val="none"/>
        </w:rPr>
      </w:pPr>
      <w:r>
        <w:rPr>
          <w:highlight w:val="none"/>
        </w:rPr>
        <w:t>2.严格保密原则。</w:t>
      </w:r>
      <w:r>
        <w:rPr>
          <w:rFonts w:hint="eastAsia"/>
          <w:highlight w:val="none"/>
        </w:rPr>
        <w:t>磋商小组</w:t>
      </w:r>
      <w:r>
        <w:rPr>
          <w:highlight w:val="none"/>
        </w:rPr>
        <w:t>及有关工作人员不得私下与供应商接触。采购人或采购组织机构对评审结果不作任何说明和解释</w:t>
      </w:r>
      <w:r>
        <w:rPr>
          <w:rFonts w:hint="eastAsia"/>
          <w:highlight w:val="none"/>
          <w:lang w:eastAsia="zh-CN"/>
        </w:rPr>
        <w:t>，</w:t>
      </w:r>
      <w:r>
        <w:rPr>
          <w:highlight w:val="none"/>
        </w:rPr>
        <w:t>也不回答任何提问。</w:t>
      </w:r>
    </w:p>
    <w:p w14:paraId="3BEB07DC">
      <w:pPr>
        <w:ind w:firstLine="480"/>
        <w:rPr>
          <w:highlight w:val="none"/>
        </w:rPr>
      </w:pPr>
      <w:r>
        <w:rPr>
          <w:highlight w:val="none"/>
        </w:rPr>
        <w:t>3.独立评审原则。任何单位和个人不得干扰、影响评审的正常进行。</w:t>
      </w:r>
    </w:p>
    <w:p w14:paraId="6328D632">
      <w:pPr>
        <w:ind w:firstLine="480"/>
        <w:rPr>
          <w:rFonts w:ascii="宋体" w:hAnsi="宋体"/>
          <w:szCs w:val="21"/>
          <w:highlight w:val="none"/>
        </w:rPr>
      </w:pPr>
      <w:r>
        <w:rPr>
          <w:highlight w:val="none"/>
        </w:rPr>
        <w:t>4.严格遵守评审方法。根据采购文件规定的评审程序、评审方法和评分标准进行评审</w:t>
      </w:r>
      <w:r>
        <w:rPr>
          <w:rFonts w:hint="eastAsia"/>
          <w:highlight w:val="none"/>
          <w:lang w:eastAsia="zh-CN"/>
        </w:rPr>
        <w:t>，</w:t>
      </w:r>
      <w:r>
        <w:rPr>
          <w:highlight w:val="none"/>
        </w:rPr>
        <w:t>不带任何倾向性和启发性。</w:t>
      </w:r>
    </w:p>
    <w:p w14:paraId="5770961C">
      <w:pPr>
        <w:pStyle w:val="5"/>
        <w:rPr>
          <w:highlight w:val="none"/>
        </w:rPr>
      </w:pPr>
      <w:bookmarkStart w:id="393" w:name="_Toc7131"/>
      <w:bookmarkStart w:id="394" w:name="_Toc24932"/>
      <w:bookmarkStart w:id="395" w:name="_Toc8856"/>
      <w:bookmarkStart w:id="396" w:name="_Toc28195"/>
      <w:bookmarkStart w:id="397" w:name="_Toc6149"/>
      <w:bookmarkStart w:id="398" w:name="_Toc16276"/>
      <w:bookmarkStart w:id="399" w:name="_Toc28154"/>
      <w:bookmarkStart w:id="400" w:name="_Toc93"/>
      <w:r>
        <w:rPr>
          <w:highlight w:val="none"/>
        </w:rPr>
        <w:t>四、</w:t>
      </w:r>
      <w:r>
        <w:rPr>
          <w:rFonts w:hint="eastAsia"/>
          <w:highlight w:val="none"/>
        </w:rPr>
        <w:t>磋商小组</w:t>
      </w:r>
      <w:r>
        <w:rPr>
          <w:highlight w:val="none"/>
        </w:rPr>
        <w:t>履行下列职责</w:t>
      </w:r>
      <w:bookmarkEnd w:id="393"/>
      <w:bookmarkEnd w:id="394"/>
      <w:bookmarkEnd w:id="395"/>
      <w:bookmarkEnd w:id="396"/>
      <w:bookmarkEnd w:id="397"/>
      <w:bookmarkEnd w:id="398"/>
      <w:bookmarkEnd w:id="399"/>
      <w:bookmarkEnd w:id="400"/>
    </w:p>
    <w:p w14:paraId="4BF82820">
      <w:pPr>
        <w:ind w:firstLine="480"/>
        <w:rPr>
          <w:highlight w:val="none"/>
        </w:rPr>
      </w:pPr>
      <w:r>
        <w:rPr>
          <w:highlight w:val="none"/>
        </w:rPr>
        <w:t>1.熟悉和理解磋商文件；</w:t>
      </w:r>
    </w:p>
    <w:p w14:paraId="66D17FCF">
      <w:pPr>
        <w:ind w:firstLine="480"/>
        <w:rPr>
          <w:highlight w:val="none"/>
        </w:rPr>
      </w:pPr>
      <w:r>
        <w:rPr>
          <w:highlight w:val="none"/>
        </w:rPr>
        <w:t>2.审查供应商响应文件等是否满足磋商文件要求</w:t>
      </w:r>
      <w:r>
        <w:rPr>
          <w:rFonts w:hint="eastAsia"/>
          <w:highlight w:val="none"/>
          <w:lang w:eastAsia="zh-CN"/>
        </w:rPr>
        <w:t>，</w:t>
      </w:r>
      <w:r>
        <w:rPr>
          <w:highlight w:val="none"/>
        </w:rPr>
        <w:t>并作出评价；</w:t>
      </w:r>
    </w:p>
    <w:p w14:paraId="497DD1E9">
      <w:pPr>
        <w:ind w:firstLine="480"/>
        <w:rPr>
          <w:highlight w:val="none"/>
        </w:rPr>
      </w:pPr>
      <w:r>
        <w:rPr>
          <w:highlight w:val="none"/>
        </w:rPr>
        <w:t>3.根据需要要求采购人对磋商文件作出解释；根据需要要求供应商对响应文件有关事项作出澄清、说明或者更正；</w:t>
      </w:r>
    </w:p>
    <w:p w14:paraId="588350AC">
      <w:pPr>
        <w:ind w:firstLine="480"/>
        <w:rPr>
          <w:highlight w:val="none"/>
        </w:rPr>
      </w:pPr>
      <w:r>
        <w:rPr>
          <w:highlight w:val="none"/>
        </w:rPr>
        <w:t>4.推荐成交候选供应商</w:t>
      </w:r>
      <w:r>
        <w:rPr>
          <w:rFonts w:hint="eastAsia"/>
          <w:highlight w:val="none"/>
          <w:lang w:eastAsia="zh-CN"/>
        </w:rPr>
        <w:t>，</w:t>
      </w:r>
      <w:r>
        <w:rPr>
          <w:highlight w:val="none"/>
        </w:rPr>
        <w:t>或者受采购人委托确定成交供应商；</w:t>
      </w:r>
    </w:p>
    <w:p w14:paraId="6F5BCC0C">
      <w:pPr>
        <w:ind w:firstLine="480"/>
        <w:rPr>
          <w:highlight w:val="none"/>
        </w:rPr>
      </w:pPr>
      <w:r>
        <w:rPr>
          <w:highlight w:val="none"/>
        </w:rPr>
        <w:t>5.起草评审报告并进行签署；</w:t>
      </w:r>
    </w:p>
    <w:p w14:paraId="485A8FA5">
      <w:pPr>
        <w:ind w:firstLine="480"/>
        <w:rPr>
          <w:highlight w:val="none"/>
        </w:rPr>
      </w:pPr>
      <w:r>
        <w:rPr>
          <w:highlight w:val="none"/>
        </w:rPr>
        <w:t>6.向采购人、财政部门或者其他监督部门报告非法干预评审工作的行为；</w:t>
      </w:r>
    </w:p>
    <w:p w14:paraId="22BDF132">
      <w:pPr>
        <w:ind w:firstLine="480"/>
        <w:rPr>
          <w:rFonts w:ascii="宋体" w:hAnsi="宋体"/>
          <w:szCs w:val="21"/>
          <w:highlight w:val="none"/>
        </w:rPr>
      </w:pPr>
      <w:r>
        <w:rPr>
          <w:highlight w:val="none"/>
        </w:rPr>
        <w:t>7.法律、法规和规章规定的其他职责。</w:t>
      </w:r>
    </w:p>
    <w:p w14:paraId="23ED784A">
      <w:pPr>
        <w:pStyle w:val="5"/>
        <w:rPr>
          <w:highlight w:val="none"/>
        </w:rPr>
      </w:pPr>
      <w:bookmarkStart w:id="401" w:name="_Toc5627"/>
      <w:bookmarkStart w:id="402" w:name="_Toc28345"/>
      <w:bookmarkStart w:id="403" w:name="_Toc2134"/>
      <w:bookmarkStart w:id="404" w:name="_Toc29707"/>
      <w:bookmarkStart w:id="405" w:name="_Toc15765"/>
      <w:bookmarkStart w:id="406" w:name="_Toc11489"/>
      <w:bookmarkStart w:id="407" w:name="_Toc27276"/>
      <w:bookmarkStart w:id="408" w:name="_Toc14205"/>
      <w:r>
        <w:rPr>
          <w:highlight w:val="none"/>
        </w:rPr>
        <w:t>五、评审工作纪律</w:t>
      </w:r>
      <w:bookmarkEnd w:id="401"/>
      <w:bookmarkEnd w:id="402"/>
      <w:bookmarkEnd w:id="403"/>
      <w:bookmarkEnd w:id="404"/>
      <w:bookmarkEnd w:id="405"/>
      <w:bookmarkEnd w:id="406"/>
      <w:bookmarkEnd w:id="407"/>
      <w:bookmarkEnd w:id="408"/>
    </w:p>
    <w:p w14:paraId="44ACD9EC">
      <w:pPr>
        <w:ind w:firstLine="480"/>
        <w:rPr>
          <w:highlight w:val="none"/>
        </w:rPr>
      </w:pPr>
      <w:r>
        <w:rPr>
          <w:rFonts w:hint="eastAsia"/>
          <w:highlight w:val="none"/>
        </w:rPr>
        <w:t>磋商小组</w:t>
      </w:r>
      <w:r>
        <w:rPr>
          <w:highlight w:val="none"/>
        </w:rPr>
        <w:t>成员要严格遵守评审纪律、保密、回避等相关规定</w:t>
      </w:r>
      <w:r>
        <w:rPr>
          <w:rFonts w:hint="eastAsia"/>
          <w:highlight w:val="none"/>
          <w:lang w:eastAsia="zh-CN"/>
        </w:rPr>
        <w:t>，</w:t>
      </w:r>
      <w:r>
        <w:rPr>
          <w:highlight w:val="none"/>
        </w:rPr>
        <w:t>依法独立履行评审职责</w:t>
      </w:r>
      <w:r>
        <w:rPr>
          <w:rFonts w:hint="eastAsia"/>
          <w:highlight w:val="none"/>
          <w:lang w:eastAsia="zh-CN"/>
        </w:rPr>
        <w:t>，</w:t>
      </w:r>
      <w:r>
        <w:rPr>
          <w:highlight w:val="none"/>
        </w:rPr>
        <w:t>客观、公正、审慎参与评审工作：</w:t>
      </w:r>
    </w:p>
    <w:p w14:paraId="76EE4947">
      <w:pPr>
        <w:ind w:firstLine="480"/>
        <w:rPr>
          <w:highlight w:val="none"/>
        </w:rPr>
      </w:pPr>
      <w:r>
        <w:rPr>
          <w:highlight w:val="none"/>
        </w:rPr>
        <w:t>1.严格遵守评审时间</w:t>
      </w:r>
      <w:r>
        <w:rPr>
          <w:rFonts w:hint="eastAsia"/>
          <w:highlight w:val="none"/>
          <w:lang w:eastAsia="zh-CN"/>
        </w:rPr>
        <w:t>，</w:t>
      </w:r>
      <w:r>
        <w:rPr>
          <w:highlight w:val="none"/>
        </w:rPr>
        <w:t>因突发情况确实不能按时参加评审的</w:t>
      </w:r>
      <w:r>
        <w:rPr>
          <w:rFonts w:hint="eastAsia"/>
          <w:highlight w:val="none"/>
          <w:lang w:eastAsia="zh-CN"/>
        </w:rPr>
        <w:t>，</w:t>
      </w:r>
      <w:r>
        <w:rPr>
          <w:highlight w:val="none"/>
        </w:rPr>
        <w:t>应事先告知采购组织机构；</w:t>
      </w:r>
    </w:p>
    <w:p w14:paraId="14A7435F">
      <w:pPr>
        <w:ind w:firstLine="480"/>
        <w:rPr>
          <w:highlight w:val="none"/>
        </w:rPr>
      </w:pPr>
      <w:r>
        <w:rPr>
          <w:highlight w:val="none"/>
        </w:rPr>
        <w:t>2.服从采购组织机构的现场管理</w:t>
      </w:r>
      <w:r>
        <w:rPr>
          <w:rFonts w:hint="eastAsia"/>
          <w:highlight w:val="none"/>
          <w:lang w:eastAsia="zh-CN"/>
        </w:rPr>
        <w:t>，</w:t>
      </w:r>
      <w:r>
        <w:rPr>
          <w:highlight w:val="none"/>
        </w:rPr>
        <w:t>主动出示身份证明</w:t>
      </w:r>
      <w:r>
        <w:rPr>
          <w:rFonts w:hint="eastAsia"/>
          <w:highlight w:val="none"/>
          <w:lang w:eastAsia="zh-CN"/>
        </w:rPr>
        <w:t>，</w:t>
      </w:r>
      <w:r>
        <w:rPr>
          <w:highlight w:val="none"/>
        </w:rPr>
        <w:t>进入评审区域后应主动寄存移动通讯工具；</w:t>
      </w:r>
    </w:p>
    <w:p w14:paraId="7B4EF248">
      <w:pPr>
        <w:ind w:firstLine="480"/>
        <w:rPr>
          <w:highlight w:val="none"/>
        </w:rPr>
      </w:pPr>
      <w:r>
        <w:rPr>
          <w:highlight w:val="none"/>
        </w:rPr>
        <w:t>3.与供应商或</w:t>
      </w:r>
      <w:r>
        <w:rPr>
          <w:rFonts w:hint="eastAsia"/>
          <w:highlight w:val="none"/>
        </w:rPr>
        <w:t>磋商小组</w:t>
      </w:r>
      <w:r>
        <w:rPr>
          <w:highlight w:val="none"/>
        </w:rPr>
        <w:t>其他成员存在利害关系的</w:t>
      </w:r>
      <w:r>
        <w:rPr>
          <w:rFonts w:hint="eastAsia"/>
          <w:highlight w:val="none"/>
          <w:lang w:eastAsia="zh-CN"/>
        </w:rPr>
        <w:t>，</w:t>
      </w:r>
      <w:r>
        <w:rPr>
          <w:highlight w:val="none"/>
        </w:rPr>
        <w:t>要主动回避</w:t>
      </w:r>
      <w:r>
        <w:rPr>
          <w:rFonts w:hint="eastAsia"/>
          <w:highlight w:val="none"/>
          <w:lang w:eastAsia="zh-CN"/>
        </w:rPr>
        <w:t>，</w:t>
      </w:r>
      <w:r>
        <w:rPr>
          <w:highlight w:val="none"/>
        </w:rPr>
        <w:t>自觉签订《政府采购评审人员廉洁自律承诺书》；</w:t>
      </w:r>
    </w:p>
    <w:p w14:paraId="72ACB767">
      <w:pPr>
        <w:ind w:firstLine="480"/>
        <w:rPr>
          <w:highlight w:val="none"/>
        </w:rPr>
      </w:pPr>
      <w:r>
        <w:rPr>
          <w:highlight w:val="none"/>
        </w:rPr>
        <w:t>4.保持评审现场安静</w:t>
      </w:r>
      <w:r>
        <w:rPr>
          <w:rFonts w:hint="eastAsia"/>
          <w:highlight w:val="none"/>
          <w:lang w:eastAsia="zh-CN"/>
        </w:rPr>
        <w:t>，</w:t>
      </w:r>
      <w:r>
        <w:rPr>
          <w:highlight w:val="none"/>
        </w:rPr>
        <w:t>不在评审现场随意走动</w:t>
      </w:r>
      <w:r>
        <w:rPr>
          <w:rFonts w:hint="eastAsia"/>
          <w:highlight w:val="none"/>
          <w:lang w:eastAsia="zh-CN"/>
        </w:rPr>
        <w:t>，</w:t>
      </w:r>
      <w:r>
        <w:rPr>
          <w:highlight w:val="none"/>
        </w:rPr>
        <w:t>因发生不可预见情况确需与外界联系或暂时离开评审现场的</w:t>
      </w:r>
      <w:r>
        <w:rPr>
          <w:rFonts w:hint="eastAsia"/>
          <w:highlight w:val="none"/>
          <w:lang w:eastAsia="zh-CN"/>
        </w:rPr>
        <w:t>，</w:t>
      </w:r>
      <w:r>
        <w:rPr>
          <w:highlight w:val="none"/>
        </w:rPr>
        <w:t>应向现场监督员说明情况</w:t>
      </w:r>
      <w:r>
        <w:rPr>
          <w:rFonts w:hint="eastAsia"/>
          <w:highlight w:val="none"/>
          <w:lang w:eastAsia="zh-CN"/>
        </w:rPr>
        <w:t>，</w:t>
      </w:r>
      <w:r>
        <w:rPr>
          <w:highlight w:val="none"/>
        </w:rPr>
        <w:t>征得同意后在监控区域内进行相关活动</w:t>
      </w:r>
      <w:r>
        <w:rPr>
          <w:rFonts w:hint="eastAsia"/>
          <w:highlight w:val="none"/>
          <w:lang w:eastAsia="zh-CN"/>
        </w:rPr>
        <w:t>，</w:t>
      </w:r>
      <w:r>
        <w:rPr>
          <w:highlight w:val="none"/>
        </w:rPr>
        <w:t>并应接受相关工作人员的监督；</w:t>
      </w:r>
    </w:p>
    <w:p w14:paraId="587D1B95">
      <w:pPr>
        <w:ind w:firstLine="480"/>
        <w:rPr>
          <w:highlight w:val="none"/>
        </w:rPr>
      </w:pPr>
      <w:r>
        <w:rPr>
          <w:highlight w:val="none"/>
        </w:rPr>
        <w:t>5.自觉遵守职业道德</w:t>
      </w:r>
      <w:r>
        <w:rPr>
          <w:rFonts w:hint="eastAsia"/>
          <w:highlight w:val="none"/>
          <w:lang w:eastAsia="zh-CN"/>
        </w:rPr>
        <w:t>，</w:t>
      </w:r>
      <w:r>
        <w:rPr>
          <w:highlight w:val="none"/>
        </w:rPr>
        <w:t>尊重采购人代表和供应商代表</w:t>
      </w:r>
      <w:r>
        <w:rPr>
          <w:rFonts w:hint="eastAsia"/>
          <w:highlight w:val="none"/>
          <w:lang w:eastAsia="zh-CN"/>
        </w:rPr>
        <w:t>，</w:t>
      </w:r>
      <w:r>
        <w:rPr>
          <w:highlight w:val="none"/>
        </w:rPr>
        <w:t>配合采购组织机构回答供应商代表提出的有关异议；</w:t>
      </w:r>
    </w:p>
    <w:p w14:paraId="66593A63">
      <w:pPr>
        <w:ind w:firstLine="480"/>
        <w:rPr>
          <w:highlight w:val="none"/>
        </w:rPr>
      </w:pPr>
      <w:r>
        <w:rPr>
          <w:highlight w:val="none"/>
        </w:rPr>
        <w:t>6.不得将评审过程、结果和供应商的商业秘密透露给任何单位和个人。未公告评审结果前不准泄露评审结果</w:t>
      </w:r>
      <w:r>
        <w:rPr>
          <w:rFonts w:hint="eastAsia"/>
          <w:highlight w:val="none"/>
          <w:lang w:eastAsia="zh-CN"/>
        </w:rPr>
        <w:t>，</w:t>
      </w:r>
      <w:r>
        <w:rPr>
          <w:highlight w:val="none"/>
        </w:rPr>
        <w:t>不准将评审资料带出会场；</w:t>
      </w:r>
    </w:p>
    <w:p w14:paraId="0BE509EB">
      <w:pPr>
        <w:ind w:firstLine="480"/>
        <w:rPr>
          <w:rFonts w:ascii="宋体" w:hAnsi="宋体"/>
          <w:szCs w:val="21"/>
          <w:highlight w:val="none"/>
        </w:rPr>
      </w:pPr>
      <w:r>
        <w:rPr>
          <w:highlight w:val="none"/>
        </w:rPr>
        <w:t>7.评审过程中</w:t>
      </w:r>
      <w:r>
        <w:rPr>
          <w:rFonts w:hint="eastAsia"/>
          <w:highlight w:val="none"/>
          <w:lang w:eastAsia="zh-CN"/>
        </w:rPr>
        <w:t>，</w:t>
      </w:r>
      <w:r>
        <w:rPr>
          <w:highlight w:val="none"/>
        </w:rPr>
        <w:t>涉及到相关法律法规不清楚之处的</w:t>
      </w:r>
      <w:r>
        <w:rPr>
          <w:rFonts w:hint="eastAsia"/>
          <w:highlight w:val="none"/>
          <w:lang w:eastAsia="zh-CN"/>
        </w:rPr>
        <w:t>，</w:t>
      </w:r>
      <w:r>
        <w:rPr>
          <w:highlight w:val="none"/>
        </w:rPr>
        <w:t>由采购监管部门或请示权威部门作出法定解释</w:t>
      </w:r>
      <w:r>
        <w:rPr>
          <w:rFonts w:hint="eastAsia"/>
          <w:highlight w:val="none"/>
          <w:lang w:eastAsia="zh-CN"/>
        </w:rPr>
        <w:t>，</w:t>
      </w:r>
      <w:r>
        <w:rPr>
          <w:highlight w:val="none"/>
        </w:rPr>
        <w:t>涉及到磋商文件的由采购人和采购代理机构负责解释。</w:t>
      </w:r>
    </w:p>
    <w:p w14:paraId="3B4F2C76">
      <w:pPr>
        <w:pStyle w:val="5"/>
        <w:rPr>
          <w:highlight w:val="none"/>
        </w:rPr>
      </w:pPr>
      <w:bookmarkStart w:id="409" w:name="_Toc18538"/>
      <w:bookmarkStart w:id="410" w:name="_Toc22341"/>
      <w:bookmarkStart w:id="411" w:name="_Toc15350"/>
      <w:bookmarkStart w:id="412" w:name="_Toc6490"/>
      <w:bookmarkStart w:id="413" w:name="_Toc13711"/>
      <w:bookmarkStart w:id="414" w:name="_Toc22828"/>
      <w:bookmarkStart w:id="415" w:name="_Toc7641"/>
      <w:bookmarkStart w:id="416" w:name="_Toc30263"/>
      <w:r>
        <w:rPr>
          <w:highlight w:val="none"/>
        </w:rPr>
        <w:t>六、评审程序</w:t>
      </w:r>
      <w:bookmarkEnd w:id="409"/>
      <w:bookmarkEnd w:id="410"/>
      <w:bookmarkEnd w:id="411"/>
      <w:bookmarkEnd w:id="412"/>
      <w:bookmarkEnd w:id="413"/>
      <w:bookmarkEnd w:id="414"/>
      <w:bookmarkEnd w:id="415"/>
      <w:bookmarkEnd w:id="416"/>
    </w:p>
    <w:p w14:paraId="7C5221E0">
      <w:pPr>
        <w:ind w:firstLine="480"/>
        <w:rPr>
          <w:highlight w:val="none"/>
        </w:rPr>
      </w:pPr>
      <w:r>
        <w:rPr>
          <w:highlight w:val="none"/>
        </w:rPr>
        <w:t>1.推选</w:t>
      </w:r>
      <w:r>
        <w:rPr>
          <w:rFonts w:hint="eastAsia"/>
          <w:highlight w:val="none"/>
        </w:rPr>
        <w:t>磋商小组</w:t>
      </w:r>
      <w:r>
        <w:rPr>
          <w:highlight w:val="none"/>
        </w:rPr>
        <w:t>组长</w:t>
      </w:r>
      <w:r>
        <w:rPr>
          <w:rFonts w:hint="eastAsia"/>
          <w:highlight w:val="none"/>
          <w:lang w:eastAsia="zh-CN"/>
        </w:rPr>
        <w:t>，</w:t>
      </w:r>
      <w:r>
        <w:rPr>
          <w:highlight w:val="none"/>
        </w:rPr>
        <w:t>优先资深专家担任组长</w:t>
      </w:r>
      <w:r>
        <w:rPr>
          <w:rFonts w:hint="eastAsia"/>
          <w:highlight w:val="none"/>
          <w:lang w:eastAsia="zh-CN"/>
        </w:rPr>
        <w:t>，</w:t>
      </w:r>
      <w:r>
        <w:rPr>
          <w:highlight w:val="none"/>
        </w:rPr>
        <w:t>采购人代表不得担任组长。</w:t>
      </w:r>
    </w:p>
    <w:p w14:paraId="01E630B0">
      <w:pPr>
        <w:ind w:firstLine="480"/>
        <w:rPr>
          <w:highlight w:val="none"/>
        </w:rPr>
      </w:pPr>
      <w:r>
        <w:rPr>
          <w:highlight w:val="none"/>
        </w:rPr>
        <w:t>2.</w:t>
      </w:r>
      <w:r>
        <w:rPr>
          <w:rFonts w:hint="eastAsia"/>
          <w:highlight w:val="none"/>
        </w:rPr>
        <w:t>磋商小组</w:t>
      </w:r>
      <w:r>
        <w:rPr>
          <w:highlight w:val="none"/>
        </w:rPr>
        <w:t>正式评审前</w:t>
      </w:r>
      <w:r>
        <w:rPr>
          <w:rFonts w:hint="eastAsia"/>
          <w:highlight w:val="none"/>
          <w:lang w:eastAsia="zh-CN"/>
        </w:rPr>
        <w:t>，</w:t>
      </w:r>
      <w:r>
        <w:rPr>
          <w:highlight w:val="none"/>
        </w:rPr>
        <w:t>应当对采购文件进行熟悉和理解</w:t>
      </w:r>
      <w:r>
        <w:rPr>
          <w:rFonts w:hint="eastAsia"/>
          <w:highlight w:val="none"/>
          <w:lang w:eastAsia="zh-CN"/>
        </w:rPr>
        <w:t>，</w:t>
      </w:r>
      <w:r>
        <w:rPr>
          <w:highlight w:val="none"/>
        </w:rPr>
        <w:t>内容主要包括采购文件中供应商资格资质性要求、采购项目技术、服务和商务要求、评审方法和评分标准以及可能涉及签订政府采购合同的内容等。</w:t>
      </w:r>
    </w:p>
    <w:p w14:paraId="3611D09B">
      <w:pPr>
        <w:ind w:firstLine="480"/>
        <w:rPr>
          <w:highlight w:val="none"/>
        </w:rPr>
      </w:pPr>
      <w:r>
        <w:rPr>
          <w:highlight w:val="none"/>
        </w:rPr>
        <w:t>3.评审程序：资格性审查→符合性审查→商务技术评分→商务技术评分汇总→报价评审→得分汇总→编写评审报告。</w:t>
      </w:r>
    </w:p>
    <w:p w14:paraId="40B08E84">
      <w:pPr>
        <w:ind w:firstLine="480"/>
        <w:rPr>
          <w:highlight w:val="none"/>
        </w:rPr>
      </w:pPr>
      <w:r>
        <w:rPr>
          <w:highlight w:val="none"/>
        </w:rPr>
        <w:t>4.资格性审查</w:t>
      </w:r>
    </w:p>
    <w:p w14:paraId="5D1EF77C">
      <w:pPr>
        <w:ind w:firstLine="480"/>
        <w:rPr>
          <w:highlight w:val="none"/>
        </w:rPr>
      </w:pPr>
      <w:r>
        <w:rPr>
          <w:highlight w:val="none"/>
        </w:rPr>
        <w:t>4.1</w:t>
      </w:r>
      <w:r>
        <w:rPr>
          <w:rFonts w:hint="eastAsia"/>
          <w:highlight w:val="none"/>
        </w:rPr>
        <w:t>磋商小组</w:t>
      </w:r>
      <w:r>
        <w:rPr>
          <w:highlight w:val="none"/>
        </w:rPr>
        <w:t>应依据法律法规和本磋商文件的规定对供应商资格进行审查。审查内容包括：</w:t>
      </w:r>
    </w:p>
    <w:p w14:paraId="401D36A5">
      <w:pPr>
        <w:ind w:firstLine="480"/>
        <w:rPr>
          <w:highlight w:val="none"/>
        </w:rPr>
      </w:pPr>
      <w:r>
        <w:rPr>
          <w:rFonts w:hint="eastAsia"/>
          <w:highlight w:val="none"/>
          <w:lang w:eastAsia="zh-CN"/>
        </w:rPr>
        <w:t>（</w:t>
      </w:r>
      <w:r>
        <w:rPr>
          <w:highlight w:val="none"/>
        </w:rPr>
        <w:t>1</w:t>
      </w:r>
      <w:r>
        <w:rPr>
          <w:rFonts w:hint="eastAsia"/>
          <w:highlight w:val="none"/>
          <w:lang w:eastAsia="zh-CN"/>
        </w:rPr>
        <w:t>）</w:t>
      </w:r>
      <w:r>
        <w:rPr>
          <w:highlight w:val="none"/>
        </w:rPr>
        <w:t>是否属于禁止参加磋商的供应商；</w:t>
      </w:r>
    </w:p>
    <w:p w14:paraId="1B47EF9D">
      <w:pPr>
        <w:ind w:firstLine="480"/>
        <w:rPr>
          <w:highlight w:val="none"/>
        </w:rPr>
      </w:pPr>
      <w:r>
        <w:rPr>
          <w:rFonts w:hint="eastAsia"/>
          <w:highlight w:val="none"/>
          <w:lang w:eastAsia="zh-CN"/>
        </w:rPr>
        <w:t>（</w:t>
      </w:r>
      <w:r>
        <w:rPr>
          <w:highlight w:val="none"/>
        </w:rPr>
        <w:t>2</w:t>
      </w:r>
      <w:r>
        <w:rPr>
          <w:rFonts w:hint="eastAsia"/>
          <w:highlight w:val="none"/>
          <w:lang w:eastAsia="zh-CN"/>
        </w:rPr>
        <w:t>）</w:t>
      </w:r>
      <w:r>
        <w:rPr>
          <w:highlight w:val="none"/>
        </w:rPr>
        <w:t>是否按照规定要求提供资格性证明材料；</w:t>
      </w:r>
    </w:p>
    <w:p w14:paraId="18C34FEE">
      <w:pPr>
        <w:ind w:firstLine="480"/>
        <w:rPr>
          <w:highlight w:val="none"/>
        </w:rPr>
      </w:pPr>
      <w:r>
        <w:rPr>
          <w:rFonts w:hint="eastAsia"/>
          <w:highlight w:val="none"/>
          <w:lang w:eastAsia="zh-CN"/>
        </w:rPr>
        <w:t>（</w:t>
      </w:r>
      <w:r>
        <w:rPr>
          <w:highlight w:val="none"/>
        </w:rPr>
        <w:t>3</w:t>
      </w:r>
      <w:r>
        <w:rPr>
          <w:rFonts w:hint="eastAsia"/>
          <w:highlight w:val="none"/>
          <w:lang w:eastAsia="zh-CN"/>
        </w:rPr>
        <w:t>）</w:t>
      </w:r>
      <w:r>
        <w:rPr>
          <w:highlight w:val="none"/>
        </w:rPr>
        <w:t>法律法规规定的其他资格条件。</w:t>
      </w:r>
    </w:p>
    <w:p w14:paraId="49631B18">
      <w:pPr>
        <w:ind w:firstLine="480"/>
        <w:rPr>
          <w:highlight w:val="none"/>
        </w:rPr>
      </w:pPr>
      <w:r>
        <w:rPr>
          <w:highlight w:val="none"/>
        </w:rPr>
        <w:t>4.2经资格审查不符合磋商文件要求的响应文件</w:t>
      </w:r>
      <w:r>
        <w:rPr>
          <w:rFonts w:hint="eastAsia"/>
          <w:highlight w:val="none"/>
          <w:lang w:eastAsia="zh-CN"/>
        </w:rPr>
        <w:t>，</w:t>
      </w:r>
      <w:r>
        <w:rPr>
          <w:highlight w:val="none"/>
        </w:rPr>
        <w:t>即终止其参与磋商资格。</w:t>
      </w:r>
    </w:p>
    <w:p w14:paraId="2D21E35D">
      <w:pPr>
        <w:ind w:firstLine="480"/>
        <w:rPr>
          <w:highlight w:val="none"/>
        </w:rPr>
      </w:pPr>
      <w:r>
        <w:rPr>
          <w:highlight w:val="none"/>
        </w:rPr>
        <w:t>5.符合性审查</w:t>
      </w:r>
    </w:p>
    <w:p w14:paraId="5223D07E">
      <w:pPr>
        <w:ind w:firstLine="480"/>
        <w:rPr>
          <w:highlight w:val="none"/>
        </w:rPr>
      </w:pPr>
      <w:r>
        <w:rPr>
          <w:highlight w:val="none"/>
        </w:rPr>
        <w:t>5.1</w:t>
      </w:r>
      <w:r>
        <w:rPr>
          <w:rFonts w:hint="eastAsia"/>
          <w:highlight w:val="none"/>
        </w:rPr>
        <w:t>磋商小组</w:t>
      </w:r>
      <w:r>
        <w:rPr>
          <w:highlight w:val="none"/>
        </w:rPr>
        <w:t>对资格符合供应商的响应文件进行符合性审查</w:t>
      </w:r>
      <w:r>
        <w:rPr>
          <w:rFonts w:hint="eastAsia"/>
          <w:highlight w:val="none"/>
          <w:lang w:eastAsia="zh-CN"/>
        </w:rPr>
        <w:t>，</w:t>
      </w:r>
      <w:r>
        <w:rPr>
          <w:highlight w:val="none"/>
        </w:rPr>
        <w:t>符合性审查事项仅限于本磋商文件的明确规定</w:t>
      </w:r>
      <w:r>
        <w:rPr>
          <w:rFonts w:hint="eastAsia"/>
          <w:highlight w:val="none"/>
          <w:lang w:eastAsia="zh-CN"/>
        </w:rPr>
        <w:t>，</w:t>
      </w:r>
      <w:r>
        <w:rPr>
          <w:rFonts w:hint="eastAsia"/>
          <w:highlight w:val="none"/>
        </w:rPr>
        <w:t>磋商小组</w:t>
      </w:r>
      <w:r>
        <w:rPr>
          <w:highlight w:val="none"/>
        </w:rPr>
        <w:t>不得臆测符合性审查事项。未实质性响应磋商文件要求</w:t>
      </w:r>
      <w:r>
        <w:rPr>
          <w:rFonts w:hint="eastAsia"/>
          <w:highlight w:val="none"/>
          <w:lang w:eastAsia="zh-CN"/>
        </w:rPr>
        <w:t>，</w:t>
      </w:r>
      <w:r>
        <w:rPr>
          <w:highlight w:val="none"/>
        </w:rPr>
        <w:t>以无效响应处理</w:t>
      </w:r>
      <w:r>
        <w:rPr>
          <w:rFonts w:hint="eastAsia"/>
          <w:highlight w:val="none"/>
          <w:lang w:eastAsia="zh-CN"/>
        </w:rPr>
        <w:t>，</w:t>
      </w:r>
      <w:r>
        <w:rPr>
          <w:rFonts w:hint="eastAsia"/>
          <w:highlight w:val="none"/>
        </w:rPr>
        <w:t>磋商小组</w:t>
      </w:r>
      <w:r>
        <w:rPr>
          <w:highlight w:val="none"/>
        </w:rPr>
        <w:t>不再进行后续评审。</w:t>
      </w:r>
    </w:p>
    <w:p w14:paraId="7AB2E329">
      <w:pPr>
        <w:ind w:firstLine="480"/>
        <w:rPr>
          <w:highlight w:val="none"/>
        </w:rPr>
      </w:pPr>
      <w:r>
        <w:rPr>
          <w:highlight w:val="none"/>
        </w:rPr>
        <w:t>5.2如果确定供应商无资格履行合同</w:t>
      </w:r>
      <w:r>
        <w:rPr>
          <w:rFonts w:hint="eastAsia"/>
          <w:highlight w:val="none"/>
          <w:lang w:eastAsia="zh-CN"/>
        </w:rPr>
        <w:t>，</w:t>
      </w:r>
      <w:r>
        <w:rPr>
          <w:highlight w:val="none"/>
        </w:rPr>
        <w:t>其磋商将被拒绝。</w:t>
      </w:r>
    </w:p>
    <w:p w14:paraId="765A25CC">
      <w:pPr>
        <w:ind w:firstLine="480"/>
        <w:rPr>
          <w:highlight w:val="none"/>
        </w:rPr>
      </w:pPr>
      <w:r>
        <w:rPr>
          <w:highlight w:val="none"/>
        </w:rPr>
        <w:t>6.响应文件评审</w:t>
      </w:r>
    </w:p>
    <w:p w14:paraId="0AB555FF">
      <w:pPr>
        <w:ind w:firstLine="480"/>
        <w:rPr>
          <w:highlight w:val="none"/>
        </w:rPr>
      </w:pPr>
      <w:r>
        <w:rPr>
          <w:rFonts w:hint="eastAsia"/>
          <w:highlight w:val="none"/>
        </w:rPr>
        <w:t>磋商小组</w:t>
      </w:r>
      <w:r>
        <w:rPr>
          <w:highlight w:val="none"/>
        </w:rPr>
        <w:t>应当按照磋商文件中规定的评审方法和评分标准</w:t>
      </w:r>
      <w:r>
        <w:rPr>
          <w:rFonts w:hint="eastAsia"/>
          <w:highlight w:val="none"/>
          <w:lang w:eastAsia="zh-CN"/>
        </w:rPr>
        <w:t>，</w:t>
      </w:r>
      <w:r>
        <w:rPr>
          <w:highlight w:val="none"/>
        </w:rPr>
        <w:t>对有效的响应文件进行商务、技术等方面评估、综合比较与评价（详见本章第十条）。评审结束后不公布各供应商商务、技术得分情况</w:t>
      </w:r>
      <w:r>
        <w:rPr>
          <w:rFonts w:hint="eastAsia"/>
          <w:highlight w:val="none"/>
          <w:lang w:eastAsia="zh-CN"/>
        </w:rPr>
        <w:t>，</w:t>
      </w:r>
      <w:r>
        <w:rPr>
          <w:highlight w:val="none"/>
        </w:rPr>
        <w:t>进行下一步的磋商环节。</w:t>
      </w:r>
    </w:p>
    <w:p w14:paraId="61310CA8">
      <w:pPr>
        <w:ind w:firstLine="480"/>
        <w:rPr>
          <w:highlight w:val="none"/>
        </w:rPr>
      </w:pPr>
      <w:r>
        <w:rPr>
          <w:highlight w:val="none"/>
        </w:rPr>
        <w:t>7.磋商</w:t>
      </w:r>
    </w:p>
    <w:p w14:paraId="617ED133">
      <w:pPr>
        <w:ind w:firstLine="480"/>
        <w:rPr>
          <w:highlight w:val="none"/>
        </w:rPr>
      </w:pPr>
      <w:r>
        <w:rPr>
          <w:highlight w:val="none"/>
        </w:rPr>
        <w:t>7.1</w:t>
      </w:r>
      <w:r>
        <w:rPr>
          <w:rFonts w:hint="eastAsia"/>
          <w:highlight w:val="none"/>
        </w:rPr>
        <w:t>磋商小组</w:t>
      </w:r>
      <w:r>
        <w:rPr>
          <w:highlight w:val="none"/>
        </w:rPr>
        <w:t>与供应商在政采云平台在线进行磋商</w:t>
      </w:r>
      <w:r>
        <w:rPr>
          <w:rFonts w:hint="eastAsia"/>
          <w:highlight w:val="none"/>
          <w:lang w:eastAsia="zh-CN"/>
        </w:rPr>
        <w:t>，</w:t>
      </w:r>
      <w:r>
        <w:rPr>
          <w:highlight w:val="none"/>
        </w:rPr>
        <w:t>磋商轮次由</w:t>
      </w:r>
      <w:r>
        <w:rPr>
          <w:rFonts w:hint="eastAsia"/>
          <w:highlight w:val="none"/>
        </w:rPr>
        <w:t>磋商小组</w:t>
      </w:r>
      <w:r>
        <w:rPr>
          <w:highlight w:val="none"/>
        </w:rPr>
        <w:t>决定。</w:t>
      </w:r>
    </w:p>
    <w:p w14:paraId="340FF128">
      <w:pPr>
        <w:ind w:firstLine="480"/>
        <w:rPr>
          <w:highlight w:val="none"/>
        </w:rPr>
      </w:pPr>
      <w:r>
        <w:rPr>
          <w:highlight w:val="none"/>
        </w:rPr>
        <w:t>7.2在本磋商文件采购需求中的技术、服务要求、合同草案条款没有实质性变动情况下</w:t>
      </w:r>
      <w:r>
        <w:rPr>
          <w:rFonts w:hint="eastAsia"/>
          <w:highlight w:val="none"/>
          <w:lang w:eastAsia="zh-CN"/>
        </w:rPr>
        <w:t>，</w:t>
      </w:r>
      <w:r>
        <w:rPr>
          <w:rFonts w:hint="eastAsia"/>
          <w:highlight w:val="none"/>
        </w:rPr>
        <w:t>磋商小组</w:t>
      </w:r>
      <w:r>
        <w:rPr>
          <w:highlight w:val="none"/>
        </w:rPr>
        <w:t>与各供应商着重进行价格磋商。若有两轮以上报价的当前报价不得高于对该项目之前的报价</w:t>
      </w:r>
      <w:r>
        <w:rPr>
          <w:rFonts w:hint="eastAsia"/>
          <w:highlight w:val="none"/>
          <w:lang w:eastAsia="zh-CN"/>
        </w:rPr>
        <w:t>，</w:t>
      </w:r>
      <w:r>
        <w:rPr>
          <w:highlight w:val="none"/>
        </w:rPr>
        <w:t>否则</w:t>
      </w:r>
      <w:r>
        <w:rPr>
          <w:rFonts w:hint="eastAsia"/>
          <w:highlight w:val="none"/>
          <w:lang w:eastAsia="zh-CN"/>
        </w:rPr>
        <w:t>，</w:t>
      </w:r>
      <w:r>
        <w:rPr>
          <w:highlight w:val="none"/>
        </w:rPr>
        <w:t>以无效响应处理。</w:t>
      </w:r>
    </w:p>
    <w:p w14:paraId="3FA1EF0C">
      <w:pPr>
        <w:ind w:firstLine="480"/>
        <w:rPr>
          <w:highlight w:val="none"/>
        </w:rPr>
      </w:pPr>
      <w:r>
        <w:rPr>
          <w:highlight w:val="none"/>
        </w:rPr>
        <w:t>7.3磋商过程中</w:t>
      </w:r>
      <w:r>
        <w:rPr>
          <w:rFonts w:hint="eastAsia"/>
          <w:highlight w:val="none"/>
          <w:lang w:eastAsia="zh-CN"/>
        </w:rPr>
        <w:t>，</w:t>
      </w:r>
      <w:r>
        <w:rPr>
          <w:highlight w:val="none"/>
        </w:rPr>
        <w:t>磋商的任何一方不得透露与磋商有关的其他供应商的技术资料、价格和其他信息。</w:t>
      </w:r>
    </w:p>
    <w:p w14:paraId="35BD8C87">
      <w:pPr>
        <w:ind w:firstLine="480"/>
        <w:rPr>
          <w:highlight w:val="none"/>
        </w:rPr>
      </w:pPr>
      <w:r>
        <w:rPr>
          <w:highlight w:val="none"/>
        </w:rPr>
        <w:t>7.4磋商过程中</w:t>
      </w:r>
      <w:r>
        <w:rPr>
          <w:rFonts w:hint="eastAsia"/>
          <w:highlight w:val="none"/>
          <w:lang w:eastAsia="zh-CN"/>
        </w:rPr>
        <w:t>，</w:t>
      </w:r>
      <w:r>
        <w:rPr>
          <w:rFonts w:hint="eastAsia"/>
          <w:highlight w:val="none"/>
        </w:rPr>
        <w:t>磋商小组</w:t>
      </w:r>
      <w:r>
        <w:rPr>
          <w:highlight w:val="none"/>
        </w:rPr>
        <w:t>发现或者知晓供应商存在违法、违纪行为的</w:t>
      </w:r>
      <w:r>
        <w:rPr>
          <w:rFonts w:hint="eastAsia"/>
          <w:highlight w:val="none"/>
          <w:lang w:eastAsia="zh-CN"/>
        </w:rPr>
        <w:t>，</w:t>
      </w:r>
      <w:r>
        <w:rPr>
          <w:rFonts w:hint="eastAsia"/>
          <w:highlight w:val="none"/>
        </w:rPr>
        <w:t>磋商小组</w:t>
      </w:r>
      <w:r>
        <w:rPr>
          <w:highlight w:val="none"/>
        </w:rPr>
        <w:t>应当将该供应商响应文件作无效处理</w:t>
      </w:r>
      <w:r>
        <w:rPr>
          <w:rFonts w:hint="eastAsia"/>
          <w:highlight w:val="none"/>
          <w:lang w:eastAsia="zh-CN"/>
        </w:rPr>
        <w:t>，</w:t>
      </w:r>
      <w:r>
        <w:rPr>
          <w:highlight w:val="none"/>
        </w:rPr>
        <w:t>不允许其提交最后报价。</w:t>
      </w:r>
    </w:p>
    <w:p w14:paraId="15CEB7AE">
      <w:pPr>
        <w:ind w:firstLine="480"/>
        <w:rPr>
          <w:highlight w:val="none"/>
        </w:rPr>
      </w:pPr>
      <w:r>
        <w:rPr>
          <w:highlight w:val="none"/>
        </w:rPr>
        <w:t>8.最后报价</w:t>
      </w:r>
    </w:p>
    <w:p w14:paraId="1D9B030D">
      <w:pPr>
        <w:ind w:firstLine="480"/>
        <w:rPr>
          <w:highlight w:val="none"/>
        </w:rPr>
      </w:pPr>
      <w:r>
        <w:rPr>
          <w:highlight w:val="none"/>
        </w:rPr>
        <w:t>8.1磋商文件在统一采购需求的前提下</w:t>
      </w:r>
      <w:r>
        <w:rPr>
          <w:rFonts w:hint="eastAsia"/>
          <w:highlight w:val="none"/>
          <w:lang w:eastAsia="zh-CN"/>
        </w:rPr>
        <w:t>，</w:t>
      </w:r>
      <w:r>
        <w:rPr>
          <w:highlight w:val="none"/>
        </w:rPr>
        <w:t>磋商结束后</w:t>
      </w:r>
      <w:r>
        <w:rPr>
          <w:rFonts w:hint="eastAsia"/>
          <w:highlight w:val="none"/>
          <w:lang w:eastAsia="zh-CN"/>
        </w:rPr>
        <w:t>，</w:t>
      </w:r>
      <w:r>
        <w:rPr>
          <w:rFonts w:hint="eastAsia"/>
          <w:highlight w:val="none"/>
        </w:rPr>
        <w:t>磋商小组</w:t>
      </w:r>
      <w:r>
        <w:rPr>
          <w:highlight w:val="none"/>
        </w:rPr>
        <w:t>应当要求所有实质性响应的供应商在规定时间内在政采云平台在线提交最后报价。</w:t>
      </w:r>
    </w:p>
    <w:p w14:paraId="12C5C22A">
      <w:pPr>
        <w:ind w:firstLine="480"/>
        <w:rPr>
          <w:rFonts w:ascii="宋体" w:hAnsi="宋体"/>
          <w:szCs w:val="21"/>
          <w:highlight w:val="none"/>
        </w:rPr>
      </w:pPr>
      <w:r>
        <w:rPr>
          <w:highlight w:val="none"/>
        </w:rPr>
        <w:t>8.2最后报价是供应商响应文件的有效组成部分。</w:t>
      </w:r>
    </w:p>
    <w:p w14:paraId="4BC9126D">
      <w:pPr>
        <w:pStyle w:val="5"/>
        <w:rPr>
          <w:highlight w:val="none"/>
        </w:rPr>
      </w:pPr>
      <w:bookmarkStart w:id="417" w:name="_Toc14053"/>
      <w:bookmarkStart w:id="418" w:name="_Toc5109"/>
      <w:bookmarkStart w:id="419" w:name="_Toc31562"/>
      <w:bookmarkStart w:id="420" w:name="_Toc30885"/>
      <w:bookmarkStart w:id="421" w:name="_Toc7024"/>
      <w:bookmarkStart w:id="422" w:name="_Toc19550"/>
      <w:bookmarkStart w:id="423" w:name="_Toc23834"/>
      <w:bookmarkStart w:id="424" w:name="_Toc4185"/>
      <w:r>
        <w:rPr>
          <w:highlight w:val="none"/>
        </w:rPr>
        <w:t>七、澄清、说明或补正</w:t>
      </w:r>
      <w:bookmarkEnd w:id="417"/>
      <w:bookmarkEnd w:id="418"/>
      <w:bookmarkEnd w:id="419"/>
      <w:bookmarkEnd w:id="420"/>
      <w:bookmarkEnd w:id="421"/>
      <w:bookmarkEnd w:id="422"/>
      <w:bookmarkEnd w:id="423"/>
      <w:bookmarkEnd w:id="424"/>
    </w:p>
    <w:p w14:paraId="1ACB0445">
      <w:pPr>
        <w:ind w:firstLine="480"/>
        <w:rPr>
          <w:highlight w:val="none"/>
        </w:rPr>
      </w:pPr>
      <w:r>
        <w:rPr>
          <w:highlight w:val="none"/>
        </w:rPr>
        <w:t>1.评审中需要供应商对响应文件作出澄清、说明或者补正的</w:t>
      </w:r>
      <w:r>
        <w:rPr>
          <w:rFonts w:hint="eastAsia"/>
          <w:highlight w:val="none"/>
          <w:lang w:eastAsia="zh-CN"/>
        </w:rPr>
        <w:t>，</w:t>
      </w:r>
      <w:r>
        <w:rPr>
          <w:rFonts w:hint="eastAsia"/>
          <w:highlight w:val="none"/>
        </w:rPr>
        <w:t>磋商小组</w:t>
      </w:r>
      <w:r>
        <w:rPr>
          <w:highlight w:val="none"/>
        </w:rPr>
        <w:t>和供应商应当通过政采云平台交换数据电文。给予供应商提交澄清、说明或补正的时间</w:t>
      </w:r>
      <w:r>
        <w:rPr>
          <w:rFonts w:hint="eastAsia"/>
          <w:highlight w:val="none"/>
          <w:lang w:eastAsia="zh-CN"/>
        </w:rPr>
        <w:t>，</w:t>
      </w:r>
      <w:r>
        <w:rPr>
          <w:highlight w:val="none"/>
        </w:rPr>
        <w:t>供应商已经明确表示澄清说明或补正完毕的除外。澄清、说明或修正内容是响应文件的组成部分。</w:t>
      </w:r>
    </w:p>
    <w:p w14:paraId="7349FBD3">
      <w:pPr>
        <w:ind w:firstLine="480"/>
        <w:rPr>
          <w:highlight w:val="none"/>
        </w:rPr>
      </w:pPr>
      <w:r>
        <w:rPr>
          <w:highlight w:val="none"/>
        </w:rPr>
        <w:t>2.响应文件报价出现前后不一致的</w:t>
      </w:r>
      <w:r>
        <w:rPr>
          <w:rFonts w:hint="eastAsia"/>
          <w:highlight w:val="none"/>
          <w:lang w:eastAsia="zh-CN"/>
        </w:rPr>
        <w:t>，</w:t>
      </w:r>
      <w:r>
        <w:rPr>
          <w:highlight w:val="none"/>
        </w:rPr>
        <w:t>按照下列规定修正：</w:t>
      </w:r>
    </w:p>
    <w:p w14:paraId="0287E8FB">
      <w:pPr>
        <w:ind w:firstLine="480"/>
        <w:rPr>
          <w:highlight w:val="none"/>
        </w:rPr>
      </w:pPr>
      <w:r>
        <w:rPr>
          <w:highlight w:val="none"/>
        </w:rPr>
        <w:t>2.1大写金额和小写金额不一致的</w:t>
      </w:r>
      <w:r>
        <w:rPr>
          <w:rFonts w:hint="eastAsia"/>
          <w:highlight w:val="none"/>
          <w:lang w:eastAsia="zh-CN"/>
        </w:rPr>
        <w:t>，</w:t>
      </w:r>
      <w:r>
        <w:rPr>
          <w:highlight w:val="none"/>
        </w:rPr>
        <w:t>以大写金额为准；</w:t>
      </w:r>
    </w:p>
    <w:p w14:paraId="3E02BDE0">
      <w:pPr>
        <w:ind w:firstLine="480"/>
        <w:rPr>
          <w:highlight w:val="none"/>
        </w:rPr>
      </w:pPr>
      <w:r>
        <w:rPr>
          <w:highlight w:val="none"/>
        </w:rPr>
        <w:t>2.2总价金额与按单价汇总金额不一致的</w:t>
      </w:r>
      <w:r>
        <w:rPr>
          <w:rFonts w:hint="eastAsia"/>
          <w:highlight w:val="none"/>
          <w:lang w:eastAsia="zh-CN"/>
        </w:rPr>
        <w:t>，</w:t>
      </w:r>
      <w:r>
        <w:rPr>
          <w:highlight w:val="none"/>
        </w:rPr>
        <w:t>以单价金额计算结果为准；</w:t>
      </w:r>
    </w:p>
    <w:p w14:paraId="06925A4C">
      <w:pPr>
        <w:ind w:firstLine="480"/>
        <w:rPr>
          <w:highlight w:val="none"/>
        </w:rPr>
      </w:pPr>
      <w:r>
        <w:rPr>
          <w:highlight w:val="none"/>
        </w:rPr>
        <w:t>2.3单价金额小数点有明显错位的</w:t>
      </w:r>
      <w:r>
        <w:rPr>
          <w:rFonts w:hint="eastAsia"/>
          <w:highlight w:val="none"/>
          <w:lang w:eastAsia="zh-CN"/>
        </w:rPr>
        <w:t>，</w:t>
      </w:r>
      <w:r>
        <w:rPr>
          <w:highlight w:val="none"/>
        </w:rPr>
        <w:t>应以总价为准</w:t>
      </w:r>
      <w:r>
        <w:rPr>
          <w:rFonts w:hint="eastAsia"/>
          <w:highlight w:val="none"/>
          <w:lang w:eastAsia="zh-CN"/>
        </w:rPr>
        <w:t>，</w:t>
      </w:r>
      <w:r>
        <w:rPr>
          <w:highlight w:val="none"/>
        </w:rPr>
        <w:t>并修改单价。如果小写、大写金额和单价、总价金额出现明显文字错误</w:t>
      </w:r>
      <w:r>
        <w:rPr>
          <w:rFonts w:hint="eastAsia"/>
          <w:highlight w:val="none"/>
          <w:lang w:eastAsia="zh-CN"/>
        </w:rPr>
        <w:t>，</w:t>
      </w:r>
      <w:r>
        <w:rPr>
          <w:highlight w:val="none"/>
        </w:rPr>
        <w:t>应当按照澄清、说明或者更正程序先纠正错误后</w:t>
      </w:r>
      <w:r>
        <w:rPr>
          <w:rFonts w:hint="eastAsia"/>
          <w:highlight w:val="none"/>
          <w:lang w:eastAsia="zh-CN"/>
        </w:rPr>
        <w:t>，</w:t>
      </w:r>
      <w:r>
        <w:rPr>
          <w:highlight w:val="none"/>
        </w:rPr>
        <w:t>再行修正。</w:t>
      </w:r>
    </w:p>
    <w:p w14:paraId="3FA51D5A">
      <w:pPr>
        <w:ind w:firstLine="480"/>
        <w:rPr>
          <w:highlight w:val="none"/>
        </w:rPr>
      </w:pPr>
      <w:r>
        <w:rPr>
          <w:highlight w:val="none"/>
        </w:rPr>
        <w:t>2.4对不同文字文本响应文件的解释发生异议的</w:t>
      </w:r>
      <w:r>
        <w:rPr>
          <w:rFonts w:hint="eastAsia"/>
          <w:highlight w:val="none"/>
          <w:lang w:eastAsia="zh-CN"/>
        </w:rPr>
        <w:t>，</w:t>
      </w:r>
      <w:r>
        <w:rPr>
          <w:highlight w:val="none"/>
        </w:rPr>
        <w:t>以中文文本为准。</w:t>
      </w:r>
    </w:p>
    <w:p w14:paraId="5821F0EC">
      <w:pPr>
        <w:ind w:firstLine="480"/>
        <w:rPr>
          <w:highlight w:val="none"/>
        </w:rPr>
      </w:pPr>
      <w:r>
        <w:rPr>
          <w:highlight w:val="none"/>
        </w:rPr>
        <w:t>3.澄清说明答复函须由供应商法定代表人或授权代理人签字和盖章。如果供应商不接受对其错误的更正</w:t>
      </w:r>
      <w:r>
        <w:rPr>
          <w:rFonts w:hint="eastAsia"/>
          <w:highlight w:val="none"/>
          <w:lang w:eastAsia="zh-CN"/>
        </w:rPr>
        <w:t>，</w:t>
      </w:r>
      <w:r>
        <w:rPr>
          <w:highlight w:val="none"/>
        </w:rPr>
        <w:t>其投标将被拒绝。</w:t>
      </w:r>
    </w:p>
    <w:p w14:paraId="2DE9B305">
      <w:pPr>
        <w:ind w:firstLine="480"/>
        <w:rPr>
          <w:rFonts w:ascii="宋体" w:hAnsi="宋体"/>
          <w:szCs w:val="21"/>
          <w:highlight w:val="none"/>
        </w:rPr>
      </w:pPr>
      <w:r>
        <w:rPr>
          <w:highlight w:val="none"/>
        </w:rPr>
        <w:t>4.请供应商在评审期间保持电话畅通</w:t>
      </w:r>
      <w:r>
        <w:rPr>
          <w:rFonts w:hint="eastAsia"/>
          <w:highlight w:val="none"/>
          <w:lang w:eastAsia="zh-CN"/>
        </w:rPr>
        <w:t>，</w:t>
      </w:r>
      <w:r>
        <w:rPr>
          <w:highlight w:val="none"/>
        </w:rPr>
        <w:t>如未及时接听电话</w:t>
      </w:r>
      <w:r>
        <w:rPr>
          <w:rFonts w:hint="eastAsia"/>
          <w:highlight w:val="none"/>
          <w:lang w:eastAsia="zh-CN"/>
        </w:rPr>
        <w:t>，</w:t>
      </w:r>
      <w:r>
        <w:rPr>
          <w:highlight w:val="none"/>
        </w:rPr>
        <w:t>视为放弃澄清、说明或补正的权利</w:t>
      </w:r>
      <w:r>
        <w:rPr>
          <w:rFonts w:hint="eastAsia"/>
          <w:highlight w:val="none"/>
          <w:lang w:eastAsia="zh-CN"/>
        </w:rPr>
        <w:t>，</w:t>
      </w:r>
      <w:r>
        <w:rPr>
          <w:highlight w:val="none"/>
        </w:rPr>
        <w:t>视同默认采购结果</w:t>
      </w:r>
      <w:r>
        <w:rPr>
          <w:rFonts w:hint="eastAsia"/>
          <w:highlight w:val="none"/>
          <w:lang w:eastAsia="zh-CN"/>
        </w:rPr>
        <w:t>，</w:t>
      </w:r>
      <w:r>
        <w:rPr>
          <w:highlight w:val="none"/>
        </w:rPr>
        <w:t>事后不得对采购相关人员、采购过程及结果提出异议</w:t>
      </w:r>
      <w:r>
        <w:rPr>
          <w:rFonts w:hint="eastAsia"/>
          <w:highlight w:val="none"/>
          <w:lang w:eastAsia="zh-CN"/>
        </w:rPr>
        <w:t>，</w:t>
      </w:r>
      <w:r>
        <w:rPr>
          <w:highlight w:val="none"/>
        </w:rPr>
        <w:t>责任由供应商自负。</w:t>
      </w:r>
    </w:p>
    <w:p w14:paraId="104F6B3C">
      <w:pPr>
        <w:pStyle w:val="5"/>
        <w:rPr>
          <w:highlight w:val="none"/>
        </w:rPr>
      </w:pPr>
      <w:bookmarkStart w:id="425" w:name="_Toc14004"/>
      <w:bookmarkStart w:id="426" w:name="_Toc4320"/>
      <w:bookmarkStart w:id="427" w:name="_Toc19185"/>
      <w:bookmarkStart w:id="428" w:name="_Toc5598"/>
      <w:bookmarkStart w:id="429" w:name="_Toc17417"/>
      <w:bookmarkStart w:id="430" w:name="_Toc22452"/>
      <w:bookmarkStart w:id="431" w:name="_Toc13173"/>
      <w:bookmarkStart w:id="432" w:name="_Toc5534"/>
      <w:r>
        <w:rPr>
          <w:highlight w:val="none"/>
        </w:rPr>
        <w:t>八、推荐成交候选人</w:t>
      </w:r>
      <w:bookmarkEnd w:id="425"/>
      <w:bookmarkEnd w:id="426"/>
      <w:bookmarkEnd w:id="427"/>
      <w:bookmarkEnd w:id="428"/>
      <w:bookmarkEnd w:id="429"/>
      <w:bookmarkEnd w:id="430"/>
      <w:bookmarkEnd w:id="431"/>
      <w:bookmarkEnd w:id="432"/>
    </w:p>
    <w:p w14:paraId="6EDECD01">
      <w:pPr>
        <w:ind w:firstLine="480"/>
        <w:rPr>
          <w:rFonts w:hint="default" w:eastAsia="宋体"/>
          <w:szCs w:val="21"/>
          <w:highlight w:val="none"/>
          <w:lang w:val="en-US" w:eastAsia="zh-CN"/>
        </w:rPr>
      </w:pPr>
      <w:r>
        <w:rPr>
          <w:highlight w:val="none"/>
        </w:rPr>
        <w:t>按照供应商得分由高到低顺序排列推荐成交候选人。得分相同的</w:t>
      </w:r>
      <w:r>
        <w:rPr>
          <w:rFonts w:hint="eastAsia"/>
          <w:highlight w:val="none"/>
          <w:lang w:eastAsia="zh-CN"/>
        </w:rPr>
        <w:t>，</w:t>
      </w:r>
      <w:r>
        <w:rPr>
          <w:highlight w:val="none"/>
        </w:rPr>
        <w:t>按最后报价由低到高顺序排列。得分且最后报价相同的并列。响应文件满足磋商文件全部实质性要求</w:t>
      </w:r>
      <w:r>
        <w:rPr>
          <w:rFonts w:hint="eastAsia"/>
          <w:highlight w:val="none"/>
          <w:lang w:eastAsia="zh-CN"/>
        </w:rPr>
        <w:t>，</w:t>
      </w:r>
      <w:r>
        <w:rPr>
          <w:highlight w:val="none"/>
        </w:rPr>
        <w:t>且按照评审因素的量化指标评审得分最高的供应商为排名第一的成交候选人。</w:t>
      </w:r>
      <w:r>
        <w:rPr>
          <w:rFonts w:hint="eastAsia"/>
          <w:highlight w:val="none"/>
          <w:lang w:val="en-US" w:eastAsia="zh-CN"/>
        </w:rPr>
        <w:t>依次推荐第一成交候选人、第二成交候选人、第三成交候选人。</w:t>
      </w:r>
    </w:p>
    <w:p w14:paraId="409B44B4">
      <w:pPr>
        <w:pStyle w:val="5"/>
        <w:rPr>
          <w:highlight w:val="none"/>
        </w:rPr>
      </w:pPr>
      <w:bookmarkStart w:id="433" w:name="_Toc19471"/>
      <w:bookmarkStart w:id="434" w:name="_Toc3451"/>
      <w:bookmarkStart w:id="435" w:name="_Toc26093"/>
      <w:bookmarkStart w:id="436" w:name="_Toc22441"/>
      <w:bookmarkStart w:id="437" w:name="_Toc3256"/>
      <w:bookmarkStart w:id="438" w:name="_Toc17671"/>
      <w:bookmarkStart w:id="439" w:name="_Toc29642"/>
      <w:bookmarkStart w:id="440" w:name="_Toc16341"/>
      <w:r>
        <w:rPr>
          <w:highlight w:val="none"/>
        </w:rPr>
        <w:t>九、评审报告</w:t>
      </w:r>
      <w:bookmarkEnd w:id="433"/>
      <w:bookmarkEnd w:id="434"/>
      <w:bookmarkEnd w:id="435"/>
      <w:bookmarkEnd w:id="436"/>
      <w:bookmarkEnd w:id="437"/>
      <w:bookmarkEnd w:id="438"/>
      <w:bookmarkEnd w:id="439"/>
      <w:bookmarkEnd w:id="440"/>
    </w:p>
    <w:p w14:paraId="647422E2">
      <w:pPr>
        <w:ind w:firstLine="480"/>
        <w:rPr>
          <w:szCs w:val="21"/>
          <w:highlight w:val="none"/>
        </w:rPr>
      </w:pPr>
      <w:r>
        <w:rPr>
          <w:rFonts w:hint="eastAsia"/>
          <w:highlight w:val="none"/>
        </w:rPr>
        <w:t>磋商小组</w:t>
      </w:r>
      <w:r>
        <w:rPr>
          <w:highlight w:val="none"/>
        </w:rPr>
        <w:t>编写评审报告</w:t>
      </w:r>
      <w:r>
        <w:rPr>
          <w:rFonts w:hint="eastAsia"/>
          <w:highlight w:val="none"/>
          <w:lang w:eastAsia="zh-CN"/>
        </w:rPr>
        <w:t>，</w:t>
      </w:r>
      <w:r>
        <w:rPr>
          <w:highlight w:val="none"/>
        </w:rPr>
        <w:t>并提出得分由高到低排序名单及理由</w:t>
      </w:r>
      <w:r>
        <w:rPr>
          <w:rFonts w:hint="eastAsia"/>
          <w:highlight w:val="none"/>
          <w:lang w:eastAsia="zh-CN"/>
        </w:rPr>
        <w:t>，</w:t>
      </w:r>
      <w:r>
        <w:rPr>
          <w:highlight w:val="none"/>
        </w:rPr>
        <w:t>评审报告由</w:t>
      </w:r>
      <w:r>
        <w:rPr>
          <w:rFonts w:hint="eastAsia"/>
          <w:highlight w:val="none"/>
        </w:rPr>
        <w:t>磋商小组</w:t>
      </w:r>
      <w:r>
        <w:rPr>
          <w:highlight w:val="none"/>
        </w:rPr>
        <w:t>成员签字。</w:t>
      </w:r>
    </w:p>
    <w:p w14:paraId="2C8DF349">
      <w:pPr>
        <w:pStyle w:val="5"/>
        <w:rPr>
          <w:highlight w:val="none"/>
        </w:rPr>
      </w:pPr>
      <w:bookmarkStart w:id="441" w:name="_Toc11799"/>
      <w:bookmarkStart w:id="442" w:name="_Toc19072"/>
      <w:bookmarkStart w:id="443" w:name="_Toc16301"/>
      <w:bookmarkStart w:id="444" w:name="_Toc17004"/>
      <w:bookmarkStart w:id="445" w:name="_Toc27201"/>
      <w:bookmarkStart w:id="446" w:name="_Toc12622"/>
      <w:bookmarkStart w:id="447" w:name="_Toc28035"/>
      <w:bookmarkStart w:id="448" w:name="_Toc11511"/>
      <w:r>
        <w:rPr>
          <w:highlight w:val="none"/>
        </w:rPr>
        <w:t>十、评分细则及标准</w:t>
      </w:r>
      <w:bookmarkEnd w:id="441"/>
      <w:bookmarkEnd w:id="442"/>
      <w:bookmarkEnd w:id="443"/>
      <w:bookmarkEnd w:id="444"/>
      <w:bookmarkEnd w:id="445"/>
      <w:bookmarkEnd w:id="446"/>
      <w:bookmarkEnd w:id="447"/>
      <w:bookmarkEnd w:id="448"/>
    </w:p>
    <w:p w14:paraId="290041AD">
      <w:pPr>
        <w:ind w:firstLine="480"/>
        <w:rPr>
          <w:highlight w:val="none"/>
        </w:rPr>
      </w:pPr>
      <w:r>
        <w:rPr>
          <w:highlight w:val="none"/>
        </w:rPr>
        <w:t>1.</w:t>
      </w:r>
      <w:r>
        <w:rPr>
          <w:rFonts w:hint="eastAsia"/>
          <w:highlight w:val="none"/>
        </w:rPr>
        <w:t>磋商小组</w:t>
      </w:r>
      <w:r>
        <w:rPr>
          <w:highlight w:val="none"/>
        </w:rPr>
        <w:t>成员根据本办法</w:t>
      </w:r>
      <w:r>
        <w:rPr>
          <w:rFonts w:hint="eastAsia"/>
          <w:highlight w:val="none"/>
          <w:lang w:eastAsia="zh-CN"/>
        </w:rPr>
        <w:t>，</w:t>
      </w:r>
      <w:r>
        <w:rPr>
          <w:highlight w:val="none"/>
        </w:rPr>
        <w:t>对有效的响应文件进行商务、技术等方面评估</w:t>
      </w:r>
      <w:r>
        <w:rPr>
          <w:rFonts w:hint="eastAsia"/>
          <w:highlight w:val="none"/>
          <w:lang w:eastAsia="zh-CN"/>
        </w:rPr>
        <w:t>，</w:t>
      </w:r>
      <w:r>
        <w:rPr>
          <w:highlight w:val="none"/>
        </w:rPr>
        <w:t>综合比较与评价</w:t>
      </w:r>
      <w:r>
        <w:rPr>
          <w:rFonts w:hint="eastAsia"/>
          <w:highlight w:val="none"/>
          <w:lang w:eastAsia="zh-CN"/>
        </w:rPr>
        <w:t>，</w:t>
      </w:r>
      <w:r>
        <w:rPr>
          <w:highlight w:val="none"/>
        </w:rPr>
        <w:t>由各成员独立评分</w:t>
      </w:r>
      <w:r>
        <w:rPr>
          <w:rFonts w:hint="eastAsia"/>
          <w:highlight w:val="none"/>
          <w:lang w:eastAsia="zh-CN"/>
        </w:rPr>
        <w:t>，</w:t>
      </w:r>
      <w:r>
        <w:rPr>
          <w:highlight w:val="none"/>
        </w:rPr>
        <w:t>打分时保留小数1位</w:t>
      </w:r>
      <w:r>
        <w:rPr>
          <w:rFonts w:hint="eastAsia"/>
          <w:highlight w:val="none"/>
          <w:lang w:eastAsia="zh-CN"/>
        </w:rPr>
        <w:t>，</w:t>
      </w:r>
      <w:r>
        <w:rPr>
          <w:highlight w:val="none"/>
        </w:rPr>
        <w:t>每人一份评分表</w:t>
      </w:r>
      <w:r>
        <w:rPr>
          <w:rFonts w:hint="eastAsia"/>
          <w:highlight w:val="none"/>
          <w:lang w:eastAsia="zh-CN"/>
        </w:rPr>
        <w:t>，</w:t>
      </w:r>
      <w:r>
        <w:rPr>
          <w:highlight w:val="none"/>
        </w:rPr>
        <w:t>并签名。在汇总得分时</w:t>
      </w:r>
      <w:r>
        <w:rPr>
          <w:rFonts w:hint="eastAsia"/>
          <w:highlight w:val="none"/>
          <w:lang w:eastAsia="zh-CN"/>
        </w:rPr>
        <w:t>，</w:t>
      </w:r>
      <w:r>
        <w:rPr>
          <w:highlight w:val="none"/>
        </w:rPr>
        <w:t>如果发现某一单项评分超过评分细则规定的分值范围</w:t>
      </w:r>
      <w:r>
        <w:rPr>
          <w:rFonts w:hint="eastAsia"/>
          <w:highlight w:val="none"/>
          <w:lang w:eastAsia="zh-CN"/>
        </w:rPr>
        <w:t>，</w:t>
      </w:r>
      <w:r>
        <w:rPr>
          <w:highlight w:val="none"/>
        </w:rPr>
        <w:t>则该份评分表无效。</w:t>
      </w:r>
    </w:p>
    <w:p w14:paraId="330BCB3D">
      <w:pPr>
        <w:ind w:firstLine="480"/>
        <w:rPr>
          <w:highlight w:val="none"/>
        </w:rPr>
      </w:pPr>
      <w:r>
        <w:rPr>
          <w:highlight w:val="none"/>
        </w:rPr>
        <w:t>2.加权汇总每项评分因素的得分</w:t>
      </w:r>
      <w:r>
        <w:rPr>
          <w:rFonts w:hint="eastAsia"/>
          <w:highlight w:val="none"/>
          <w:lang w:eastAsia="zh-CN"/>
        </w:rPr>
        <w:t>，</w:t>
      </w:r>
      <w:r>
        <w:rPr>
          <w:highlight w:val="none"/>
        </w:rPr>
        <w:t>得出每个有效供应商的总分。商务技术部分得分为各成员的有效评分的算术平均值。计算时保留小数二位（第三位四舍五入）。</w:t>
      </w:r>
    </w:p>
    <w:p w14:paraId="2134268A">
      <w:pPr>
        <w:rPr>
          <w:highlight w:val="none"/>
        </w:rPr>
      </w:pPr>
      <w:r>
        <w:rPr>
          <w:highlight w:val="none"/>
        </w:rPr>
        <w:t>3.综合评分明细表</w:t>
      </w:r>
    </w:p>
    <w:tbl>
      <w:tblPr>
        <w:tblStyle w:val="26"/>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815"/>
        <w:gridCol w:w="5274"/>
        <w:gridCol w:w="1155"/>
      </w:tblGrid>
      <w:tr w14:paraId="2DBD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2972" w:type="dxa"/>
            <w:gridSpan w:val="2"/>
            <w:vAlign w:val="center"/>
          </w:tcPr>
          <w:p w14:paraId="0571F73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r>
              <w:rPr>
                <w:highlight w:val="none"/>
              </w:rPr>
              <w:t>评分项目</w:t>
            </w:r>
          </w:p>
        </w:tc>
        <w:tc>
          <w:tcPr>
            <w:tcW w:w="5274" w:type="dxa"/>
            <w:vAlign w:val="center"/>
          </w:tcPr>
          <w:p w14:paraId="3AABC48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r>
              <w:rPr>
                <w:highlight w:val="none"/>
              </w:rPr>
              <w:t>评分细则</w:t>
            </w:r>
          </w:p>
        </w:tc>
        <w:tc>
          <w:tcPr>
            <w:tcW w:w="1155" w:type="dxa"/>
            <w:vAlign w:val="center"/>
          </w:tcPr>
          <w:p w14:paraId="41E2C75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r>
              <w:rPr>
                <w:highlight w:val="none"/>
              </w:rPr>
              <w:t>分值</w:t>
            </w:r>
          </w:p>
        </w:tc>
      </w:tr>
      <w:tr w14:paraId="6CD4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1157" w:type="dxa"/>
            <w:vAlign w:val="center"/>
          </w:tcPr>
          <w:p w14:paraId="399E8EA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r>
              <w:rPr>
                <w:highlight w:val="none"/>
              </w:rPr>
              <w:t>报价部分（</w:t>
            </w:r>
            <w:r>
              <w:rPr>
                <w:rFonts w:hint="eastAsia"/>
                <w:highlight w:val="none"/>
              </w:rPr>
              <w:t>2</w:t>
            </w:r>
            <w:r>
              <w:rPr>
                <w:highlight w:val="none"/>
              </w:rPr>
              <w:t>0分）</w:t>
            </w:r>
          </w:p>
        </w:tc>
        <w:tc>
          <w:tcPr>
            <w:tcW w:w="1815" w:type="dxa"/>
            <w:vAlign w:val="center"/>
          </w:tcPr>
          <w:p w14:paraId="4E8D036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r>
              <w:rPr>
                <w:highlight w:val="none"/>
              </w:rPr>
              <w:t>最后报价</w:t>
            </w:r>
          </w:p>
        </w:tc>
        <w:tc>
          <w:tcPr>
            <w:tcW w:w="5274" w:type="dxa"/>
            <w:vAlign w:val="center"/>
          </w:tcPr>
          <w:p w14:paraId="18B206B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r>
              <w:rPr>
                <w:highlight w:val="none"/>
              </w:rPr>
              <w:t>1.价格分采用低价优先法计算</w:t>
            </w:r>
            <w:r>
              <w:rPr>
                <w:rFonts w:hint="eastAsia"/>
                <w:highlight w:val="none"/>
                <w:lang w:eastAsia="zh-CN"/>
              </w:rPr>
              <w:t>，</w:t>
            </w:r>
            <w:r>
              <w:rPr>
                <w:highlight w:val="none"/>
              </w:rPr>
              <w:t>即满足磋商文件要求且最后报价最低的为磋商基准价。</w:t>
            </w:r>
          </w:p>
          <w:p w14:paraId="21468C3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r>
              <w:rPr>
                <w:highlight w:val="none"/>
              </w:rPr>
              <w:t>2.磋商报价得分＝磋商基准价/最后磋商报价*</w:t>
            </w:r>
            <w:r>
              <w:rPr>
                <w:rFonts w:hint="eastAsia"/>
                <w:highlight w:val="none"/>
              </w:rPr>
              <w:t>2</w:t>
            </w:r>
            <w:r>
              <w:rPr>
                <w:highlight w:val="none"/>
              </w:rPr>
              <w:t>0（保留小数二位</w:t>
            </w:r>
            <w:r>
              <w:rPr>
                <w:rFonts w:hint="eastAsia"/>
                <w:highlight w:val="none"/>
                <w:lang w:eastAsia="zh-CN"/>
              </w:rPr>
              <w:t>，</w:t>
            </w:r>
            <w:r>
              <w:rPr>
                <w:highlight w:val="none"/>
              </w:rPr>
              <w:t>第三位四舍五入）。</w:t>
            </w:r>
          </w:p>
          <w:p w14:paraId="0346154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r>
              <w:rPr>
                <w:rFonts w:hint="eastAsia"/>
                <w:highlight w:val="none"/>
                <w:lang w:val="en-US" w:eastAsia="zh-CN"/>
              </w:rPr>
              <w:t>3.</w:t>
            </w:r>
            <w:r>
              <w:rPr>
                <w:highlight w:val="none"/>
              </w:rPr>
              <w:t>对小型和微型企业的价格给予</w:t>
            </w:r>
            <w:r>
              <w:rPr>
                <w:rFonts w:hint="eastAsia"/>
                <w:highlight w:val="none"/>
                <w:lang w:val="en-US" w:eastAsia="zh-CN"/>
              </w:rPr>
              <w:t>1</w:t>
            </w:r>
            <w:r>
              <w:rPr>
                <w:rFonts w:hint="default"/>
                <w:highlight w:val="none"/>
              </w:rPr>
              <w:t>0</w:t>
            </w:r>
            <w:r>
              <w:rPr>
                <w:highlight w:val="none"/>
              </w:rPr>
              <w:t>%的扣除</w:t>
            </w:r>
            <w:r>
              <w:rPr>
                <w:rFonts w:hint="eastAsia"/>
                <w:highlight w:val="none"/>
                <w:lang w:eastAsia="zh-CN"/>
              </w:rPr>
              <w:t>，</w:t>
            </w:r>
            <w:r>
              <w:rPr>
                <w:highlight w:val="none"/>
              </w:rPr>
              <w:t>用扣除后的价格参与评审。</w:t>
            </w:r>
          </w:p>
        </w:tc>
        <w:tc>
          <w:tcPr>
            <w:tcW w:w="1155" w:type="dxa"/>
            <w:vAlign w:val="center"/>
          </w:tcPr>
          <w:p w14:paraId="38DEB4F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r>
              <w:rPr>
                <w:highlight w:val="none"/>
              </w:rPr>
              <w:t>0-</w:t>
            </w:r>
            <w:r>
              <w:rPr>
                <w:rFonts w:hint="eastAsia"/>
                <w:highlight w:val="none"/>
              </w:rPr>
              <w:t>2</w:t>
            </w:r>
            <w:r>
              <w:rPr>
                <w:highlight w:val="none"/>
              </w:rPr>
              <w:t>0分</w:t>
            </w:r>
          </w:p>
        </w:tc>
      </w:tr>
      <w:tr w14:paraId="0407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vMerge w:val="restart"/>
            <w:vAlign w:val="center"/>
          </w:tcPr>
          <w:p w14:paraId="78DB4EC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r>
              <w:rPr>
                <w:rFonts w:hint="eastAsia"/>
                <w:highlight w:val="none"/>
                <w:lang w:val="en-US" w:eastAsia="zh-CN"/>
              </w:rPr>
              <w:t>资信</w:t>
            </w:r>
            <w:r>
              <w:rPr>
                <w:highlight w:val="none"/>
              </w:rPr>
              <w:t>技术（</w:t>
            </w:r>
            <w:r>
              <w:rPr>
                <w:rFonts w:hint="eastAsia"/>
                <w:highlight w:val="none"/>
              </w:rPr>
              <w:t>8</w:t>
            </w:r>
            <w:r>
              <w:rPr>
                <w:highlight w:val="none"/>
              </w:rPr>
              <w:t>0分）</w:t>
            </w:r>
          </w:p>
        </w:tc>
        <w:tc>
          <w:tcPr>
            <w:tcW w:w="1815" w:type="dxa"/>
            <w:vAlign w:val="center"/>
          </w:tcPr>
          <w:p w14:paraId="47926B2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r>
              <w:rPr>
                <w:highlight w:val="none"/>
              </w:rPr>
              <w:t>类似业绩</w:t>
            </w:r>
          </w:p>
        </w:tc>
        <w:tc>
          <w:tcPr>
            <w:tcW w:w="5274" w:type="dxa"/>
            <w:vAlign w:val="center"/>
          </w:tcPr>
          <w:p w14:paraId="14F5DBB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zh-CN" w:eastAsia="zh-CN"/>
              </w:rPr>
            </w:pPr>
            <w:r>
              <w:rPr>
                <w:rFonts w:hint="eastAsia"/>
                <w:highlight w:val="none"/>
              </w:rPr>
              <w:t>各供应商自20</w:t>
            </w:r>
            <w:r>
              <w:rPr>
                <w:rFonts w:hint="eastAsia"/>
                <w:highlight w:val="none"/>
                <w:lang w:val="en-US" w:eastAsia="zh-CN"/>
              </w:rPr>
              <w:t>20</w:t>
            </w:r>
            <w:r>
              <w:rPr>
                <w:rFonts w:hint="eastAsia"/>
                <w:highlight w:val="none"/>
              </w:rPr>
              <w:t>年1月1日</w:t>
            </w:r>
            <w:r>
              <w:rPr>
                <w:rFonts w:hint="eastAsia"/>
                <w:highlight w:val="none"/>
                <w:lang w:val="en-US" w:eastAsia="zh-CN"/>
              </w:rPr>
              <w:t>以来</w:t>
            </w:r>
            <w:r>
              <w:rPr>
                <w:rFonts w:hint="eastAsia"/>
                <w:highlight w:val="none"/>
              </w:rPr>
              <w:t>（</w:t>
            </w:r>
            <w:r>
              <w:rPr>
                <w:rFonts w:hint="eastAsia"/>
                <w:highlight w:val="none"/>
                <w:lang w:val="en-US" w:eastAsia="zh-CN"/>
              </w:rPr>
              <w:t>具体</w:t>
            </w:r>
            <w:r>
              <w:rPr>
                <w:rFonts w:hint="eastAsia"/>
                <w:highlight w:val="none"/>
              </w:rPr>
              <w:t>以合同签订时间为准）承担过类似项目</w:t>
            </w:r>
            <w:r>
              <w:rPr>
                <w:rFonts w:hint="eastAsia"/>
                <w:highlight w:val="none"/>
                <w:lang w:val="en-US" w:eastAsia="zh-CN"/>
              </w:rPr>
              <w:t>业绩</w:t>
            </w:r>
            <w:r>
              <w:rPr>
                <w:rFonts w:hint="eastAsia"/>
                <w:highlight w:val="none"/>
              </w:rPr>
              <w:t>的</w:t>
            </w:r>
            <w:r>
              <w:rPr>
                <w:rFonts w:hint="eastAsia"/>
                <w:highlight w:val="none"/>
                <w:lang w:eastAsia="zh-CN"/>
              </w:rPr>
              <w:t>，</w:t>
            </w:r>
            <w:r>
              <w:rPr>
                <w:rFonts w:hint="eastAsia"/>
                <w:highlight w:val="none"/>
              </w:rPr>
              <w:t>每个项目得</w:t>
            </w:r>
            <w:r>
              <w:rPr>
                <w:rFonts w:hint="eastAsia"/>
                <w:highlight w:val="none"/>
                <w:lang w:val="en-US" w:eastAsia="zh-CN"/>
              </w:rPr>
              <w:t>1</w:t>
            </w:r>
            <w:r>
              <w:rPr>
                <w:rFonts w:hint="eastAsia"/>
                <w:highlight w:val="none"/>
              </w:rPr>
              <w:t>分</w:t>
            </w:r>
            <w:r>
              <w:rPr>
                <w:rFonts w:hint="eastAsia"/>
                <w:highlight w:val="none"/>
                <w:lang w:eastAsia="zh-CN"/>
              </w:rPr>
              <w:t>，</w:t>
            </w:r>
            <w:r>
              <w:rPr>
                <w:rFonts w:hint="eastAsia"/>
                <w:highlight w:val="none"/>
              </w:rPr>
              <w:t>最高</w:t>
            </w:r>
            <w:r>
              <w:rPr>
                <w:rFonts w:hint="eastAsia"/>
                <w:highlight w:val="none"/>
                <w:lang w:val="en-US" w:eastAsia="zh-CN"/>
              </w:rPr>
              <w:t>得2</w:t>
            </w:r>
            <w:r>
              <w:rPr>
                <w:rFonts w:hint="eastAsia"/>
                <w:highlight w:val="none"/>
              </w:rPr>
              <w:t>分</w:t>
            </w:r>
            <w:r>
              <w:rPr>
                <w:rFonts w:hint="eastAsia"/>
                <w:highlight w:val="none"/>
                <w:lang w:eastAsia="zh-CN"/>
              </w:rPr>
              <w:t>。</w:t>
            </w:r>
          </w:p>
          <w:p w14:paraId="594BD95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r>
              <w:rPr>
                <w:rFonts w:hint="eastAsia"/>
                <w:highlight w:val="none"/>
                <w:lang w:val="en-US" w:eastAsia="zh-CN"/>
              </w:rPr>
              <w:t>须提供合同扫描件并加盖公章</w:t>
            </w:r>
            <w:r>
              <w:rPr>
                <w:rFonts w:hint="eastAsia"/>
                <w:highlight w:val="none"/>
                <w:lang w:val="zh-CN" w:eastAsia="zh-CN"/>
              </w:rPr>
              <w:t>，</w:t>
            </w:r>
            <w:r>
              <w:rPr>
                <w:rFonts w:hint="eastAsia"/>
                <w:highlight w:val="none"/>
                <w:lang w:val="en-US" w:eastAsia="zh-CN"/>
              </w:rPr>
              <w:t>不提供不得分，本项最高得2分</w:t>
            </w:r>
            <w:r>
              <w:rPr>
                <w:highlight w:val="none"/>
              </w:rPr>
              <w:t>。</w:t>
            </w:r>
          </w:p>
        </w:tc>
        <w:tc>
          <w:tcPr>
            <w:tcW w:w="1155" w:type="dxa"/>
            <w:vAlign w:val="center"/>
          </w:tcPr>
          <w:p w14:paraId="5D0ACA2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r>
              <w:rPr>
                <w:highlight w:val="none"/>
              </w:rPr>
              <w:t>0-</w:t>
            </w:r>
            <w:r>
              <w:rPr>
                <w:rFonts w:hint="eastAsia"/>
                <w:highlight w:val="none"/>
              </w:rPr>
              <w:t>2</w:t>
            </w:r>
            <w:r>
              <w:rPr>
                <w:highlight w:val="none"/>
              </w:rPr>
              <w:t>分</w:t>
            </w:r>
          </w:p>
        </w:tc>
      </w:tr>
      <w:tr w14:paraId="2AEE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57" w:type="dxa"/>
            <w:vMerge w:val="continue"/>
          </w:tcPr>
          <w:p w14:paraId="4ED3F1C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p>
        </w:tc>
        <w:tc>
          <w:tcPr>
            <w:tcW w:w="1815" w:type="dxa"/>
            <w:vAlign w:val="center"/>
          </w:tcPr>
          <w:p w14:paraId="6B8447B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rPr>
            </w:pPr>
            <w:r>
              <w:rPr>
                <w:rFonts w:hint="eastAsia"/>
                <w:highlight w:val="none"/>
                <w:lang w:val="en-US" w:eastAsia="zh-CN"/>
              </w:rPr>
              <w:t>认证证书</w:t>
            </w:r>
          </w:p>
        </w:tc>
        <w:tc>
          <w:tcPr>
            <w:tcW w:w="5274" w:type="dxa"/>
          </w:tcPr>
          <w:p w14:paraId="0367009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投标人</w:t>
            </w:r>
            <w:r>
              <w:rPr>
                <w:rFonts w:hint="eastAsia" w:ascii="Times New Roman" w:hAnsi="Times New Roman" w:cs="Times New Roman"/>
                <w:highlight w:val="none"/>
              </w:rPr>
              <w:t>具有五星售后服务认证证书</w:t>
            </w:r>
            <w:r>
              <w:rPr>
                <w:rFonts w:hint="eastAsia" w:ascii="Times New Roman" w:hAnsi="Times New Roman" w:cs="Times New Roman"/>
                <w:highlight w:val="none"/>
                <w:lang w:val="en-US" w:eastAsia="zh-CN"/>
              </w:rPr>
              <w:t>得1分；</w:t>
            </w:r>
          </w:p>
          <w:p w14:paraId="0799D87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投标人</w:t>
            </w:r>
            <w:r>
              <w:rPr>
                <w:rFonts w:hint="eastAsia" w:ascii="Times New Roman" w:hAnsi="Times New Roman" w:cs="Times New Roman"/>
                <w:highlight w:val="none"/>
              </w:rPr>
              <w:t>具有AAA质量服务诚信企业证书</w:t>
            </w:r>
            <w:r>
              <w:rPr>
                <w:rFonts w:hint="eastAsia" w:ascii="Times New Roman" w:hAnsi="Times New Roman" w:cs="Times New Roman"/>
                <w:highlight w:val="none"/>
                <w:lang w:val="en-US" w:eastAsia="zh-CN"/>
              </w:rPr>
              <w:t>得1分；投标人</w:t>
            </w:r>
            <w:r>
              <w:rPr>
                <w:rFonts w:hint="eastAsia" w:ascii="Times New Roman" w:hAnsi="Times New Roman" w:cs="Times New Roman"/>
                <w:highlight w:val="none"/>
              </w:rPr>
              <w:t>具有ISO20000信息技术服务管理体系认证证书</w:t>
            </w:r>
            <w:r>
              <w:rPr>
                <w:rFonts w:hint="eastAsia" w:ascii="Times New Roman" w:hAnsi="Times New Roman" w:cs="Times New Roman"/>
                <w:highlight w:val="none"/>
                <w:lang w:val="en-US" w:eastAsia="zh-CN"/>
              </w:rPr>
              <w:t>得1分；</w:t>
            </w:r>
          </w:p>
          <w:p w14:paraId="58BEAA4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highlight w:val="none"/>
                <w:lang w:eastAsia="zh-CN"/>
              </w:rPr>
            </w:pPr>
            <w:r>
              <w:rPr>
                <w:rFonts w:hint="eastAsia" w:ascii="Times New Roman" w:hAnsi="Times New Roman" w:cs="Times New Roman"/>
                <w:highlight w:val="none"/>
                <w:lang w:val="en-US" w:eastAsia="zh-CN"/>
              </w:rPr>
              <w:t>投标人</w:t>
            </w:r>
            <w:r>
              <w:rPr>
                <w:rFonts w:hint="eastAsia" w:ascii="Times New Roman" w:hAnsi="Times New Roman" w:cs="Times New Roman"/>
                <w:highlight w:val="none"/>
              </w:rPr>
              <w:t>具有ISO27001信息安全管理体系认证证书</w:t>
            </w:r>
            <w:r>
              <w:rPr>
                <w:rFonts w:hint="eastAsia" w:ascii="Times New Roman" w:hAnsi="Times New Roman" w:cs="Times New Roman"/>
                <w:highlight w:val="none"/>
                <w:lang w:val="en-US" w:eastAsia="zh-CN"/>
              </w:rPr>
              <w:t>得1分；</w:t>
            </w:r>
          </w:p>
          <w:p w14:paraId="46D36DB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highlight w:val="none"/>
              </w:rPr>
            </w:pPr>
            <w:r>
              <w:rPr>
                <w:rFonts w:hint="eastAsia" w:ascii="Times New Roman" w:hAnsi="Times New Roman" w:cs="Times New Roman"/>
                <w:highlight w:val="none"/>
                <w:lang w:val="en-US" w:eastAsia="zh-CN"/>
              </w:rPr>
              <w:t>须提供相关有效证书扫描件并加盖公章</w:t>
            </w:r>
            <w:r>
              <w:rPr>
                <w:rFonts w:hint="eastAsia" w:ascii="Times New Roman" w:hAnsi="Times New Roman" w:cs="Times New Roman"/>
                <w:highlight w:val="none"/>
                <w:lang w:val="zh-CN" w:eastAsia="zh-CN"/>
              </w:rPr>
              <w:t>，</w:t>
            </w:r>
            <w:r>
              <w:rPr>
                <w:rFonts w:hint="eastAsia" w:ascii="Times New Roman" w:hAnsi="Times New Roman" w:cs="Times New Roman"/>
                <w:highlight w:val="none"/>
                <w:lang w:val="en-US" w:eastAsia="zh-CN"/>
              </w:rPr>
              <w:t>不提供不得分，本项最高得4分</w:t>
            </w:r>
            <w:r>
              <w:rPr>
                <w:rFonts w:hint="eastAsia" w:ascii="Times New Roman" w:hAnsi="Times New Roman" w:cs="Times New Roman"/>
                <w:highlight w:val="none"/>
              </w:rPr>
              <w:t>。</w:t>
            </w:r>
          </w:p>
        </w:tc>
        <w:tc>
          <w:tcPr>
            <w:tcW w:w="1155" w:type="dxa"/>
            <w:vAlign w:val="center"/>
          </w:tcPr>
          <w:p w14:paraId="3E6AC63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r>
              <w:rPr>
                <w:highlight w:val="none"/>
              </w:rPr>
              <w:t>0-</w:t>
            </w:r>
            <w:r>
              <w:rPr>
                <w:rFonts w:hint="eastAsia"/>
                <w:highlight w:val="none"/>
                <w:lang w:val="en-US" w:eastAsia="zh-CN"/>
              </w:rPr>
              <w:t>4</w:t>
            </w:r>
            <w:r>
              <w:rPr>
                <w:highlight w:val="none"/>
              </w:rPr>
              <w:t>分</w:t>
            </w:r>
          </w:p>
        </w:tc>
      </w:tr>
      <w:tr w14:paraId="773C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57" w:type="dxa"/>
            <w:vMerge w:val="continue"/>
          </w:tcPr>
          <w:p w14:paraId="6F960D0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p>
        </w:tc>
        <w:tc>
          <w:tcPr>
            <w:tcW w:w="1815" w:type="dxa"/>
            <w:vMerge w:val="restart"/>
            <w:vAlign w:val="center"/>
          </w:tcPr>
          <w:p w14:paraId="2611882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r>
              <w:rPr>
                <w:rFonts w:hint="eastAsia"/>
                <w:highlight w:val="none"/>
                <w:lang w:val="en-US" w:eastAsia="zh-CN"/>
              </w:rPr>
              <w:t>项目经理及项目成员</w:t>
            </w:r>
          </w:p>
        </w:tc>
        <w:tc>
          <w:tcPr>
            <w:tcW w:w="5274" w:type="dxa"/>
          </w:tcPr>
          <w:p w14:paraId="6F0E37A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拟派本项目的项目经理具有</w:t>
            </w:r>
            <w:r>
              <w:rPr>
                <w:rFonts w:hint="default" w:ascii="Times New Roman" w:hAnsi="Times New Roman" w:cs="Times New Roman"/>
                <w:highlight w:val="none"/>
                <w:lang w:val="en-US" w:eastAsia="zh-CN"/>
              </w:rPr>
              <w:t>计算机类</w:t>
            </w:r>
            <w:r>
              <w:rPr>
                <w:rFonts w:hint="eastAsia" w:ascii="Times New Roman" w:hAnsi="Times New Roman" w:cs="Times New Roman"/>
                <w:highlight w:val="none"/>
                <w:lang w:val="en-US" w:eastAsia="zh-CN"/>
              </w:rPr>
              <w:t>高级工程师职称证书的得2分；具有</w:t>
            </w:r>
            <w:r>
              <w:rPr>
                <w:rFonts w:hint="default" w:ascii="Times New Roman" w:hAnsi="Times New Roman" w:cs="Times New Roman"/>
                <w:highlight w:val="none"/>
                <w:lang w:val="en-US" w:eastAsia="zh-CN"/>
              </w:rPr>
              <w:t>计算机类</w:t>
            </w:r>
            <w:r>
              <w:rPr>
                <w:rFonts w:hint="eastAsia" w:ascii="Times New Roman" w:hAnsi="Times New Roman" w:cs="Times New Roman"/>
                <w:highlight w:val="none"/>
                <w:lang w:val="en-US" w:eastAsia="zh-CN"/>
              </w:rPr>
              <w:t>工程师职称证书的得1分，其他不得分。</w:t>
            </w:r>
          </w:p>
          <w:p w14:paraId="3EE2D49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须提供相关有效证书扫描件及投标人为其缴纳的近3个月的社保证明扫描件并加盖公章，不提供不得分，本项最高得2分。</w:t>
            </w:r>
          </w:p>
        </w:tc>
        <w:tc>
          <w:tcPr>
            <w:tcW w:w="1155" w:type="dxa"/>
            <w:vAlign w:val="center"/>
          </w:tcPr>
          <w:p w14:paraId="50D7295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r>
              <w:rPr>
                <w:highlight w:val="none"/>
              </w:rPr>
              <w:t>0-</w:t>
            </w:r>
            <w:r>
              <w:rPr>
                <w:rFonts w:hint="eastAsia"/>
                <w:highlight w:val="none"/>
                <w:lang w:val="en-US" w:eastAsia="zh-CN"/>
              </w:rPr>
              <w:t>2</w:t>
            </w:r>
            <w:r>
              <w:rPr>
                <w:highlight w:val="none"/>
              </w:rPr>
              <w:t>分</w:t>
            </w:r>
          </w:p>
        </w:tc>
      </w:tr>
      <w:tr w14:paraId="21BD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157" w:type="dxa"/>
            <w:vMerge w:val="continue"/>
          </w:tcPr>
          <w:p w14:paraId="58265E4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p>
        </w:tc>
        <w:tc>
          <w:tcPr>
            <w:tcW w:w="1815" w:type="dxa"/>
            <w:vMerge w:val="continue"/>
            <w:vAlign w:val="center"/>
          </w:tcPr>
          <w:p w14:paraId="41BEE7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p>
        </w:tc>
        <w:tc>
          <w:tcPr>
            <w:tcW w:w="5274" w:type="dxa"/>
          </w:tcPr>
          <w:p w14:paraId="22462C2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拟投入本项目组成员中（不含项目经理）具有</w:t>
            </w:r>
            <w:r>
              <w:rPr>
                <w:rFonts w:hint="default" w:ascii="Times New Roman" w:hAnsi="Times New Roman" w:cs="Times New Roman"/>
                <w:highlight w:val="none"/>
                <w:lang w:val="en-US" w:eastAsia="zh-CN"/>
              </w:rPr>
              <w:t>计算机类中级</w:t>
            </w:r>
            <w:r>
              <w:rPr>
                <w:rFonts w:hint="eastAsia" w:ascii="Times New Roman" w:hAnsi="Times New Roman" w:cs="Times New Roman"/>
                <w:highlight w:val="none"/>
                <w:lang w:val="en-US" w:eastAsia="zh-CN"/>
              </w:rPr>
              <w:t>及</w:t>
            </w:r>
            <w:r>
              <w:rPr>
                <w:rFonts w:hint="default" w:ascii="Times New Roman" w:hAnsi="Times New Roman" w:cs="Times New Roman"/>
                <w:highlight w:val="none"/>
                <w:lang w:val="en-US" w:eastAsia="zh-CN"/>
              </w:rPr>
              <w:t>以上职称证书</w:t>
            </w:r>
            <w:r>
              <w:rPr>
                <w:rFonts w:hint="eastAsia" w:ascii="Times New Roman" w:hAnsi="Times New Roman" w:cs="Times New Roman"/>
                <w:highlight w:val="none"/>
                <w:lang w:val="en-US" w:eastAsia="zh-CN"/>
              </w:rPr>
              <w:t>的，每提供一名得1分，最高得2分。</w:t>
            </w:r>
          </w:p>
          <w:p w14:paraId="6E29173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须提供相关有效证书扫描件及投标人为其缴纳的近3个月的社保证明扫描件并加盖公章，不提供不得分，本项最高得2分。</w:t>
            </w:r>
          </w:p>
        </w:tc>
        <w:tc>
          <w:tcPr>
            <w:tcW w:w="1155" w:type="dxa"/>
            <w:vAlign w:val="center"/>
          </w:tcPr>
          <w:p w14:paraId="749F9C1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r>
              <w:rPr>
                <w:highlight w:val="none"/>
              </w:rPr>
              <w:t>0-</w:t>
            </w:r>
            <w:r>
              <w:rPr>
                <w:rFonts w:hint="eastAsia"/>
                <w:highlight w:val="none"/>
                <w:lang w:val="en-US" w:eastAsia="zh-CN"/>
              </w:rPr>
              <w:t>2</w:t>
            </w:r>
            <w:r>
              <w:rPr>
                <w:highlight w:val="none"/>
              </w:rPr>
              <w:t>分</w:t>
            </w:r>
          </w:p>
        </w:tc>
      </w:tr>
      <w:tr w14:paraId="7FB8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vMerge w:val="continue"/>
          </w:tcPr>
          <w:p w14:paraId="640447F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p>
        </w:tc>
        <w:tc>
          <w:tcPr>
            <w:tcW w:w="1815" w:type="dxa"/>
            <w:shd w:val="clear" w:color="auto" w:fill="auto"/>
            <w:vAlign w:val="center"/>
          </w:tcPr>
          <w:p w14:paraId="0F20FF5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服务方案</w:t>
            </w:r>
          </w:p>
        </w:tc>
        <w:tc>
          <w:tcPr>
            <w:tcW w:w="5274" w:type="dxa"/>
            <w:shd w:val="clear" w:color="auto" w:fill="auto"/>
            <w:vAlign w:val="center"/>
          </w:tcPr>
          <w:p w14:paraId="569ABE1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eastAsia="zh-CN"/>
              </w:rPr>
            </w:pPr>
            <w:r>
              <w:rPr>
                <w:rFonts w:hint="eastAsia"/>
                <w:highlight w:val="none"/>
                <w:lang w:val="en-US" w:eastAsia="zh-CN"/>
              </w:rPr>
              <w:t>服务方案中涉及的产品性能：技术参数全部满足招标文件要求的得16分；标注★的服务功能每负偏离一项扣1分，其它负偏离一项扣0.5分，扣完为止。</w:t>
            </w:r>
          </w:p>
          <w:p w14:paraId="2CFE6BC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招标参数中未按要求提供证明材料、检测报告等内容的视为负偏离。</w:t>
            </w:r>
          </w:p>
        </w:tc>
        <w:tc>
          <w:tcPr>
            <w:tcW w:w="1155" w:type="dxa"/>
            <w:shd w:val="clear" w:color="auto" w:fill="auto"/>
            <w:vAlign w:val="center"/>
          </w:tcPr>
          <w:p w14:paraId="457C909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24"/>
                <w:szCs w:val="24"/>
                <w:highlight w:val="none"/>
                <w:lang w:val="en-US" w:eastAsia="zh-CN" w:bidi="ar-SA"/>
              </w:rPr>
            </w:pPr>
            <w:r>
              <w:rPr>
                <w:highlight w:val="none"/>
              </w:rPr>
              <w:t>0-</w:t>
            </w:r>
            <w:r>
              <w:rPr>
                <w:rFonts w:hint="eastAsia"/>
                <w:highlight w:val="none"/>
                <w:lang w:val="en-US" w:eastAsia="zh-CN"/>
              </w:rPr>
              <w:t>16</w:t>
            </w:r>
            <w:r>
              <w:rPr>
                <w:highlight w:val="none"/>
              </w:rPr>
              <w:t>分</w:t>
            </w:r>
          </w:p>
        </w:tc>
      </w:tr>
      <w:tr w14:paraId="4EF3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vMerge w:val="continue"/>
          </w:tcPr>
          <w:p w14:paraId="4AF6D83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p>
        </w:tc>
        <w:tc>
          <w:tcPr>
            <w:tcW w:w="1815" w:type="dxa"/>
            <w:vAlign w:val="center"/>
          </w:tcPr>
          <w:p w14:paraId="6C2E4C8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eastAsia="zh-CN"/>
              </w:rPr>
            </w:pPr>
          </w:p>
        </w:tc>
        <w:tc>
          <w:tcPr>
            <w:tcW w:w="5274" w:type="dxa"/>
            <w:shd w:val="clear" w:color="auto" w:fill="auto"/>
            <w:vAlign w:val="center"/>
          </w:tcPr>
          <w:p w14:paraId="3E83C2F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根据供应商提供的数据安全平台维护服务方案进行综合打分，包括平台升级更新服务（0-2分）、系统日志分析（0-2分）、系统日常巡检（0-1分）、故障处理（0-2分）、国产化环境适配服务内容（0-1分）等方面进行综合评分。</w:t>
            </w:r>
          </w:p>
        </w:tc>
        <w:tc>
          <w:tcPr>
            <w:tcW w:w="1155" w:type="dxa"/>
            <w:shd w:val="clear" w:color="auto" w:fill="auto"/>
            <w:vAlign w:val="center"/>
          </w:tcPr>
          <w:p w14:paraId="0C7A3E6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24"/>
                <w:szCs w:val="24"/>
                <w:highlight w:val="none"/>
                <w:lang w:val="en-US" w:eastAsia="zh-CN" w:bidi="ar-SA"/>
              </w:rPr>
            </w:pPr>
            <w:r>
              <w:rPr>
                <w:highlight w:val="none"/>
              </w:rPr>
              <w:t>0-</w:t>
            </w:r>
            <w:r>
              <w:rPr>
                <w:rFonts w:hint="eastAsia"/>
                <w:highlight w:val="none"/>
                <w:lang w:val="en-US" w:eastAsia="zh-CN"/>
              </w:rPr>
              <w:t>8</w:t>
            </w:r>
            <w:r>
              <w:rPr>
                <w:highlight w:val="none"/>
              </w:rPr>
              <w:t>分</w:t>
            </w:r>
          </w:p>
        </w:tc>
      </w:tr>
      <w:tr w14:paraId="4064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vMerge w:val="continue"/>
          </w:tcPr>
          <w:p w14:paraId="6BED224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p>
        </w:tc>
        <w:tc>
          <w:tcPr>
            <w:tcW w:w="1815" w:type="dxa"/>
            <w:shd w:val="clear" w:color="auto" w:fill="auto"/>
            <w:vAlign w:val="center"/>
          </w:tcPr>
          <w:p w14:paraId="6E3C989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现场踏勘</w:t>
            </w:r>
          </w:p>
        </w:tc>
        <w:tc>
          <w:tcPr>
            <w:tcW w:w="5274" w:type="dxa"/>
            <w:shd w:val="clear" w:color="auto" w:fill="auto"/>
            <w:vAlign w:val="center"/>
          </w:tcPr>
          <w:p w14:paraId="318A727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为了能更好的服务了解本项目，投标人应对采购人对指定现场进行踏勘，提供经采购人盖章出具的现场踏勘证明原件扫描件得4分，未提供不得分，本项最高得4分。</w:t>
            </w:r>
          </w:p>
        </w:tc>
        <w:tc>
          <w:tcPr>
            <w:tcW w:w="1155" w:type="dxa"/>
            <w:shd w:val="clear" w:color="auto" w:fill="auto"/>
            <w:vAlign w:val="center"/>
          </w:tcPr>
          <w:p w14:paraId="3FC780A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24"/>
                <w:szCs w:val="24"/>
                <w:highlight w:val="none"/>
                <w:lang w:val="en-US" w:eastAsia="zh-CN" w:bidi="ar-SA"/>
              </w:rPr>
            </w:pPr>
            <w:r>
              <w:rPr>
                <w:highlight w:val="none"/>
              </w:rPr>
              <w:t>0-</w:t>
            </w:r>
            <w:r>
              <w:rPr>
                <w:rFonts w:hint="eastAsia"/>
                <w:highlight w:val="none"/>
                <w:lang w:val="en-US" w:eastAsia="zh-CN"/>
              </w:rPr>
              <w:t>4</w:t>
            </w:r>
            <w:r>
              <w:rPr>
                <w:highlight w:val="none"/>
              </w:rPr>
              <w:t>分</w:t>
            </w:r>
          </w:p>
        </w:tc>
      </w:tr>
      <w:tr w14:paraId="793E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vMerge w:val="continue"/>
          </w:tcPr>
          <w:p w14:paraId="30AA605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p>
        </w:tc>
        <w:tc>
          <w:tcPr>
            <w:tcW w:w="1815" w:type="dxa"/>
            <w:vAlign w:val="center"/>
          </w:tcPr>
          <w:p w14:paraId="2D3F44D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r>
              <w:rPr>
                <w:rFonts w:hint="eastAsia"/>
                <w:highlight w:val="none"/>
                <w:lang w:val="en-US" w:eastAsia="zh-CN"/>
              </w:rPr>
              <w:t>运维方案总体设计</w:t>
            </w:r>
          </w:p>
        </w:tc>
        <w:tc>
          <w:tcPr>
            <w:tcW w:w="5274" w:type="dxa"/>
            <w:vAlign w:val="center"/>
          </w:tcPr>
          <w:p w14:paraId="75B97D1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运维方案设计合理（0-1分）、技术先进（0-1分）、可靠（0-1分）、开放（0-1分）、实用（0-1分）、安全（0-1分）、经济（0-1分）、实际应用规模广（0-1分）、对客户需求理解准确（0-2分）等方面进行综合评分。</w:t>
            </w:r>
          </w:p>
        </w:tc>
        <w:tc>
          <w:tcPr>
            <w:tcW w:w="1155" w:type="dxa"/>
            <w:vAlign w:val="center"/>
          </w:tcPr>
          <w:p w14:paraId="7D329E8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0-10分</w:t>
            </w:r>
          </w:p>
        </w:tc>
      </w:tr>
      <w:tr w14:paraId="2AC1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157" w:type="dxa"/>
            <w:vMerge w:val="continue"/>
          </w:tcPr>
          <w:p w14:paraId="13360DC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p>
        </w:tc>
        <w:tc>
          <w:tcPr>
            <w:tcW w:w="1815" w:type="dxa"/>
            <w:shd w:val="clear" w:color="auto" w:fill="auto"/>
            <w:vAlign w:val="center"/>
          </w:tcPr>
          <w:p w14:paraId="0A92890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重点难点分析及解决方案</w:t>
            </w:r>
          </w:p>
        </w:tc>
        <w:tc>
          <w:tcPr>
            <w:tcW w:w="5274" w:type="dxa"/>
            <w:shd w:val="clear" w:color="auto" w:fill="auto"/>
            <w:vAlign w:val="center"/>
          </w:tcPr>
          <w:p w14:paraId="79298EA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highlight w:val="none"/>
                <w:lang w:val="en-US" w:eastAsia="zh-CN"/>
              </w:rPr>
            </w:pPr>
            <w:r>
              <w:rPr>
                <w:rFonts w:hint="default" w:ascii="Times New Roman" w:hAnsi="Times New Roman" w:cs="Times New Roman"/>
                <w:highlight w:val="none"/>
                <w:lang w:val="en-US" w:eastAsia="zh-CN"/>
              </w:rPr>
              <w:t>根据投标人提供的针对本项目重点、难点分析</w:t>
            </w:r>
            <w:r>
              <w:rPr>
                <w:rFonts w:hint="eastAsia" w:ascii="Times New Roman" w:hAnsi="Times New Roman" w:cs="Times New Roman"/>
                <w:highlight w:val="none"/>
                <w:lang w:val="en-US" w:eastAsia="zh-CN"/>
              </w:rPr>
              <w:t>及解决方案</w:t>
            </w:r>
            <w:r>
              <w:rPr>
                <w:rFonts w:hint="default" w:ascii="Times New Roman" w:hAnsi="Times New Roman" w:cs="Times New Roman"/>
                <w:highlight w:val="none"/>
                <w:lang w:val="en-US" w:eastAsia="zh-CN"/>
              </w:rPr>
              <w:t>进行评议：</w:t>
            </w:r>
            <w:r>
              <w:rPr>
                <w:rFonts w:hint="eastAsia" w:ascii="Times New Roman" w:hAnsi="Times New Roman" w:cs="Times New Roman"/>
                <w:highlight w:val="none"/>
                <w:lang w:val="en-US" w:eastAsia="zh-CN"/>
              </w:rPr>
              <w:t>方案全面性（0-2分）、可操作性（0-1分）、针对性（0-1分）等方面进行综合评分。</w:t>
            </w:r>
          </w:p>
        </w:tc>
        <w:tc>
          <w:tcPr>
            <w:tcW w:w="1155" w:type="dxa"/>
            <w:shd w:val="clear" w:color="auto" w:fill="auto"/>
            <w:vAlign w:val="center"/>
          </w:tcPr>
          <w:p w14:paraId="21FDB60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0-4分</w:t>
            </w:r>
          </w:p>
        </w:tc>
      </w:tr>
      <w:tr w14:paraId="7E2C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57" w:type="dxa"/>
            <w:vMerge w:val="continue"/>
          </w:tcPr>
          <w:p w14:paraId="52A9FF5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p>
        </w:tc>
        <w:tc>
          <w:tcPr>
            <w:tcW w:w="1815" w:type="dxa"/>
            <w:shd w:val="clear" w:color="auto" w:fill="auto"/>
            <w:vAlign w:val="center"/>
          </w:tcPr>
          <w:p w14:paraId="6F34757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质量保证措施</w:t>
            </w:r>
          </w:p>
        </w:tc>
        <w:tc>
          <w:tcPr>
            <w:tcW w:w="5274" w:type="dxa"/>
            <w:shd w:val="clear" w:color="auto" w:fill="auto"/>
            <w:vAlign w:val="center"/>
          </w:tcPr>
          <w:p w14:paraId="49EAE89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根据投标人提供的针对本项目</w:t>
            </w:r>
            <w:r>
              <w:rPr>
                <w:rFonts w:hint="eastAsia" w:ascii="Times New Roman" w:hAnsi="Times New Roman" w:cs="Times New Roman"/>
                <w:highlight w:val="none"/>
                <w:lang w:val="en-US" w:eastAsia="zh-CN"/>
              </w:rPr>
              <w:t>的质量保证措施</w:t>
            </w:r>
            <w:r>
              <w:rPr>
                <w:rFonts w:hint="default" w:ascii="Times New Roman" w:hAnsi="Times New Roman" w:cs="Times New Roman"/>
                <w:highlight w:val="none"/>
                <w:lang w:val="en-US" w:eastAsia="zh-CN"/>
              </w:rPr>
              <w:t>进行评议：</w:t>
            </w:r>
            <w:r>
              <w:rPr>
                <w:rFonts w:hint="eastAsia" w:ascii="Times New Roman" w:hAnsi="Times New Roman" w:cs="Times New Roman"/>
                <w:highlight w:val="none"/>
                <w:lang w:val="en-US" w:eastAsia="zh-CN"/>
              </w:rPr>
              <w:t>质量保证措施可行性（0-2分）、方案全面性（0-2分）等方面进行综合评分。</w:t>
            </w:r>
          </w:p>
        </w:tc>
        <w:tc>
          <w:tcPr>
            <w:tcW w:w="1155" w:type="dxa"/>
            <w:shd w:val="clear" w:color="auto" w:fill="auto"/>
            <w:vAlign w:val="center"/>
          </w:tcPr>
          <w:p w14:paraId="71C4F9E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0-4分</w:t>
            </w:r>
          </w:p>
        </w:tc>
      </w:tr>
      <w:tr w14:paraId="6DAC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157" w:type="dxa"/>
            <w:vMerge w:val="continue"/>
          </w:tcPr>
          <w:p w14:paraId="2AA7D26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p>
        </w:tc>
        <w:tc>
          <w:tcPr>
            <w:tcW w:w="1815" w:type="dxa"/>
            <w:vMerge w:val="restart"/>
            <w:shd w:val="clear" w:color="auto" w:fill="auto"/>
            <w:vAlign w:val="center"/>
          </w:tcPr>
          <w:p w14:paraId="4896383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eastAsia="zh-CN"/>
              </w:rPr>
            </w:pPr>
            <w:r>
              <w:rPr>
                <w:rFonts w:hint="eastAsia"/>
                <w:highlight w:val="none"/>
                <w:lang w:val="en-US" w:eastAsia="zh-CN"/>
              </w:rPr>
              <w:t>售后服务</w:t>
            </w:r>
          </w:p>
        </w:tc>
        <w:tc>
          <w:tcPr>
            <w:tcW w:w="5274" w:type="dxa"/>
            <w:shd w:val="clear" w:color="auto" w:fill="auto"/>
            <w:vAlign w:val="center"/>
          </w:tcPr>
          <w:p w14:paraId="404C666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由评委根据供应商的维护保障的人员组织（0-3分）、维护工具（0-3分）及备品备件清单（0-2分）等方面进行综合评分。</w:t>
            </w:r>
          </w:p>
        </w:tc>
        <w:tc>
          <w:tcPr>
            <w:tcW w:w="1155" w:type="dxa"/>
            <w:shd w:val="clear" w:color="auto" w:fill="auto"/>
            <w:vAlign w:val="center"/>
          </w:tcPr>
          <w:p w14:paraId="7FA5923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kern w:val="2"/>
                <w:sz w:val="24"/>
                <w:szCs w:val="24"/>
                <w:highlight w:val="none"/>
                <w:lang w:val="en-US" w:eastAsia="zh-CN" w:bidi="ar-SA"/>
              </w:rPr>
            </w:pPr>
            <w:r>
              <w:rPr>
                <w:highlight w:val="none"/>
              </w:rPr>
              <w:t>0-</w:t>
            </w:r>
            <w:r>
              <w:rPr>
                <w:rFonts w:hint="eastAsia"/>
                <w:highlight w:val="none"/>
                <w:lang w:val="en-US" w:eastAsia="zh-CN"/>
              </w:rPr>
              <w:t>8</w:t>
            </w:r>
            <w:r>
              <w:rPr>
                <w:highlight w:val="none"/>
              </w:rPr>
              <w:t>分</w:t>
            </w:r>
          </w:p>
        </w:tc>
      </w:tr>
      <w:tr w14:paraId="6DD9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57" w:type="dxa"/>
            <w:vMerge w:val="continue"/>
          </w:tcPr>
          <w:p w14:paraId="3533138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p>
        </w:tc>
        <w:tc>
          <w:tcPr>
            <w:tcW w:w="1815" w:type="dxa"/>
            <w:vMerge w:val="continue"/>
            <w:vAlign w:val="center"/>
          </w:tcPr>
          <w:p w14:paraId="74AB42F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eastAsia="zh-CN"/>
              </w:rPr>
            </w:pPr>
          </w:p>
        </w:tc>
        <w:tc>
          <w:tcPr>
            <w:tcW w:w="5274" w:type="dxa"/>
            <w:shd w:val="clear" w:color="auto" w:fill="auto"/>
            <w:vAlign w:val="center"/>
          </w:tcPr>
          <w:p w14:paraId="24374D4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由评委根据供应商的服务内容（0-3分）、服务范围（0-2分）和服务时间（0-3分）等方面进行综合评分。</w:t>
            </w:r>
          </w:p>
        </w:tc>
        <w:tc>
          <w:tcPr>
            <w:tcW w:w="1155" w:type="dxa"/>
            <w:shd w:val="clear" w:color="auto" w:fill="auto"/>
            <w:vAlign w:val="center"/>
          </w:tcPr>
          <w:p w14:paraId="11D2413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kern w:val="2"/>
                <w:sz w:val="24"/>
                <w:szCs w:val="24"/>
                <w:highlight w:val="none"/>
                <w:lang w:val="en-US" w:eastAsia="zh-CN" w:bidi="ar-SA"/>
              </w:rPr>
            </w:pPr>
            <w:r>
              <w:rPr>
                <w:highlight w:val="none"/>
              </w:rPr>
              <w:t>0-</w:t>
            </w:r>
            <w:r>
              <w:rPr>
                <w:rFonts w:hint="eastAsia"/>
                <w:highlight w:val="none"/>
                <w:lang w:val="en-US" w:eastAsia="zh-CN"/>
              </w:rPr>
              <w:t>8</w:t>
            </w:r>
            <w:r>
              <w:rPr>
                <w:highlight w:val="none"/>
              </w:rPr>
              <w:t>分</w:t>
            </w:r>
          </w:p>
        </w:tc>
      </w:tr>
      <w:tr w14:paraId="44F9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57" w:type="dxa"/>
            <w:vMerge w:val="continue"/>
          </w:tcPr>
          <w:p w14:paraId="3C38366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highlight w:val="none"/>
              </w:rPr>
            </w:pPr>
          </w:p>
        </w:tc>
        <w:tc>
          <w:tcPr>
            <w:tcW w:w="1815" w:type="dxa"/>
            <w:vMerge w:val="continue"/>
            <w:vAlign w:val="center"/>
          </w:tcPr>
          <w:p w14:paraId="7FB21A3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highlight w:val="none"/>
                <w:lang w:val="en-US" w:eastAsia="zh-CN"/>
              </w:rPr>
            </w:pPr>
          </w:p>
        </w:tc>
        <w:tc>
          <w:tcPr>
            <w:tcW w:w="5274" w:type="dxa"/>
            <w:shd w:val="clear" w:color="auto" w:fill="auto"/>
            <w:vAlign w:val="center"/>
          </w:tcPr>
          <w:p w14:paraId="7D9EA81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由评委根据供应商的响应时间（0-3分），故障修复时间（0-3分）以及保障制度（0-2分）等方面进行综合评分。</w:t>
            </w:r>
          </w:p>
        </w:tc>
        <w:tc>
          <w:tcPr>
            <w:tcW w:w="1155" w:type="dxa"/>
            <w:shd w:val="clear" w:color="auto" w:fill="auto"/>
            <w:vAlign w:val="center"/>
          </w:tcPr>
          <w:p w14:paraId="58D63DE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kern w:val="2"/>
                <w:sz w:val="24"/>
                <w:szCs w:val="24"/>
                <w:highlight w:val="none"/>
                <w:lang w:val="en-US" w:eastAsia="zh-CN" w:bidi="ar-SA"/>
              </w:rPr>
            </w:pPr>
            <w:r>
              <w:rPr>
                <w:highlight w:val="none"/>
              </w:rPr>
              <w:t>0-</w:t>
            </w:r>
            <w:r>
              <w:rPr>
                <w:rFonts w:hint="eastAsia"/>
                <w:highlight w:val="none"/>
                <w:lang w:val="en-US" w:eastAsia="zh-CN"/>
              </w:rPr>
              <w:t>8</w:t>
            </w:r>
            <w:r>
              <w:rPr>
                <w:highlight w:val="none"/>
              </w:rPr>
              <w:t>分</w:t>
            </w:r>
          </w:p>
        </w:tc>
      </w:tr>
    </w:tbl>
    <w:p w14:paraId="712A65F1">
      <w:pPr>
        <w:ind w:left="0" w:leftChars="0" w:firstLine="0" w:firstLineChars="0"/>
        <w:rPr>
          <w:highlight w:val="none"/>
        </w:rPr>
      </w:pPr>
    </w:p>
    <w:p w14:paraId="46D78350">
      <w:pPr>
        <w:pStyle w:val="5"/>
        <w:rPr>
          <w:highlight w:val="none"/>
        </w:rPr>
      </w:pPr>
      <w:bookmarkStart w:id="449" w:name="_Toc27239"/>
      <w:bookmarkStart w:id="450" w:name="_Toc26923"/>
      <w:bookmarkStart w:id="451" w:name="_Toc27429"/>
      <w:bookmarkStart w:id="452" w:name="_Toc5157"/>
      <w:bookmarkStart w:id="453" w:name="_Toc5216"/>
      <w:bookmarkStart w:id="454" w:name="_Toc24497"/>
      <w:bookmarkStart w:id="455" w:name="_Toc21122"/>
      <w:bookmarkStart w:id="456" w:name="_Toc31933"/>
      <w:r>
        <w:rPr>
          <w:highlight w:val="none"/>
        </w:rPr>
        <w:t>十一、响应或成交无效情形</w:t>
      </w:r>
      <w:bookmarkEnd w:id="449"/>
      <w:bookmarkEnd w:id="450"/>
      <w:bookmarkEnd w:id="451"/>
      <w:bookmarkEnd w:id="452"/>
      <w:bookmarkEnd w:id="453"/>
      <w:bookmarkEnd w:id="454"/>
      <w:bookmarkEnd w:id="455"/>
      <w:bookmarkEnd w:id="456"/>
    </w:p>
    <w:p w14:paraId="5A3EA8F0">
      <w:pPr>
        <w:ind w:firstLine="480"/>
        <w:rPr>
          <w:highlight w:val="none"/>
        </w:rPr>
      </w:pPr>
      <w:r>
        <w:rPr>
          <w:highlight w:val="none"/>
        </w:rPr>
        <w:t>有下列情形之一的</w:t>
      </w:r>
      <w:r>
        <w:rPr>
          <w:rFonts w:hint="eastAsia"/>
          <w:highlight w:val="none"/>
          <w:lang w:eastAsia="zh-CN"/>
        </w:rPr>
        <w:t>，</w:t>
      </w:r>
      <w:r>
        <w:rPr>
          <w:highlight w:val="none"/>
        </w:rPr>
        <w:t>响应或成交无效</w:t>
      </w:r>
    </w:p>
    <w:p w14:paraId="7D75C67B">
      <w:pPr>
        <w:ind w:firstLine="480"/>
        <w:rPr>
          <w:highlight w:val="none"/>
        </w:rPr>
      </w:pPr>
      <w:r>
        <w:rPr>
          <w:highlight w:val="none"/>
        </w:rPr>
        <w:t>1.不符合本次采购供应商资格要求的。</w:t>
      </w:r>
    </w:p>
    <w:p w14:paraId="0D548D19">
      <w:pPr>
        <w:ind w:firstLine="480"/>
        <w:rPr>
          <w:highlight w:val="none"/>
        </w:rPr>
      </w:pPr>
      <w:r>
        <w:rPr>
          <w:highlight w:val="none"/>
        </w:rPr>
        <w:t>2.提供虚假材料及证明文件的。</w:t>
      </w:r>
    </w:p>
    <w:p w14:paraId="13F0797F">
      <w:pPr>
        <w:ind w:firstLine="480"/>
        <w:rPr>
          <w:highlight w:val="none"/>
        </w:rPr>
      </w:pPr>
      <w:r>
        <w:rPr>
          <w:highlight w:val="none"/>
        </w:rPr>
        <w:t>3.磋商报价高于最高限价的。</w:t>
      </w:r>
    </w:p>
    <w:p w14:paraId="41FD5051">
      <w:pPr>
        <w:ind w:firstLine="480"/>
        <w:rPr>
          <w:highlight w:val="none"/>
        </w:rPr>
      </w:pPr>
      <w:r>
        <w:rPr>
          <w:highlight w:val="none"/>
        </w:rPr>
        <w:t>4.本磋商文件是载明属无效处理情形的。</w:t>
      </w:r>
    </w:p>
    <w:p w14:paraId="05BEE782">
      <w:pPr>
        <w:ind w:firstLine="480"/>
        <w:rPr>
          <w:highlight w:val="none"/>
        </w:rPr>
      </w:pPr>
      <w:r>
        <w:rPr>
          <w:highlight w:val="none"/>
        </w:rPr>
        <w:t>5.响应文件含有采购人不能接受的附加条件的。</w:t>
      </w:r>
    </w:p>
    <w:p w14:paraId="4AAC503A">
      <w:pPr>
        <w:ind w:firstLine="480"/>
        <w:rPr>
          <w:highlight w:val="none"/>
        </w:rPr>
      </w:pPr>
      <w:r>
        <w:rPr>
          <w:highlight w:val="none"/>
        </w:rPr>
        <w:t>6.成交供应商无正当理由拖延或者不与采购人签订采购合同的。</w:t>
      </w:r>
    </w:p>
    <w:p w14:paraId="6049AFA5">
      <w:pPr>
        <w:ind w:firstLine="480"/>
        <w:rPr>
          <w:highlight w:val="none"/>
        </w:rPr>
      </w:pPr>
      <w:r>
        <w:rPr>
          <w:highlight w:val="none"/>
        </w:rPr>
        <w:t>7.本磋商文件提出要求响应而未响应实质性条款（带▲号）的</w:t>
      </w:r>
      <w:r>
        <w:rPr>
          <w:rFonts w:hint="eastAsia"/>
          <w:highlight w:val="none"/>
          <w:lang w:eastAsia="zh-CN"/>
        </w:rPr>
        <w:t>，</w:t>
      </w:r>
      <w:r>
        <w:rPr>
          <w:highlight w:val="none"/>
        </w:rPr>
        <w:t>或</w:t>
      </w:r>
      <w:r>
        <w:rPr>
          <w:rFonts w:hint="eastAsia"/>
          <w:highlight w:val="none"/>
        </w:rPr>
        <w:t>磋商小组</w:t>
      </w:r>
      <w:r>
        <w:rPr>
          <w:highlight w:val="none"/>
        </w:rPr>
        <w:t>认定有重大偏离或保留的。</w:t>
      </w:r>
    </w:p>
    <w:p w14:paraId="1FF7BFFB">
      <w:pPr>
        <w:ind w:firstLine="480"/>
        <w:rPr>
          <w:highlight w:val="none"/>
        </w:rPr>
      </w:pPr>
      <w:r>
        <w:rPr>
          <w:highlight w:val="none"/>
        </w:rPr>
        <w:t>8.</w:t>
      </w:r>
      <w:r>
        <w:rPr>
          <w:rFonts w:hint="eastAsia"/>
          <w:highlight w:val="none"/>
        </w:rPr>
        <w:t>磋商小组</w:t>
      </w:r>
      <w:r>
        <w:rPr>
          <w:highlight w:val="none"/>
        </w:rPr>
        <w:t>认为供应商的报价明显低于其他通过符合性审查供应商的报价</w:t>
      </w:r>
      <w:r>
        <w:rPr>
          <w:rFonts w:hint="eastAsia"/>
          <w:highlight w:val="none"/>
          <w:lang w:eastAsia="zh-CN"/>
        </w:rPr>
        <w:t>，</w:t>
      </w:r>
      <w:r>
        <w:rPr>
          <w:highlight w:val="none"/>
        </w:rPr>
        <w:t>有可能影响产品质量或者不能诚信履约</w:t>
      </w:r>
      <w:r>
        <w:rPr>
          <w:rFonts w:hint="eastAsia"/>
          <w:highlight w:val="none"/>
          <w:lang w:eastAsia="zh-CN"/>
        </w:rPr>
        <w:t>，</w:t>
      </w:r>
      <w:r>
        <w:rPr>
          <w:highlight w:val="none"/>
        </w:rPr>
        <w:t>供应商不能证明其报价合理性的。</w:t>
      </w:r>
    </w:p>
    <w:p w14:paraId="5E355A5B">
      <w:pPr>
        <w:ind w:firstLine="480"/>
        <w:rPr>
          <w:highlight w:val="none"/>
        </w:rPr>
      </w:pPr>
      <w:r>
        <w:rPr>
          <w:highlight w:val="none"/>
        </w:rPr>
        <w:t>9.不符合法律、法规和磋商文件规定的其他实质性要求和无效情形的。</w:t>
      </w:r>
    </w:p>
    <w:p w14:paraId="0DF30E7B">
      <w:pPr>
        <w:bidi w:val="0"/>
        <w:rPr>
          <w:rFonts w:hint="eastAsia"/>
          <w:b/>
          <w:bCs/>
          <w:highlight w:val="none"/>
          <w:lang w:val="en-US" w:eastAsia="zh-CN"/>
        </w:rPr>
      </w:pPr>
      <w:r>
        <w:rPr>
          <w:rFonts w:hint="eastAsia"/>
          <w:b/>
          <w:bCs/>
          <w:highlight w:val="none"/>
          <w:lang w:val="en-US" w:eastAsia="zh-CN"/>
        </w:rPr>
        <w:t>10.《技术资信评分汇总表》得分低于资信技术总分60%。</w:t>
      </w:r>
    </w:p>
    <w:p w14:paraId="3F1F3A99">
      <w:pPr>
        <w:bidi w:val="0"/>
        <w:rPr>
          <w:highlight w:val="none"/>
        </w:rPr>
      </w:pPr>
      <w:r>
        <w:rPr>
          <w:rFonts w:hint="eastAsia"/>
          <w:b/>
          <w:bCs/>
          <w:highlight w:val="none"/>
          <w:lang w:val="en-US" w:eastAsia="zh-CN"/>
        </w:rPr>
        <w:t>11.政采云系统显示：MAC地址相同、计算机硬盘序列号相同、投标文件细节错误一致且无合理解释的。</w:t>
      </w:r>
    </w:p>
    <w:p w14:paraId="2B01610E">
      <w:pPr>
        <w:pStyle w:val="5"/>
        <w:rPr>
          <w:highlight w:val="none"/>
        </w:rPr>
      </w:pPr>
      <w:bookmarkStart w:id="457" w:name="_Toc12954"/>
      <w:bookmarkStart w:id="458" w:name="_Toc31285"/>
      <w:bookmarkStart w:id="459" w:name="_Toc28199"/>
      <w:bookmarkStart w:id="460" w:name="_Toc20175"/>
      <w:bookmarkStart w:id="461" w:name="_Toc18432"/>
      <w:bookmarkStart w:id="462" w:name="_Toc10638"/>
      <w:bookmarkStart w:id="463" w:name="_Toc29675"/>
      <w:bookmarkStart w:id="464" w:name="_Toc30391"/>
      <w:r>
        <w:rPr>
          <w:highlight w:val="none"/>
        </w:rPr>
        <w:t>十二、串通磋商情形</w:t>
      </w:r>
      <w:bookmarkEnd w:id="457"/>
      <w:bookmarkEnd w:id="458"/>
      <w:bookmarkEnd w:id="459"/>
      <w:bookmarkEnd w:id="460"/>
      <w:bookmarkEnd w:id="461"/>
      <w:bookmarkEnd w:id="462"/>
      <w:bookmarkEnd w:id="463"/>
      <w:bookmarkEnd w:id="464"/>
    </w:p>
    <w:p w14:paraId="0778858D">
      <w:pPr>
        <w:ind w:firstLine="480"/>
        <w:rPr>
          <w:highlight w:val="none"/>
        </w:rPr>
      </w:pPr>
      <w:r>
        <w:rPr>
          <w:highlight w:val="none"/>
        </w:rPr>
        <w:t>磋商过程中</w:t>
      </w:r>
      <w:r>
        <w:rPr>
          <w:rFonts w:hint="eastAsia"/>
          <w:highlight w:val="none"/>
          <w:lang w:eastAsia="zh-CN"/>
        </w:rPr>
        <w:t>，</w:t>
      </w:r>
      <w:r>
        <w:rPr>
          <w:highlight w:val="none"/>
        </w:rPr>
        <w:t>有下列情形之一的</w:t>
      </w:r>
      <w:r>
        <w:rPr>
          <w:rFonts w:hint="eastAsia"/>
          <w:highlight w:val="none"/>
          <w:lang w:eastAsia="zh-CN"/>
        </w:rPr>
        <w:t>，</w:t>
      </w:r>
      <w:r>
        <w:rPr>
          <w:highlight w:val="none"/>
        </w:rPr>
        <w:t>属串通行为</w:t>
      </w:r>
      <w:r>
        <w:rPr>
          <w:rFonts w:hint="eastAsia"/>
          <w:highlight w:val="none"/>
          <w:lang w:eastAsia="zh-CN"/>
        </w:rPr>
        <w:t>，</w:t>
      </w:r>
      <w:r>
        <w:rPr>
          <w:highlight w:val="none"/>
        </w:rPr>
        <w:t>其响应无效：</w:t>
      </w:r>
    </w:p>
    <w:p w14:paraId="323A52B8">
      <w:pPr>
        <w:ind w:firstLine="480"/>
        <w:rPr>
          <w:highlight w:val="none"/>
        </w:rPr>
      </w:pPr>
      <w:r>
        <w:rPr>
          <w:highlight w:val="none"/>
        </w:rPr>
        <w:t>1.不同供应商的响应文件由同一单位或者个人编制；</w:t>
      </w:r>
    </w:p>
    <w:p w14:paraId="45E84A76">
      <w:pPr>
        <w:ind w:firstLine="480"/>
        <w:rPr>
          <w:highlight w:val="none"/>
        </w:rPr>
      </w:pPr>
      <w:r>
        <w:rPr>
          <w:highlight w:val="none"/>
        </w:rPr>
        <w:t>2.不同供应商委托同一单位或者个人办理磋商活动事宜；</w:t>
      </w:r>
    </w:p>
    <w:p w14:paraId="046E2C4F">
      <w:pPr>
        <w:ind w:firstLine="480"/>
        <w:rPr>
          <w:highlight w:val="none"/>
        </w:rPr>
      </w:pPr>
      <w:r>
        <w:rPr>
          <w:highlight w:val="none"/>
        </w:rPr>
        <w:t>3.不同供应商的响应文件载明的项目管理成员或者联系人员为同一人；</w:t>
      </w:r>
    </w:p>
    <w:p w14:paraId="448B7D5C">
      <w:pPr>
        <w:ind w:firstLine="480"/>
        <w:rPr>
          <w:highlight w:val="none"/>
        </w:rPr>
      </w:pPr>
      <w:r>
        <w:rPr>
          <w:highlight w:val="none"/>
        </w:rPr>
        <w:t>4.不同供应商的响应文件异常一致或者磋商报价呈规律性差异；</w:t>
      </w:r>
    </w:p>
    <w:p w14:paraId="55AD722E">
      <w:pPr>
        <w:ind w:firstLine="480"/>
        <w:rPr>
          <w:rFonts w:ascii="宋体" w:hAnsi="宋体"/>
          <w:szCs w:val="21"/>
          <w:highlight w:val="none"/>
        </w:rPr>
      </w:pPr>
      <w:r>
        <w:rPr>
          <w:highlight w:val="none"/>
        </w:rPr>
        <w:t>5.不同供应商的响应文件相互混装。</w:t>
      </w:r>
    </w:p>
    <w:p w14:paraId="4E77BC12">
      <w:pPr>
        <w:pStyle w:val="5"/>
        <w:rPr>
          <w:highlight w:val="none"/>
        </w:rPr>
      </w:pPr>
      <w:bookmarkStart w:id="465" w:name="_Toc28363"/>
      <w:bookmarkStart w:id="466" w:name="_Toc17466"/>
      <w:bookmarkStart w:id="467" w:name="_Toc21860"/>
      <w:bookmarkStart w:id="468" w:name="_Toc31161"/>
      <w:bookmarkStart w:id="469" w:name="_Toc7562"/>
      <w:bookmarkStart w:id="470" w:name="_Toc29942"/>
      <w:bookmarkStart w:id="471" w:name="_Toc17627"/>
      <w:bookmarkStart w:id="472" w:name="_Toc26935"/>
      <w:r>
        <w:rPr>
          <w:highlight w:val="none"/>
        </w:rPr>
        <w:t>十三、终止磋商采购活动情形</w:t>
      </w:r>
      <w:bookmarkEnd w:id="465"/>
      <w:bookmarkEnd w:id="466"/>
      <w:bookmarkEnd w:id="467"/>
      <w:bookmarkEnd w:id="468"/>
      <w:bookmarkEnd w:id="469"/>
      <w:bookmarkEnd w:id="470"/>
      <w:bookmarkEnd w:id="471"/>
      <w:bookmarkEnd w:id="472"/>
    </w:p>
    <w:p w14:paraId="0D048A06">
      <w:pPr>
        <w:ind w:firstLine="480"/>
        <w:rPr>
          <w:highlight w:val="none"/>
        </w:rPr>
      </w:pPr>
      <w:r>
        <w:rPr>
          <w:highlight w:val="none"/>
        </w:rPr>
        <w:t>出现下列情形之一的</w:t>
      </w:r>
      <w:r>
        <w:rPr>
          <w:rFonts w:hint="eastAsia"/>
          <w:highlight w:val="none"/>
          <w:lang w:eastAsia="zh-CN"/>
        </w:rPr>
        <w:t>，</w:t>
      </w:r>
      <w:r>
        <w:rPr>
          <w:highlight w:val="none"/>
        </w:rPr>
        <w:t>采购人或者采购代理机构应当终止竞争性磋商采购活动</w:t>
      </w:r>
      <w:r>
        <w:rPr>
          <w:rFonts w:hint="eastAsia"/>
          <w:highlight w:val="none"/>
          <w:lang w:eastAsia="zh-CN"/>
        </w:rPr>
        <w:t>，</w:t>
      </w:r>
      <w:r>
        <w:rPr>
          <w:highlight w:val="none"/>
        </w:rPr>
        <w:t>发布项目终止公告并说明原因</w:t>
      </w:r>
      <w:r>
        <w:rPr>
          <w:rFonts w:hint="eastAsia"/>
          <w:highlight w:val="none"/>
          <w:lang w:eastAsia="zh-CN"/>
        </w:rPr>
        <w:t>，</w:t>
      </w:r>
      <w:r>
        <w:rPr>
          <w:highlight w:val="none"/>
        </w:rPr>
        <w:t>重新开展采购活动：</w:t>
      </w:r>
    </w:p>
    <w:p w14:paraId="75DC0CA4">
      <w:pPr>
        <w:ind w:firstLine="480"/>
        <w:rPr>
          <w:highlight w:val="none"/>
        </w:rPr>
      </w:pPr>
      <w:r>
        <w:rPr>
          <w:highlight w:val="none"/>
        </w:rPr>
        <w:t>1.因情况变化</w:t>
      </w:r>
      <w:r>
        <w:rPr>
          <w:rFonts w:hint="eastAsia"/>
          <w:highlight w:val="none"/>
          <w:lang w:eastAsia="zh-CN"/>
        </w:rPr>
        <w:t>，</w:t>
      </w:r>
      <w:r>
        <w:rPr>
          <w:highlight w:val="none"/>
        </w:rPr>
        <w:t>不再符合规定的竞争性磋商采购方式适用情形的；</w:t>
      </w:r>
    </w:p>
    <w:p w14:paraId="6E50D21F">
      <w:pPr>
        <w:ind w:firstLine="480"/>
        <w:rPr>
          <w:highlight w:val="none"/>
        </w:rPr>
      </w:pPr>
      <w:r>
        <w:rPr>
          <w:highlight w:val="none"/>
        </w:rPr>
        <w:t>2.出现影响采购公正的违法、违规行为的；</w:t>
      </w:r>
    </w:p>
    <w:p w14:paraId="5BC249A6">
      <w:pPr>
        <w:ind w:firstLine="480"/>
        <w:rPr>
          <w:highlight w:val="none"/>
        </w:rPr>
      </w:pPr>
      <w:r>
        <w:rPr>
          <w:rFonts w:hint="eastAsia"/>
          <w:highlight w:val="none"/>
        </w:rPr>
        <w:t>3</w:t>
      </w:r>
      <w:r>
        <w:rPr>
          <w:highlight w:val="none"/>
        </w:rPr>
        <w:t>.因重大变故</w:t>
      </w:r>
      <w:r>
        <w:rPr>
          <w:rFonts w:hint="eastAsia"/>
          <w:highlight w:val="none"/>
          <w:lang w:eastAsia="zh-CN"/>
        </w:rPr>
        <w:t>，</w:t>
      </w:r>
      <w:r>
        <w:rPr>
          <w:highlight w:val="none"/>
        </w:rPr>
        <w:t>采购任务取消的。</w:t>
      </w:r>
    </w:p>
    <w:p w14:paraId="6F1C7405">
      <w:pPr>
        <w:widowControl/>
        <w:spacing w:line="240" w:lineRule="auto"/>
        <w:ind w:firstLine="0" w:firstLineChars="0"/>
        <w:jc w:val="left"/>
        <w:rPr>
          <w:highlight w:val="none"/>
        </w:rPr>
      </w:pPr>
    </w:p>
    <w:p w14:paraId="6205B958">
      <w:pPr>
        <w:widowControl/>
        <w:spacing w:line="240" w:lineRule="auto"/>
        <w:ind w:firstLine="0" w:firstLineChars="0"/>
        <w:jc w:val="left"/>
        <w:rPr>
          <w:b/>
          <w:sz w:val="44"/>
          <w:szCs w:val="20"/>
          <w:highlight w:val="none"/>
        </w:rPr>
      </w:pPr>
      <w:r>
        <w:rPr>
          <w:highlight w:val="none"/>
        </w:rPr>
        <w:br w:type="page"/>
      </w:r>
    </w:p>
    <w:p w14:paraId="2A55C51C">
      <w:pPr>
        <w:ind w:firstLine="480"/>
        <w:rPr>
          <w:highlight w:val="none"/>
        </w:rPr>
      </w:pPr>
    </w:p>
    <w:p w14:paraId="6DD81E1B">
      <w:pPr>
        <w:pStyle w:val="4"/>
        <w:rPr>
          <w:highlight w:val="none"/>
        </w:rPr>
      </w:pPr>
      <w:bookmarkStart w:id="473" w:name="_Toc32495"/>
      <w:bookmarkStart w:id="474" w:name="_Toc18642"/>
      <w:bookmarkStart w:id="475" w:name="_Toc18562"/>
      <w:bookmarkStart w:id="476" w:name="_Toc1983"/>
      <w:bookmarkStart w:id="477" w:name="_Toc16266"/>
      <w:bookmarkStart w:id="478" w:name="_Toc29015"/>
      <w:bookmarkStart w:id="479" w:name="_Toc29199"/>
      <w:bookmarkStart w:id="480" w:name="_Toc26546"/>
      <w:r>
        <w:rPr>
          <w:highlight w:val="none"/>
        </w:rPr>
        <w:t>第</w:t>
      </w:r>
      <w:r>
        <w:rPr>
          <w:rFonts w:hint="eastAsia"/>
          <w:highlight w:val="none"/>
        </w:rPr>
        <w:t>七</w:t>
      </w:r>
      <w:r>
        <w:rPr>
          <w:highlight w:val="none"/>
        </w:rPr>
        <w:t>章</w:t>
      </w:r>
      <w:r>
        <w:rPr>
          <w:rFonts w:hint="eastAsia"/>
          <w:highlight w:val="none"/>
        </w:rPr>
        <w:t xml:space="preserve">  响应文件格式</w:t>
      </w:r>
      <w:bookmarkEnd w:id="473"/>
      <w:bookmarkEnd w:id="474"/>
      <w:bookmarkEnd w:id="475"/>
      <w:bookmarkEnd w:id="476"/>
      <w:bookmarkEnd w:id="477"/>
      <w:bookmarkEnd w:id="478"/>
      <w:bookmarkEnd w:id="479"/>
      <w:bookmarkEnd w:id="480"/>
    </w:p>
    <w:p w14:paraId="7CA03B56">
      <w:pPr>
        <w:ind w:firstLine="560"/>
        <w:rPr>
          <w:rFonts w:ascii="Arial" w:hAnsi="Arial" w:cs="Arial"/>
          <w:kern w:val="0"/>
          <w:sz w:val="28"/>
          <w:highlight w:val="none"/>
        </w:rPr>
      </w:pPr>
    </w:p>
    <w:p w14:paraId="4EB6391B">
      <w:pPr>
        <w:ind w:firstLine="560"/>
        <w:rPr>
          <w:rFonts w:ascii="Arial" w:hAnsi="Arial" w:cs="Arial"/>
          <w:kern w:val="0"/>
          <w:sz w:val="28"/>
          <w:highlight w:val="none"/>
        </w:rPr>
      </w:pPr>
    </w:p>
    <w:p w14:paraId="6CF6D28A">
      <w:pPr>
        <w:ind w:left="1296" w:leftChars="540" w:firstLine="480"/>
        <w:rPr>
          <w:rFonts w:ascii="Arial" w:hAnsi="Arial" w:cs="Arial"/>
          <w:kern w:val="0"/>
          <w:highlight w:val="none"/>
        </w:rPr>
      </w:pPr>
    </w:p>
    <w:p w14:paraId="2876CA7F">
      <w:pPr>
        <w:ind w:firstLine="480"/>
        <w:rPr>
          <w:rFonts w:ascii="Arial" w:hAnsi="Arial" w:cs="Arial"/>
          <w:kern w:val="0"/>
          <w:highlight w:val="none"/>
        </w:rPr>
      </w:pPr>
    </w:p>
    <w:p w14:paraId="71FCBA96">
      <w:pPr>
        <w:ind w:left="1296" w:leftChars="540" w:firstLine="480"/>
        <w:rPr>
          <w:rFonts w:ascii="Arial" w:hAnsi="Arial" w:cs="Arial"/>
          <w:kern w:val="0"/>
          <w:highlight w:val="none"/>
        </w:rPr>
      </w:pPr>
    </w:p>
    <w:p w14:paraId="78A1F4F0">
      <w:pPr>
        <w:ind w:left="1296" w:leftChars="540" w:firstLine="480"/>
        <w:rPr>
          <w:rFonts w:ascii="Arial" w:hAnsi="Arial" w:cs="Arial"/>
          <w:kern w:val="0"/>
          <w:highlight w:val="none"/>
        </w:rPr>
      </w:pPr>
    </w:p>
    <w:p w14:paraId="38D3C8E4">
      <w:pPr>
        <w:pStyle w:val="4"/>
        <w:bidi w:val="0"/>
        <w:rPr>
          <w:rFonts w:hint="default"/>
          <w:highlight w:val="none"/>
          <w:lang w:val="en-US"/>
        </w:rPr>
      </w:pPr>
      <w:bookmarkStart w:id="481" w:name="_Toc20561"/>
      <w:r>
        <w:rPr>
          <w:rFonts w:hint="eastAsia"/>
          <w:highlight w:val="none"/>
          <w:lang w:val="en-US" w:eastAsia="zh-CN"/>
        </w:rPr>
        <w:t>资格审查文件</w:t>
      </w:r>
      <w:bookmarkEnd w:id="481"/>
    </w:p>
    <w:p w14:paraId="7AB93FBA">
      <w:pPr>
        <w:ind w:left="1296" w:leftChars="540" w:firstLine="480"/>
        <w:rPr>
          <w:rFonts w:ascii="Arial" w:hAnsi="Arial" w:cs="Arial"/>
          <w:kern w:val="0"/>
          <w:szCs w:val="21"/>
          <w:highlight w:val="none"/>
        </w:rPr>
      </w:pPr>
    </w:p>
    <w:p w14:paraId="57068CF0">
      <w:pPr>
        <w:ind w:left="1296" w:leftChars="540" w:firstLine="400"/>
        <w:rPr>
          <w:rFonts w:ascii="Arial" w:hAnsi="Arial" w:cs="Arial"/>
          <w:kern w:val="0"/>
          <w:sz w:val="20"/>
          <w:highlight w:val="none"/>
        </w:rPr>
      </w:pPr>
    </w:p>
    <w:p w14:paraId="18CC967A">
      <w:pPr>
        <w:ind w:firstLine="1200" w:firstLineChars="500"/>
        <w:rPr>
          <w:rFonts w:ascii="宋体" w:hAnsi="宋体"/>
          <w:sz w:val="24"/>
          <w:szCs w:val="24"/>
          <w:highlight w:val="none"/>
        </w:rPr>
      </w:pPr>
      <w:r>
        <w:rPr>
          <w:rFonts w:hint="eastAsia" w:ascii="宋体" w:hAnsi="宋体"/>
          <w:sz w:val="24"/>
          <w:szCs w:val="24"/>
          <w:highlight w:val="none"/>
        </w:rPr>
        <w:t>项目编号：</w:t>
      </w:r>
    </w:p>
    <w:p w14:paraId="50DE8C87">
      <w:pPr>
        <w:ind w:firstLine="1200" w:firstLineChars="500"/>
        <w:rPr>
          <w:rFonts w:ascii="宋体" w:hAnsi="宋体"/>
          <w:sz w:val="24"/>
          <w:szCs w:val="24"/>
          <w:highlight w:val="none"/>
        </w:rPr>
      </w:pPr>
      <w:r>
        <w:rPr>
          <w:rFonts w:hint="eastAsia" w:ascii="宋体" w:hAnsi="宋体"/>
          <w:sz w:val="24"/>
          <w:szCs w:val="24"/>
          <w:highlight w:val="none"/>
        </w:rPr>
        <w:t>项目名称：</w:t>
      </w:r>
    </w:p>
    <w:p w14:paraId="09AFC529">
      <w:pPr>
        <w:ind w:firstLine="1200" w:firstLineChars="500"/>
        <w:rPr>
          <w:rFonts w:ascii="宋体" w:hAnsi="宋体"/>
          <w:sz w:val="24"/>
          <w:szCs w:val="24"/>
          <w:highlight w:val="none"/>
        </w:rPr>
      </w:pPr>
    </w:p>
    <w:p w14:paraId="135234BC">
      <w:pPr>
        <w:ind w:firstLine="1200" w:firstLineChars="500"/>
        <w:rPr>
          <w:rFonts w:ascii="宋体" w:hAnsi="宋体"/>
          <w:sz w:val="24"/>
          <w:szCs w:val="24"/>
          <w:highlight w:val="none"/>
        </w:rPr>
      </w:pPr>
    </w:p>
    <w:p w14:paraId="332D7F59">
      <w:pPr>
        <w:ind w:left="1296" w:leftChars="540" w:firstLine="400"/>
        <w:rPr>
          <w:rFonts w:ascii="Arial" w:hAnsi="Arial" w:cs="Arial"/>
          <w:kern w:val="0"/>
          <w:sz w:val="24"/>
          <w:szCs w:val="24"/>
          <w:highlight w:val="none"/>
        </w:rPr>
      </w:pPr>
    </w:p>
    <w:p w14:paraId="2473CD26">
      <w:pPr>
        <w:ind w:left="1296" w:leftChars="540" w:firstLine="400"/>
        <w:rPr>
          <w:rFonts w:ascii="Arial" w:hAnsi="Arial" w:cs="Arial"/>
          <w:kern w:val="0"/>
          <w:sz w:val="24"/>
          <w:szCs w:val="24"/>
          <w:highlight w:val="none"/>
        </w:rPr>
      </w:pPr>
    </w:p>
    <w:p w14:paraId="6DAB16C2">
      <w:pPr>
        <w:ind w:left="1296" w:leftChars="540" w:firstLine="400"/>
        <w:rPr>
          <w:rFonts w:ascii="Arial" w:hAnsi="Arial" w:cs="Arial"/>
          <w:kern w:val="0"/>
          <w:sz w:val="24"/>
          <w:szCs w:val="24"/>
          <w:highlight w:val="none"/>
        </w:rPr>
      </w:pPr>
    </w:p>
    <w:p w14:paraId="689FF037">
      <w:pPr>
        <w:ind w:left="1296" w:leftChars="540" w:firstLine="400"/>
        <w:rPr>
          <w:rFonts w:ascii="Arial" w:hAnsi="Arial" w:cs="Arial"/>
          <w:kern w:val="0"/>
          <w:sz w:val="24"/>
          <w:szCs w:val="24"/>
          <w:highlight w:val="none"/>
        </w:rPr>
      </w:pPr>
    </w:p>
    <w:p w14:paraId="24CC19C2">
      <w:pPr>
        <w:ind w:left="1296" w:leftChars="540" w:firstLine="400"/>
        <w:rPr>
          <w:rFonts w:ascii="Arial" w:hAnsi="Arial" w:cs="Arial"/>
          <w:kern w:val="0"/>
          <w:sz w:val="24"/>
          <w:szCs w:val="24"/>
          <w:highlight w:val="none"/>
        </w:rPr>
      </w:pPr>
    </w:p>
    <w:p w14:paraId="30DD118A">
      <w:pPr>
        <w:ind w:left="1296" w:leftChars="540" w:firstLine="400"/>
        <w:rPr>
          <w:rFonts w:ascii="Arial" w:hAnsi="Arial" w:cs="Arial"/>
          <w:kern w:val="0"/>
          <w:sz w:val="24"/>
          <w:szCs w:val="24"/>
          <w:highlight w:val="none"/>
        </w:rPr>
      </w:pPr>
    </w:p>
    <w:p w14:paraId="2EFD4782">
      <w:pPr>
        <w:ind w:firstLine="480"/>
        <w:rPr>
          <w:highlight w:val="none"/>
        </w:rPr>
      </w:pPr>
      <w:r>
        <w:rPr>
          <w:highlight w:val="none"/>
        </w:rPr>
        <w:t xml:space="preserve">供应商全称（盖单位公章）：                             </w:t>
      </w:r>
    </w:p>
    <w:p w14:paraId="512D7D3D">
      <w:pPr>
        <w:ind w:firstLine="480"/>
        <w:rPr>
          <w:highlight w:val="none"/>
        </w:rPr>
      </w:pPr>
      <w:r>
        <w:rPr>
          <w:rFonts w:hint="eastAsia"/>
          <w:highlight w:val="none"/>
          <w:lang w:val="zh-CN"/>
        </w:rPr>
        <w:t>法定代表人或授权委托人（签字或盖章）：</w:t>
      </w:r>
    </w:p>
    <w:p w14:paraId="68C74DA2">
      <w:pPr>
        <w:rPr>
          <w:rFonts w:ascii="宋体" w:hAnsi="宋体"/>
          <w:sz w:val="21"/>
          <w:szCs w:val="21"/>
          <w:highlight w:val="none"/>
        </w:rPr>
      </w:pPr>
      <w:r>
        <w:rPr>
          <w:highlight w:val="none"/>
        </w:rPr>
        <w:t>日期：</w:t>
      </w:r>
      <w:r>
        <w:rPr>
          <w:rFonts w:hint="eastAsia"/>
          <w:highlight w:val="none"/>
        </w:rPr>
        <w:t xml:space="preserve">   年   月  日</w:t>
      </w:r>
    </w:p>
    <w:p w14:paraId="078C57DE">
      <w:pPr>
        <w:ind w:firstLine="2744" w:firstLineChars="911"/>
        <w:rPr>
          <w:rFonts w:ascii="宋体" w:hAnsi="宋体" w:cs="宋体"/>
          <w:b/>
          <w:kern w:val="0"/>
          <w:sz w:val="30"/>
          <w:szCs w:val="30"/>
          <w:highlight w:val="none"/>
        </w:rPr>
      </w:pPr>
    </w:p>
    <w:p w14:paraId="4978247D">
      <w:pPr>
        <w:topLinePunct/>
        <w:spacing w:line="360" w:lineRule="auto"/>
        <w:ind w:firstLine="480"/>
        <w:rPr>
          <w:rFonts w:ascii="Arial" w:hAnsi="Arial" w:cs="Arial"/>
          <w:color w:val="000000"/>
          <w:szCs w:val="21"/>
          <w:highlight w:val="none"/>
        </w:rPr>
      </w:pPr>
    </w:p>
    <w:p w14:paraId="746BB3B3">
      <w:pPr>
        <w:ind w:firstLine="480"/>
        <w:rPr>
          <w:rFonts w:ascii="Arial" w:hAnsi="Arial" w:cs="Arial"/>
          <w:color w:val="000000"/>
          <w:szCs w:val="21"/>
          <w:highlight w:val="none"/>
        </w:rPr>
      </w:pPr>
      <w:r>
        <w:rPr>
          <w:rFonts w:ascii="Arial" w:hAnsi="Arial" w:cs="Arial"/>
          <w:color w:val="000000"/>
          <w:szCs w:val="21"/>
          <w:highlight w:val="none"/>
        </w:rPr>
        <w:br w:type="page"/>
      </w:r>
    </w:p>
    <w:p w14:paraId="7557804A">
      <w:pPr>
        <w:pStyle w:val="5"/>
        <w:spacing w:after="168"/>
        <w:ind w:left="10" w:right="142"/>
        <w:jc w:val="center"/>
        <w:rPr>
          <w:color w:val="000000" w:themeColor="text1"/>
          <w:highlight w:val="none"/>
          <w14:textFill>
            <w14:solidFill>
              <w14:schemeClr w14:val="tx1"/>
            </w14:solidFill>
          </w14:textFill>
        </w:rPr>
      </w:pPr>
      <w:bookmarkStart w:id="482" w:name="_Toc2802"/>
      <w:bookmarkStart w:id="483" w:name="_Toc6691"/>
      <w:bookmarkStart w:id="484" w:name="_Toc18422"/>
      <w:bookmarkStart w:id="485" w:name="_Toc27820"/>
      <w:r>
        <w:rPr>
          <w:color w:val="000000" w:themeColor="text1"/>
          <w:sz w:val="36"/>
          <w:highlight w:val="none"/>
          <w14:textFill>
            <w14:solidFill>
              <w14:schemeClr w14:val="tx1"/>
            </w14:solidFill>
          </w14:textFill>
        </w:rPr>
        <w:t>目录</w:t>
      </w:r>
      <w:bookmarkEnd w:id="482"/>
      <w:bookmarkEnd w:id="483"/>
      <w:bookmarkEnd w:id="484"/>
      <w:bookmarkEnd w:id="485"/>
    </w:p>
    <w:p w14:paraId="35EBE5EC">
      <w:pP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【根据响应文件组成内容、顺序、附件格式编制响应文件</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编制目录】</w:t>
      </w:r>
    </w:p>
    <w:p w14:paraId="06EE4AA9">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427FCE93">
      <w:pPr>
        <w:ind w:firstLine="480"/>
        <w:rPr>
          <w:highlight w:val="none"/>
        </w:rPr>
      </w:pPr>
      <w:r>
        <w:rPr>
          <w:highlight w:val="none"/>
        </w:rPr>
        <w:t>附件</w:t>
      </w:r>
      <w:r>
        <w:rPr>
          <w:rFonts w:hint="eastAsia"/>
          <w:highlight w:val="none"/>
        </w:rPr>
        <w:t xml:space="preserve">1 </w:t>
      </w:r>
    </w:p>
    <w:p w14:paraId="6D2CAD5B">
      <w:pPr>
        <w:widowControl/>
        <w:spacing w:line="240" w:lineRule="auto"/>
        <w:ind w:firstLine="0" w:firstLineChars="0"/>
        <w:jc w:val="left"/>
        <w:rPr>
          <w:sz w:val="21"/>
          <w:highlight w:val="none"/>
        </w:rPr>
      </w:pPr>
    </w:p>
    <w:p w14:paraId="409C01E4">
      <w:pPr>
        <w:pStyle w:val="5"/>
        <w:ind w:firstLine="643"/>
        <w:jc w:val="center"/>
        <w:rPr>
          <w:highlight w:val="none"/>
        </w:rPr>
      </w:pPr>
      <w:bookmarkStart w:id="486" w:name="_Toc6710"/>
      <w:bookmarkStart w:id="487" w:name="_Toc29239"/>
      <w:bookmarkStart w:id="488" w:name="_Toc23427"/>
      <w:bookmarkStart w:id="489" w:name="_Toc2197"/>
      <w:bookmarkStart w:id="490" w:name="_Toc385"/>
      <w:bookmarkStart w:id="491" w:name="_Toc20923"/>
      <w:bookmarkStart w:id="492" w:name="_Toc11216"/>
      <w:bookmarkStart w:id="493" w:name="_Toc20930"/>
      <w:r>
        <w:rPr>
          <w:rFonts w:hint="eastAsia"/>
          <w:highlight w:val="none"/>
        </w:rPr>
        <w:t>供应商基本情况表</w:t>
      </w:r>
      <w:bookmarkEnd w:id="486"/>
      <w:bookmarkEnd w:id="487"/>
      <w:bookmarkEnd w:id="488"/>
      <w:bookmarkEnd w:id="489"/>
      <w:bookmarkEnd w:id="490"/>
      <w:bookmarkEnd w:id="491"/>
      <w:bookmarkEnd w:id="492"/>
      <w:bookmarkEnd w:id="493"/>
    </w:p>
    <w:tbl>
      <w:tblPr>
        <w:tblStyle w:val="72"/>
        <w:tblW w:w="9242" w:type="dxa"/>
        <w:tblInd w:w="-84" w:type="dxa"/>
        <w:tblLayout w:type="fixed"/>
        <w:tblCellMar>
          <w:top w:w="0" w:type="dxa"/>
          <w:left w:w="107" w:type="dxa"/>
          <w:bottom w:w="0" w:type="dxa"/>
          <w:right w:w="144" w:type="dxa"/>
        </w:tblCellMar>
      </w:tblPr>
      <w:tblGrid>
        <w:gridCol w:w="1652"/>
        <w:gridCol w:w="1132"/>
        <w:gridCol w:w="1280"/>
        <w:gridCol w:w="705"/>
        <w:gridCol w:w="508"/>
        <w:gridCol w:w="1214"/>
        <w:gridCol w:w="1044"/>
        <w:gridCol w:w="1707"/>
      </w:tblGrid>
      <w:tr w14:paraId="7C270C29">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29749831">
            <w:pPr>
              <w:pStyle w:val="38"/>
              <w:rPr>
                <w:highlight w:val="none"/>
              </w:rPr>
            </w:pPr>
            <w:r>
              <w:rPr>
                <w:highlight w:val="none"/>
              </w:rPr>
              <w:t>供应商名称</w:t>
            </w:r>
          </w:p>
        </w:tc>
        <w:tc>
          <w:tcPr>
            <w:tcW w:w="1132" w:type="dxa"/>
            <w:tcBorders>
              <w:top w:val="single" w:color="000000" w:sz="4" w:space="0"/>
              <w:left w:val="single" w:color="000000" w:sz="4" w:space="0"/>
              <w:bottom w:val="single" w:color="000000" w:sz="4" w:space="0"/>
              <w:right w:val="nil"/>
            </w:tcBorders>
          </w:tcPr>
          <w:p w14:paraId="71DA3DBA">
            <w:pPr>
              <w:pStyle w:val="38"/>
              <w:rPr>
                <w:highlight w:val="none"/>
              </w:rPr>
            </w:pPr>
          </w:p>
        </w:tc>
        <w:tc>
          <w:tcPr>
            <w:tcW w:w="6458" w:type="dxa"/>
            <w:gridSpan w:val="6"/>
            <w:tcBorders>
              <w:top w:val="single" w:color="000000" w:sz="4" w:space="0"/>
              <w:left w:val="nil"/>
              <w:bottom w:val="single" w:color="000000" w:sz="4" w:space="0"/>
              <w:right w:val="single" w:color="000000" w:sz="4" w:space="0"/>
            </w:tcBorders>
          </w:tcPr>
          <w:p w14:paraId="63FD9BE0">
            <w:pPr>
              <w:pStyle w:val="38"/>
              <w:rPr>
                <w:highlight w:val="none"/>
              </w:rPr>
            </w:pPr>
          </w:p>
        </w:tc>
      </w:tr>
      <w:tr w14:paraId="1BCAEF58">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4B19F5F4">
            <w:pPr>
              <w:pStyle w:val="38"/>
              <w:rPr>
                <w:highlight w:val="none"/>
              </w:rPr>
            </w:pPr>
            <w:r>
              <w:rPr>
                <w:highlight w:val="none"/>
              </w:rPr>
              <w:t>注册地址</w:t>
            </w:r>
          </w:p>
        </w:tc>
        <w:tc>
          <w:tcPr>
            <w:tcW w:w="1132" w:type="dxa"/>
            <w:tcBorders>
              <w:top w:val="single" w:color="000000" w:sz="4" w:space="0"/>
              <w:left w:val="single" w:color="000000" w:sz="4" w:space="0"/>
              <w:bottom w:val="single" w:color="000000" w:sz="4" w:space="0"/>
              <w:right w:val="nil"/>
            </w:tcBorders>
          </w:tcPr>
          <w:p w14:paraId="5778EA7D">
            <w:pPr>
              <w:pStyle w:val="38"/>
              <w:rPr>
                <w:highlight w:val="none"/>
              </w:rPr>
            </w:pPr>
          </w:p>
        </w:tc>
        <w:tc>
          <w:tcPr>
            <w:tcW w:w="2493" w:type="dxa"/>
            <w:gridSpan w:val="3"/>
            <w:tcBorders>
              <w:top w:val="single" w:color="000000" w:sz="4" w:space="0"/>
              <w:left w:val="nil"/>
              <w:bottom w:val="single" w:color="000000" w:sz="4" w:space="0"/>
              <w:right w:val="single" w:color="000000" w:sz="4" w:space="0"/>
            </w:tcBorders>
          </w:tcPr>
          <w:p w14:paraId="37E34ECB">
            <w:pPr>
              <w:pStyle w:val="38"/>
              <w:rPr>
                <w:highlight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34FFF137">
            <w:pPr>
              <w:pStyle w:val="38"/>
              <w:rPr>
                <w:highlight w:val="none"/>
              </w:rPr>
            </w:pPr>
            <w:r>
              <w:rPr>
                <w:highlight w:val="none"/>
              </w:rPr>
              <w:t>邮政编码</w:t>
            </w:r>
          </w:p>
        </w:tc>
        <w:tc>
          <w:tcPr>
            <w:tcW w:w="2751" w:type="dxa"/>
            <w:gridSpan w:val="2"/>
            <w:tcBorders>
              <w:top w:val="single" w:color="000000" w:sz="4" w:space="0"/>
              <w:left w:val="single" w:color="000000" w:sz="4" w:space="0"/>
              <w:bottom w:val="single" w:color="000000" w:sz="4" w:space="0"/>
              <w:right w:val="single" w:color="000000" w:sz="4" w:space="0"/>
            </w:tcBorders>
          </w:tcPr>
          <w:p w14:paraId="46E3B79F">
            <w:pPr>
              <w:pStyle w:val="38"/>
              <w:rPr>
                <w:highlight w:val="none"/>
              </w:rPr>
            </w:pPr>
          </w:p>
        </w:tc>
      </w:tr>
      <w:tr w14:paraId="42D4216C">
        <w:tblPrEx>
          <w:tblCellMar>
            <w:top w:w="0" w:type="dxa"/>
            <w:left w:w="107" w:type="dxa"/>
            <w:bottom w:w="0" w:type="dxa"/>
            <w:right w:w="144" w:type="dxa"/>
          </w:tblCellMar>
        </w:tblPrEx>
        <w:trPr>
          <w:trHeight w:val="522"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14:paraId="67F0F583">
            <w:pPr>
              <w:pStyle w:val="38"/>
              <w:rPr>
                <w:highlight w:val="none"/>
              </w:rPr>
            </w:pPr>
            <w:r>
              <w:rPr>
                <w:highlight w:val="none"/>
              </w:rPr>
              <w:t>联系方式</w:t>
            </w:r>
          </w:p>
        </w:tc>
        <w:tc>
          <w:tcPr>
            <w:tcW w:w="1132" w:type="dxa"/>
            <w:tcBorders>
              <w:top w:val="single" w:color="000000" w:sz="4" w:space="0"/>
              <w:left w:val="single" w:color="000000" w:sz="4" w:space="0"/>
              <w:bottom w:val="single" w:color="000000" w:sz="4" w:space="0"/>
              <w:right w:val="single" w:color="000000" w:sz="4" w:space="0"/>
            </w:tcBorders>
            <w:vAlign w:val="center"/>
          </w:tcPr>
          <w:p w14:paraId="4F28C920">
            <w:pPr>
              <w:pStyle w:val="38"/>
              <w:rPr>
                <w:highlight w:val="none"/>
              </w:rPr>
            </w:pPr>
            <w:r>
              <w:rPr>
                <w:highlight w:val="none"/>
              </w:rPr>
              <w:t>联系人</w:t>
            </w:r>
          </w:p>
        </w:tc>
        <w:tc>
          <w:tcPr>
            <w:tcW w:w="2493" w:type="dxa"/>
            <w:gridSpan w:val="3"/>
            <w:tcBorders>
              <w:top w:val="single" w:color="000000" w:sz="4" w:space="0"/>
              <w:left w:val="single" w:color="000000" w:sz="4" w:space="0"/>
              <w:bottom w:val="single" w:color="000000" w:sz="4" w:space="0"/>
              <w:right w:val="single" w:color="000000" w:sz="4" w:space="0"/>
            </w:tcBorders>
          </w:tcPr>
          <w:p w14:paraId="5CF4C496">
            <w:pPr>
              <w:pStyle w:val="38"/>
              <w:rPr>
                <w:highlight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407C55B1">
            <w:pPr>
              <w:pStyle w:val="38"/>
              <w:rPr>
                <w:highlight w:val="none"/>
              </w:rPr>
            </w:pPr>
            <w:r>
              <w:rPr>
                <w:highlight w:val="none"/>
              </w:rPr>
              <w:t>电话</w:t>
            </w:r>
          </w:p>
        </w:tc>
        <w:tc>
          <w:tcPr>
            <w:tcW w:w="2751" w:type="dxa"/>
            <w:gridSpan w:val="2"/>
            <w:tcBorders>
              <w:top w:val="single" w:color="000000" w:sz="4" w:space="0"/>
              <w:left w:val="single" w:color="000000" w:sz="4" w:space="0"/>
              <w:bottom w:val="single" w:color="000000" w:sz="4" w:space="0"/>
              <w:right w:val="single" w:color="000000" w:sz="4" w:space="0"/>
            </w:tcBorders>
          </w:tcPr>
          <w:p w14:paraId="5C61B424">
            <w:pPr>
              <w:pStyle w:val="38"/>
              <w:rPr>
                <w:highlight w:val="none"/>
              </w:rPr>
            </w:pPr>
          </w:p>
        </w:tc>
      </w:tr>
      <w:tr w14:paraId="6FF5EAA5">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nil"/>
              <w:right w:val="single" w:color="000000" w:sz="4" w:space="0"/>
            </w:tcBorders>
          </w:tcPr>
          <w:p w14:paraId="6C95EF61">
            <w:pPr>
              <w:pStyle w:val="38"/>
              <w:rPr>
                <w:highlight w:val="none"/>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2653F696">
            <w:pPr>
              <w:pStyle w:val="38"/>
              <w:rPr>
                <w:highlight w:val="none"/>
              </w:rPr>
            </w:pPr>
            <w:r>
              <w:rPr>
                <w:highlight w:val="none"/>
              </w:rPr>
              <w:t>传真</w:t>
            </w:r>
          </w:p>
        </w:tc>
        <w:tc>
          <w:tcPr>
            <w:tcW w:w="2493" w:type="dxa"/>
            <w:gridSpan w:val="3"/>
            <w:tcBorders>
              <w:top w:val="single" w:color="000000" w:sz="4" w:space="0"/>
              <w:left w:val="single" w:color="000000" w:sz="4" w:space="0"/>
              <w:bottom w:val="single" w:color="000000" w:sz="4" w:space="0"/>
              <w:right w:val="single" w:color="000000" w:sz="4" w:space="0"/>
            </w:tcBorders>
          </w:tcPr>
          <w:p w14:paraId="7733FEED">
            <w:pPr>
              <w:pStyle w:val="38"/>
              <w:rPr>
                <w:highlight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0EC4646C">
            <w:pPr>
              <w:pStyle w:val="38"/>
              <w:rPr>
                <w:highlight w:val="none"/>
              </w:rPr>
            </w:pPr>
            <w:r>
              <w:rPr>
                <w:highlight w:val="none"/>
              </w:rPr>
              <w:t>移动电话</w:t>
            </w:r>
          </w:p>
        </w:tc>
        <w:tc>
          <w:tcPr>
            <w:tcW w:w="2751" w:type="dxa"/>
            <w:gridSpan w:val="2"/>
            <w:tcBorders>
              <w:top w:val="single" w:color="000000" w:sz="4" w:space="0"/>
              <w:left w:val="single" w:color="000000" w:sz="4" w:space="0"/>
              <w:bottom w:val="single" w:color="000000" w:sz="4" w:space="0"/>
              <w:right w:val="single" w:color="000000" w:sz="4" w:space="0"/>
            </w:tcBorders>
          </w:tcPr>
          <w:p w14:paraId="66DD58F2">
            <w:pPr>
              <w:pStyle w:val="38"/>
              <w:rPr>
                <w:highlight w:val="none"/>
              </w:rPr>
            </w:pPr>
          </w:p>
        </w:tc>
      </w:tr>
      <w:tr w14:paraId="301CC0F6">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single" w:color="000000" w:sz="4" w:space="0"/>
              <w:right w:val="single" w:color="000000" w:sz="4" w:space="0"/>
            </w:tcBorders>
          </w:tcPr>
          <w:p w14:paraId="075C1806">
            <w:pPr>
              <w:pStyle w:val="38"/>
              <w:rPr>
                <w:highlight w:val="none"/>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2AC33384">
            <w:pPr>
              <w:pStyle w:val="38"/>
              <w:rPr>
                <w:highlight w:val="none"/>
              </w:rPr>
            </w:pPr>
            <w:r>
              <w:rPr>
                <w:highlight w:val="none"/>
              </w:rPr>
              <w:t>电子邮箱</w:t>
            </w:r>
          </w:p>
        </w:tc>
        <w:tc>
          <w:tcPr>
            <w:tcW w:w="2493" w:type="dxa"/>
            <w:gridSpan w:val="3"/>
            <w:tcBorders>
              <w:top w:val="single" w:color="000000" w:sz="4" w:space="0"/>
              <w:left w:val="single" w:color="000000" w:sz="4" w:space="0"/>
              <w:bottom w:val="single" w:color="000000" w:sz="4" w:space="0"/>
              <w:right w:val="single" w:color="000000" w:sz="4" w:space="0"/>
            </w:tcBorders>
          </w:tcPr>
          <w:p w14:paraId="4A3DCE38">
            <w:pPr>
              <w:pStyle w:val="38"/>
              <w:rPr>
                <w:highlight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1F11D61F">
            <w:pPr>
              <w:pStyle w:val="38"/>
              <w:rPr>
                <w:highlight w:val="none"/>
              </w:rPr>
            </w:pPr>
            <w:r>
              <w:rPr>
                <w:highlight w:val="none"/>
              </w:rPr>
              <w:t>网址</w:t>
            </w:r>
          </w:p>
        </w:tc>
        <w:tc>
          <w:tcPr>
            <w:tcW w:w="2751" w:type="dxa"/>
            <w:gridSpan w:val="2"/>
            <w:tcBorders>
              <w:top w:val="single" w:color="000000" w:sz="4" w:space="0"/>
              <w:left w:val="single" w:color="000000" w:sz="4" w:space="0"/>
              <w:bottom w:val="single" w:color="000000" w:sz="4" w:space="0"/>
              <w:right w:val="single" w:color="000000" w:sz="4" w:space="0"/>
            </w:tcBorders>
          </w:tcPr>
          <w:p w14:paraId="2FA2940E">
            <w:pPr>
              <w:pStyle w:val="38"/>
              <w:rPr>
                <w:highlight w:val="none"/>
              </w:rPr>
            </w:pPr>
          </w:p>
        </w:tc>
      </w:tr>
      <w:tr w14:paraId="5FD45CF4">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7E15D472">
            <w:pPr>
              <w:pStyle w:val="38"/>
              <w:rPr>
                <w:highlight w:val="none"/>
              </w:rPr>
            </w:pPr>
            <w:r>
              <w:rPr>
                <w:highlight w:val="none"/>
              </w:rPr>
              <w:t>组织结构</w:t>
            </w:r>
          </w:p>
        </w:tc>
        <w:tc>
          <w:tcPr>
            <w:tcW w:w="1132" w:type="dxa"/>
            <w:tcBorders>
              <w:top w:val="single" w:color="000000" w:sz="4" w:space="0"/>
              <w:left w:val="single" w:color="000000" w:sz="4" w:space="0"/>
              <w:bottom w:val="single" w:color="000000" w:sz="4" w:space="0"/>
              <w:right w:val="nil"/>
            </w:tcBorders>
          </w:tcPr>
          <w:p w14:paraId="01432213">
            <w:pPr>
              <w:pStyle w:val="38"/>
              <w:rPr>
                <w:highlight w:val="none"/>
              </w:rPr>
            </w:pPr>
          </w:p>
        </w:tc>
        <w:tc>
          <w:tcPr>
            <w:tcW w:w="6458" w:type="dxa"/>
            <w:gridSpan w:val="6"/>
            <w:tcBorders>
              <w:top w:val="single" w:color="000000" w:sz="4" w:space="0"/>
              <w:left w:val="nil"/>
              <w:bottom w:val="single" w:color="000000" w:sz="4" w:space="0"/>
              <w:right w:val="single" w:color="000000" w:sz="4" w:space="0"/>
            </w:tcBorders>
          </w:tcPr>
          <w:p w14:paraId="770437DB">
            <w:pPr>
              <w:pStyle w:val="38"/>
              <w:rPr>
                <w:highlight w:val="none"/>
              </w:rPr>
            </w:pPr>
          </w:p>
        </w:tc>
      </w:tr>
      <w:tr w14:paraId="399825BD">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762529EA">
            <w:pPr>
              <w:pStyle w:val="38"/>
              <w:rPr>
                <w:highlight w:val="none"/>
              </w:rPr>
            </w:pPr>
            <w:r>
              <w:rPr>
                <w:highlight w:val="none"/>
              </w:rPr>
              <w:t>法定代表人</w:t>
            </w:r>
          </w:p>
        </w:tc>
        <w:tc>
          <w:tcPr>
            <w:tcW w:w="1132" w:type="dxa"/>
            <w:tcBorders>
              <w:top w:val="single" w:color="000000" w:sz="4" w:space="0"/>
              <w:left w:val="single" w:color="000000" w:sz="4" w:space="0"/>
              <w:bottom w:val="single" w:color="000000" w:sz="4" w:space="0"/>
              <w:right w:val="single" w:color="000000" w:sz="4" w:space="0"/>
            </w:tcBorders>
            <w:vAlign w:val="center"/>
          </w:tcPr>
          <w:p w14:paraId="1A52235C">
            <w:pPr>
              <w:pStyle w:val="38"/>
              <w:rPr>
                <w:highlight w:val="none"/>
              </w:rPr>
            </w:pPr>
            <w:r>
              <w:rPr>
                <w:highlight w:val="none"/>
              </w:rPr>
              <w:t>姓名</w:t>
            </w:r>
          </w:p>
        </w:tc>
        <w:tc>
          <w:tcPr>
            <w:tcW w:w="1280" w:type="dxa"/>
            <w:tcBorders>
              <w:top w:val="single" w:color="000000" w:sz="4" w:space="0"/>
              <w:left w:val="single" w:color="000000" w:sz="4" w:space="0"/>
              <w:bottom w:val="single" w:color="000000" w:sz="4" w:space="0"/>
              <w:right w:val="single" w:color="000000" w:sz="4" w:space="0"/>
            </w:tcBorders>
          </w:tcPr>
          <w:p w14:paraId="50A0E434">
            <w:pPr>
              <w:pStyle w:val="38"/>
              <w:rPr>
                <w:highlight w:val="none"/>
              </w:rPr>
            </w:pP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14:paraId="7AE3745B">
            <w:pPr>
              <w:pStyle w:val="38"/>
              <w:rPr>
                <w:highlight w:val="none"/>
              </w:rPr>
            </w:pPr>
            <w:r>
              <w:rPr>
                <w:highlight w:val="none"/>
              </w:rPr>
              <w:t>技术职称</w:t>
            </w:r>
          </w:p>
        </w:tc>
        <w:tc>
          <w:tcPr>
            <w:tcW w:w="1214" w:type="dxa"/>
            <w:tcBorders>
              <w:top w:val="single" w:color="000000" w:sz="4" w:space="0"/>
              <w:left w:val="single" w:color="000000" w:sz="4" w:space="0"/>
              <w:bottom w:val="single" w:color="000000" w:sz="4" w:space="0"/>
              <w:right w:val="single" w:color="000000" w:sz="4" w:space="0"/>
            </w:tcBorders>
          </w:tcPr>
          <w:p w14:paraId="3718B318">
            <w:pPr>
              <w:pStyle w:val="38"/>
              <w:rPr>
                <w:highlight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14:paraId="1D8118B2">
            <w:pPr>
              <w:pStyle w:val="38"/>
              <w:rPr>
                <w:highlight w:val="none"/>
              </w:rPr>
            </w:pPr>
            <w:r>
              <w:rPr>
                <w:highlight w:val="none"/>
              </w:rPr>
              <w:t>电话</w:t>
            </w:r>
          </w:p>
        </w:tc>
        <w:tc>
          <w:tcPr>
            <w:tcW w:w="1707" w:type="dxa"/>
            <w:tcBorders>
              <w:top w:val="single" w:color="000000" w:sz="4" w:space="0"/>
              <w:left w:val="single" w:color="000000" w:sz="4" w:space="0"/>
              <w:bottom w:val="single" w:color="000000" w:sz="4" w:space="0"/>
              <w:right w:val="single" w:color="000000" w:sz="4" w:space="0"/>
            </w:tcBorders>
          </w:tcPr>
          <w:p w14:paraId="103DBFA6">
            <w:pPr>
              <w:pStyle w:val="38"/>
              <w:rPr>
                <w:highlight w:val="none"/>
              </w:rPr>
            </w:pPr>
          </w:p>
        </w:tc>
      </w:tr>
      <w:tr w14:paraId="037F6E93">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76AC6FCD">
            <w:pPr>
              <w:pStyle w:val="38"/>
              <w:rPr>
                <w:highlight w:val="none"/>
              </w:rPr>
            </w:pPr>
            <w:r>
              <w:rPr>
                <w:highlight w:val="none"/>
              </w:rPr>
              <w:t>技术负责人</w:t>
            </w:r>
          </w:p>
        </w:tc>
        <w:tc>
          <w:tcPr>
            <w:tcW w:w="1132" w:type="dxa"/>
            <w:tcBorders>
              <w:top w:val="single" w:color="000000" w:sz="4" w:space="0"/>
              <w:left w:val="single" w:color="000000" w:sz="4" w:space="0"/>
              <w:bottom w:val="single" w:color="000000" w:sz="4" w:space="0"/>
              <w:right w:val="single" w:color="000000" w:sz="4" w:space="0"/>
            </w:tcBorders>
            <w:vAlign w:val="center"/>
          </w:tcPr>
          <w:p w14:paraId="35F1D596">
            <w:pPr>
              <w:pStyle w:val="38"/>
              <w:rPr>
                <w:highlight w:val="none"/>
              </w:rPr>
            </w:pPr>
            <w:r>
              <w:rPr>
                <w:highlight w:val="none"/>
              </w:rPr>
              <w:t>姓名</w:t>
            </w:r>
          </w:p>
        </w:tc>
        <w:tc>
          <w:tcPr>
            <w:tcW w:w="1280" w:type="dxa"/>
            <w:tcBorders>
              <w:top w:val="single" w:color="000000" w:sz="4" w:space="0"/>
              <w:left w:val="single" w:color="000000" w:sz="4" w:space="0"/>
              <w:bottom w:val="single" w:color="000000" w:sz="4" w:space="0"/>
              <w:right w:val="single" w:color="000000" w:sz="4" w:space="0"/>
            </w:tcBorders>
          </w:tcPr>
          <w:p w14:paraId="08EBDF18">
            <w:pPr>
              <w:pStyle w:val="38"/>
              <w:rPr>
                <w:highlight w:val="none"/>
              </w:rPr>
            </w:pP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14:paraId="0746F551">
            <w:pPr>
              <w:pStyle w:val="38"/>
              <w:rPr>
                <w:highlight w:val="none"/>
              </w:rPr>
            </w:pPr>
            <w:r>
              <w:rPr>
                <w:highlight w:val="none"/>
              </w:rPr>
              <w:t>技术职称</w:t>
            </w:r>
          </w:p>
        </w:tc>
        <w:tc>
          <w:tcPr>
            <w:tcW w:w="1214" w:type="dxa"/>
            <w:tcBorders>
              <w:top w:val="single" w:color="000000" w:sz="4" w:space="0"/>
              <w:left w:val="single" w:color="000000" w:sz="4" w:space="0"/>
              <w:bottom w:val="single" w:color="000000" w:sz="4" w:space="0"/>
              <w:right w:val="single" w:color="000000" w:sz="4" w:space="0"/>
            </w:tcBorders>
          </w:tcPr>
          <w:p w14:paraId="60DBC1E7">
            <w:pPr>
              <w:pStyle w:val="38"/>
              <w:rPr>
                <w:highlight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14:paraId="27B9EC83">
            <w:pPr>
              <w:pStyle w:val="38"/>
              <w:rPr>
                <w:highlight w:val="none"/>
              </w:rPr>
            </w:pPr>
            <w:r>
              <w:rPr>
                <w:highlight w:val="none"/>
              </w:rPr>
              <w:t>电话</w:t>
            </w:r>
          </w:p>
        </w:tc>
        <w:tc>
          <w:tcPr>
            <w:tcW w:w="1707" w:type="dxa"/>
            <w:tcBorders>
              <w:top w:val="single" w:color="000000" w:sz="4" w:space="0"/>
              <w:left w:val="single" w:color="000000" w:sz="4" w:space="0"/>
              <w:bottom w:val="single" w:color="000000" w:sz="4" w:space="0"/>
              <w:right w:val="single" w:color="000000" w:sz="4" w:space="0"/>
            </w:tcBorders>
          </w:tcPr>
          <w:p w14:paraId="01983A54">
            <w:pPr>
              <w:pStyle w:val="38"/>
              <w:rPr>
                <w:highlight w:val="none"/>
              </w:rPr>
            </w:pPr>
          </w:p>
        </w:tc>
      </w:tr>
      <w:tr w14:paraId="2176444D">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18D3EAB8">
            <w:pPr>
              <w:pStyle w:val="38"/>
              <w:rPr>
                <w:highlight w:val="none"/>
              </w:rPr>
            </w:pPr>
            <w:r>
              <w:rPr>
                <w:highlight w:val="none"/>
              </w:rPr>
              <w:t>成立时间</w:t>
            </w:r>
          </w:p>
        </w:tc>
        <w:tc>
          <w:tcPr>
            <w:tcW w:w="1132" w:type="dxa"/>
            <w:tcBorders>
              <w:top w:val="single" w:color="000000" w:sz="4" w:space="0"/>
              <w:left w:val="single" w:color="000000" w:sz="4" w:space="0"/>
              <w:bottom w:val="single" w:color="000000" w:sz="4" w:space="0"/>
              <w:right w:val="nil"/>
            </w:tcBorders>
          </w:tcPr>
          <w:p w14:paraId="4BE0DEED">
            <w:pPr>
              <w:pStyle w:val="38"/>
              <w:rPr>
                <w:highlight w:val="none"/>
              </w:rPr>
            </w:pPr>
          </w:p>
        </w:tc>
        <w:tc>
          <w:tcPr>
            <w:tcW w:w="1280" w:type="dxa"/>
            <w:tcBorders>
              <w:top w:val="single" w:color="000000" w:sz="4" w:space="0"/>
              <w:left w:val="nil"/>
              <w:bottom w:val="single" w:color="000000" w:sz="4" w:space="0"/>
              <w:right w:val="single" w:color="000000" w:sz="4" w:space="0"/>
            </w:tcBorders>
          </w:tcPr>
          <w:p w14:paraId="1E02FB2C">
            <w:pPr>
              <w:pStyle w:val="38"/>
              <w:rPr>
                <w:highlight w:val="none"/>
              </w:rPr>
            </w:pPr>
          </w:p>
        </w:tc>
        <w:tc>
          <w:tcPr>
            <w:tcW w:w="5178" w:type="dxa"/>
            <w:gridSpan w:val="5"/>
            <w:tcBorders>
              <w:top w:val="single" w:color="000000" w:sz="4" w:space="0"/>
              <w:left w:val="single" w:color="000000" w:sz="4" w:space="0"/>
              <w:bottom w:val="single" w:color="000000" w:sz="4" w:space="0"/>
              <w:right w:val="single" w:color="000000" w:sz="4" w:space="0"/>
            </w:tcBorders>
            <w:vAlign w:val="center"/>
          </w:tcPr>
          <w:p w14:paraId="506223E9">
            <w:pPr>
              <w:pStyle w:val="38"/>
              <w:rPr>
                <w:highlight w:val="none"/>
              </w:rPr>
            </w:pPr>
            <w:r>
              <w:rPr>
                <w:highlight w:val="none"/>
              </w:rPr>
              <w:t>员工总人数：</w:t>
            </w:r>
          </w:p>
        </w:tc>
      </w:tr>
      <w:tr w14:paraId="2822047E">
        <w:tblPrEx>
          <w:tblCellMar>
            <w:top w:w="0" w:type="dxa"/>
            <w:left w:w="107" w:type="dxa"/>
            <w:bottom w:w="0" w:type="dxa"/>
            <w:right w:w="144" w:type="dxa"/>
          </w:tblCellMar>
        </w:tblPrEx>
        <w:trPr>
          <w:trHeight w:val="522"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14:paraId="3302709C">
            <w:pPr>
              <w:pStyle w:val="38"/>
              <w:rPr>
                <w:highlight w:val="none"/>
              </w:rPr>
            </w:pPr>
            <w:r>
              <w:rPr>
                <w:highlight w:val="none"/>
              </w:rPr>
              <w:t>统一社会信用代码</w:t>
            </w:r>
          </w:p>
        </w:tc>
        <w:tc>
          <w:tcPr>
            <w:tcW w:w="1132" w:type="dxa"/>
            <w:vMerge w:val="restart"/>
            <w:tcBorders>
              <w:top w:val="single" w:color="000000" w:sz="4" w:space="0"/>
              <w:left w:val="single" w:color="000000" w:sz="4" w:space="0"/>
              <w:bottom w:val="single" w:color="000000" w:sz="4" w:space="0"/>
              <w:right w:val="nil"/>
            </w:tcBorders>
          </w:tcPr>
          <w:p w14:paraId="27C3BA77">
            <w:pPr>
              <w:pStyle w:val="38"/>
              <w:rPr>
                <w:highlight w:val="none"/>
              </w:rPr>
            </w:pPr>
          </w:p>
        </w:tc>
        <w:tc>
          <w:tcPr>
            <w:tcW w:w="1280" w:type="dxa"/>
            <w:vMerge w:val="restart"/>
            <w:tcBorders>
              <w:top w:val="single" w:color="000000" w:sz="4" w:space="0"/>
              <w:left w:val="nil"/>
              <w:bottom w:val="single" w:color="000000" w:sz="4" w:space="0"/>
              <w:right w:val="single" w:color="000000" w:sz="4" w:space="0"/>
            </w:tcBorders>
          </w:tcPr>
          <w:p w14:paraId="0469FE2A">
            <w:pPr>
              <w:pStyle w:val="38"/>
              <w:rPr>
                <w:highlight w:val="none"/>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226FB064">
            <w:pPr>
              <w:pStyle w:val="38"/>
              <w:rPr>
                <w:highlight w:val="none"/>
              </w:rPr>
            </w:pPr>
            <w:r>
              <w:rPr>
                <w:highlight w:val="none"/>
              </w:rPr>
              <w:t>其中</w:t>
            </w: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2AD87CB2">
            <w:pPr>
              <w:pStyle w:val="38"/>
              <w:rPr>
                <w:highlight w:val="none"/>
              </w:rPr>
            </w:pPr>
            <w:r>
              <w:rPr>
                <w:highlight w:val="none"/>
              </w:rPr>
              <w:t>注册职业资格</w:t>
            </w:r>
          </w:p>
        </w:tc>
        <w:tc>
          <w:tcPr>
            <w:tcW w:w="2751" w:type="dxa"/>
            <w:gridSpan w:val="2"/>
            <w:tcBorders>
              <w:top w:val="single" w:color="000000" w:sz="4" w:space="0"/>
              <w:left w:val="single" w:color="000000" w:sz="4" w:space="0"/>
              <w:bottom w:val="single" w:color="000000" w:sz="4" w:space="0"/>
              <w:right w:val="single" w:color="000000" w:sz="4" w:space="0"/>
            </w:tcBorders>
          </w:tcPr>
          <w:p w14:paraId="6C97FA67">
            <w:pPr>
              <w:pStyle w:val="38"/>
              <w:rPr>
                <w:highlight w:val="none"/>
              </w:rPr>
            </w:pPr>
          </w:p>
        </w:tc>
      </w:tr>
      <w:tr w14:paraId="7676866A">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single" w:color="000000" w:sz="4" w:space="0"/>
              <w:right w:val="single" w:color="000000" w:sz="4" w:space="0"/>
            </w:tcBorders>
          </w:tcPr>
          <w:p w14:paraId="3EA0D4F7">
            <w:pPr>
              <w:pStyle w:val="38"/>
              <w:rPr>
                <w:highlight w:val="none"/>
              </w:rPr>
            </w:pPr>
          </w:p>
        </w:tc>
        <w:tc>
          <w:tcPr>
            <w:tcW w:w="1132" w:type="dxa"/>
            <w:vMerge w:val="continue"/>
            <w:tcBorders>
              <w:top w:val="nil"/>
              <w:left w:val="single" w:color="000000" w:sz="4" w:space="0"/>
              <w:bottom w:val="single" w:color="000000" w:sz="4" w:space="0"/>
              <w:right w:val="nil"/>
            </w:tcBorders>
          </w:tcPr>
          <w:p w14:paraId="6E49D6B8">
            <w:pPr>
              <w:pStyle w:val="38"/>
              <w:rPr>
                <w:highlight w:val="none"/>
              </w:rPr>
            </w:pPr>
          </w:p>
        </w:tc>
        <w:tc>
          <w:tcPr>
            <w:tcW w:w="1280" w:type="dxa"/>
            <w:vMerge w:val="continue"/>
            <w:tcBorders>
              <w:top w:val="nil"/>
              <w:left w:val="nil"/>
              <w:bottom w:val="single" w:color="000000" w:sz="4" w:space="0"/>
              <w:right w:val="single" w:color="000000" w:sz="4" w:space="0"/>
            </w:tcBorders>
          </w:tcPr>
          <w:p w14:paraId="5D7A474E">
            <w:pPr>
              <w:pStyle w:val="38"/>
              <w:rPr>
                <w:highlight w:val="none"/>
              </w:rPr>
            </w:pPr>
          </w:p>
        </w:tc>
        <w:tc>
          <w:tcPr>
            <w:tcW w:w="705" w:type="dxa"/>
            <w:vMerge w:val="continue"/>
            <w:tcBorders>
              <w:top w:val="nil"/>
              <w:left w:val="single" w:color="000000" w:sz="4" w:space="0"/>
              <w:bottom w:val="nil"/>
              <w:right w:val="single" w:color="000000" w:sz="4" w:space="0"/>
            </w:tcBorders>
          </w:tcPr>
          <w:p w14:paraId="3B6B4033">
            <w:pPr>
              <w:pStyle w:val="38"/>
              <w:rPr>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7891408B">
            <w:pPr>
              <w:pStyle w:val="38"/>
              <w:rPr>
                <w:highlight w:val="none"/>
              </w:rPr>
            </w:pPr>
            <w:r>
              <w:rPr>
                <w:highlight w:val="none"/>
              </w:rPr>
              <w:t>高级职称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541F2E52">
            <w:pPr>
              <w:pStyle w:val="38"/>
              <w:rPr>
                <w:highlight w:val="none"/>
              </w:rPr>
            </w:pPr>
          </w:p>
        </w:tc>
      </w:tr>
      <w:tr w14:paraId="5CB578CA">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7C199BC0">
            <w:pPr>
              <w:pStyle w:val="38"/>
              <w:rPr>
                <w:highlight w:val="none"/>
              </w:rPr>
            </w:pPr>
            <w:r>
              <w:rPr>
                <w:highlight w:val="none"/>
              </w:rPr>
              <w:t>注册资本</w:t>
            </w:r>
          </w:p>
        </w:tc>
        <w:tc>
          <w:tcPr>
            <w:tcW w:w="1132" w:type="dxa"/>
            <w:tcBorders>
              <w:top w:val="single" w:color="000000" w:sz="4" w:space="0"/>
              <w:left w:val="single" w:color="000000" w:sz="4" w:space="0"/>
              <w:bottom w:val="single" w:color="000000" w:sz="4" w:space="0"/>
              <w:right w:val="nil"/>
            </w:tcBorders>
          </w:tcPr>
          <w:p w14:paraId="5E96BFA8">
            <w:pPr>
              <w:pStyle w:val="38"/>
              <w:rPr>
                <w:highlight w:val="none"/>
              </w:rPr>
            </w:pPr>
          </w:p>
        </w:tc>
        <w:tc>
          <w:tcPr>
            <w:tcW w:w="1280" w:type="dxa"/>
            <w:tcBorders>
              <w:top w:val="single" w:color="000000" w:sz="4" w:space="0"/>
              <w:left w:val="nil"/>
              <w:bottom w:val="single" w:color="000000" w:sz="4" w:space="0"/>
              <w:right w:val="single" w:color="000000" w:sz="4" w:space="0"/>
            </w:tcBorders>
          </w:tcPr>
          <w:p w14:paraId="5C435999">
            <w:pPr>
              <w:pStyle w:val="38"/>
              <w:rPr>
                <w:highlight w:val="none"/>
              </w:rPr>
            </w:pPr>
          </w:p>
        </w:tc>
        <w:tc>
          <w:tcPr>
            <w:tcW w:w="705" w:type="dxa"/>
            <w:vMerge w:val="continue"/>
            <w:tcBorders>
              <w:top w:val="nil"/>
              <w:left w:val="single" w:color="000000" w:sz="4" w:space="0"/>
              <w:bottom w:val="nil"/>
              <w:right w:val="single" w:color="000000" w:sz="4" w:space="0"/>
            </w:tcBorders>
          </w:tcPr>
          <w:p w14:paraId="628617A7">
            <w:pPr>
              <w:pStyle w:val="38"/>
              <w:rPr>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190D9826">
            <w:pPr>
              <w:pStyle w:val="38"/>
              <w:rPr>
                <w:highlight w:val="none"/>
              </w:rPr>
            </w:pPr>
            <w:r>
              <w:rPr>
                <w:highlight w:val="none"/>
              </w:rPr>
              <w:t>中级职称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537B989B">
            <w:pPr>
              <w:pStyle w:val="38"/>
              <w:rPr>
                <w:highlight w:val="none"/>
              </w:rPr>
            </w:pPr>
          </w:p>
        </w:tc>
      </w:tr>
      <w:tr w14:paraId="2EBDB7C5">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7257EC3F">
            <w:pPr>
              <w:pStyle w:val="38"/>
              <w:rPr>
                <w:highlight w:val="none"/>
              </w:rPr>
            </w:pPr>
            <w:r>
              <w:rPr>
                <w:highlight w:val="none"/>
              </w:rPr>
              <w:t>开户银行</w:t>
            </w:r>
          </w:p>
        </w:tc>
        <w:tc>
          <w:tcPr>
            <w:tcW w:w="1132" w:type="dxa"/>
            <w:tcBorders>
              <w:top w:val="single" w:color="000000" w:sz="4" w:space="0"/>
              <w:left w:val="single" w:color="000000" w:sz="4" w:space="0"/>
              <w:bottom w:val="single" w:color="000000" w:sz="4" w:space="0"/>
              <w:right w:val="nil"/>
            </w:tcBorders>
          </w:tcPr>
          <w:p w14:paraId="09DEBF81">
            <w:pPr>
              <w:pStyle w:val="38"/>
              <w:rPr>
                <w:highlight w:val="none"/>
              </w:rPr>
            </w:pPr>
          </w:p>
        </w:tc>
        <w:tc>
          <w:tcPr>
            <w:tcW w:w="1280" w:type="dxa"/>
            <w:tcBorders>
              <w:top w:val="single" w:color="000000" w:sz="4" w:space="0"/>
              <w:left w:val="nil"/>
              <w:bottom w:val="single" w:color="000000" w:sz="4" w:space="0"/>
              <w:right w:val="single" w:color="000000" w:sz="4" w:space="0"/>
            </w:tcBorders>
          </w:tcPr>
          <w:p w14:paraId="73771376">
            <w:pPr>
              <w:pStyle w:val="38"/>
              <w:rPr>
                <w:highlight w:val="none"/>
              </w:rPr>
            </w:pPr>
          </w:p>
        </w:tc>
        <w:tc>
          <w:tcPr>
            <w:tcW w:w="705" w:type="dxa"/>
            <w:vMerge w:val="continue"/>
            <w:tcBorders>
              <w:top w:val="nil"/>
              <w:left w:val="single" w:color="000000" w:sz="4" w:space="0"/>
              <w:bottom w:val="nil"/>
              <w:right w:val="single" w:color="000000" w:sz="4" w:space="0"/>
            </w:tcBorders>
          </w:tcPr>
          <w:p w14:paraId="5E6C8CF8">
            <w:pPr>
              <w:pStyle w:val="38"/>
              <w:rPr>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2484E361">
            <w:pPr>
              <w:pStyle w:val="38"/>
              <w:rPr>
                <w:highlight w:val="none"/>
              </w:rPr>
            </w:pPr>
            <w:r>
              <w:rPr>
                <w:highlight w:val="none"/>
              </w:rPr>
              <w:t>初级职称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50599068">
            <w:pPr>
              <w:pStyle w:val="38"/>
              <w:rPr>
                <w:highlight w:val="none"/>
              </w:rPr>
            </w:pPr>
          </w:p>
        </w:tc>
      </w:tr>
      <w:tr w14:paraId="114B06E5">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42182160">
            <w:pPr>
              <w:pStyle w:val="38"/>
              <w:rPr>
                <w:highlight w:val="none"/>
              </w:rPr>
            </w:pPr>
            <w:r>
              <w:rPr>
                <w:highlight w:val="none"/>
              </w:rPr>
              <w:t>账号</w:t>
            </w:r>
          </w:p>
        </w:tc>
        <w:tc>
          <w:tcPr>
            <w:tcW w:w="1132" w:type="dxa"/>
            <w:tcBorders>
              <w:top w:val="single" w:color="000000" w:sz="4" w:space="0"/>
              <w:left w:val="single" w:color="000000" w:sz="4" w:space="0"/>
              <w:bottom w:val="single" w:color="000000" w:sz="4" w:space="0"/>
              <w:right w:val="nil"/>
            </w:tcBorders>
          </w:tcPr>
          <w:p w14:paraId="2433E1CA">
            <w:pPr>
              <w:pStyle w:val="38"/>
              <w:rPr>
                <w:highlight w:val="none"/>
              </w:rPr>
            </w:pPr>
          </w:p>
        </w:tc>
        <w:tc>
          <w:tcPr>
            <w:tcW w:w="1280" w:type="dxa"/>
            <w:tcBorders>
              <w:top w:val="single" w:color="000000" w:sz="4" w:space="0"/>
              <w:left w:val="nil"/>
              <w:bottom w:val="single" w:color="000000" w:sz="4" w:space="0"/>
              <w:right w:val="single" w:color="000000" w:sz="4" w:space="0"/>
            </w:tcBorders>
          </w:tcPr>
          <w:p w14:paraId="7BB45548">
            <w:pPr>
              <w:pStyle w:val="38"/>
              <w:rPr>
                <w:highlight w:val="none"/>
              </w:rPr>
            </w:pPr>
          </w:p>
        </w:tc>
        <w:tc>
          <w:tcPr>
            <w:tcW w:w="705" w:type="dxa"/>
            <w:vMerge w:val="continue"/>
            <w:tcBorders>
              <w:top w:val="nil"/>
              <w:left w:val="single" w:color="000000" w:sz="4" w:space="0"/>
              <w:bottom w:val="single" w:color="000000" w:sz="4" w:space="0"/>
              <w:right w:val="single" w:color="000000" w:sz="4" w:space="0"/>
            </w:tcBorders>
          </w:tcPr>
          <w:p w14:paraId="4294977B">
            <w:pPr>
              <w:pStyle w:val="38"/>
              <w:rPr>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37EAC1EC">
            <w:pPr>
              <w:pStyle w:val="38"/>
              <w:rPr>
                <w:highlight w:val="none"/>
              </w:rPr>
            </w:pPr>
            <w:r>
              <w:rPr>
                <w:highlight w:val="none"/>
              </w:rPr>
              <w:t>其他</w:t>
            </w:r>
          </w:p>
        </w:tc>
        <w:tc>
          <w:tcPr>
            <w:tcW w:w="2751" w:type="dxa"/>
            <w:gridSpan w:val="2"/>
            <w:tcBorders>
              <w:top w:val="single" w:color="000000" w:sz="4" w:space="0"/>
              <w:left w:val="single" w:color="000000" w:sz="4" w:space="0"/>
              <w:bottom w:val="single" w:color="000000" w:sz="4" w:space="0"/>
              <w:right w:val="single" w:color="000000" w:sz="4" w:space="0"/>
            </w:tcBorders>
          </w:tcPr>
          <w:p w14:paraId="1C578F3D">
            <w:pPr>
              <w:pStyle w:val="38"/>
              <w:rPr>
                <w:highlight w:val="none"/>
              </w:rPr>
            </w:pPr>
          </w:p>
        </w:tc>
      </w:tr>
      <w:tr w14:paraId="2EB4FFE7">
        <w:tblPrEx>
          <w:tblCellMar>
            <w:top w:w="0" w:type="dxa"/>
            <w:left w:w="107" w:type="dxa"/>
            <w:bottom w:w="0" w:type="dxa"/>
            <w:right w:w="144" w:type="dxa"/>
          </w:tblCellMar>
        </w:tblPrEx>
        <w:trPr>
          <w:trHeight w:val="814"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1803140A">
            <w:pPr>
              <w:pStyle w:val="38"/>
              <w:rPr>
                <w:highlight w:val="none"/>
              </w:rPr>
            </w:pPr>
            <w:r>
              <w:rPr>
                <w:highlight w:val="none"/>
              </w:rPr>
              <w:t>经营范围</w:t>
            </w:r>
          </w:p>
        </w:tc>
        <w:tc>
          <w:tcPr>
            <w:tcW w:w="1132" w:type="dxa"/>
            <w:tcBorders>
              <w:top w:val="single" w:color="000000" w:sz="4" w:space="0"/>
              <w:left w:val="single" w:color="000000" w:sz="4" w:space="0"/>
              <w:bottom w:val="single" w:color="000000" w:sz="4" w:space="0"/>
              <w:right w:val="nil"/>
            </w:tcBorders>
          </w:tcPr>
          <w:p w14:paraId="7D0A33EC">
            <w:pPr>
              <w:pStyle w:val="38"/>
              <w:rPr>
                <w:highlight w:val="none"/>
              </w:rPr>
            </w:pPr>
          </w:p>
        </w:tc>
        <w:tc>
          <w:tcPr>
            <w:tcW w:w="6458" w:type="dxa"/>
            <w:gridSpan w:val="6"/>
            <w:tcBorders>
              <w:top w:val="single" w:color="000000" w:sz="4" w:space="0"/>
              <w:left w:val="nil"/>
              <w:bottom w:val="single" w:color="000000" w:sz="4" w:space="0"/>
              <w:right w:val="single" w:color="000000" w:sz="4" w:space="0"/>
            </w:tcBorders>
          </w:tcPr>
          <w:p w14:paraId="5C6A5654">
            <w:pPr>
              <w:pStyle w:val="38"/>
              <w:rPr>
                <w:highlight w:val="none"/>
              </w:rPr>
            </w:pPr>
          </w:p>
        </w:tc>
      </w:tr>
      <w:tr w14:paraId="32FFC215">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01994270">
            <w:pPr>
              <w:pStyle w:val="38"/>
              <w:rPr>
                <w:highlight w:val="none"/>
              </w:rPr>
            </w:pPr>
            <w:r>
              <w:rPr>
                <w:highlight w:val="none"/>
              </w:rPr>
              <w:t>备注</w:t>
            </w:r>
          </w:p>
        </w:tc>
        <w:tc>
          <w:tcPr>
            <w:tcW w:w="1132" w:type="dxa"/>
            <w:tcBorders>
              <w:top w:val="single" w:color="000000" w:sz="4" w:space="0"/>
              <w:left w:val="single" w:color="000000" w:sz="4" w:space="0"/>
              <w:bottom w:val="single" w:color="000000" w:sz="4" w:space="0"/>
              <w:right w:val="nil"/>
            </w:tcBorders>
          </w:tcPr>
          <w:p w14:paraId="06F627AE">
            <w:pPr>
              <w:pStyle w:val="38"/>
              <w:rPr>
                <w:highlight w:val="none"/>
              </w:rPr>
            </w:pPr>
          </w:p>
        </w:tc>
        <w:tc>
          <w:tcPr>
            <w:tcW w:w="6458" w:type="dxa"/>
            <w:gridSpan w:val="6"/>
            <w:tcBorders>
              <w:top w:val="single" w:color="000000" w:sz="4" w:space="0"/>
              <w:left w:val="nil"/>
              <w:bottom w:val="single" w:color="000000" w:sz="4" w:space="0"/>
              <w:right w:val="single" w:color="000000" w:sz="4" w:space="0"/>
            </w:tcBorders>
          </w:tcPr>
          <w:p w14:paraId="4358BE58">
            <w:pPr>
              <w:pStyle w:val="38"/>
              <w:rPr>
                <w:highlight w:val="none"/>
              </w:rPr>
            </w:pPr>
          </w:p>
        </w:tc>
      </w:tr>
    </w:tbl>
    <w:p w14:paraId="6BF07307">
      <w:pPr>
        <w:widowControl/>
        <w:spacing w:line="240" w:lineRule="auto"/>
        <w:ind w:firstLine="0" w:firstLineChars="0"/>
        <w:jc w:val="left"/>
        <w:rPr>
          <w:sz w:val="21"/>
          <w:highlight w:val="none"/>
        </w:rPr>
      </w:pPr>
    </w:p>
    <w:p w14:paraId="7890973F">
      <w:pPr>
        <w:ind w:firstLine="480"/>
        <w:rPr>
          <w:highlight w:val="none"/>
        </w:rPr>
      </w:pPr>
      <w:r>
        <w:rPr>
          <w:highlight w:val="none"/>
        </w:rPr>
        <w:t xml:space="preserve">供应商全称（盖单位公章）：                             </w:t>
      </w:r>
    </w:p>
    <w:p w14:paraId="5DD90365">
      <w:pPr>
        <w:ind w:firstLine="480"/>
        <w:rPr>
          <w:highlight w:val="none"/>
        </w:rPr>
      </w:pPr>
      <w:r>
        <w:rPr>
          <w:rFonts w:hint="eastAsia"/>
          <w:highlight w:val="none"/>
          <w:lang w:val="zh-CN"/>
        </w:rPr>
        <w:t>法定代表人或授权委托人（签字或盖章）：</w:t>
      </w:r>
    </w:p>
    <w:p w14:paraId="41D333A6">
      <w:pPr>
        <w:ind w:firstLine="480"/>
        <w:rPr>
          <w:highlight w:val="none"/>
        </w:rPr>
      </w:pPr>
      <w:r>
        <w:rPr>
          <w:highlight w:val="none"/>
        </w:rPr>
        <w:t>日期：</w:t>
      </w:r>
      <w:r>
        <w:rPr>
          <w:rFonts w:hint="eastAsia"/>
          <w:highlight w:val="none"/>
        </w:rPr>
        <w:t xml:space="preserve">   年   月  日</w:t>
      </w:r>
    </w:p>
    <w:p w14:paraId="0D26B338">
      <w:pPr>
        <w:spacing w:line="360" w:lineRule="auto"/>
        <w:ind w:left="0" w:leftChars="0" w:firstLine="0" w:firstLineChars="0"/>
        <w:jc w:val="center"/>
        <w:rPr>
          <w:sz w:val="21"/>
          <w:highlight w:val="none"/>
        </w:rPr>
      </w:pPr>
      <w:r>
        <w:rPr>
          <w:sz w:val="21"/>
          <w:highlight w:val="none"/>
        </w:rPr>
        <w:br w:type="page"/>
      </w:r>
    </w:p>
    <w:p w14:paraId="476CC80A">
      <w:pPr>
        <w:spacing w:line="360" w:lineRule="auto"/>
        <w:ind w:left="0" w:leftChars="0" w:firstLine="0" w:firstLineChars="0"/>
        <w:jc w:val="center"/>
        <w:rPr>
          <w:sz w:val="21"/>
          <w:highlight w:val="none"/>
        </w:rPr>
      </w:pPr>
    </w:p>
    <w:p w14:paraId="47CEB01B">
      <w:pPr>
        <w:widowControl/>
        <w:spacing w:line="240" w:lineRule="auto"/>
        <w:ind w:firstLine="0" w:firstLineChars="0"/>
        <w:jc w:val="left"/>
        <w:rPr>
          <w:sz w:val="21"/>
          <w:highlight w:val="none"/>
        </w:rPr>
      </w:pPr>
      <w:r>
        <w:rPr>
          <w:highlight w:val="none"/>
        </w:rPr>
        <w:t>附件</w:t>
      </w:r>
      <w:r>
        <w:rPr>
          <w:rFonts w:hint="eastAsia"/>
          <w:highlight w:val="none"/>
        </w:rPr>
        <w:t>2</w:t>
      </w:r>
    </w:p>
    <w:p w14:paraId="60FD9CA9">
      <w:pPr>
        <w:pStyle w:val="5"/>
        <w:bidi w:val="0"/>
        <w:jc w:val="center"/>
        <w:rPr>
          <w:rFonts w:hint="eastAsia"/>
          <w:highlight w:val="none"/>
          <w:lang w:eastAsia="zh-CN"/>
        </w:rPr>
      </w:pPr>
      <w:bookmarkStart w:id="494" w:name="_Toc10358"/>
      <w:bookmarkStart w:id="495" w:name="_Toc3749"/>
      <w:bookmarkStart w:id="496" w:name="_Toc22883"/>
      <w:bookmarkStart w:id="497" w:name="_Toc6257"/>
      <w:r>
        <w:rPr>
          <w:rFonts w:hint="eastAsia"/>
          <w:highlight w:val="none"/>
        </w:rPr>
        <w:t>符合参加</w:t>
      </w:r>
      <w:r>
        <w:rPr>
          <w:rFonts w:hint="eastAsia"/>
          <w:highlight w:val="none"/>
          <w:lang w:val="en-US" w:eastAsia="zh-CN"/>
        </w:rPr>
        <w:t>政府</w:t>
      </w:r>
      <w:r>
        <w:rPr>
          <w:rFonts w:hint="eastAsia"/>
          <w:highlight w:val="none"/>
        </w:rPr>
        <w:t>采购活动应当具备的一般条件的承诺函</w:t>
      </w:r>
      <w:bookmarkEnd w:id="494"/>
      <w:bookmarkEnd w:id="495"/>
      <w:bookmarkEnd w:id="496"/>
      <w:bookmarkEnd w:id="497"/>
    </w:p>
    <w:p w14:paraId="06E8DFF0">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color w:val="auto"/>
          <w:highlight w:val="none"/>
          <w:lang w:eastAsia="zh-CN"/>
        </w:rPr>
      </w:pPr>
    </w:p>
    <w:p w14:paraId="2D883BC0">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default" w:ascii="Times New Roman" w:hAnsi="Times New Roman" w:eastAsia="宋体" w:cs="Times New Roman"/>
          <w:color w:val="auto"/>
          <w:sz w:val="24"/>
          <w:szCs w:val="24"/>
          <w:highlight w:val="none"/>
        </w:rPr>
      </w:pPr>
      <w:r>
        <w:rPr>
          <w:rFonts w:hint="eastAsia"/>
          <w:highlight w:val="none"/>
          <w:u w:val="none"/>
          <w:lang w:eastAsia="zh-CN"/>
        </w:rPr>
        <w:t>龙游县人民政府办公室（龙游县数据局）</w:t>
      </w:r>
      <w:r>
        <w:rPr>
          <w:rFonts w:hint="default" w:ascii="Times New Roman" w:hAnsi="Times New Roman" w:cs="Times New Roman"/>
          <w:color w:val="auto"/>
          <w:sz w:val="24"/>
          <w:szCs w:val="24"/>
          <w:highlight w:val="none"/>
          <w:u w:val="none"/>
        </w:rPr>
        <w:t>：</w:t>
      </w:r>
    </w:p>
    <w:p w14:paraId="168C5B1A">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我方参</w:t>
      </w:r>
      <w:r>
        <w:rPr>
          <w:rFonts w:hint="default" w:ascii="Times New Roman" w:hAnsi="Times New Roman" w:eastAsia="宋体" w:cs="Times New Roman"/>
          <w:color w:val="auto"/>
          <w:sz w:val="24"/>
          <w:szCs w:val="24"/>
          <w:highlight w:val="none"/>
          <w:lang w:eastAsia="zh-CN"/>
        </w:rPr>
        <w:t>加</w:t>
      </w:r>
      <w:r>
        <w:rPr>
          <w:rFonts w:hint="default" w:ascii="Times New Roman" w:hAnsi="Times New Roman" w:eastAsia="宋体"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ab/>
      </w:r>
      <w:r>
        <w:rPr>
          <w:rFonts w:hint="eastAsia" w:cs="Times New Roman"/>
          <w:color w:val="auto"/>
          <w:sz w:val="24"/>
          <w:szCs w:val="24"/>
          <w:highlight w:val="none"/>
          <w:u w:val="single"/>
          <w:lang w:val="en-US" w:eastAsia="zh-CN"/>
        </w:rPr>
        <w:t>龙游县电子政务外网网络数据安全运维服务项目（2025年）</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eastAsia="zh-CN"/>
        </w:rPr>
        <w:t>（项目编号</w:t>
      </w:r>
      <w:r>
        <w:rPr>
          <w:rFonts w:hint="eastAsia" w:ascii="Times New Roman" w:hAnsi="Times New Roman" w:eastAsia="宋体" w:cs="Times New Roman"/>
          <w:color w:val="auto"/>
          <w:sz w:val="24"/>
          <w:szCs w:val="24"/>
          <w:highlight w:val="none"/>
          <w:u w:val="single"/>
          <w:lang w:eastAsia="zh-CN"/>
        </w:rPr>
        <w:t>：</w:t>
      </w:r>
      <w:r>
        <w:rPr>
          <w:rFonts w:hint="default" w:ascii="Times New Roman" w:hAnsi="Times New Roman" w:eastAsia="宋体"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LYJY2025006</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eastAsia="zh-CN"/>
        </w:rPr>
        <w:t>）</w:t>
      </w:r>
      <w:r>
        <w:rPr>
          <w:rFonts w:hint="eastAsia" w:cs="Times New Roman"/>
          <w:color w:val="auto"/>
          <w:sz w:val="24"/>
          <w:szCs w:val="24"/>
          <w:highlight w:val="none"/>
          <w:lang w:val="en-US" w:eastAsia="zh-CN"/>
        </w:rPr>
        <w:t>政府</w:t>
      </w:r>
      <w:r>
        <w:rPr>
          <w:rFonts w:hint="default" w:ascii="Times New Roman" w:hAnsi="Times New Roman" w:eastAsia="宋体" w:cs="Times New Roman"/>
          <w:color w:val="auto"/>
          <w:sz w:val="24"/>
          <w:szCs w:val="24"/>
          <w:highlight w:val="none"/>
        </w:rPr>
        <w:t>采购活动</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郑重承诺：</w:t>
      </w:r>
    </w:p>
    <w:p w14:paraId="1E5C0384">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一</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具备《</w:t>
      </w:r>
      <w:r>
        <w:rPr>
          <w:rFonts w:hint="eastAsia" w:ascii="Times New Roman" w:hAnsi="Times New Roman" w:eastAsia="宋体" w:cs="Times New Roman"/>
          <w:color w:val="auto"/>
          <w:sz w:val="24"/>
          <w:szCs w:val="24"/>
          <w:highlight w:val="none"/>
          <w:lang w:val="en-US" w:eastAsia="zh-CN"/>
        </w:rPr>
        <w:t>中华人民共和国政府采购法</w:t>
      </w:r>
      <w:r>
        <w:rPr>
          <w:rFonts w:hint="default" w:ascii="Times New Roman" w:hAnsi="Times New Roman" w:eastAsia="宋体" w:cs="Times New Roman"/>
          <w:color w:val="auto"/>
          <w:sz w:val="24"/>
          <w:szCs w:val="24"/>
          <w:highlight w:val="none"/>
        </w:rPr>
        <w:t>》第十二条规定的条件</w:t>
      </w:r>
      <w:r>
        <w:rPr>
          <w:rFonts w:hint="eastAsia" w:ascii="Times New Roman" w:hAnsi="Times New Roman" w:eastAsia="宋体" w:cs="Times New Roman"/>
          <w:color w:val="auto"/>
          <w:sz w:val="24"/>
          <w:szCs w:val="24"/>
          <w:highlight w:val="none"/>
          <w:lang w:eastAsia="zh-CN"/>
        </w:rPr>
        <w:t>：</w:t>
      </w:r>
    </w:p>
    <w:p w14:paraId="0F76F161">
      <w:pPr>
        <w:bidi w:val="0"/>
        <w:rPr>
          <w:rFonts w:hint="default"/>
          <w:highlight w:val="none"/>
        </w:rPr>
      </w:pPr>
      <w:r>
        <w:rPr>
          <w:rFonts w:hint="eastAsia"/>
          <w:highlight w:val="none"/>
          <w:lang w:val="en-US" w:eastAsia="zh-CN"/>
        </w:rPr>
        <w:t>1.</w:t>
      </w:r>
      <w:r>
        <w:rPr>
          <w:rFonts w:hint="default"/>
          <w:highlight w:val="none"/>
        </w:rPr>
        <w:t>具有独立承担民事责任的能力；</w:t>
      </w:r>
    </w:p>
    <w:p w14:paraId="571D8C00">
      <w:pPr>
        <w:bidi w:val="0"/>
        <w:rPr>
          <w:rFonts w:hint="default"/>
          <w:highlight w:val="none"/>
        </w:rPr>
      </w:pPr>
      <w:r>
        <w:rPr>
          <w:rFonts w:hint="eastAsia"/>
          <w:highlight w:val="none"/>
          <w:lang w:val="en-US" w:eastAsia="zh-CN"/>
        </w:rPr>
        <w:t>2.</w:t>
      </w:r>
      <w:r>
        <w:rPr>
          <w:rFonts w:hint="default"/>
          <w:highlight w:val="none"/>
        </w:rPr>
        <w:t xml:space="preserve">具有良好的商业信誉和健全的财务会计制度； </w:t>
      </w:r>
    </w:p>
    <w:p w14:paraId="2FB0E262">
      <w:pPr>
        <w:bidi w:val="0"/>
        <w:rPr>
          <w:rFonts w:hint="default"/>
          <w:highlight w:val="none"/>
        </w:rPr>
      </w:pPr>
      <w:r>
        <w:rPr>
          <w:rFonts w:hint="eastAsia"/>
          <w:highlight w:val="none"/>
          <w:lang w:val="en-US" w:eastAsia="zh-CN"/>
        </w:rPr>
        <w:t>3.</w:t>
      </w:r>
      <w:r>
        <w:rPr>
          <w:rFonts w:hint="default"/>
          <w:highlight w:val="none"/>
        </w:rPr>
        <w:t>具有履行合同所必需的设备和专业技术能力；</w:t>
      </w:r>
    </w:p>
    <w:p w14:paraId="4B05E0BF">
      <w:pPr>
        <w:bidi w:val="0"/>
        <w:rPr>
          <w:rFonts w:hint="default"/>
          <w:highlight w:val="none"/>
        </w:rPr>
      </w:pPr>
      <w:r>
        <w:rPr>
          <w:rFonts w:hint="eastAsia"/>
          <w:highlight w:val="none"/>
          <w:lang w:val="en-US" w:eastAsia="zh-CN"/>
        </w:rPr>
        <w:t>4.</w:t>
      </w:r>
      <w:r>
        <w:rPr>
          <w:rFonts w:hint="default"/>
          <w:highlight w:val="none"/>
        </w:rPr>
        <w:t>有依法缴纳税收和社会保障资金的良好记录；</w:t>
      </w:r>
    </w:p>
    <w:p w14:paraId="71154435">
      <w:pPr>
        <w:bidi w:val="0"/>
        <w:rPr>
          <w:rFonts w:hint="default"/>
          <w:highlight w:val="none"/>
        </w:rPr>
      </w:pPr>
      <w:r>
        <w:rPr>
          <w:rFonts w:hint="eastAsia"/>
          <w:highlight w:val="none"/>
          <w:lang w:val="en-US" w:eastAsia="zh-CN"/>
        </w:rPr>
        <w:t>5.</w:t>
      </w:r>
      <w:r>
        <w:rPr>
          <w:rFonts w:hint="default"/>
          <w:highlight w:val="none"/>
        </w:rPr>
        <w:t>参加</w:t>
      </w:r>
      <w:r>
        <w:rPr>
          <w:rFonts w:hint="default"/>
          <w:highlight w:val="none"/>
          <w:lang w:eastAsia="zh-CN"/>
        </w:rPr>
        <w:t>企</w:t>
      </w:r>
      <w:r>
        <w:rPr>
          <w:rFonts w:hint="eastAsia"/>
          <w:highlight w:val="none"/>
          <w:lang w:eastAsia="zh-CN"/>
        </w:rPr>
        <w:t>业</w:t>
      </w:r>
      <w:r>
        <w:rPr>
          <w:rFonts w:hint="default"/>
          <w:highlight w:val="none"/>
        </w:rPr>
        <w:t>采购活动前三年内</w:t>
      </w:r>
      <w:r>
        <w:rPr>
          <w:rFonts w:hint="eastAsia"/>
          <w:highlight w:val="none"/>
          <w:lang w:eastAsia="zh-CN"/>
        </w:rPr>
        <w:t>，</w:t>
      </w:r>
      <w:r>
        <w:rPr>
          <w:rFonts w:hint="default"/>
          <w:highlight w:val="none"/>
        </w:rPr>
        <w:t>在经营活动中没有重大违法记录；</w:t>
      </w:r>
    </w:p>
    <w:p w14:paraId="20172B69">
      <w:pPr>
        <w:bidi w:val="0"/>
        <w:rPr>
          <w:rFonts w:hint="default" w:ascii="Times New Roman" w:hAnsi="Times New Roman" w:eastAsia="宋体" w:cs="Times New Roman"/>
          <w:color w:val="auto"/>
          <w:szCs w:val="24"/>
          <w:highlight w:val="none"/>
        </w:rPr>
      </w:pPr>
      <w:r>
        <w:rPr>
          <w:rFonts w:hint="eastAsia"/>
          <w:highlight w:val="none"/>
          <w:lang w:val="en-US" w:eastAsia="zh-CN"/>
        </w:rPr>
        <w:t>6.</w:t>
      </w:r>
      <w:r>
        <w:rPr>
          <w:rFonts w:hint="default"/>
          <w:highlight w:val="none"/>
        </w:rPr>
        <w:t>具有法律、行政法规规定的其他条件。</w:t>
      </w:r>
    </w:p>
    <w:p w14:paraId="28830A93">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未被信用中国（www.creditchina.gov.cn</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、中国政府采购网（www.ccgp.gov.cn）列入失信被执行人、重大税收违法案件当事人名单、政府采购严重违法失信行为记录名单。</w:t>
      </w:r>
    </w:p>
    <w:p w14:paraId="29FB4008">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w:t>
      </w:r>
      <w:r>
        <w:rPr>
          <w:rFonts w:hint="default" w:ascii="Times New Roman" w:hAnsi="Times New Roman" w:eastAsia="宋体" w:cs="Times New Roman"/>
          <w:color w:val="auto"/>
          <w:sz w:val="24"/>
          <w:szCs w:val="24"/>
          <w:highlight w:val="none"/>
          <w:lang w:eastAsia="zh-CN"/>
        </w:rPr>
        <w:t>、没有</w:t>
      </w:r>
      <w:r>
        <w:rPr>
          <w:rFonts w:hint="default" w:ascii="Times New Roman" w:hAnsi="Times New Roman" w:eastAsia="宋体" w:cs="Times New Roman"/>
          <w:color w:val="auto"/>
          <w:sz w:val="24"/>
          <w:szCs w:val="24"/>
          <w:highlight w:val="none"/>
        </w:rPr>
        <w:t>下</w:t>
      </w:r>
      <w:r>
        <w:rPr>
          <w:rFonts w:hint="default" w:ascii="Times New Roman" w:hAnsi="Times New Roman" w:eastAsia="宋体" w:cs="Times New Roman"/>
          <w:color w:val="auto"/>
          <w:sz w:val="24"/>
          <w:szCs w:val="24"/>
          <w:highlight w:val="none"/>
          <w:lang w:eastAsia="zh-CN"/>
        </w:rPr>
        <w:t>列</w:t>
      </w:r>
      <w:r>
        <w:rPr>
          <w:rFonts w:hint="default" w:ascii="Times New Roman" w:hAnsi="Times New Roman" w:eastAsia="宋体" w:cs="Times New Roman"/>
          <w:color w:val="auto"/>
          <w:sz w:val="24"/>
          <w:szCs w:val="24"/>
          <w:highlight w:val="none"/>
        </w:rPr>
        <w:t>情</w:t>
      </w:r>
      <w:r>
        <w:rPr>
          <w:rFonts w:hint="default" w:ascii="Times New Roman" w:hAnsi="Times New Roman" w:eastAsia="宋体" w:cs="Times New Roman"/>
          <w:color w:val="auto"/>
          <w:sz w:val="24"/>
          <w:szCs w:val="24"/>
          <w:highlight w:val="none"/>
          <w:lang w:eastAsia="zh-CN"/>
        </w:rPr>
        <w:t>形</w:t>
      </w:r>
    </w:p>
    <w:p w14:paraId="72CE6DCF">
      <w:pPr>
        <w:bidi w:val="0"/>
        <w:rPr>
          <w:rFonts w:hint="default"/>
          <w:highlight w:val="none"/>
        </w:rPr>
      </w:pPr>
      <w:r>
        <w:rPr>
          <w:rFonts w:hint="eastAsia"/>
          <w:highlight w:val="none"/>
          <w:lang w:val="en-US" w:eastAsia="zh-CN"/>
        </w:rPr>
        <w:t>1.</w:t>
      </w:r>
      <w:r>
        <w:rPr>
          <w:rFonts w:hint="default"/>
          <w:highlight w:val="none"/>
        </w:rPr>
        <w:t>单位负责人为同一人或者存在直接控股、管理关系的不同供应商参加同一合同项下的</w:t>
      </w:r>
      <w:r>
        <w:rPr>
          <w:rFonts w:hint="default"/>
          <w:highlight w:val="none"/>
          <w:lang w:eastAsia="zh-CN"/>
        </w:rPr>
        <w:t>国企</w:t>
      </w:r>
      <w:r>
        <w:rPr>
          <w:rFonts w:hint="default"/>
          <w:highlight w:val="none"/>
        </w:rPr>
        <w:t>采购活动的；</w:t>
      </w:r>
    </w:p>
    <w:p w14:paraId="57792398">
      <w:pPr>
        <w:bidi w:val="0"/>
        <w:rPr>
          <w:rFonts w:hint="default"/>
          <w:highlight w:val="none"/>
        </w:rPr>
      </w:pPr>
      <w:r>
        <w:rPr>
          <w:rFonts w:hint="eastAsia"/>
          <w:highlight w:val="none"/>
          <w:lang w:val="en-US" w:eastAsia="zh-CN"/>
        </w:rPr>
        <w:t>2.</w:t>
      </w:r>
      <w:r>
        <w:rPr>
          <w:rFonts w:hint="default"/>
          <w:highlight w:val="none"/>
        </w:rPr>
        <w:t>为采购项目提供整体设计、规范编制或者项目管理、监理、检测等服务后再参加该采购项目的其他采购活动的。</w:t>
      </w:r>
    </w:p>
    <w:p w14:paraId="1036F8A9">
      <w:pPr>
        <w:bidi w:val="0"/>
        <w:rPr>
          <w:color w:val="auto"/>
          <w:highlight w:val="none"/>
        </w:rPr>
      </w:pPr>
      <w:r>
        <w:rPr>
          <w:rFonts w:hint="default"/>
          <w:highlight w:val="none"/>
          <w:lang w:eastAsia="zh-CN"/>
        </w:rPr>
        <w:t>我方</w:t>
      </w:r>
      <w:r>
        <w:rPr>
          <w:rFonts w:hint="default"/>
          <w:highlight w:val="none"/>
        </w:rPr>
        <w:t>对上述承诺的内容事项真实性负责</w:t>
      </w:r>
      <w:r>
        <w:rPr>
          <w:rFonts w:hint="eastAsia"/>
          <w:highlight w:val="none"/>
          <w:lang w:eastAsia="zh-CN"/>
        </w:rPr>
        <w:t>，</w:t>
      </w:r>
      <w:r>
        <w:rPr>
          <w:rFonts w:hint="default"/>
          <w:highlight w:val="none"/>
        </w:rPr>
        <w:t>如有虚假</w:t>
      </w:r>
      <w:r>
        <w:rPr>
          <w:rFonts w:hint="eastAsia"/>
          <w:highlight w:val="none"/>
          <w:lang w:eastAsia="zh-CN"/>
        </w:rPr>
        <w:t>，</w:t>
      </w:r>
      <w:r>
        <w:rPr>
          <w:rFonts w:hint="default"/>
          <w:highlight w:val="none"/>
        </w:rPr>
        <w:t>由我</w:t>
      </w:r>
      <w:r>
        <w:rPr>
          <w:rFonts w:hint="default"/>
          <w:highlight w:val="none"/>
          <w:lang w:eastAsia="zh-CN"/>
        </w:rPr>
        <w:t>方</w:t>
      </w:r>
      <w:r>
        <w:rPr>
          <w:rFonts w:hint="default"/>
          <w:highlight w:val="none"/>
        </w:rPr>
        <w:t>承担相关法律责任。</w:t>
      </w:r>
    </w:p>
    <w:p w14:paraId="58D6117C">
      <w:pPr>
        <w:ind w:firstLine="480"/>
        <w:rPr>
          <w:color w:val="auto"/>
          <w:highlight w:val="none"/>
        </w:rPr>
      </w:pPr>
    </w:p>
    <w:p w14:paraId="4A6EE4A0">
      <w:pPr>
        <w:ind w:firstLine="480"/>
        <w:rPr>
          <w:color w:val="auto"/>
          <w:highlight w:val="none"/>
        </w:rPr>
      </w:pPr>
    </w:p>
    <w:p w14:paraId="15AA8550">
      <w:pPr>
        <w:ind w:firstLine="480"/>
        <w:rPr>
          <w:rFonts w:hint="default" w:eastAsia="宋体"/>
          <w:color w:val="auto"/>
          <w:highlight w:val="none"/>
          <w:lang w:val="en-US" w:eastAsia="zh-CN"/>
        </w:rPr>
      </w:pPr>
      <w:r>
        <w:rPr>
          <w:rFonts w:hint="eastAsia"/>
          <w:color w:val="auto"/>
          <w:highlight w:val="none"/>
        </w:rPr>
        <w:t>供应商名称（盖章）：</w:t>
      </w:r>
      <w:r>
        <w:rPr>
          <w:rFonts w:hint="eastAsia"/>
          <w:color w:val="auto"/>
          <w:highlight w:val="none"/>
          <w:lang w:val="en-US" w:eastAsia="zh-CN"/>
        </w:rPr>
        <w:t xml:space="preserve">    </w:t>
      </w:r>
    </w:p>
    <w:p w14:paraId="2539F7A6">
      <w:pPr>
        <w:ind w:firstLine="480"/>
        <w:rPr>
          <w:rFonts w:hint="default" w:eastAsia="宋体"/>
          <w:color w:val="auto"/>
          <w:highlight w:val="none"/>
          <w:lang w:val="en-US" w:eastAsia="zh-CN"/>
        </w:rPr>
      </w:pPr>
      <w:r>
        <w:rPr>
          <w:rFonts w:hint="eastAsia"/>
          <w:color w:val="auto"/>
          <w:highlight w:val="none"/>
        </w:rPr>
        <w:t>法定代表人或其授权代表（签字或盖章）：</w:t>
      </w:r>
      <w:r>
        <w:rPr>
          <w:rFonts w:hint="eastAsia"/>
          <w:color w:val="auto"/>
          <w:highlight w:val="none"/>
          <w:lang w:val="en-US" w:eastAsia="zh-CN"/>
        </w:rPr>
        <w:t xml:space="preserve">    </w:t>
      </w:r>
    </w:p>
    <w:p w14:paraId="10BABE75">
      <w:pPr>
        <w:ind w:firstLine="480"/>
        <w:rPr>
          <w:highlight w:val="none"/>
        </w:rPr>
      </w:pPr>
      <w:r>
        <w:rPr>
          <w:rFonts w:hint="eastAsia"/>
          <w:color w:val="auto"/>
          <w:highlight w:val="none"/>
        </w:rPr>
        <w:t>日期：</w:t>
      </w:r>
      <w:r>
        <w:rPr>
          <w:rFonts w:hint="eastAsia"/>
          <w:color w:val="auto"/>
          <w:highlight w:val="none"/>
          <w:lang w:val="en-US" w:eastAsia="zh-CN"/>
        </w:rPr>
        <w:t xml:space="preserve">    </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578DD1FB">
      <w:pPr>
        <w:ind w:firstLine="480"/>
        <w:rPr>
          <w:highlight w:val="none"/>
        </w:rPr>
      </w:pPr>
    </w:p>
    <w:p w14:paraId="0145B115">
      <w:pPr>
        <w:ind w:firstLine="480"/>
        <w:rPr>
          <w:highlight w:val="none"/>
        </w:rPr>
      </w:pPr>
    </w:p>
    <w:p w14:paraId="1684E115">
      <w:pPr>
        <w:ind w:firstLine="480"/>
        <w:rPr>
          <w:highlight w:val="none"/>
        </w:rPr>
      </w:pPr>
    </w:p>
    <w:p w14:paraId="68AD42C8">
      <w:pPr>
        <w:ind w:firstLine="440"/>
        <w:rPr>
          <w:rFonts w:hAnsi="新宋体" w:eastAsia="新宋体"/>
          <w:sz w:val="22"/>
          <w:szCs w:val="22"/>
          <w:highlight w:val="none"/>
        </w:rPr>
      </w:pPr>
      <w:r>
        <w:rPr>
          <w:highlight w:val="none"/>
        </w:rPr>
        <w:br w:type="page"/>
      </w:r>
      <w:bookmarkStart w:id="498" w:name="_Toc34775143"/>
    </w:p>
    <w:bookmarkEnd w:id="498"/>
    <w:p w14:paraId="6015318B">
      <w:pPr>
        <w:bidi w:val="0"/>
        <w:rPr>
          <w:rFonts w:hint="eastAsia"/>
          <w:highlight w:val="none"/>
          <w:lang w:val="en-US" w:eastAsia="zh-CN"/>
        </w:rPr>
      </w:pPr>
    </w:p>
    <w:p w14:paraId="509AC552">
      <w:pPr>
        <w:bidi w:val="0"/>
        <w:rPr>
          <w:rFonts w:hint="eastAsia"/>
          <w:highlight w:val="none"/>
          <w:lang w:val="en-US" w:eastAsia="zh-CN"/>
        </w:rPr>
      </w:pPr>
    </w:p>
    <w:p w14:paraId="2B99512C">
      <w:pPr>
        <w:bidi w:val="0"/>
        <w:rPr>
          <w:rFonts w:hint="eastAsia"/>
          <w:highlight w:val="none"/>
          <w:lang w:val="en-US" w:eastAsia="zh-CN"/>
        </w:rPr>
      </w:pPr>
    </w:p>
    <w:p w14:paraId="0E96AB33">
      <w:pPr>
        <w:pStyle w:val="4"/>
        <w:bidi w:val="0"/>
        <w:rPr>
          <w:rFonts w:hint="default"/>
          <w:highlight w:val="none"/>
          <w:lang w:val="en-US"/>
        </w:rPr>
      </w:pPr>
      <w:bookmarkStart w:id="499" w:name="_Toc21551"/>
      <w:r>
        <w:rPr>
          <w:rFonts w:hint="eastAsia"/>
          <w:highlight w:val="none"/>
          <w:lang w:val="en-US" w:eastAsia="zh-CN"/>
        </w:rPr>
        <w:t>资信技术文件</w:t>
      </w:r>
      <w:bookmarkEnd w:id="499"/>
    </w:p>
    <w:p w14:paraId="40CF3D8B">
      <w:pPr>
        <w:ind w:left="1296" w:leftChars="540" w:firstLine="480"/>
        <w:rPr>
          <w:rFonts w:ascii="Arial" w:hAnsi="Arial" w:cs="Arial"/>
          <w:kern w:val="0"/>
          <w:szCs w:val="21"/>
          <w:highlight w:val="none"/>
        </w:rPr>
      </w:pPr>
    </w:p>
    <w:p w14:paraId="5ED775F5">
      <w:pPr>
        <w:ind w:left="1296" w:leftChars="540" w:firstLine="400"/>
        <w:rPr>
          <w:rFonts w:ascii="Arial" w:hAnsi="Arial" w:cs="Arial"/>
          <w:kern w:val="0"/>
          <w:sz w:val="20"/>
          <w:highlight w:val="none"/>
        </w:rPr>
      </w:pPr>
    </w:p>
    <w:p w14:paraId="22C992E2">
      <w:pPr>
        <w:ind w:firstLine="1200" w:firstLineChars="500"/>
        <w:rPr>
          <w:rFonts w:ascii="宋体" w:hAnsi="宋体"/>
          <w:sz w:val="24"/>
          <w:szCs w:val="24"/>
          <w:highlight w:val="none"/>
        </w:rPr>
      </w:pPr>
      <w:r>
        <w:rPr>
          <w:rFonts w:hint="eastAsia" w:ascii="宋体" w:hAnsi="宋体"/>
          <w:sz w:val="24"/>
          <w:szCs w:val="24"/>
          <w:highlight w:val="none"/>
        </w:rPr>
        <w:t>项目编号：</w:t>
      </w:r>
    </w:p>
    <w:p w14:paraId="2CFDD53C">
      <w:pPr>
        <w:ind w:firstLine="1200" w:firstLineChars="500"/>
        <w:rPr>
          <w:rFonts w:ascii="宋体" w:hAnsi="宋体"/>
          <w:sz w:val="24"/>
          <w:szCs w:val="24"/>
          <w:highlight w:val="none"/>
        </w:rPr>
      </w:pPr>
      <w:r>
        <w:rPr>
          <w:rFonts w:hint="eastAsia" w:ascii="宋体" w:hAnsi="宋体"/>
          <w:sz w:val="24"/>
          <w:szCs w:val="24"/>
          <w:highlight w:val="none"/>
        </w:rPr>
        <w:t>项目名称：</w:t>
      </w:r>
    </w:p>
    <w:p w14:paraId="62BF47BB">
      <w:pPr>
        <w:ind w:firstLine="1200" w:firstLineChars="500"/>
        <w:rPr>
          <w:rFonts w:ascii="宋体" w:hAnsi="宋体"/>
          <w:sz w:val="24"/>
          <w:szCs w:val="24"/>
          <w:highlight w:val="none"/>
        </w:rPr>
      </w:pPr>
    </w:p>
    <w:p w14:paraId="029EA56D">
      <w:pPr>
        <w:ind w:firstLine="1200" w:firstLineChars="500"/>
        <w:rPr>
          <w:rFonts w:ascii="宋体" w:hAnsi="宋体"/>
          <w:sz w:val="24"/>
          <w:szCs w:val="24"/>
          <w:highlight w:val="none"/>
        </w:rPr>
      </w:pPr>
    </w:p>
    <w:p w14:paraId="71B62769">
      <w:pPr>
        <w:ind w:left="1296" w:leftChars="540" w:firstLine="400"/>
        <w:rPr>
          <w:rFonts w:ascii="Arial" w:hAnsi="Arial" w:cs="Arial"/>
          <w:kern w:val="0"/>
          <w:sz w:val="24"/>
          <w:szCs w:val="24"/>
          <w:highlight w:val="none"/>
        </w:rPr>
      </w:pPr>
    </w:p>
    <w:p w14:paraId="19EDB148">
      <w:pPr>
        <w:ind w:left="1296" w:leftChars="540" w:firstLine="400"/>
        <w:rPr>
          <w:rFonts w:ascii="Arial" w:hAnsi="Arial" w:cs="Arial"/>
          <w:kern w:val="0"/>
          <w:sz w:val="24"/>
          <w:szCs w:val="24"/>
          <w:highlight w:val="none"/>
        </w:rPr>
      </w:pPr>
    </w:p>
    <w:p w14:paraId="4642EDC3">
      <w:pPr>
        <w:ind w:left="1296" w:leftChars="540" w:firstLine="400"/>
        <w:rPr>
          <w:rFonts w:ascii="Arial" w:hAnsi="Arial" w:cs="Arial"/>
          <w:kern w:val="0"/>
          <w:sz w:val="24"/>
          <w:szCs w:val="24"/>
          <w:highlight w:val="none"/>
        </w:rPr>
      </w:pPr>
    </w:p>
    <w:p w14:paraId="7D8B3F05">
      <w:pPr>
        <w:ind w:left="1296" w:leftChars="540" w:firstLine="400"/>
        <w:rPr>
          <w:rFonts w:ascii="Arial" w:hAnsi="Arial" w:cs="Arial"/>
          <w:kern w:val="0"/>
          <w:sz w:val="24"/>
          <w:szCs w:val="24"/>
          <w:highlight w:val="none"/>
        </w:rPr>
      </w:pPr>
    </w:p>
    <w:p w14:paraId="0958AA6C">
      <w:pPr>
        <w:ind w:left="1296" w:leftChars="540" w:firstLine="400"/>
        <w:rPr>
          <w:rFonts w:ascii="Arial" w:hAnsi="Arial" w:cs="Arial"/>
          <w:kern w:val="0"/>
          <w:sz w:val="24"/>
          <w:szCs w:val="24"/>
          <w:highlight w:val="none"/>
        </w:rPr>
      </w:pPr>
    </w:p>
    <w:p w14:paraId="780ADC43">
      <w:pPr>
        <w:ind w:left="1296" w:leftChars="540" w:firstLine="400"/>
        <w:rPr>
          <w:rFonts w:ascii="Arial" w:hAnsi="Arial" w:cs="Arial"/>
          <w:kern w:val="0"/>
          <w:sz w:val="24"/>
          <w:szCs w:val="24"/>
          <w:highlight w:val="none"/>
        </w:rPr>
      </w:pPr>
    </w:p>
    <w:p w14:paraId="6A7952E8">
      <w:pPr>
        <w:ind w:firstLine="480"/>
        <w:rPr>
          <w:highlight w:val="none"/>
        </w:rPr>
      </w:pPr>
      <w:r>
        <w:rPr>
          <w:highlight w:val="none"/>
        </w:rPr>
        <w:t xml:space="preserve">供应商全称（盖单位公章）：                             </w:t>
      </w:r>
    </w:p>
    <w:p w14:paraId="22360B12">
      <w:pPr>
        <w:ind w:firstLine="480"/>
        <w:rPr>
          <w:highlight w:val="none"/>
        </w:rPr>
      </w:pPr>
      <w:r>
        <w:rPr>
          <w:rFonts w:hint="eastAsia"/>
          <w:highlight w:val="none"/>
          <w:lang w:val="zh-CN"/>
        </w:rPr>
        <w:t>法定代表人或授权委托人（签字或盖章）：</w:t>
      </w:r>
    </w:p>
    <w:p w14:paraId="5DAF3E45">
      <w:pPr>
        <w:rPr>
          <w:rFonts w:ascii="宋体" w:hAnsi="宋体"/>
          <w:sz w:val="21"/>
          <w:szCs w:val="21"/>
          <w:highlight w:val="none"/>
        </w:rPr>
      </w:pPr>
      <w:r>
        <w:rPr>
          <w:highlight w:val="none"/>
        </w:rPr>
        <w:t>日期：</w:t>
      </w:r>
      <w:r>
        <w:rPr>
          <w:rFonts w:hint="eastAsia"/>
          <w:highlight w:val="none"/>
        </w:rPr>
        <w:t xml:space="preserve">   年   月  日</w:t>
      </w:r>
    </w:p>
    <w:p w14:paraId="4E20F5A7">
      <w:pPr>
        <w:ind w:firstLine="2744" w:firstLineChars="911"/>
        <w:rPr>
          <w:rFonts w:ascii="宋体" w:hAnsi="宋体" w:cs="宋体"/>
          <w:b/>
          <w:kern w:val="0"/>
          <w:sz w:val="30"/>
          <w:szCs w:val="30"/>
          <w:highlight w:val="none"/>
        </w:rPr>
      </w:pPr>
    </w:p>
    <w:p w14:paraId="75988B9A">
      <w:pPr>
        <w:rPr>
          <w:sz w:val="36"/>
          <w:highlight w:val="none"/>
        </w:rPr>
      </w:pPr>
      <w:bookmarkStart w:id="500" w:name="_Toc23816"/>
      <w:bookmarkStart w:id="501" w:name="_Toc9638"/>
      <w:bookmarkStart w:id="502" w:name="_Toc8153"/>
      <w:bookmarkStart w:id="503" w:name="_Toc29177"/>
      <w:bookmarkStart w:id="504" w:name="_Toc21047"/>
      <w:bookmarkStart w:id="505" w:name="_Toc20985"/>
      <w:bookmarkStart w:id="506" w:name="_Toc14486"/>
      <w:bookmarkStart w:id="507" w:name="_Toc3508"/>
      <w:r>
        <w:rPr>
          <w:sz w:val="36"/>
          <w:highlight w:val="none"/>
        </w:rPr>
        <w:br w:type="page"/>
      </w:r>
    </w:p>
    <w:p w14:paraId="3A37CCEC">
      <w:pPr>
        <w:pStyle w:val="5"/>
        <w:spacing w:after="168"/>
        <w:ind w:left="10" w:right="142"/>
        <w:jc w:val="center"/>
        <w:rPr>
          <w:highlight w:val="none"/>
        </w:rPr>
      </w:pPr>
      <w:bookmarkStart w:id="508" w:name="_Toc15980"/>
      <w:r>
        <w:rPr>
          <w:sz w:val="36"/>
          <w:highlight w:val="none"/>
        </w:rPr>
        <w:t>目录</w:t>
      </w:r>
      <w:bookmarkEnd w:id="500"/>
      <w:bookmarkEnd w:id="501"/>
      <w:bookmarkEnd w:id="502"/>
      <w:bookmarkEnd w:id="503"/>
      <w:bookmarkEnd w:id="504"/>
      <w:bookmarkEnd w:id="505"/>
      <w:bookmarkEnd w:id="506"/>
      <w:bookmarkEnd w:id="507"/>
      <w:bookmarkEnd w:id="508"/>
    </w:p>
    <w:p w14:paraId="66DB547A">
      <w:pPr>
        <w:ind w:firstLine="480"/>
        <w:rPr>
          <w:rFonts w:ascii="宋体" w:hAnsi="宋体" w:cs="宋体"/>
          <w:szCs w:val="21"/>
          <w:highlight w:val="none"/>
        </w:rPr>
      </w:pPr>
      <w:r>
        <w:rPr>
          <w:rFonts w:hint="eastAsia"/>
          <w:highlight w:val="none"/>
        </w:rPr>
        <w:t>【根据响应文件组成内容、顺序、附件格式编制响应文件</w:t>
      </w:r>
      <w:r>
        <w:rPr>
          <w:rFonts w:hint="eastAsia"/>
          <w:highlight w:val="none"/>
          <w:lang w:eastAsia="zh-CN"/>
        </w:rPr>
        <w:t>，</w:t>
      </w:r>
      <w:r>
        <w:rPr>
          <w:rFonts w:hint="eastAsia"/>
          <w:highlight w:val="none"/>
        </w:rPr>
        <w:t>编制目录】</w:t>
      </w:r>
    </w:p>
    <w:p w14:paraId="66C5D4D1">
      <w:pPr>
        <w:ind w:firstLine="480"/>
        <w:rPr>
          <w:highlight w:val="none"/>
        </w:rPr>
      </w:pPr>
    </w:p>
    <w:p w14:paraId="17CF7DB7">
      <w:pPr>
        <w:ind w:firstLine="480"/>
        <w:rPr>
          <w:rFonts w:ascii="Arial" w:hAnsi="Arial" w:cs="Arial"/>
          <w:color w:val="000000"/>
          <w:szCs w:val="21"/>
          <w:highlight w:val="none"/>
        </w:rPr>
      </w:pPr>
    </w:p>
    <w:p w14:paraId="796A679C">
      <w:pPr>
        <w:rPr>
          <w:highlight w:val="none"/>
        </w:rPr>
      </w:pPr>
      <w:bookmarkStart w:id="509" w:name="_Toc22470"/>
      <w:bookmarkStart w:id="510" w:name="_Toc26772"/>
      <w:bookmarkStart w:id="511" w:name="_Toc4126"/>
      <w:bookmarkStart w:id="512" w:name="_Toc7721"/>
      <w:bookmarkStart w:id="513" w:name="_Toc28291"/>
      <w:bookmarkStart w:id="514" w:name="_Toc7889"/>
      <w:bookmarkStart w:id="515" w:name="_Toc4107"/>
      <w:bookmarkStart w:id="516" w:name="_Toc964"/>
      <w:r>
        <w:rPr>
          <w:highlight w:val="none"/>
        </w:rPr>
        <w:br w:type="page"/>
      </w:r>
    </w:p>
    <w:p w14:paraId="574A3729">
      <w:pPr>
        <w:pStyle w:val="5"/>
        <w:jc w:val="center"/>
        <w:rPr>
          <w:highlight w:val="none"/>
        </w:rPr>
      </w:pPr>
      <w:bookmarkStart w:id="517" w:name="_Toc2073"/>
      <w:r>
        <w:rPr>
          <w:highlight w:val="none"/>
        </w:rPr>
        <w:t>客观分部分自评分表</w:t>
      </w:r>
      <w:bookmarkEnd w:id="509"/>
      <w:bookmarkEnd w:id="510"/>
      <w:bookmarkEnd w:id="511"/>
      <w:bookmarkEnd w:id="512"/>
      <w:bookmarkEnd w:id="513"/>
      <w:bookmarkEnd w:id="514"/>
      <w:bookmarkEnd w:id="515"/>
      <w:bookmarkEnd w:id="516"/>
      <w:bookmarkEnd w:id="517"/>
    </w:p>
    <w:tbl>
      <w:tblPr>
        <w:tblStyle w:val="72"/>
        <w:tblW w:w="9281" w:type="dxa"/>
        <w:tblInd w:w="-104" w:type="dxa"/>
        <w:tblLayout w:type="fixed"/>
        <w:tblCellMar>
          <w:top w:w="0" w:type="dxa"/>
          <w:left w:w="109" w:type="dxa"/>
          <w:bottom w:w="0" w:type="dxa"/>
          <w:right w:w="107" w:type="dxa"/>
        </w:tblCellMar>
      </w:tblPr>
      <w:tblGrid>
        <w:gridCol w:w="781"/>
        <w:gridCol w:w="2445"/>
        <w:gridCol w:w="1958"/>
        <w:gridCol w:w="1350"/>
        <w:gridCol w:w="2747"/>
      </w:tblGrid>
      <w:tr w14:paraId="493DB791">
        <w:tblPrEx>
          <w:tblCellMar>
            <w:top w:w="0" w:type="dxa"/>
            <w:left w:w="109" w:type="dxa"/>
            <w:bottom w:w="0" w:type="dxa"/>
            <w:right w:w="107" w:type="dxa"/>
          </w:tblCellMar>
        </w:tblPrEx>
        <w:trPr>
          <w:trHeight w:val="1119"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5694E287">
            <w:pPr>
              <w:pStyle w:val="37"/>
              <w:rPr>
                <w:rFonts w:hint="default"/>
                <w:highlight w:val="none"/>
              </w:rPr>
            </w:pPr>
            <w:r>
              <w:rPr>
                <w:highlight w:val="none"/>
              </w:rPr>
              <w:t>序号</w:t>
            </w:r>
          </w:p>
        </w:tc>
        <w:tc>
          <w:tcPr>
            <w:tcW w:w="2445" w:type="dxa"/>
            <w:tcBorders>
              <w:top w:val="single" w:color="000000" w:sz="4" w:space="0"/>
              <w:left w:val="single" w:color="000000" w:sz="4" w:space="0"/>
              <w:bottom w:val="single" w:color="000000" w:sz="4" w:space="0"/>
              <w:right w:val="single" w:color="000000" w:sz="4" w:space="0"/>
            </w:tcBorders>
            <w:vAlign w:val="center"/>
          </w:tcPr>
          <w:p w14:paraId="33B8C6CC">
            <w:pPr>
              <w:pStyle w:val="37"/>
              <w:rPr>
                <w:rFonts w:hint="default"/>
                <w:highlight w:val="none"/>
              </w:rPr>
            </w:pPr>
            <w:r>
              <w:rPr>
                <w:highlight w:val="none"/>
              </w:rPr>
              <w:t>评分标准</w:t>
            </w:r>
          </w:p>
        </w:tc>
        <w:tc>
          <w:tcPr>
            <w:tcW w:w="1958" w:type="dxa"/>
            <w:tcBorders>
              <w:top w:val="single" w:color="000000" w:sz="4" w:space="0"/>
              <w:left w:val="single" w:color="000000" w:sz="4" w:space="0"/>
              <w:bottom w:val="single" w:color="000000" w:sz="4" w:space="0"/>
              <w:right w:val="single" w:color="000000" w:sz="4" w:space="0"/>
            </w:tcBorders>
            <w:vAlign w:val="center"/>
          </w:tcPr>
          <w:p w14:paraId="3C15423F">
            <w:pPr>
              <w:pStyle w:val="37"/>
              <w:rPr>
                <w:rFonts w:hint="default"/>
                <w:highlight w:val="none"/>
              </w:rPr>
            </w:pPr>
            <w:r>
              <w:rPr>
                <w:highlight w:val="none"/>
              </w:rPr>
              <w:t>响应文件页码</w:t>
            </w:r>
          </w:p>
        </w:tc>
        <w:tc>
          <w:tcPr>
            <w:tcW w:w="1350" w:type="dxa"/>
            <w:tcBorders>
              <w:top w:val="single" w:color="000000" w:sz="4" w:space="0"/>
              <w:left w:val="single" w:color="000000" w:sz="4" w:space="0"/>
              <w:bottom w:val="single" w:color="000000" w:sz="4" w:space="0"/>
              <w:right w:val="single" w:color="000000" w:sz="4" w:space="0"/>
            </w:tcBorders>
            <w:vAlign w:val="center"/>
          </w:tcPr>
          <w:p w14:paraId="50B8387D">
            <w:pPr>
              <w:pStyle w:val="37"/>
              <w:rPr>
                <w:rFonts w:hint="default"/>
                <w:highlight w:val="none"/>
              </w:rPr>
            </w:pPr>
            <w:r>
              <w:rPr>
                <w:highlight w:val="none"/>
              </w:rPr>
              <w:t>得分</w:t>
            </w:r>
          </w:p>
        </w:tc>
        <w:tc>
          <w:tcPr>
            <w:tcW w:w="2747" w:type="dxa"/>
            <w:tcBorders>
              <w:top w:val="single" w:color="000000" w:sz="4" w:space="0"/>
              <w:left w:val="single" w:color="000000" w:sz="4" w:space="0"/>
              <w:bottom w:val="single" w:color="000000" w:sz="4" w:space="0"/>
              <w:right w:val="single" w:color="000000" w:sz="4" w:space="0"/>
            </w:tcBorders>
            <w:vAlign w:val="center"/>
          </w:tcPr>
          <w:p w14:paraId="2009C33C">
            <w:pPr>
              <w:pStyle w:val="37"/>
              <w:rPr>
                <w:rFonts w:hint="default"/>
                <w:highlight w:val="none"/>
              </w:rPr>
            </w:pPr>
            <w:r>
              <w:rPr>
                <w:highlight w:val="none"/>
              </w:rPr>
              <w:t>说明</w:t>
            </w:r>
          </w:p>
        </w:tc>
      </w:tr>
      <w:tr w14:paraId="30DCCF1D">
        <w:tblPrEx>
          <w:tblCellMar>
            <w:top w:w="0" w:type="dxa"/>
            <w:left w:w="109" w:type="dxa"/>
            <w:bottom w:w="0" w:type="dxa"/>
            <w:right w:w="107" w:type="dxa"/>
          </w:tblCellMar>
        </w:tblPrEx>
        <w:trPr>
          <w:trHeight w:val="1071"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33D2319F">
            <w:pPr>
              <w:pStyle w:val="37"/>
              <w:rPr>
                <w:rFonts w:hint="default"/>
                <w:highlight w:val="none"/>
              </w:rPr>
            </w:pPr>
            <w:r>
              <w:rPr>
                <w:highlight w:val="none"/>
              </w:rPr>
              <w:t>1</w:t>
            </w:r>
          </w:p>
        </w:tc>
        <w:tc>
          <w:tcPr>
            <w:tcW w:w="2445" w:type="dxa"/>
            <w:tcBorders>
              <w:top w:val="single" w:color="000000" w:sz="4" w:space="0"/>
              <w:left w:val="single" w:color="000000" w:sz="4" w:space="0"/>
              <w:bottom w:val="single" w:color="000000" w:sz="4" w:space="0"/>
              <w:right w:val="single" w:color="000000" w:sz="4" w:space="0"/>
            </w:tcBorders>
          </w:tcPr>
          <w:p w14:paraId="70AA43E2">
            <w:pPr>
              <w:pStyle w:val="37"/>
              <w:rPr>
                <w:rFonts w:hint="default"/>
                <w:highlight w:val="none"/>
              </w:rPr>
            </w:pPr>
          </w:p>
        </w:tc>
        <w:tc>
          <w:tcPr>
            <w:tcW w:w="1958" w:type="dxa"/>
            <w:tcBorders>
              <w:top w:val="single" w:color="000000" w:sz="4" w:space="0"/>
              <w:left w:val="single" w:color="000000" w:sz="4" w:space="0"/>
              <w:bottom w:val="single" w:color="000000" w:sz="4" w:space="0"/>
              <w:right w:val="single" w:color="000000" w:sz="4" w:space="0"/>
            </w:tcBorders>
          </w:tcPr>
          <w:p w14:paraId="55A4660F">
            <w:pPr>
              <w:pStyle w:val="37"/>
              <w:rPr>
                <w:rFonts w:hint="default"/>
                <w:highlight w:val="none"/>
              </w:rPr>
            </w:pPr>
          </w:p>
        </w:tc>
        <w:tc>
          <w:tcPr>
            <w:tcW w:w="1350" w:type="dxa"/>
            <w:tcBorders>
              <w:top w:val="single" w:color="000000" w:sz="4" w:space="0"/>
              <w:left w:val="single" w:color="000000" w:sz="4" w:space="0"/>
              <w:bottom w:val="single" w:color="000000" w:sz="4" w:space="0"/>
              <w:right w:val="single" w:color="000000" w:sz="4" w:space="0"/>
            </w:tcBorders>
          </w:tcPr>
          <w:p w14:paraId="086776E5">
            <w:pPr>
              <w:pStyle w:val="37"/>
              <w:rPr>
                <w:rFonts w:hint="default"/>
                <w:highlight w:val="none"/>
              </w:rPr>
            </w:pPr>
          </w:p>
        </w:tc>
        <w:tc>
          <w:tcPr>
            <w:tcW w:w="2747" w:type="dxa"/>
            <w:tcBorders>
              <w:top w:val="single" w:color="000000" w:sz="4" w:space="0"/>
              <w:left w:val="single" w:color="000000" w:sz="4" w:space="0"/>
              <w:bottom w:val="single" w:color="000000" w:sz="4" w:space="0"/>
              <w:right w:val="single" w:color="000000" w:sz="4" w:space="0"/>
            </w:tcBorders>
          </w:tcPr>
          <w:p w14:paraId="59E302AD">
            <w:pPr>
              <w:pStyle w:val="37"/>
              <w:rPr>
                <w:rFonts w:hint="default"/>
                <w:highlight w:val="none"/>
              </w:rPr>
            </w:pPr>
          </w:p>
        </w:tc>
      </w:tr>
      <w:tr w14:paraId="3EC239F0">
        <w:tblPrEx>
          <w:tblCellMar>
            <w:top w:w="0" w:type="dxa"/>
            <w:left w:w="109" w:type="dxa"/>
            <w:bottom w:w="0" w:type="dxa"/>
            <w:right w:w="107" w:type="dxa"/>
          </w:tblCellMar>
        </w:tblPrEx>
        <w:trPr>
          <w:trHeight w:val="1071"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26A3E8E1">
            <w:pPr>
              <w:pStyle w:val="37"/>
              <w:rPr>
                <w:rFonts w:hint="default"/>
                <w:highlight w:val="none"/>
              </w:rPr>
            </w:pPr>
            <w:r>
              <w:rPr>
                <w:highlight w:val="none"/>
              </w:rPr>
              <w:t>2</w:t>
            </w:r>
          </w:p>
        </w:tc>
        <w:tc>
          <w:tcPr>
            <w:tcW w:w="2445" w:type="dxa"/>
            <w:tcBorders>
              <w:top w:val="single" w:color="000000" w:sz="4" w:space="0"/>
              <w:left w:val="single" w:color="000000" w:sz="4" w:space="0"/>
              <w:bottom w:val="single" w:color="000000" w:sz="4" w:space="0"/>
              <w:right w:val="single" w:color="000000" w:sz="4" w:space="0"/>
            </w:tcBorders>
          </w:tcPr>
          <w:p w14:paraId="3FAE290D">
            <w:pPr>
              <w:pStyle w:val="37"/>
              <w:rPr>
                <w:rFonts w:hint="default"/>
                <w:highlight w:val="none"/>
              </w:rPr>
            </w:pPr>
          </w:p>
        </w:tc>
        <w:tc>
          <w:tcPr>
            <w:tcW w:w="1958" w:type="dxa"/>
            <w:tcBorders>
              <w:top w:val="single" w:color="000000" w:sz="4" w:space="0"/>
              <w:left w:val="single" w:color="000000" w:sz="4" w:space="0"/>
              <w:bottom w:val="single" w:color="000000" w:sz="4" w:space="0"/>
              <w:right w:val="single" w:color="000000" w:sz="4" w:space="0"/>
            </w:tcBorders>
          </w:tcPr>
          <w:p w14:paraId="11621464">
            <w:pPr>
              <w:pStyle w:val="37"/>
              <w:rPr>
                <w:rFonts w:hint="default"/>
                <w:highlight w:val="none"/>
              </w:rPr>
            </w:pPr>
          </w:p>
        </w:tc>
        <w:tc>
          <w:tcPr>
            <w:tcW w:w="1350" w:type="dxa"/>
            <w:tcBorders>
              <w:top w:val="single" w:color="000000" w:sz="4" w:space="0"/>
              <w:left w:val="single" w:color="000000" w:sz="4" w:space="0"/>
              <w:bottom w:val="single" w:color="000000" w:sz="4" w:space="0"/>
              <w:right w:val="single" w:color="000000" w:sz="4" w:space="0"/>
            </w:tcBorders>
          </w:tcPr>
          <w:p w14:paraId="3F779411">
            <w:pPr>
              <w:pStyle w:val="37"/>
              <w:rPr>
                <w:rFonts w:hint="default"/>
                <w:highlight w:val="none"/>
              </w:rPr>
            </w:pPr>
          </w:p>
        </w:tc>
        <w:tc>
          <w:tcPr>
            <w:tcW w:w="2747" w:type="dxa"/>
            <w:tcBorders>
              <w:top w:val="single" w:color="000000" w:sz="4" w:space="0"/>
              <w:left w:val="single" w:color="000000" w:sz="4" w:space="0"/>
              <w:bottom w:val="single" w:color="000000" w:sz="4" w:space="0"/>
              <w:right w:val="single" w:color="000000" w:sz="4" w:space="0"/>
            </w:tcBorders>
          </w:tcPr>
          <w:p w14:paraId="08BB0F2E">
            <w:pPr>
              <w:pStyle w:val="37"/>
              <w:rPr>
                <w:rFonts w:hint="default"/>
                <w:highlight w:val="none"/>
              </w:rPr>
            </w:pPr>
          </w:p>
        </w:tc>
      </w:tr>
      <w:tr w14:paraId="19BA2F78">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08518E88">
            <w:pPr>
              <w:pStyle w:val="37"/>
              <w:rPr>
                <w:rFonts w:hint="default"/>
                <w:highlight w:val="none"/>
              </w:rPr>
            </w:pPr>
            <w:r>
              <w:rPr>
                <w:highlight w:val="none"/>
              </w:rPr>
              <w:t>3</w:t>
            </w:r>
          </w:p>
        </w:tc>
        <w:tc>
          <w:tcPr>
            <w:tcW w:w="2445" w:type="dxa"/>
            <w:tcBorders>
              <w:top w:val="single" w:color="000000" w:sz="4" w:space="0"/>
              <w:left w:val="single" w:color="000000" w:sz="4" w:space="0"/>
              <w:bottom w:val="single" w:color="000000" w:sz="4" w:space="0"/>
              <w:right w:val="single" w:color="000000" w:sz="4" w:space="0"/>
            </w:tcBorders>
          </w:tcPr>
          <w:p w14:paraId="1403C87A">
            <w:pPr>
              <w:pStyle w:val="37"/>
              <w:rPr>
                <w:rFonts w:hint="default"/>
                <w:highlight w:val="none"/>
              </w:rPr>
            </w:pPr>
          </w:p>
        </w:tc>
        <w:tc>
          <w:tcPr>
            <w:tcW w:w="1958" w:type="dxa"/>
            <w:tcBorders>
              <w:top w:val="single" w:color="000000" w:sz="4" w:space="0"/>
              <w:left w:val="single" w:color="000000" w:sz="4" w:space="0"/>
              <w:bottom w:val="single" w:color="000000" w:sz="4" w:space="0"/>
              <w:right w:val="single" w:color="000000" w:sz="4" w:space="0"/>
            </w:tcBorders>
          </w:tcPr>
          <w:p w14:paraId="56C2F823">
            <w:pPr>
              <w:pStyle w:val="37"/>
              <w:rPr>
                <w:rFonts w:hint="default"/>
                <w:highlight w:val="none"/>
              </w:rPr>
            </w:pPr>
          </w:p>
        </w:tc>
        <w:tc>
          <w:tcPr>
            <w:tcW w:w="1350" w:type="dxa"/>
            <w:tcBorders>
              <w:top w:val="single" w:color="000000" w:sz="4" w:space="0"/>
              <w:left w:val="single" w:color="000000" w:sz="4" w:space="0"/>
              <w:bottom w:val="single" w:color="000000" w:sz="4" w:space="0"/>
              <w:right w:val="single" w:color="000000" w:sz="4" w:space="0"/>
            </w:tcBorders>
          </w:tcPr>
          <w:p w14:paraId="1AB0B0A4">
            <w:pPr>
              <w:pStyle w:val="37"/>
              <w:rPr>
                <w:rFonts w:hint="default"/>
                <w:highlight w:val="none"/>
              </w:rPr>
            </w:pPr>
          </w:p>
        </w:tc>
        <w:tc>
          <w:tcPr>
            <w:tcW w:w="2747" w:type="dxa"/>
            <w:tcBorders>
              <w:top w:val="single" w:color="000000" w:sz="4" w:space="0"/>
              <w:left w:val="single" w:color="000000" w:sz="4" w:space="0"/>
              <w:bottom w:val="single" w:color="000000" w:sz="4" w:space="0"/>
              <w:right w:val="single" w:color="000000" w:sz="4" w:space="0"/>
            </w:tcBorders>
          </w:tcPr>
          <w:p w14:paraId="7DDFE1D2">
            <w:pPr>
              <w:pStyle w:val="37"/>
              <w:rPr>
                <w:rFonts w:hint="default"/>
                <w:highlight w:val="none"/>
              </w:rPr>
            </w:pPr>
          </w:p>
        </w:tc>
      </w:tr>
      <w:tr w14:paraId="705F04D9">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1A6A74E4">
            <w:pPr>
              <w:pStyle w:val="37"/>
              <w:rPr>
                <w:rFonts w:hint="default"/>
                <w:highlight w:val="none"/>
              </w:rPr>
            </w:pPr>
            <w:r>
              <w:rPr>
                <w:highlight w:val="none"/>
              </w:rPr>
              <w:t>....</w:t>
            </w:r>
          </w:p>
        </w:tc>
        <w:tc>
          <w:tcPr>
            <w:tcW w:w="2445" w:type="dxa"/>
            <w:tcBorders>
              <w:top w:val="single" w:color="000000" w:sz="4" w:space="0"/>
              <w:left w:val="single" w:color="000000" w:sz="4" w:space="0"/>
              <w:bottom w:val="single" w:color="000000" w:sz="4" w:space="0"/>
              <w:right w:val="single" w:color="000000" w:sz="4" w:space="0"/>
            </w:tcBorders>
          </w:tcPr>
          <w:p w14:paraId="7CB46A40">
            <w:pPr>
              <w:pStyle w:val="37"/>
              <w:rPr>
                <w:rFonts w:hint="default"/>
                <w:highlight w:val="none"/>
              </w:rPr>
            </w:pPr>
          </w:p>
        </w:tc>
        <w:tc>
          <w:tcPr>
            <w:tcW w:w="1958" w:type="dxa"/>
            <w:tcBorders>
              <w:top w:val="single" w:color="000000" w:sz="4" w:space="0"/>
              <w:left w:val="single" w:color="000000" w:sz="4" w:space="0"/>
              <w:bottom w:val="single" w:color="000000" w:sz="4" w:space="0"/>
              <w:right w:val="single" w:color="000000" w:sz="4" w:space="0"/>
            </w:tcBorders>
          </w:tcPr>
          <w:p w14:paraId="46205413">
            <w:pPr>
              <w:pStyle w:val="37"/>
              <w:rPr>
                <w:rFonts w:hint="default"/>
                <w:highlight w:val="none"/>
              </w:rPr>
            </w:pPr>
          </w:p>
        </w:tc>
        <w:tc>
          <w:tcPr>
            <w:tcW w:w="1350" w:type="dxa"/>
            <w:tcBorders>
              <w:top w:val="single" w:color="000000" w:sz="4" w:space="0"/>
              <w:left w:val="single" w:color="000000" w:sz="4" w:space="0"/>
              <w:bottom w:val="single" w:color="000000" w:sz="4" w:space="0"/>
              <w:right w:val="single" w:color="000000" w:sz="4" w:space="0"/>
            </w:tcBorders>
          </w:tcPr>
          <w:p w14:paraId="5B704F78">
            <w:pPr>
              <w:pStyle w:val="37"/>
              <w:rPr>
                <w:rFonts w:hint="default"/>
                <w:highlight w:val="none"/>
              </w:rPr>
            </w:pPr>
          </w:p>
        </w:tc>
        <w:tc>
          <w:tcPr>
            <w:tcW w:w="2747" w:type="dxa"/>
            <w:tcBorders>
              <w:top w:val="single" w:color="000000" w:sz="4" w:space="0"/>
              <w:left w:val="single" w:color="000000" w:sz="4" w:space="0"/>
              <w:bottom w:val="single" w:color="000000" w:sz="4" w:space="0"/>
              <w:right w:val="single" w:color="000000" w:sz="4" w:space="0"/>
            </w:tcBorders>
          </w:tcPr>
          <w:p w14:paraId="1F6FDCBE">
            <w:pPr>
              <w:pStyle w:val="37"/>
              <w:rPr>
                <w:rFonts w:hint="default"/>
                <w:highlight w:val="none"/>
              </w:rPr>
            </w:pPr>
          </w:p>
        </w:tc>
      </w:tr>
      <w:tr w14:paraId="304E1932">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tcPr>
          <w:p w14:paraId="31A47FDA">
            <w:pPr>
              <w:pStyle w:val="37"/>
              <w:rPr>
                <w:rFonts w:hint="default"/>
                <w:highlight w:val="none"/>
              </w:rPr>
            </w:pPr>
          </w:p>
        </w:tc>
        <w:tc>
          <w:tcPr>
            <w:tcW w:w="2445" w:type="dxa"/>
            <w:tcBorders>
              <w:top w:val="single" w:color="000000" w:sz="4" w:space="0"/>
              <w:left w:val="single" w:color="000000" w:sz="4" w:space="0"/>
              <w:bottom w:val="single" w:color="000000" w:sz="4" w:space="0"/>
              <w:right w:val="single" w:color="000000" w:sz="4" w:space="0"/>
            </w:tcBorders>
            <w:vAlign w:val="center"/>
          </w:tcPr>
          <w:p w14:paraId="2479BFCA">
            <w:pPr>
              <w:pStyle w:val="37"/>
              <w:rPr>
                <w:rFonts w:hint="default"/>
                <w:highlight w:val="none"/>
              </w:rPr>
            </w:pPr>
            <w:r>
              <w:rPr>
                <w:highlight w:val="none"/>
              </w:rPr>
              <w:t>合计得分</w:t>
            </w:r>
          </w:p>
        </w:tc>
        <w:tc>
          <w:tcPr>
            <w:tcW w:w="1958" w:type="dxa"/>
            <w:tcBorders>
              <w:top w:val="single" w:color="000000" w:sz="4" w:space="0"/>
              <w:left w:val="single" w:color="000000" w:sz="4" w:space="0"/>
              <w:bottom w:val="single" w:color="000000" w:sz="4" w:space="0"/>
              <w:right w:val="single" w:color="000000" w:sz="4" w:space="0"/>
            </w:tcBorders>
          </w:tcPr>
          <w:p w14:paraId="33B52751">
            <w:pPr>
              <w:pStyle w:val="37"/>
              <w:rPr>
                <w:rFonts w:hint="default"/>
                <w:highlight w:val="none"/>
              </w:rPr>
            </w:pPr>
          </w:p>
        </w:tc>
        <w:tc>
          <w:tcPr>
            <w:tcW w:w="1350" w:type="dxa"/>
            <w:tcBorders>
              <w:top w:val="single" w:color="000000" w:sz="4" w:space="0"/>
              <w:left w:val="single" w:color="000000" w:sz="4" w:space="0"/>
              <w:bottom w:val="single" w:color="000000" w:sz="4" w:space="0"/>
              <w:right w:val="single" w:color="000000" w:sz="4" w:space="0"/>
            </w:tcBorders>
          </w:tcPr>
          <w:p w14:paraId="168D1B09">
            <w:pPr>
              <w:pStyle w:val="37"/>
              <w:rPr>
                <w:rFonts w:hint="default"/>
                <w:highlight w:val="none"/>
              </w:rPr>
            </w:pPr>
          </w:p>
        </w:tc>
        <w:tc>
          <w:tcPr>
            <w:tcW w:w="2747" w:type="dxa"/>
            <w:tcBorders>
              <w:top w:val="single" w:color="000000" w:sz="4" w:space="0"/>
              <w:left w:val="single" w:color="000000" w:sz="4" w:space="0"/>
              <w:bottom w:val="single" w:color="000000" w:sz="4" w:space="0"/>
              <w:right w:val="single" w:color="000000" w:sz="4" w:space="0"/>
            </w:tcBorders>
          </w:tcPr>
          <w:p w14:paraId="09024ED0">
            <w:pPr>
              <w:pStyle w:val="37"/>
              <w:rPr>
                <w:rFonts w:hint="default"/>
                <w:highlight w:val="none"/>
              </w:rPr>
            </w:pPr>
          </w:p>
        </w:tc>
      </w:tr>
    </w:tbl>
    <w:p w14:paraId="3A7D8CEE">
      <w:pPr>
        <w:widowControl/>
        <w:spacing w:line="240" w:lineRule="auto"/>
        <w:ind w:firstLine="0" w:firstLineChars="0"/>
        <w:jc w:val="left"/>
        <w:rPr>
          <w:rFonts w:hint="eastAsia" w:eastAsia="宋体"/>
          <w:highlight w:val="none"/>
          <w:lang w:eastAsia="zh-CN"/>
        </w:rPr>
      </w:pPr>
      <w:r>
        <w:rPr>
          <w:rFonts w:ascii="Arial" w:hAnsi="Arial" w:cs="Arial"/>
          <w:color w:val="000000"/>
          <w:szCs w:val="21"/>
          <w:highlight w:val="none"/>
        </w:rPr>
        <w:br w:type="page"/>
      </w:r>
      <w:r>
        <w:rPr>
          <w:highlight w:val="none"/>
        </w:rPr>
        <w:t>附件</w:t>
      </w:r>
      <w:r>
        <w:rPr>
          <w:rFonts w:hint="eastAsia"/>
          <w:highlight w:val="none"/>
          <w:lang w:val="en-US" w:eastAsia="zh-CN"/>
        </w:rPr>
        <w:t>3</w:t>
      </w:r>
    </w:p>
    <w:p w14:paraId="578406DC">
      <w:pPr>
        <w:pStyle w:val="5"/>
        <w:ind w:firstLine="643"/>
        <w:jc w:val="center"/>
        <w:rPr>
          <w:rFonts w:eastAsiaTheme="majorEastAsia"/>
          <w:highlight w:val="none"/>
        </w:rPr>
      </w:pPr>
      <w:bookmarkStart w:id="518" w:name="_Toc24147"/>
      <w:bookmarkStart w:id="519" w:name="_Toc10007"/>
      <w:bookmarkStart w:id="520" w:name="_Toc4947"/>
      <w:r>
        <w:rPr>
          <w:rFonts w:hint="eastAsia"/>
          <w:highlight w:val="none"/>
        </w:rPr>
        <w:t>投标声明函</w:t>
      </w:r>
      <w:bookmarkEnd w:id="518"/>
      <w:bookmarkEnd w:id="519"/>
      <w:bookmarkEnd w:id="520"/>
    </w:p>
    <w:p w14:paraId="31C67627">
      <w:pPr>
        <w:ind w:firstLine="0" w:firstLineChars="0"/>
        <w:rPr>
          <w:rFonts w:ascii="宋体" w:hAnsi="宋体"/>
          <w:sz w:val="21"/>
          <w:szCs w:val="21"/>
          <w:highlight w:val="none"/>
        </w:rPr>
      </w:pPr>
    </w:p>
    <w:p w14:paraId="16584E7E">
      <w:pPr>
        <w:ind w:firstLine="0" w:firstLineChars="0"/>
        <w:rPr>
          <w:rFonts w:hint="eastAsia" w:eastAsia="宋体"/>
          <w:highlight w:val="none"/>
          <w:lang w:eastAsia="zh-CN"/>
        </w:rPr>
      </w:pPr>
      <w:r>
        <w:rPr>
          <w:rFonts w:hint="eastAsia"/>
          <w:highlight w:val="none"/>
        </w:rPr>
        <w:t>致：</w:t>
      </w:r>
      <w:r>
        <w:rPr>
          <w:rFonts w:hint="eastAsia"/>
          <w:highlight w:val="none"/>
          <w:lang w:eastAsia="zh-CN"/>
        </w:rPr>
        <w:t>龙游县人民政府办公室（龙游县数据局）</w:t>
      </w:r>
    </w:p>
    <w:p w14:paraId="57CC24B1">
      <w:pPr>
        <w:ind w:firstLine="480"/>
        <w:rPr>
          <w:highlight w:val="none"/>
          <w:lang w:val="zh-CN"/>
        </w:rPr>
      </w:pPr>
      <w:r>
        <w:rPr>
          <w:rFonts w:hint="eastAsia"/>
          <w:highlight w:val="none"/>
          <w:u w:val="single"/>
          <w:lang w:eastAsia="zh-CN"/>
        </w:rPr>
        <w:t>（</w:t>
      </w:r>
      <w:r>
        <w:rPr>
          <w:rFonts w:hint="eastAsia"/>
          <w:highlight w:val="none"/>
          <w:u w:val="single"/>
        </w:rPr>
        <w:t>供应商全称</w:t>
      </w:r>
      <w:r>
        <w:rPr>
          <w:rFonts w:hint="eastAsia"/>
          <w:highlight w:val="none"/>
          <w:u w:val="single"/>
          <w:lang w:eastAsia="zh-CN"/>
        </w:rPr>
        <w:t>）</w:t>
      </w:r>
      <w:r>
        <w:rPr>
          <w:rFonts w:hint="eastAsia"/>
          <w:highlight w:val="none"/>
          <w:u w:val="single"/>
        </w:rPr>
        <w:t>授权</w:t>
      </w:r>
      <w:r>
        <w:rPr>
          <w:rFonts w:hint="eastAsia"/>
          <w:highlight w:val="none"/>
          <w:u w:val="single"/>
          <w:lang w:eastAsia="zh-CN"/>
        </w:rPr>
        <w:t>（</w:t>
      </w:r>
      <w:r>
        <w:rPr>
          <w:rFonts w:hint="eastAsia"/>
          <w:highlight w:val="none"/>
          <w:u w:val="single"/>
        </w:rPr>
        <w:t>全权代表姓名</w:t>
      </w:r>
      <w:r>
        <w:rPr>
          <w:rFonts w:hint="eastAsia"/>
          <w:highlight w:val="none"/>
          <w:u w:val="single"/>
          <w:lang w:eastAsia="zh-CN"/>
        </w:rPr>
        <w:t>）（</w:t>
      </w:r>
      <w:r>
        <w:rPr>
          <w:rFonts w:hint="eastAsia"/>
          <w:highlight w:val="none"/>
          <w:u w:val="single"/>
        </w:rPr>
        <w:t>职务、职称</w:t>
      </w:r>
      <w:r>
        <w:rPr>
          <w:rFonts w:hint="eastAsia"/>
          <w:highlight w:val="none"/>
          <w:u w:val="single"/>
          <w:lang w:eastAsia="zh-CN"/>
        </w:rPr>
        <w:t>）</w:t>
      </w:r>
      <w:r>
        <w:rPr>
          <w:rFonts w:hint="eastAsia"/>
          <w:highlight w:val="none"/>
        </w:rPr>
        <w:t>为全权代表</w:t>
      </w:r>
      <w:r>
        <w:rPr>
          <w:rFonts w:hint="eastAsia"/>
          <w:highlight w:val="none"/>
          <w:lang w:eastAsia="zh-CN"/>
        </w:rPr>
        <w:t>，</w:t>
      </w:r>
      <w:r>
        <w:rPr>
          <w:rFonts w:hint="eastAsia"/>
          <w:highlight w:val="none"/>
        </w:rPr>
        <w:t>参加贵方组织的</w:t>
      </w:r>
      <w:r>
        <w:rPr>
          <w:rFonts w:hint="eastAsia"/>
          <w:highlight w:val="none"/>
          <w:u w:val="single"/>
        </w:rPr>
        <w:t xml:space="preserve">  龙游县电子政务外网网络数据安全运维服务</w:t>
      </w:r>
      <w:r>
        <w:rPr>
          <w:rFonts w:hint="eastAsia"/>
          <w:highlight w:val="none"/>
          <w:u w:val="single"/>
          <w:lang w:eastAsia="zh-CN"/>
        </w:rPr>
        <w:t>（</w:t>
      </w:r>
      <w:r>
        <w:rPr>
          <w:rFonts w:hint="eastAsia"/>
          <w:highlight w:val="none"/>
          <w:u w:val="single"/>
          <w:lang w:val="en-US" w:eastAsia="zh-CN"/>
        </w:rPr>
        <w:t>2025年</w:t>
      </w:r>
      <w:r>
        <w:rPr>
          <w:rFonts w:hint="eastAsia"/>
          <w:highlight w:val="none"/>
          <w:u w:val="single"/>
          <w:lang w:eastAsia="zh-CN"/>
        </w:rPr>
        <w:t>）</w:t>
      </w:r>
      <w:r>
        <w:rPr>
          <w:rFonts w:hint="eastAsia"/>
          <w:highlight w:val="none"/>
          <w:u w:val="single"/>
        </w:rPr>
        <w:t xml:space="preserve"> </w:t>
      </w:r>
      <w:r>
        <w:rPr>
          <w:rFonts w:hint="eastAsia"/>
          <w:highlight w:val="none"/>
          <w:u w:val="single"/>
          <w:lang w:eastAsia="zh-CN"/>
        </w:rPr>
        <w:t>（</w:t>
      </w:r>
      <w:r>
        <w:rPr>
          <w:rFonts w:hint="eastAsia"/>
          <w:highlight w:val="none"/>
          <w:u w:val="single"/>
        </w:rPr>
        <w:t>项目编号：LYJY2025006</w:t>
      </w:r>
      <w:r>
        <w:rPr>
          <w:rFonts w:hint="eastAsia"/>
          <w:highlight w:val="none"/>
          <w:u w:val="single"/>
          <w:lang w:eastAsia="zh-CN"/>
        </w:rPr>
        <w:t>）</w:t>
      </w:r>
      <w:r>
        <w:rPr>
          <w:rFonts w:hint="eastAsia"/>
          <w:highlight w:val="none"/>
        </w:rPr>
        <w:t>磋商的有关活动</w:t>
      </w:r>
      <w:r>
        <w:rPr>
          <w:rFonts w:hint="eastAsia"/>
          <w:highlight w:val="none"/>
          <w:lang w:eastAsia="zh-CN"/>
        </w:rPr>
        <w:t>，</w:t>
      </w:r>
      <w:r>
        <w:rPr>
          <w:rFonts w:hint="eastAsia"/>
          <w:highlight w:val="none"/>
        </w:rPr>
        <w:t>并对此项目进行磋商。为此：</w:t>
      </w:r>
    </w:p>
    <w:p w14:paraId="6331F674">
      <w:pPr>
        <w:ind w:firstLine="480"/>
        <w:rPr>
          <w:highlight w:val="none"/>
        </w:rPr>
      </w:pPr>
      <w:r>
        <w:rPr>
          <w:rFonts w:hint="eastAsia"/>
          <w:highlight w:val="none"/>
        </w:rPr>
        <w:t>1.我方同意在供应商须知前附表规定的开启日期起遵守本报价函中的承诺且在报价有效期满之前均具有约束力。</w:t>
      </w:r>
    </w:p>
    <w:p w14:paraId="23337DC1">
      <w:pPr>
        <w:ind w:firstLine="480"/>
        <w:rPr>
          <w:highlight w:val="none"/>
        </w:rPr>
      </w:pPr>
      <w:r>
        <w:rPr>
          <w:rFonts w:hint="eastAsia"/>
          <w:highlight w:val="none"/>
        </w:rPr>
        <w:t>2.我方承诺已经具备《中华人民共和国政府采购法》中规定的参加政府采购活动的供应商应当具备的条件。</w:t>
      </w:r>
    </w:p>
    <w:p w14:paraId="0120B92C">
      <w:pPr>
        <w:ind w:firstLine="480"/>
        <w:rPr>
          <w:highlight w:val="none"/>
        </w:rPr>
      </w:pPr>
      <w:r>
        <w:rPr>
          <w:rFonts w:hint="eastAsia"/>
          <w:highlight w:val="none"/>
        </w:rPr>
        <w:t>3.提供竞争性磋商文件供应商须知规定的全部响应文件</w:t>
      </w:r>
    </w:p>
    <w:p w14:paraId="10B13E6B">
      <w:pPr>
        <w:ind w:firstLine="480"/>
        <w:rPr>
          <w:highlight w:val="none"/>
        </w:rPr>
      </w:pPr>
      <w:r>
        <w:rPr>
          <w:rFonts w:hint="eastAsia"/>
          <w:highlight w:val="none"/>
        </w:rPr>
        <w:t>4.按竞争性磋商文件要求提供和交付的货物和服务的磋商报价详见磋商报价表。</w:t>
      </w:r>
    </w:p>
    <w:p w14:paraId="6782CCA4">
      <w:pPr>
        <w:ind w:firstLine="480"/>
        <w:rPr>
          <w:highlight w:val="none"/>
        </w:rPr>
      </w:pPr>
      <w:r>
        <w:rPr>
          <w:rFonts w:hint="eastAsia"/>
          <w:highlight w:val="none"/>
        </w:rPr>
        <w:t>5.保证忠实地执行双方所签订的合同</w:t>
      </w:r>
      <w:r>
        <w:rPr>
          <w:rFonts w:hint="eastAsia"/>
          <w:highlight w:val="none"/>
          <w:lang w:eastAsia="zh-CN"/>
        </w:rPr>
        <w:t>，</w:t>
      </w:r>
      <w:r>
        <w:rPr>
          <w:rFonts w:hint="eastAsia"/>
          <w:highlight w:val="none"/>
        </w:rPr>
        <w:t>并承担合同规定的责任和义务。</w:t>
      </w:r>
    </w:p>
    <w:p w14:paraId="42D1BF29">
      <w:pPr>
        <w:ind w:firstLine="480"/>
        <w:rPr>
          <w:highlight w:val="none"/>
        </w:rPr>
      </w:pPr>
      <w:r>
        <w:rPr>
          <w:rFonts w:hint="eastAsia"/>
          <w:highlight w:val="none"/>
        </w:rPr>
        <w:t>6.保证遵守竞争性磋商文件中的其他有关规定。</w:t>
      </w:r>
    </w:p>
    <w:p w14:paraId="56DA2822">
      <w:pPr>
        <w:ind w:firstLine="480"/>
        <w:rPr>
          <w:highlight w:val="none"/>
        </w:rPr>
      </w:pPr>
      <w:r>
        <w:rPr>
          <w:rFonts w:hint="eastAsia"/>
          <w:highlight w:val="none"/>
        </w:rPr>
        <w:t>7.在响应文件开启后规定的报价有效期内不得撤回响应文件</w:t>
      </w:r>
    </w:p>
    <w:p w14:paraId="4A996CBA">
      <w:pPr>
        <w:ind w:firstLine="480"/>
        <w:rPr>
          <w:highlight w:val="none"/>
        </w:rPr>
      </w:pPr>
      <w:r>
        <w:rPr>
          <w:rFonts w:hint="eastAsia"/>
          <w:highlight w:val="none"/>
        </w:rPr>
        <w:t>8.我方完全理解贵方不一定要接受最低价的成交。</w:t>
      </w:r>
    </w:p>
    <w:p w14:paraId="7AE3F145">
      <w:pPr>
        <w:ind w:firstLine="480"/>
        <w:rPr>
          <w:highlight w:val="none"/>
        </w:rPr>
      </w:pPr>
      <w:r>
        <w:rPr>
          <w:rFonts w:hint="eastAsia"/>
          <w:highlight w:val="none"/>
        </w:rPr>
        <w:t>9.我方承诺愿意真实向贵方提供任何与该项磋商有关的数据、情况和技术资料。</w:t>
      </w:r>
    </w:p>
    <w:p w14:paraId="3B1600D5">
      <w:pPr>
        <w:ind w:firstLine="480"/>
        <w:rPr>
          <w:highlight w:val="none"/>
        </w:rPr>
      </w:pPr>
      <w:r>
        <w:rPr>
          <w:rFonts w:hint="eastAsia"/>
          <w:highlight w:val="none"/>
        </w:rPr>
        <w:t>10.我方已详细审核全部竞争性磋商文件</w:t>
      </w:r>
      <w:r>
        <w:rPr>
          <w:rFonts w:hint="eastAsia"/>
          <w:highlight w:val="none"/>
          <w:lang w:eastAsia="zh-CN"/>
        </w:rPr>
        <w:t>，</w:t>
      </w:r>
      <w:r>
        <w:rPr>
          <w:rFonts w:hint="eastAsia"/>
          <w:highlight w:val="none"/>
        </w:rPr>
        <w:t>包括竞争性磋商文件修改书（如有的话）、参考资料及有关附件</w:t>
      </w:r>
      <w:r>
        <w:rPr>
          <w:rFonts w:hint="eastAsia"/>
          <w:highlight w:val="none"/>
          <w:lang w:eastAsia="zh-CN"/>
        </w:rPr>
        <w:t>，</w:t>
      </w:r>
      <w:r>
        <w:rPr>
          <w:rFonts w:hint="eastAsia"/>
          <w:highlight w:val="none"/>
        </w:rPr>
        <w:t>确认无误。</w:t>
      </w:r>
    </w:p>
    <w:p w14:paraId="072FFF60">
      <w:pPr>
        <w:ind w:firstLine="480"/>
        <w:rPr>
          <w:highlight w:val="none"/>
        </w:rPr>
      </w:pPr>
      <w:r>
        <w:rPr>
          <w:rFonts w:hint="eastAsia"/>
          <w:highlight w:val="none"/>
        </w:rPr>
        <w:t>11.我方将严格遵守《中华人民共和国政府采购法》第七十七条规定</w:t>
      </w:r>
      <w:r>
        <w:rPr>
          <w:rFonts w:hint="eastAsia"/>
          <w:highlight w:val="none"/>
          <w:lang w:eastAsia="zh-CN"/>
        </w:rPr>
        <w:t>，</w:t>
      </w:r>
      <w:r>
        <w:rPr>
          <w:rFonts w:hint="eastAsia"/>
          <w:highlight w:val="none"/>
        </w:rPr>
        <w:t>供应商有下列情形之一的</w:t>
      </w:r>
      <w:r>
        <w:rPr>
          <w:rFonts w:hint="eastAsia"/>
          <w:highlight w:val="none"/>
          <w:lang w:eastAsia="zh-CN"/>
        </w:rPr>
        <w:t>，</w:t>
      </w:r>
      <w:r>
        <w:rPr>
          <w:rFonts w:hint="eastAsia"/>
          <w:highlight w:val="none"/>
        </w:rPr>
        <w:t>处以采购金额5‰以上10‰以下的罚款</w:t>
      </w:r>
      <w:r>
        <w:rPr>
          <w:rFonts w:hint="eastAsia"/>
          <w:highlight w:val="none"/>
          <w:lang w:eastAsia="zh-CN"/>
        </w:rPr>
        <w:t>，</w:t>
      </w:r>
      <w:r>
        <w:rPr>
          <w:rFonts w:hint="eastAsia"/>
          <w:highlight w:val="none"/>
        </w:rPr>
        <w:t>列入不良行为记录名单</w:t>
      </w:r>
      <w:r>
        <w:rPr>
          <w:rFonts w:hint="eastAsia"/>
          <w:highlight w:val="none"/>
          <w:lang w:eastAsia="zh-CN"/>
        </w:rPr>
        <w:t>，</w:t>
      </w:r>
      <w:r>
        <w:rPr>
          <w:rFonts w:hint="eastAsia"/>
          <w:highlight w:val="none"/>
        </w:rPr>
        <w:t>在一至三年内禁止参加政府采购活动；有违法所得的</w:t>
      </w:r>
      <w:r>
        <w:rPr>
          <w:rFonts w:hint="eastAsia"/>
          <w:highlight w:val="none"/>
          <w:lang w:eastAsia="zh-CN"/>
        </w:rPr>
        <w:t>，</w:t>
      </w:r>
      <w:r>
        <w:rPr>
          <w:rFonts w:hint="eastAsia"/>
          <w:highlight w:val="none"/>
        </w:rPr>
        <w:t>并处没收违法所得；情节严重的</w:t>
      </w:r>
      <w:r>
        <w:rPr>
          <w:rFonts w:hint="eastAsia"/>
          <w:highlight w:val="none"/>
          <w:lang w:eastAsia="zh-CN"/>
        </w:rPr>
        <w:t>，</w:t>
      </w:r>
      <w:r>
        <w:rPr>
          <w:rFonts w:hint="eastAsia"/>
          <w:highlight w:val="none"/>
        </w:rPr>
        <w:t>由工商行政管理机关吊销营业执照；构成犯罪的</w:t>
      </w:r>
      <w:r>
        <w:rPr>
          <w:rFonts w:hint="eastAsia"/>
          <w:highlight w:val="none"/>
          <w:lang w:eastAsia="zh-CN"/>
        </w:rPr>
        <w:t>，</w:t>
      </w:r>
      <w:r>
        <w:rPr>
          <w:rFonts w:hint="eastAsia"/>
          <w:highlight w:val="none"/>
        </w:rPr>
        <w:t>依法追究刑事责任：</w:t>
      </w:r>
    </w:p>
    <w:p w14:paraId="15531CEA">
      <w:pPr>
        <w:ind w:firstLine="480"/>
        <w:rPr>
          <w:highlight w:val="none"/>
        </w:rPr>
      </w:pPr>
      <w:r>
        <w:rPr>
          <w:rFonts w:hint="eastAsia"/>
          <w:highlight w:val="none"/>
        </w:rPr>
        <w:t>（1）提供虚假材料谋取成交、成交的；</w:t>
      </w:r>
    </w:p>
    <w:p w14:paraId="16D542D4">
      <w:pPr>
        <w:ind w:firstLine="480"/>
        <w:rPr>
          <w:highlight w:val="none"/>
        </w:rPr>
      </w:pPr>
      <w:r>
        <w:rPr>
          <w:rFonts w:hint="eastAsia"/>
          <w:highlight w:val="none"/>
        </w:rPr>
        <w:t>（2）采取不正当手段诋毁、排挤其他供应商的；</w:t>
      </w:r>
    </w:p>
    <w:p w14:paraId="36D3E00B">
      <w:pPr>
        <w:ind w:firstLine="480"/>
        <w:rPr>
          <w:highlight w:val="none"/>
        </w:rPr>
      </w:pPr>
      <w:r>
        <w:rPr>
          <w:rFonts w:hint="eastAsia"/>
          <w:highlight w:val="none"/>
        </w:rPr>
        <w:t>（3）与采购人、其它供应商或采购代理机构恶意串通的；</w:t>
      </w:r>
    </w:p>
    <w:p w14:paraId="633A41CB">
      <w:pPr>
        <w:ind w:firstLine="480"/>
        <w:rPr>
          <w:highlight w:val="none"/>
        </w:rPr>
      </w:pPr>
      <w:r>
        <w:rPr>
          <w:rFonts w:hint="eastAsia"/>
          <w:highlight w:val="none"/>
        </w:rPr>
        <w:t>（4）向采购人、采购代理机构行贿或者提供其他不正当利益的；</w:t>
      </w:r>
    </w:p>
    <w:p w14:paraId="39EE7E6C">
      <w:pPr>
        <w:ind w:firstLine="480"/>
        <w:rPr>
          <w:highlight w:val="none"/>
        </w:rPr>
      </w:pPr>
      <w:r>
        <w:rPr>
          <w:rFonts w:hint="eastAsia"/>
          <w:highlight w:val="none"/>
        </w:rPr>
        <w:t>（5）在采购过程中与采购人进行协商磋商的；</w:t>
      </w:r>
    </w:p>
    <w:p w14:paraId="56D84ABD">
      <w:pPr>
        <w:ind w:firstLine="480"/>
        <w:rPr>
          <w:highlight w:val="none"/>
        </w:rPr>
      </w:pPr>
      <w:r>
        <w:rPr>
          <w:rFonts w:hint="eastAsia"/>
          <w:highlight w:val="none"/>
        </w:rPr>
        <w:t>（6）拒绝有关部门监督检查或提供虚假情况的。</w:t>
      </w:r>
    </w:p>
    <w:p w14:paraId="26AB114D">
      <w:pPr>
        <w:ind w:firstLine="480"/>
        <w:rPr>
          <w:highlight w:val="none"/>
        </w:rPr>
      </w:pPr>
      <w:r>
        <w:rPr>
          <w:rFonts w:hint="eastAsia"/>
          <w:highlight w:val="none"/>
        </w:rPr>
        <w:t>12.其他承诺：</w:t>
      </w:r>
    </w:p>
    <w:p w14:paraId="74D769DE">
      <w:pPr>
        <w:ind w:firstLine="480"/>
        <w:rPr>
          <w:highlight w:val="none"/>
        </w:rPr>
      </w:pPr>
      <w:r>
        <w:rPr>
          <w:rFonts w:hint="eastAsia"/>
          <w:highlight w:val="none"/>
        </w:rPr>
        <w:t>（1）</w:t>
      </w:r>
      <w:r>
        <w:rPr>
          <w:highlight w:val="none"/>
        </w:rPr>
        <w:t>投标有效期内不撤销响应文件；强行撤销的</w:t>
      </w:r>
      <w:r>
        <w:rPr>
          <w:rFonts w:hint="eastAsia"/>
          <w:highlight w:val="none"/>
          <w:lang w:eastAsia="zh-CN"/>
        </w:rPr>
        <w:t>，</w:t>
      </w:r>
      <w:r>
        <w:rPr>
          <w:highlight w:val="none"/>
        </w:rPr>
        <w:t>承诺按采购预算金额的2%赔偿对采购组织机构造成损失；</w:t>
      </w:r>
    </w:p>
    <w:p w14:paraId="3C8B212E">
      <w:pPr>
        <w:ind w:firstLine="480"/>
        <w:rPr>
          <w:highlight w:val="none"/>
        </w:rPr>
      </w:pPr>
      <w:r>
        <w:rPr>
          <w:rFonts w:hint="eastAsia"/>
          <w:highlight w:val="none"/>
        </w:rPr>
        <w:t>（2）</w:t>
      </w:r>
      <w:r>
        <w:rPr>
          <w:highlight w:val="none"/>
        </w:rPr>
        <w:t>中标或者成交后</w:t>
      </w:r>
      <w:r>
        <w:rPr>
          <w:rFonts w:hint="eastAsia"/>
          <w:highlight w:val="none"/>
          <w:lang w:eastAsia="zh-CN"/>
        </w:rPr>
        <w:t>，</w:t>
      </w:r>
      <w:r>
        <w:rPr>
          <w:highlight w:val="none"/>
        </w:rPr>
        <w:t>按采购文件规定与采购人签订合同。拒绝签订合同的</w:t>
      </w:r>
      <w:r>
        <w:rPr>
          <w:rFonts w:hint="eastAsia"/>
          <w:highlight w:val="none"/>
          <w:lang w:eastAsia="zh-CN"/>
        </w:rPr>
        <w:t>，</w:t>
      </w:r>
      <w:r>
        <w:rPr>
          <w:highlight w:val="none"/>
        </w:rPr>
        <w:t>承诺按采购预算金额的2%对采购人进行赔偿；赔偿金额不足以弥补采购人损失的</w:t>
      </w:r>
      <w:r>
        <w:rPr>
          <w:rFonts w:hint="eastAsia"/>
          <w:highlight w:val="none"/>
          <w:lang w:eastAsia="zh-CN"/>
        </w:rPr>
        <w:t>，</w:t>
      </w:r>
      <w:r>
        <w:rPr>
          <w:highlight w:val="none"/>
        </w:rPr>
        <w:t>承诺继续承担超过部分的损失。</w:t>
      </w:r>
    </w:p>
    <w:p w14:paraId="218E432E">
      <w:pPr>
        <w:ind w:firstLine="480"/>
        <w:rPr>
          <w:highlight w:val="none"/>
        </w:rPr>
      </w:pPr>
      <w:r>
        <w:rPr>
          <w:rFonts w:hint="eastAsia"/>
          <w:highlight w:val="none"/>
        </w:rPr>
        <w:t>（3）</w:t>
      </w:r>
      <w:r>
        <w:rPr>
          <w:highlight w:val="none"/>
        </w:rPr>
        <w:t>中标或者成交后</w:t>
      </w:r>
      <w:r>
        <w:rPr>
          <w:rFonts w:hint="eastAsia"/>
          <w:highlight w:val="none"/>
          <w:lang w:eastAsia="zh-CN"/>
        </w:rPr>
        <w:t>，</w:t>
      </w:r>
      <w:r>
        <w:rPr>
          <w:highlight w:val="none"/>
        </w:rPr>
        <w:t>按采购文件规定的采购代理服务费标准</w:t>
      </w:r>
      <w:r>
        <w:rPr>
          <w:rFonts w:hint="eastAsia"/>
          <w:highlight w:val="none"/>
          <w:lang w:eastAsia="zh-CN"/>
        </w:rPr>
        <w:t>，</w:t>
      </w:r>
      <w:r>
        <w:rPr>
          <w:highlight w:val="none"/>
        </w:rPr>
        <w:t>承诺在签订合同前向采购代理机构支付采购代理服务费。</w:t>
      </w:r>
    </w:p>
    <w:p w14:paraId="22267497">
      <w:pPr>
        <w:ind w:firstLine="480"/>
        <w:rPr>
          <w:highlight w:val="none"/>
        </w:rPr>
      </w:pPr>
    </w:p>
    <w:p w14:paraId="4778BA38">
      <w:pPr>
        <w:ind w:firstLine="480"/>
        <w:rPr>
          <w:highlight w:val="none"/>
        </w:rPr>
      </w:pPr>
    </w:p>
    <w:p w14:paraId="07889DDE">
      <w:pPr>
        <w:ind w:firstLine="480"/>
        <w:rPr>
          <w:highlight w:val="none"/>
        </w:rPr>
      </w:pPr>
    </w:p>
    <w:p w14:paraId="086A08F6">
      <w:pPr>
        <w:ind w:firstLine="480"/>
        <w:rPr>
          <w:highlight w:val="none"/>
        </w:rPr>
      </w:pPr>
      <w:r>
        <w:rPr>
          <w:highlight w:val="none"/>
        </w:rPr>
        <w:t xml:space="preserve">供应商全称（盖单位公章）：                             </w:t>
      </w:r>
    </w:p>
    <w:p w14:paraId="7F561B39">
      <w:pPr>
        <w:ind w:firstLine="480"/>
        <w:rPr>
          <w:highlight w:val="none"/>
        </w:rPr>
      </w:pPr>
      <w:r>
        <w:rPr>
          <w:rFonts w:hint="eastAsia"/>
          <w:highlight w:val="none"/>
          <w:lang w:val="zh-CN"/>
        </w:rPr>
        <w:t>法定代表人或授权委托人（签字或盖章）：</w:t>
      </w:r>
    </w:p>
    <w:p w14:paraId="041E583A">
      <w:pPr>
        <w:ind w:firstLine="480"/>
        <w:rPr>
          <w:highlight w:val="none"/>
        </w:rPr>
      </w:pPr>
      <w:r>
        <w:rPr>
          <w:highlight w:val="none"/>
        </w:rPr>
        <w:t>日期：</w:t>
      </w:r>
      <w:r>
        <w:rPr>
          <w:rFonts w:hint="eastAsia"/>
          <w:highlight w:val="none"/>
        </w:rPr>
        <w:t xml:space="preserve">   年   月  日</w:t>
      </w:r>
    </w:p>
    <w:p w14:paraId="7AD7049F">
      <w:pPr>
        <w:ind w:firstLine="480"/>
        <w:rPr>
          <w:highlight w:val="none"/>
        </w:rPr>
      </w:pPr>
    </w:p>
    <w:p w14:paraId="2C09AB80">
      <w:pPr>
        <w:ind w:firstLine="480"/>
        <w:rPr>
          <w:highlight w:val="none"/>
        </w:rPr>
      </w:pPr>
      <w:r>
        <w:rPr>
          <w:rFonts w:hint="eastAsia"/>
          <w:highlight w:val="none"/>
        </w:rPr>
        <w:t>注：未按照本报价函要求填报的将被视为非实质性响应</w:t>
      </w:r>
      <w:r>
        <w:rPr>
          <w:rFonts w:hint="eastAsia"/>
          <w:highlight w:val="none"/>
          <w:lang w:eastAsia="zh-CN"/>
        </w:rPr>
        <w:t>，</w:t>
      </w:r>
      <w:r>
        <w:rPr>
          <w:rFonts w:hint="eastAsia"/>
          <w:highlight w:val="none"/>
        </w:rPr>
        <w:t>从而可能导致该响应被拒绝。</w:t>
      </w:r>
    </w:p>
    <w:p w14:paraId="4D6D340E">
      <w:pPr>
        <w:pStyle w:val="14"/>
        <w:ind w:left="480" w:firstLine="480"/>
        <w:rPr>
          <w:highlight w:val="none"/>
        </w:rPr>
      </w:pPr>
    </w:p>
    <w:p w14:paraId="7CC7D204">
      <w:pPr>
        <w:pStyle w:val="14"/>
        <w:ind w:left="480" w:firstLine="480"/>
        <w:rPr>
          <w:highlight w:val="none"/>
        </w:rPr>
      </w:pPr>
    </w:p>
    <w:p w14:paraId="7395CE29">
      <w:pPr>
        <w:widowControl/>
        <w:spacing w:line="240" w:lineRule="auto"/>
        <w:ind w:firstLine="0" w:firstLineChars="0"/>
        <w:jc w:val="left"/>
        <w:rPr>
          <w:highlight w:val="none"/>
        </w:rPr>
      </w:pPr>
      <w:r>
        <w:rPr>
          <w:highlight w:val="none"/>
        </w:rPr>
        <w:br w:type="page"/>
      </w:r>
    </w:p>
    <w:p w14:paraId="434901D2">
      <w:pPr>
        <w:ind w:firstLine="480"/>
        <w:rPr>
          <w:rFonts w:hint="eastAsia" w:hAnsi="宋体" w:eastAsia="宋体"/>
          <w:b/>
          <w:sz w:val="30"/>
          <w:szCs w:val="30"/>
          <w:highlight w:val="none"/>
          <w:lang w:val="en-US" w:eastAsia="zh-CN"/>
        </w:rPr>
      </w:pPr>
      <w:r>
        <w:rPr>
          <w:highlight w:val="none"/>
        </w:rPr>
        <w:t>附</w:t>
      </w:r>
      <w:r>
        <w:rPr>
          <w:rFonts w:hint="eastAsia"/>
          <w:highlight w:val="none"/>
        </w:rPr>
        <w:t>件</w:t>
      </w:r>
      <w:r>
        <w:rPr>
          <w:rFonts w:hint="eastAsia"/>
          <w:highlight w:val="none"/>
          <w:lang w:val="en-US" w:eastAsia="zh-CN"/>
        </w:rPr>
        <w:t>4</w:t>
      </w:r>
    </w:p>
    <w:p w14:paraId="5F254BFF">
      <w:pPr>
        <w:pStyle w:val="5"/>
        <w:ind w:firstLine="643"/>
        <w:jc w:val="center"/>
        <w:rPr>
          <w:highlight w:val="none"/>
        </w:rPr>
      </w:pPr>
      <w:bookmarkStart w:id="521" w:name="_Toc22141"/>
      <w:bookmarkStart w:id="522" w:name="_Toc2718"/>
      <w:bookmarkStart w:id="523" w:name="_Toc237"/>
      <w:bookmarkStart w:id="524" w:name="_Toc7064"/>
      <w:bookmarkStart w:id="525" w:name="_Toc18802"/>
      <w:bookmarkStart w:id="526" w:name="_Toc25651"/>
      <w:bookmarkStart w:id="527" w:name="_Toc9373"/>
      <w:bookmarkStart w:id="528" w:name="_Toc16052"/>
      <w:r>
        <w:rPr>
          <w:rFonts w:hint="eastAsia"/>
          <w:highlight w:val="none"/>
        </w:rPr>
        <w:t>法定代表人授权书</w:t>
      </w:r>
      <w:bookmarkEnd w:id="521"/>
      <w:bookmarkEnd w:id="522"/>
      <w:bookmarkEnd w:id="523"/>
      <w:bookmarkEnd w:id="524"/>
      <w:bookmarkEnd w:id="525"/>
      <w:bookmarkEnd w:id="526"/>
      <w:bookmarkEnd w:id="527"/>
      <w:bookmarkEnd w:id="528"/>
    </w:p>
    <w:p w14:paraId="11FC5F63">
      <w:pPr>
        <w:ind w:firstLine="723"/>
        <w:rPr>
          <w:rFonts w:hAnsi="宋体"/>
          <w:b/>
          <w:sz w:val="36"/>
          <w:szCs w:val="36"/>
          <w:highlight w:val="none"/>
        </w:rPr>
      </w:pPr>
    </w:p>
    <w:p w14:paraId="43858D9F">
      <w:pPr>
        <w:ind w:firstLine="0" w:firstLineChars="0"/>
        <w:rPr>
          <w:rFonts w:hint="eastAsia" w:eastAsia="宋体"/>
          <w:highlight w:val="none"/>
          <w:lang w:eastAsia="zh-CN"/>
        </w:rPr>
      </w:pPr>
      <w:r>
        <w:rPr>
          <w:rFonts w:hint="eastAsia"/>
          <w:highlight w:val="none"/>
          <w:u w:val="single"/>
          <w:lang w:eastAsia="zh-CN"/>
        </w:rPr>
        <w:t>龙游县人民政府办公室（龙游县数据局）：</w:t>
      </w:r>
    </w:p>
    <w:p w14:paraId="4C19FE3B">
      <w:pPr>
        <w:ind w:firstLine="480"/>
        <w:rPr>
          <w:highlight w:val="none"/>
        </w:rPr>
      </w:pPr>
    </w:p>
    <w:p w14:paraId="324CEC2C">
      <w:pPr>
        <w:ind w:firstLine="480"/>
        <w:rPr>
          <w:highlight w:val="none"/>
        </w:rPr>
      </w:pPr>
      <w:r>
        <w:rPr>
          <w:highlight w:val="none"/>
        </w:rPr>
        <w:t>我以</w:t>
      </w:r>
      <w:r>
        <w:rPr>
          <w:highlight w:val="none"/>
          <w:u w:val="single"/>
        </w:rPr>
        <w:t xml:space="preserve">        （供应商全称）    </w:t>
      </w:r>
      <w:r>
        <w:rPr>
          <w:highlight w:val="none"/>
        </w:rPr>
        <w:t>法定代表人的身份授权</w:t>
      </w:r>
      <w:r>
        <w:rPr>
          <w:highlight w:val="none"/>
          <w:u w:val="single"/>
        </w:rPr>
        <w:t xml:space="preserve">（全权代表姓名）、  （身份证号）   </w:t>
      </w:r>
      <w:r>
        <w:rPr>
          <w:rFonts w:hint="eastAsia"/>
          <w:highlight w:val="none"/>
          <w:lang w:eastAsia="zh-CN"/>
        </w:rPr>
        <w:t>，</w:t>
      </w:r>
      <w:r>
        <w:rPr>
          <w:highlight w:val="none"/>
        </w:rPr>
        <w:t>为我单位的全权代表</w:t>
      </w:r>
      <w:r>
        <w:rPr>
          <w:rFonts w:hint="eastAsia"/>
          <w:highlight w:val="none"/>
          <w:lang w:eastAsia="zh-CN"/>
        </w:rPr>
        <w:t>，</w:t>
      </w:r>
      <w:r>
        <w:rPr>
          <w:highlight w:val="none"/>
        </w:rPr>
        <w:t>参加贵处组织的</w:t>
      </w:r>
      <w:r>
        <w:rPr>
          <w:highlight w:val="none"/>
          <w:u w:val="single"/>
        </w:rPr>
        <w:t xml:space="preserve"> </w:t>
      </w:r>
      <w:r>
        <w:rPr>
          <w:rFonts w:hint="eastAsia"/>
          <w:highlight w:val="none"/>
          <w:u w:val="single"/>
        </w:rPr>
        <w:t>龙游县电子政务外网网络数据安全运维服务</w:t>
      </w:r>
      <w:r>
        <w:rPr>
          <w:highlight w:val="none"/>
          <w:u w:val="single"/>
        </w:rPr>
        <w:t>（</w:t>
      </w:r>
      <w:r>
        <w:rPr>
          <w:rFonts w:hint="eastAsia"/>
          <w:highlight w:val="none"/>
          <w:u w:val="single"/>
          <w:lang w:val="en-US" w:eastAsia="zh-CN"/>
        </w:rPr>
        <w:t>2025年</w:t>
      </w:r>
      <w:r>
        <w:rPr>
          <w:highlight w:val="none"/>
          <w:u w:val="single"/>
        </w:rPr>
        <w:t>） （  项目编号</w:t>
      </w:r>
      <w:r>
        <w:rPr>
          <w:rFonts w:hint="eastAsia"/>
          <w:highlight w:val="none"/>
          <w:u w:val="single"/>
          <w:lang w:eastAsia="zh-CN"/>
        </w:rPr>
        <w:t>：</w:t>
      </w:r>
      <w:r>
        <w:rPr>
          <w:rFonts w:hint="eastAsia"/>
          <w:highlight w:val="none"/>
          <w:u w:val="single"/>
        </w:rPr>
        <w:t>LYJY2025006</w:t>
      </w:r>
      <w:r>
        <w:rPr>
          <w:highlight w:val="none"/>
          <w:u w:val="single"/>
        </w:rPr>
        <w:t>）</w:t>
      </w:r>
      <w:r>
        <w:rPr>
          <w:highlight w:val="none"/>
        </w:rPr>
        <w:t>的磋商</w:t>
      </w:r>
      <w:r>
        <w:rPr>
          <w:rFonts w:hint="eastAsia"/>
          <w:highlight w:val="none"/>
          <w:lang w:eastAsia="zh-CN"/>
        </w:rPr>
        <w:t>，</w:t>
      </w:r>
      <w:r>
        <w:rPr>
          <w:highlight w:val="none"/>
        </w:rPr>
        <w:t>签署本项目相关磋商响应文件并全权处理磋商活动中的一切事宜。我单位承认全权代表做出的与本项目磋商活动有关的全部行为。</w:t>
      </w:r>
    </w:p>
    <w:p w14:paraId="3E822196">
      <w:pPr>
        <w:ind w:firstLine="480"/>
        <w:rPr>
          <w:highlight w:val="none"/>
        </w:rPr>
      </w:pPr>
      <w:r>
        <w:rPr>
          <w:highlight w:val="none"/>
        </w:rPr>
        <w:t>供应商全称（盖单位公章）：</w:t>
      </w:r>
    </w:p>
    <w:p w14:paraId="7DD148A7">
      <w:pPr>
        <w:ind w:firstLine="480"/>
        <w:rPr>
          <w:highlight w:val="none"/>
        </w:rPr>
      </w:pPr>
      <w:r>
        <w:rPr>
          <w:highlight w:val="none"/>
        </w:rPr>
        <w:t>法定代表人（签字或盖章）：</w:t>
      </w:r>
    </w:p>
    <w:p w14:paraId="156DBAD1">
      <w:pPr>
        <w:ind w:firstLine="480"/>
        <w:rPr>
          <w:highlight w:val="none"/>
        </w:rPr>
      </w:pPr>
      <w:r>
        <w:rPr>
          <w:highlight w:val="none"/>
        </w:rPr>
        <w:t>电话：</w:t>
      </w:r>
    </w:p>
    <w:p w14:paraId="13DFB1CE">
      <w:pPr>
        <w:ind w:firstLine="480"/>
        <w:rPr>
          <w:highlight w:val="none"/>
        </w:rPr>
      </w:pPr>
      <w:r>
        <w:rPr>
          <w:highlight w:val="none"/>
        </w:rPr>
        <w:t>日期：</w:t>
      </w:r>
    </w:p>
    <w:p w14:paraId="135AF238">
      <w:pPr>
        <w:ind w:firstLine="480"/>
        <w:rPr>
          <w:highlight w:val="none"/>
        </w:rPr>
      </w:pPr>
      <w:r>
        <w:rPr>
          <w:highlight w:val="none"/>
        </w:rPr>
        <w:t>附：</w:t>
      </w:r>
    </w:p>
    <w:p w14:paraId="5B0046D6">
      <w:pPr>
        <w:ind w:firstLine="480"/>
        <w:rPr>
          <w:highlight w:val="none"/>
        </w:rPr>
      </w:pPr>
      <w:r>
        <w:rPr>
          <w:highlight w:val="none"/>
        </w:rPr>
        <w:t>全权代表姓名：     身份证号码：      职  务：         电  话：</w:t>
      </w:r>
    </w:p>
    <w:p w14:paraId="616707DF">
      <w:pPr>
        <w:ind w:firstLine="482"/>
        <w:rPr>
          <w:rFonts w:ascii="Arial" w:hAnsi="Arial" w:cs="Arial"/>
          <w:b/>
          <w:highlight w:val="none"/>
        </w:rPr>
      </w:pPr>
      <w:r>
        <w:rPr>
          <w:rFonts w:hint="eastAsia" w:ascii="Arial" w:hAnsi="Arial" w:cs="Arial"/>
          <w:b/>
          <w:highlight w:val="none"/>
        </w:rPr>
        <w:t>授权人及被授权人身份证复印件</w:t>
      </w:r>
      <w:r>
        <w:rPr>
          <w:rFonts w:ascii="Arial" w:hAnsi="Arial" w:cs="Arial"/>
          <w:b/>
          <w:highlight w:val="none"/>
        </w:rPr>
        <w:t>：</w:t>
      </w:r>
    </w:p>
    <w:p w14:paraId="786D2E4F">
      <w:pPr>
        <w:ind w:firstLine="480"/>
        <w:rPr>
          <w:highlight w:val="none"/>
        </w:rPr>
      </w:pPr>
    </w:p>
    <w:p w14:paraId="32319852">
      <w:pPr>
        <w:ind w:firstLine="480"/>
        <w:rPr>
          <w:highlight w:val="none"/>
        </w:rPr>
      </w:pPr>
    </w:p>
    <w:p w14:paraId="3C452349">
      <w:pPr>
        <w:ind w:firstLine="480"/>
        <w:rPr>
          <w:rFonts w:ascii="Arial" w:hAnsi="Arial" w:cs="Arial"/>
          <w:b/>
          <w:szCs w:val="21"/>
          <w:highlight w:val="none"/>
        </w:rPr>
      </w:pPr>
      <w:r>
        <w:rPr>
          <w:highlight w:val="none"/>
        </w:rPr>
        <w:t>注：若是法定代表人参加磋商的及签署响应文件的则不需提供该授权书。</w:t>
      </w:r>
    </w:p>
    <w:p w14:paraId="3646D624">
      <w:pPr>
        <w:widowControl/>
        <w:spacing w:line="240" w:lineRule="auto"/>
        <w:ind w:firstLine="0" w:firstLineChars="0"/>
        <w:jc w:val="left"/>
        <w:rPr>
          <w:rFonts w:hint="eastAsia" w:eastAsia="宋体"/>
          <w:highlight w:val="none"/>
          <w:lang w:eastAsia="zh-CN"/>
        </w:rPr>
      </w:pPr>
      <w:r>
        <w:rPr>
          <w:highlight w:val="none"/>
        </w:rPr>
        <w:br w:type="page"/>
      </w:r>
      <w:bookmarkStart w:id="529" w:name="_Toc427610949"/>
      <w:bookmarkStart w:id="530" w:name="_Toc462229888"/>
      <w:bookmarkStart w:id="531" w:name="_Toc345575537"/>
      <w:bookmarkStart w:id="532" w:name="_Toc350453713"/>
      <w:r>
        <w:rPr>
          <w:rFonts w:hint="eastAsia"/>
          <w:highlight w:val="none"/>
        </w:rPr>
        <w:t>附件</w:t>
      </w:r>
      <w:bookmarkEnd w:id="529"/>
      <w:bookmarkEnd w:id="530"/>
      <w:bookmarkEnd w:id="531"/>
      <w:bookmarkEnd w:id="532"/>
      <w:r>
        <w:rPr>
          <w:rFonts w:hint="eastAsia"/>
          <w:highlight w:val="none"/>
          <w:lang w:val="en-US" w:eastAsia="zh-CN"/>
        </w:rPr>
        <w:t>5</w:t>
      </w:r>
    </w:p>
    <w:p w14:paraId="404E85E6">
      <w:pPr>
        <w:pStyle w:val="5"/>
        <w:ind w:firstLine="643"/>
        <w:jc w:val="center"/>
        <w:rPr>
          <w:rFonts w:ascii="宋体" w:hAnsi="宋体" w:cs="宋体"/>
          <w:kern w:val="0"/>
          <w:sz w:val="30"/>
          <w:szCs w:val="30"/>
          <w:highlight w:val="none"/>
        </w:rPr>
      </w:pPr>
      <w:bookmarkStart w:id="533" w:name="_Toc11030"/>
      <w:bookmarkStart w:id="534" w:name="_Toc5912"/>
      <w:bookmarkStart w:id="535" w:name="_Toc20952"/>
      <w:bookmarkStart w:id="536" w:name="_Toc17491"/>
      <w:bookmarkStart w:id="537" w:name="_Toc2167"/>
      <w:bookmarkStart w:id="538" w:name="_Toc32696"/>
      <w:bookmarkStart w:id="539" w:name="_Toc25050"/>
      <w:bookmarkStart w:id="540" w:name="_Toc1345"/>
      <w:r>
        <w:rPr>
          <w:rFonts w:hint="eastAsia"/>
          <w:highlight w:val="none"/>
          <w:lang w:val="zh-CN"/>
        </w:rPr>
        <w:t>投标人</w:t>
      </w:r>
      <w:r>
        <w:rPr>
          <w:rFonts w:hint="eastAsia"/>
          <w:highlight w:val="none"/>
        </w:rPr>
        <w:t>同类项目</w:t>
      </w:r>
      <w:r>
        <w:rPr>
          <w:rFonts w:hint="eastAsia"/>
          <w:highlight w:val="none"/>
          <w:lang w:val="zh-CN"/>
        </w:rPr>
        <w:t>业绩一览表</w:t>
      </w:r>
      <w:bookmarkEnd w:id="533"/>
      <w:bookmarkEnd w:id="534"/>
      <w:bookmarkEnd w:id="535"/>
      <w:bookmarkEnd w:id="536"/>
      <w:bookmarkEnd w:id="537"/>
      <w:bookmarkEnd w:id="538"/>
      <w:bookmarkEnd w:id="539"/>
      <w:bookmarkEnd w:id="540"/>
    </w:p>
    <w:p w14:paraId="2E9B2F73">
      <w:pPr>
        <w:ind w:firstLine="0" w:firstLineChars="0"/>
        <w:rPr>
          <w:rFonts w:ascii="宋体" w:hAnsi="宋体"/>
          <w:sz w:val="21"/>
          <w:szCs w:val="21"/>
          <w:highlight w:val="none"/>
        </w:rPr>
      </w:pPr>
    </w:p>
    <w:tbl>
      <w:tblPr>
        <w:tblStyle w:val="72"/>
        <w:tblW w:w="9288" w:type="dxa"/>
        <w:tblInd w:w="-107" w:type="dxa"/>
        <w:tblLayout w:type="fixed"/>
        <w:tblCellMar>
          <w:top w:w="56" w:type="dxa"/>
          <w:left w:w="109" w:type="dxa"/>
          <w:bottom w:w="0" w:type="dxa"/>
          <w:right w:w="109" w:type="dxa"/>
        </w:tblCellMar>
      </w:tblPr>
      <w:tblGrid>
        <w:gridCol w:w="698"/>
        <w:gridCol w:w="2123"/>
        <w:gridCol w:w="1081"/>
        <w:gridCol w:w="1134"/>
        <w:gridCol w:w="1601"/>
        <w:gridCol w:w="1530"/>
        <w:gridCol w:w="1121"/>
      </w:tblGrid>
      <w:tr w14:paraId="31C314FF">
        <w:tblPrEx>
          <w:tblCellMar>
            <w:top w:w="56" w:type="dxa"/>
            <w:left w:w="109" w:type="dxa"/>
            <w:bottom w:w="0" w:type="dxa"/>
            <w:right w:w="109" w:type="dxa"/>
          </w:tblCellMar>
        </w:tblPrEx>
        <w:trPr>
          <w:trHeight w:val="977"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1A24F632">
            <w:pPr>
              <w:pStyle w:val="38"/>
              <w:rPr>
                <w:highlight w:val="none"/>
              </w:rPr>
            </w:pPr>
            <w:r>
              <w:rPr>
                <w:highlight w:val="none"/>
              </w:rPr>
              <w:t>序号</w:t>
            </w:r>
          </w:p>
        </w:tc>
        <w:tc>
          <w:tcPr>
            <w:tcW w:w="2123" w:type="dxa"/>
            <w:tcBorders>
              <w:top w:val="single" w:color="000000" w:sz="4" w:space="0"/>
              <w:left w:val="single" w:color="000000" w:sz="4" w:space="0"/>
              <w:bottom w:val="single" w:color="000000" w:sz="4" w:space="0"/>
              <w:right w:val="single" w:color="000000" w:sz="4" w:space="0"/>
            </w:tcBorders>
            <w:vAlign w:val="center"/>
          </w:tcPr>
          <w:p w14:paraId="27D23627">
            <w:pPr>
              <w:pStyle w:val="38"/>
              <w:rPr>
                <w:highlight w:val="none"/>
              </w:rPr>
            </w:pPr>
            <w:r>
              <w:rPr>
                <w:highlight w:val="none"/>
              </w:rPr>
              <w:t>项目名称</w:t>
            </w:r>
          </w:p>
        </w:tc>
        <w:tc>
          <w:tcPr>
            <w:tcW w:w="1081" w:type="dxa"/>
            <w:tcBorders>
              <w:top w:val="single" w:color="000000" w:sz="4" w:space="0"/>
              <w:left w:val="single" w:color="000000" w:sz="4" w:space="0"/>
              <w:bottom w:val="single" w:color="000000" w:sz="4" w:space="0"/>
              <w:right w:val="single" w:color="000000" w:sz="4" w:space="0"/>
            </w:tcBorders>
            <w:vAlign w:val="center"/>
          </w:tcPr>
          <w:p w14:paraId="1BB21ECB">
            <w:pPr>
              <w:pStyle w:val="38"/>
              <w:rPr>
                <w:highlight w:val="none"/>
              </w:rPr>
            </w:pPr>
            <w:r>
              <w:rPr>
                <w:highlight w:val="none"/>
              </w:rPr>
              <w:t>合同内容</w:t>
            </w:r>
          </w:p>
        </w:tc>
        <w:tc>
          <w:tcPr>
            <w:tcW w:w="1134" w:type="dxa"/>
            <w:tcBorders>
              <w:top w:val="single" w:color="000000" w:sz="4" w:space="0"/>
              <w:left w:val="single" w:color="000000" w:sz="4" w:space="0"/>
              <w:bottom w:val="single" w:color="000000" w:sz="4" w:space="0"/>
              <w:right w:val="single" w:color="000000" w:sz="4" w:space="0"/>
            </w:tcBorders>
            <w:vAlign w:val="center"/>
          </w:tcPr>
          <w:p w14:paraId="2AA1BF7E">
            <w:pPr>
              <w:pStyle w:val="38"/>
              <w:rPr>
                <w:highlight w:val="none"/>
              </w:rPr>
            </w:pPr>
            <w:r>
              <w:rPr>
                <w:highlight w:val="none"/>
              </w:rPr>
              <w:t>项目金额（万元）</w:t>
            </w:r>
          </w:p>
        </w:tc>
        <w:tc>
          <w:tcPr>
            <w:tcW w:w="1601" w:type="dxa"/>
            <w:tcBorders>
              <w:top w:val="single" w:color="000000" w:sz="4" w:space="0"/>
              <w:left w:val="single" w:color="000000" w:sz="4" w:space="0"/>
              <w:bottom w:val="single" w:color="000000" w:sz="4" w:space="0"/>
              <w:right w:val="single" w:color="000000" w:sz="4" w:space="0"/>
            </w:tcBorders>
            <w:vAlign w:val="center"/>
          </w:tcPr>
          <w:p w14:paraId="3E33DF28">
            <w:pPr>
              <w:pStyle w:val="38"/>
              <w:rPr>
                <w:highlight w:val="none"/>
              </w:rPr>
            </w:pPr>
            <w:r>
              <w:rPr>
                <w:highlight w:val="none"/>
              </w:rPr>
              <w:t>合同签订时间</w:t>
            </w:r>
          </w:p>
        </w:tc>
        <w:tc>
          <w:tcPr>
            <w:tcW w:w="1530" w:type="dxa"/>
            <w:tcBorders>
              <w:top w:val="single" w:color="000000" w:sz="4" w:space="0"/>
              <w:left w:val="single" w:color="000000" w:sz="4" w:space="0"/>
              <w:bottom w:val="single" w:color="000000" w:sz="4" w:space="0"/>
              <w:right w:val="single" w:color="000000" w:sz="4" w:space="0"/>
            </w:tcBorders>
          </w:tcPr>
          <w:p w14:paraId="3EA7EA8A">
            <w:pPr>
              <w:pStyle w:val="38"/>
              <w:rPr>
                <w:highlight w:val="none"/>
              </w:rPr>
            </w:pPr>
            <w:r>
              <w:rPr>
                <w:highlight w:val="none"/>
              </w:rPr>
              <w:t>项目单位、联系人及电话</w:t>
            </w:r>
          </w:p>
        </w:tc>
        <w:tc>
          <w:tcPr>
            <w:tcW w:w="1121" w:type="dxa"/>
            <w:tcBorders>
              <w:top w:val="single" w:color="000000" w:sz="4" w:space="0"/>
              <w:left w:val="single" w:color="000000" w:sz="4" w:space="0"/>
              <w:bottom w:val="single" w:color="000000" w:sz="4" w:space="0"/>
              <w:right w:val="single" w:color="000000" w:sz="4" w:space="0"/>
            </w:tcBorders>
            <w:vAlign w:val="center"/>
          </w:tcPr>
          <w:p w14:paraId="4D1BEF66">
            <w:pPr>
              <w:pStyle w:val="38"/>
              <w:rPr>
                <w:highlight w:val="none"/>
              </w:rPr>
            </w:pPr>
            <w:r>
              <w:rPr>
                <w:highlight w:val="none"/>
              </w:rPr>
              <w:t>备注</w:t>
            </w:r>
          </w:p>
        </w:tc>
      </w:tr>
      <w:tr w14:paraId="44783218">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4C61D5F5">
            <w:pPr>
              <w:pStyle w:val="38"/>
              <w:rPr>
                <w:highlight w:val="none"/>
              </w:rPr>
            </w:pPr>
            <w:r>
              <w:rPr>
                <w:highlight w:val="none"/>
              </w:rPr>
              <w:t>1</w:t>
            </w:r>
          </w:p>
        </w:tc>
        <w:tc>
          <w:tcPr>
            <w:tcW w:w="2123" w:type="dxa"/>
            <w:tcBorders>
              <w:top w:val="single" w:color="000000" w:sz="4" w:space="0"/>
              <w:left w:val="single" w:color="000000" w:sz="4" w:space="0"/>
              <w:bottom w:val="single" w:color="000000" w:sz="4" w:space="0"/>
              <w:right w:val="single" w:color="000000" w:sz="4" w:space="0"/>
            </w:tcBorders>
          </w:tcPr>
          <w:p w14:paraId="4B7C6683">
            <w:pPr>
              <w:pStyle w:val="38"/>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3F951F53">
            <w:pPr>
              <w:pStyle w:val="38"/>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21575E1">
            <w:pPr>
              <w:pStyle w:val="38"/>
              <w:rPr>
                <w:highlight w:val="none"/>
              </w:rPr>
            </w:pPr>
          </w:p>
        </w:tc>
        <w:tc>
          <w:tcPr>
            <w:tcW w:w="1601" w:type="dxa"/>
            <w:tcBorders>
              <w:top w:val="single" w:color="000000" w:sz="4" w:space="0"/>
              <w:left w:val="single" w:color="000000" w:sz="4" w:space="0"/>
              <w:bottom w:val="single" w:color="000000" w:sz="4" w:space="0"/>
              <w:right w:val="single" w:color="000000" w:sz="4" w:space="0"/>
            </w:tcBorders>
          </w:tcPr>
          <w:p w14:paraId="52C2D3D5">
            <w:pPr>
              <w:pStyle w:val="38"/>
              <w:rPr>
                <w:highlight w:val="none"/>
              </w:rPr>
            </w:pPr>
          </w:p>
        </w:tc>
        <w:tc>
          <w:tcPr>
            <w:tcW w:w="1530" w:type="dxa"/>
            <w:tcBorders>
              <w:top w:val="single" w:color="000000" w:sz="4" w:space="0"/>
              <w:left w:val="single" w:color="000000" w:sz="4" w:space="0"/>
              <w:bottom w:val="single" w:color="000000" w:sz="4" w:space="0"/>
              <w:right w:val="single" w:color="000000" w:sz="4" w:space="0"/>
            </w:tcBorders>
          </w:tcPr>
          <w:p w14:paraId="15B0D615">
            <w:pPr>
              <w:pStyle w:val="38"/>
              <w:rPr>
                <w:highlight w:val="none"/>
              </w:rPr>
            </w:pPr>
          </w:p>
        </w:tc>
        <w:tc>
          <w:tcPr>
            <w:tcW w:w="1121" w:type="dxa"/>
            <w:tcBorders>
              <w:top w:val="single" w:color="000000" w:sz="4" w:space="0"/>
              <w:left w:val="single" w:color="000000" w:sz="4" w:space="0"/>
              <w:bottom w:val="single" w:color="000000" w:sz="4" w:space="0"/>
              <w:right w:val="single" w:color="000000" w:sz="4" w:space="0"/>
            </w:tcBorders>
          </w:tcPr>
          <w:p w14:paraId="25F1D7E4">
            <w:pPr>
              <w:pStyle w:val="38"/>
              <w:rPr>
                <w:highlight w:val="none"/>
              </w:rPr>
            </w:pPr>
          </w:p>
        </w:tc>
      </w:tr>
      <w:tr w14:paraId="1D6A0A5C">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5C36288A">
            <w:pPr>
              <w:pStyle w:val="38"/>
              <w:rPr>
                <w:highlight w:val="none"/>
              </w:rPr>
            </w:pPr>
            <w:r>
              <w:rPr>
                <w:highlight w:val="none"/>
              </w:rPr>
              <w:t>2</w:t>
            </w:r>
          </w:p>
        </w:tc>
        <w:tc>
          <w:tcPr>
            <w:tcW w:w="2123" w:type="dxa"/>
            <w:tcBorders>
              <w:top w:val="single" w:color="000000" w:sz="4" w:space="0"/>
              <w:left w:val="single" w:color="000000" w:sz="4" w:space="0"/>
              <w:bottom w:val="single" w:color="000000" w:sz="4" w:space="0"/>
              <w:right w:val="single" w:color="000000" w:sz="4" w:space="0"/>
            </w:tcBorders>
          </w:tcPr>
          <w:p w14:paraId="2B579A02">
            <w:pPr>
              <w:pStyle w:val="38"/>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3A457A25">
            <w:pPr>
              <w:pStyle w:val="38"/>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B0C5A95">
            <w:pPr>
              <w:pStyle w:val="38"/>
              <w:rPr>
                <w:highlight w:val="none"/>
              </w:rPr>
            </w:pPr>
          </w:p>
        </w:tc>
        <w:tc>
          <w:tcPr>
            <w:tcW w:w="1601" w:type="dxa"/>
            <w:tcBorders>
              <w:top w:val="single" w:color="000000" w:sz="4" w:space="0"/>
              <w:left w:val="single" w:color="000000" w:sz="4" w:space="0"/>
              <w:bottom w:val="single" w:color="000000" w:sz="4" w:space="0"/>
              <w:right w:val="single" w:color="000000" w:sz="4" w:space="0"/>
            </w:tcBorders>
          </w:tcPr>
          <w:p w14:paraId="5EF7491D">
            <w:pPr>
              <w:pStyle w:val="38"/>
              <w:rPr>
                <w:highlight w:val="none"/>
              </w:rPr>
            </w:pPr>
          </w:p>
        </w:tc>
        <w:tc>
          <w:tcPr>
            <w:tcW w:w="1530" w:type="dxa"/>
            <w:tcBorders>
              <w:top w:val="single" w:color="000000" w:sz="4" w:space="0"/>
              <w:left w:val="single" w:color="000000" w:sz="4" w:space="0"/>
              <w:bottom w:val="single" w:color="000000" w:sz="4" w:space="0"/>
              <w:right w:val="single" w:color="000000" w:sz="4" w:space="0"/>
            </w:tcBorders>
          </w:tcPr>
          <w:p w14:paraId="1690D46E">
            <w:pPr>
              <w:pStyle w:val="38"/>
              <w:rPr>
                <w:highlight w:val="none"/>
              </w:rPr>
            </w:pPr>
          </w:p>
        </w:tc>
        <w:tc>
          <w:tcPr>
            <w:tcW w:w="1121" w:type="dxa"/>
            <w:tcBorders>
              <w:top w:val="single" w:color="000000" w:sz="4" w:space="0"/>
              <w:left w:val="single" w:color="000000" w:sz="4" w:space="0"/>
              <w:bottom w:val="single" w:color="000000" w:sz="4" w:space="0"/>
              <w:right w:val="single" w:color="000000" w:sz="4" w:space="0"/>
            </w:tcBorders>
          </w:tcPr>
          <w:p w14:paraId="3D25D5EB">
            <w:pPr>
              <w:pStyle w:val="38"/>
              <w:rPr>
                <w:highlight w:val="none"/>
              </w:rPr>
            </w:pPr>
          </w:p>
        </w:tc>
      </w:tr>
      <w:tr w14:paraId="34DEDFBF">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132AF428">
            <w:pPr>
              <w:pStyle w:val="38"/>
              <w:rPr>
                <w:highlight w:val="none"/>
              </w:rPr>
            </w:pPr>
            <w:r>
              <w:rPr>
                <w:highlight w:val="none"/>
              </w:rPr>
              <w:t>3</w:t>
            </w:r>
          </w:p>
        </w:tc>
        <w:tc>
          <w:tcPr>
            <w:tcW w:w="2123" w:type="dxa"/>
            <w:tcBorders>
              <w:top w:val="single" w:color="000000" w:sz="4" w:space="0"/>
              <w:left w:val="single" w:color="000000" w:sz="4" w:space="0"/>
              <w:bottom w:val="single" w:color="000000" w:sz="4" w:space="0"/>
              <w:right w:val="single" w:color="000000" w:sz="4" w:space="0"/>
            </w:tcBorders>
          </w:tcPr>
          <w:p w14:paraId="4437E39D">
            <w:pPr>
              <w:pStyle w:val="38"/>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2FBDAEC6">
            <w:pPr>
              <w:pStyle w:val="38"/>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162BDF4">
            <w:pPr>
              <w:pStyle w:val="38"/>
              <w:rPr>
                <w:highlight w:val="none"/>
              </w:rPr>
            </w:pPr>
          </w:p>
        </w:tc>
        <w:tc>
          <w:tcPr>
            <w:tcW w:w="1601" w:type="dxa"/>
            <w:tcBorders>
              <w:top w:val="single" w:color="000000" w:sz="4" w:space="0"/>
              <w:left w:val="single" w:color="000000" w:sz="4" w:space="0"/>
              <w:bottom w:val="single" w:color="000000" w:sz="4" w:space="0"/>
              <w:right w:val="single" w:color="000000" w:sz="4" w:space="0"/>
            </w:tcBorders>
          </w:tcPr>
          <w:p w14:paraId="70A436D6">
            <w:pPr>
              <w:pStyle w:val="38"/>
              <w:rPr>
                <w:highlight w:val="none"/>
              </w:rPr>
            </w:pPr>
          </w:p>
        </w:tc>
        <w:tc>
          <w:tcPr>
            <w:tcW w:w="1530" w:type="dxa"/>
            <w:tcBorders>
              <w:top w:val="single" w:color="000000" w:sz="4" w:space="0"/>
              <w:left w:val="single" w:color="000000" w:sz="4" w:space="0"/>
              <w:bottom w:val="single" w:color="000000" w:sz="4" w:space="0"/>
              <w:right w:val="single" w:color="000000" w:sz="4" w:space="0"/>
            </w:tcBorders>
          </w:tcPr>
          <w:p w14:paraId="50557890">
            <w:pPr>
              <w:pStyle w:val="38"/>
              <w:rPr>
                <w:highlight w:val="none"/>
              </w:rPr>
            </w:pPr>
          </w:p>
        </w:tc>
        <w:tc>
          <w:tcPr>
            <w:tcW w:w="1121" w:type="dxa"/>
            <w:tcBorders>
              <w:top w:val="single" w:color="000000" w:sz="4" w:space="0"/>
              <w:left w:val="single" w:color="000000" w:sz="4" w:space="0"/>
              <w:bottom w:val="single" w:color="000000" w:sz="4" w:space="0"/>
              <w:right w:val="single" w:color="000000" w:sz="4" w:space="0"/>
            </w:tcBorders>
          </w:tcPr>
          <w:p w14:paraId="6808AB52">
            <w:pPr>
              <w:pStyle w:val="38"/>
              <w:rPr>
                <w:highlight w:val="none"/>
              </w:rPr>
            </w:pPr>
          </w:p>
        </w:tc>
      </w:tr>
      <w:tr w14:paraId="4D2DC231">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209A6EAE">
            <w:pPr>
              <w:pStyle w:val="38"/>
              <w:rPr>
                <w:highlight w:val="none"/>
              </w:rPr>
            </w:pPr>
            <w:r>
              <w:rPr>
                <w:highlight w:val="none"/>
              </w:rPr>
              <w:t>4</w:t>
            </w:r>
          </w:p>
        </w:tc>
        <w:tc>
          <w:tcPr>
            <w:tcW w:w="2123" w:type="dxa"/>
            <w:tcBorders>
              <w:top w:val="single" w:color="000000" w:sz="4" w:space="0"/>
              <w:left w:val="single" w:color="000000" w:sz="4" w:space="0"/>
              <w:bottom w:val="single" w:color="000000" w:sz="4" w:space="0"/>
              <w:right w:val="single" w:color="000000" w:sz="4" w:space="0"/>
            </w:tcBorders>
          </w:tcPr>
          <w:p w14:paraId="0BE9C2EB">
            <w:pPr>
              <w:pStyle w:val="38"/>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369B3DB4">
            <w:pPr>
              <w:pStyle w:val="38"/>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D3E5AA6">
            <w:pPr>
              <w:pStyle w:val="38"/>
              <w:rPr>
                <w:highlight w:val="none"/>
              </w:rPr>
            </w:pPr>
          </w:p>
        </w:tc>
        <w:tc>
          <w:tcPr>
            <w:tcW w:w="1601" w:type="dxa"/>
            <w:tcBorders>
              <w:top w:val="single" w:color="000000" w:sz="4" w:space="0"/>
              <w:left w:val="single" w:color="000000" w:sz="4" w:space="0"/>
              <w:bottom w:val="single" w:color="000000" w:sz="4" w:space="0"/>
              <w:right w:val="single" w:color="000000" w:sz="4" w:space="0"/>
            </w:tcBorders>
          </w:tcPr>
          <w:p w14:paraId="681DEC00">
            <w:pPr>
              <w:pStyle w:val="38"/>
              <w:rPr>
                <w:highlight w:val="none"/>
              </w:rPr>
            </w:pPr>
          </w:p>
        </w:tc>
        <w:tc>
          <w:tcPr>
            <w:tcW w:w="1530" w:type="dxa"/>
            <w:tcBorders>
              <w:top w:val="single" w:color="000000" w:sz="4" w:space="0"/>
              <w:left w:val="single" w:color="000000" w:sz="4" w:space="0"/>
              <w:bottom w:val="single" w:color="000000" w:sz="4" w:space="0"/>
              <w:right w:val="single" w:color="000000" w:sz="4" w:space="0"/>
            </w:tcBorders>
          </w:tcPr>
          <w:p w14:paraId="469F5D61">
            <w:pPr>
              <w:pStyle w:val="38"/>
              <w:rPr>
                <w:highlight w:val="none"/>
              </w:rPr>
            </w:pPr>
          </w:p>
        </w:tc>
        <w:tc>
          <w:tcPr>
            <w:tcW w:w="1121" w:type="dxa"/>
            <w:tcBorders>
              <w:top w:val="single" w:color="000000" w:sz="4" w:space="0"/>
              <w:left w:val="single" w:color="000000" w:sz="4" w:space="0"/>
              <w:bottom w:val="single" w:color="000000" w:sz="4" w:space="0"/>
              <w:right w:val="single" w:color="000000" w:sz="4" w:space="0"/>
            </w:tcBorders>
          </w:tcPr>
          <w:p w14:paraId="0C63E496">
            <w:pPr>
              <w:pStyle w:val="38"/>
              <w:rPr>
                <w:highlight w:val="none"/>
              </w:rPr>
            </w:pPr>
          </w:p>
        </w:tc>
      </w:tr>
      <w:tr w14:paraId="15737ADE">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09C9EE3B">
            <w:pPr>
              <w:pStyle w:val="38"/>
              <w:rPr>
                <w:highlight w:val="none"/>
              </w:rPr>
            </w:pPr>
            <w:r>
              <w:rPr>
                <w:highlight w:val="none"/>
              </w:rPr>
              <w:t>5</w:t>
            </w:r>
          </w:p>
        </w:tc>
        <w:tc>
          <w:tcPr>
            <w:tcW w:w="2123" w:type="dxa"/>
            <w:tcBorders>
              <w:top w:val="single" w:color="000000" w:sz="4" w:space="0"/>
              <w:left w:val="single" w:color="000000" w:sz="4" w:space="0"/>
              <w:bottom w:val="single" w:color="000000" w:sz="4" w:space="0"/>
              <w:right w:val="single" w:color="000000" w:sz="4" w:space="0"/>
            </w:tcBorders>
          </w:tcPr>
          <w:p w14:paraId="4C8AC20A">
            <w:pPr>
              <w:pStyle w:val="38"/>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168EBE15">
            <w:pPr>
              <w:pStyle w:val="38"/>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BA13A52">
            <w:pPr>
              <w:pStyle w:val="38"/>
              <w:rPr>
                <w:highlight w:val="none"/>
              </w:rPr>
            </w:pPr>
          </w:p>
        </w:tc>
        <w:tc>
          <w:tcPr>
            <w:tcW w:w="1601" w:type="dxa"/>
            <w:tcBorders>
              <w:top w:val="single" w:color="000000" w:sz="4" w:space="0"/>
              <w:left w:val="single" w:color="000000" w:sz="4" w:space="0"/>
              <w:bottom w:val="single" w:color="000000" w:sz="4" w:space="0"/>
              <w:right w:val="single" w:color="000000" w:sz="4" w:space="0"/>
            </w:tcBorders>
          </w:tcPr>
          <w:p w14:paraId="7D3D8EF9">
            <w:pPr>
              <w:pStyle w:val="38"/>
              <w:rPr>
                <w:highlight w:val="none"/>
              </w:rPr>
            </w:pPr>
          </w:p>
        </w:tc>
        <w:tc>
          <w:tcPr>
            <w:tcW w:w="1530" w:type="dxa"/>
            <w:tcBorders>
              <w:top w:val="single" w:color="000000" w:sz="4" w:space="0"/>
              <w:left w:val="single" w:color="000000" w:sz="4" w:space="0"/>
              <w:bottom w:val="single" w:color="000000" w:sz="4" w:space="0"/>
              <w:right w:val="single" w:color="000000" w:sz="4" w:space="0"/>
            </w:tcBorders>
          </w:tcPr>
          <w:p w14:paraId="6398F0FD">
            <w:pPr>
              <w:pStyle w:val="38"/>
              <w:rPr>
                <w:highlight w:val="none"/>
              </w:rPr>
            </w:pPr>
          </w:p>
        </w:tc>
        <w:tc>
          <w:tcPr>
            <w:tcW w:w="1121" w:type="dxa"/>
            <w:tcBorders>
              <w:top w:val="single" w:color="000000" w:sz="4" w:space="0"/>
              <w:left w:val="single" w:color="000000" w:sz="4" w:space="0"/>
              <w:bottom w:val="single" w:color="000000" w:sz="4" w:space="0"/>
              <w:right w:val="single" w:color="000000" w:sz="4" w:space="0"/>
            </w:tcBorders>
          </w:tcPr>
          <w:p w14:paraId="3D2A9A92">
            <w:pPr>
              <w:pStyle w:val="38"/>
              <w:rPr>
                <w:highlight w:val="none"/>
              </w:rPr>
            </w:pPr>
          </w:p>
        </w:tc>
      </w:tr>
      <w:tr w14:paraId="47355149">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25F8CADA">
            <w:pPr>
              <w:pStyle w:val="38"/>
              <w:rPr>
                <w:highlight w:val="none"/>
              </w:rPr>
            </w:pPr>
            <w:r>
              <w:rPr>
                <w:highlight w:val="none"/>
              </w:rPr>
              <w:t>6</w:t>
            </w:r>
          </w:p>
        </w:tc>
        <w:tc>
          <w:tcPr>
            <w:tcW w:w="2123" w:type="dxa"/>
            <w:tcBorders>
              <w:top w:val="single" w:color="000000" w:sz="4" w:space="0"/>
              <w:left w:val="single" w:color="000000" w:sz="4" w:space="0"/>
              <w:bottom w:val="single" w:color="000000" w:sz="4" w:space="0"/>
              <w:right w:val="single" w:color="000000" w:sz="4" w:space="0"/>
            </w:tcBorders>
          </w:tcPr>
          <w:p w14:paraId="40A25D63">
            <w:pPr>
              <w:pStyle w:val="38"/>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14E672ED">
            <w:pPr>
              <w:pStyle w:val="38"/>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5A4245AE">
            <w:pPr>
              <w:pStyle w:val="38"/>
              <w:rPr>
                <w:highlight w:val="none"/>
              </w:rPr>
            </w:pPr>
          </w:p>
        </w:tc>
        <w:tc>
          <w:tcPr>
            <w:tcW w:w="1601" w:type="dxa"/>
            <w:tcBorders>
              <w:top w:val="single" w:color="000000" w:sz="4" w:space="0"/>
              <w:left w:val="single" w:color="000000" w:sz="4" w:space="0"/>
              <w:bottom w:val="single" w:color="000000" w:sz="4" w:space="0"/>
              <w:right w:val="single" w:color="000000" w:sz="4" w:space="0"/>
            </w:tcBorders>
          </w:tcPr>
          <w:p w14:paraId="2EACEE73">
            <w:pPr>
              <w:pStyle w:val="38"/>
              <w:rPr>
                <w:highlight w:val="none"/>
              </w:rPr>
            </w:pPr>
          </w:p>
        </w:tc>
        <w:tc>
          <w:tcPr>
            <w:tcW w:w="1530" w:type="dxa"/>
            <w:tcBorders>
              <w:top w:val="single" w:color="000000" w:sz="4" w:space="0"/>
              <w:left w:val="single" w:color="000000" w:sz="4" w:space="0"/>
              <w:bottom w:val="single" w:color="000000" w:sz="4" w:space="0"/>
              <w:right w:val="single" w:color="000000" w:sz="4" w:space="0"/>
            </w:tcBorders>
          </w:tcPr>
          <w:p w14:paraId="76F2F29D">
            <w:pPr>
              <w:pStyle w:val="38"/>
              <w:rPr>
                <w:highlight w:val="none"/>
              </w:rPr>
            </w:pPr>
          </w:p>
        </w:tc>
        <w:tc>
          <w:tcPr>
            <w:tcW w:w="1121" w:type="dxa"/>
            <w:tcBorders>
              <w:top w:val="single" w:color="000000" w:sz="4" w:space="0"/>
              <w:left w:val="single" w:color="000000" w:sz="4" w:space="0"/>
              <w:bottom w:val="single" w:color="000000" w:sz="4" w:space="0"/>
              <w:right w:val="single" w:color="000000" w:sz="4" w:space="0"/>
            </w:tcBorders>
          </w:tcPr>
          <w:p w14:paraId="3816E3A0">
            <w:pPr>
              <w:pStyle w:val="38"/>
              <w:rPr>
                <w:highlight w:val="none"/>
              </w:rPr>
            </w:pPr>
          </w:p>
        </w:tc>
      </w:tr>
      <w:tr w14:paraId="718BE896">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554E17F6">
            <w:pPr>
              <w:pStyle w:val="38"/>
              <w:rPr>
                <w:highlight w:val="none"/>
              </w:rPr>
            </w:pPr>
            <w:r>
              <w:rPr>
                <w:highlight w:val="none"/>
              </w:rPr>
              <w:t>7</w:t>
            </w:r>
          </w:p>
        </w:tc>
        <w:tc>
          <w:tcPr>
            <w:tcW w:w="2123" w:type="dxa"/>
            <w:tcBorders>
              <w:top w:val="single" w:color="000000" w:sz="4" w:space="0"/>
              <w:left w:val="single" w:color="000000" w:sz="4" w:space="0"/>
              <w:bottom w:val="single" w:color="000000" w:sz="4" w:space="0"/>
              <w:right w:val="single" w:color="000000" w:sz="4" w:space="0"/>
            </w:tcBorders>
          </w:tcPr>
          <w:p w14:paraId="23AA31D2">
            <w:pPr>
              <w:pStyle w:val="38"/>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5D73717A">
            <w:pPr>
              <w:pStyle w:val="38"/>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5C8433F">
            <w:pPr>
              <w:pStyle w:val="38"/>
              <w:rPr>
                <w:highlight w:val="none"/>
              </w:rPr>
            </w:pPr>
          </w:p>
        </w:tc>
        <w:tc>
          <w:tcPr>
            <w:tcW w:w="1601" w:type="dxa"/>
            <w:tcBorders>
              <w:top w:val="single" w:color="000000" w:sz="4" w:space="0"/>
              <w:left w:val="single" w:color="000000" w:sz="4" w:space="0"/>
              <w:bottom w:val="single" w:color="000000" w:sz="4" w:space="0"/>
              <w:right w:val="single" w:color="000000" w:sz="4" w:space="0"/>
            </w:tcBorders>
          </w:tcPr>
          <w:p w14:paraId="6B5F9389">
            <w:pPr>
              <w:pStyle w:val="38"/>
              <w:rPr>
                <w:highlight w:val="none"/>
              </w:rPr>
            </w:pPr>
          </w:p>
        </w:tc>
        <w:tc>
          <w:tcPr>
            <w:tcW w:w="1530" w:type="dxa"/>
            <w:tcBorders>
              <w:top w:val="single" w:color="000000" w:sz="4" w:space="0"/>
              <w:left w:val="single" w:color="000000" w:sz="4" w:space="0"/>
              <w:bottom w:val="single" w:color="000000" w:sz="4" w:space="0"/>
              <w:right w:val="single" w:color="000000" w:sz="4" w:space="0"/>
            </w:tcBorders>
          </w:tcPr>
          <w:p w14:paraId="1579ADA9">
            <w:pPr>
              <w:pStyle w:val="38"/>
              <w:rPr>
                <w:highlight w:val="none"/>
              </w:rPr>
            </w:pPr>
          </w:p>
        </w:tc>
        <w:tc>
          <w:tcPr>
            <w:tcW w:w="1121" w:type="dxa"/>
            <w:tcBorders>
              <w:top w:val="single" w:color="000000" w:sz="4" w:space="0"/>
              <w:left w:val="single" w:color="000000" w:sz="4" w:space="0"/>
              <w:bottom w:val="single" w:color="000000" w:sz="4" w:space="0"/>
              <w:right w:val="single" w:color="000000" w:sz="4" w:space="0"/>
            </w:tcBorders>
          </w:tcPr>
          <w:p w14:paraId="5939406E">
            <w:pPr>
              <w:pStyle w:val="38"/>
              <w:rPr>
                <w:highlight w:val="none"/>
              </w:rPr>
            </w:pPr>
          </w:p>
        </w:tc>
      </w:tr>
      <w:tr w14:paraId="0325A707">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05ACD91D">
            <w:pPr>
              <w:pStyle w:val="38"/>
              <w:rPr>
                <w:highlight w:val="none"/>
              </w:rPr>
            </w:pPr>
            <w:r>
              <w:rPr>
                <w:highlight w:val="none"/>
              </w:rPr>
              <w:t>8</w:t>
            </w:r>
          </w:p>
        </w:tc>
        <w:tc>
          <w:tcPr>
            <w:tcW w:w="2123" w:type="dxa"/>
            <w:tcBorders>
              <w:top w:val="single" w:color="000000" w:sz="4" w:space="0"/>
              <w:left w:val="single" w:color="000000" w:sz="4" w:space="0"/>
              <w:bottom w:val="single" w:color="000000" w:sz="4" w:space="0"/>
              <w:right w:val="single" w:color="000000" w:sz="4" w:space="0"/>
            </w:tcBorders>
          </w:tcPr>
          <w:p w14:paraId="4B593441">
            <w:pPr>
              <w:pStyle w:val="38"/>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786D8C51">
            <w:pPr>
              <w:pStyle w:val="38"/>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0CAA0F9">
            <w:pPr>
              <w:pStyle w:val="38"/>
              <w:rPr>
                <w:highlight w:val="none"/>
              </w:rPr>
            </w:pPr>
          </w:p>
        </w:tc>
        <w:tc>
          <w:tcPr>
            <w:tcW w:w="1601" w:type="dxa"/>
            <w:tcBorders>
              <w:top w:val="single" w:color="000000" w:sz="4" w:space="0"/>
              <w:left w:val="single" w:color="000000" w:sz="4" w:space="0"/>
              <w:bottom w:val="single" w:color="000000" w:sz="4" w:space="0"/>
              <w:right w:val="single" w:color="000000" w:sz="4" w:space="0"/>
            </w:tcBorders>
          </w:tcPr>
          <w:p w14:paraId="7CBD1FCE">
            <w:pPr>
              <w:pStyle w:val="38"/>
              <w:rPr>
                <w:highlight w:val="none"/>
              </w:rPr>
            </w:pPr>
          </w:p>
        </w:tc>
        <w:tc>
          <w:tcPr>
            <w:tcW w:w="1530" w:type="dxa"/>
            <w:tcBorders>
              <w:top w:val="single" w:color="000000" w:sz="4" w:space="0"/>
              <w:left w:val="single" w:color="000000" w:sz="4" w:space="0"/>
              <w:bottom w:val="single" w:color="000000" w:sz="4" w:space="0"/>
              <w:right w:val="single" w:color="000000" w:sz="4" w:space="0"/>
            </w:tcBorders>
          </w:tcPr>
          <w:p w14:paraId="507D29AE">
            <w:pPr>
              <w:pStyle w:val="38"/>
              <w:rPr>
                <w:highlight w:val="none"/>
              </w:rPr>
            </w:pPr>
          </w:p>
        </w:tc>
        <w:tc>
          <w:tcPr>
            <w:tcW w:w="1121" w:type="dxa"/>
            <w:tcBorders>
              <w:top w:val="single" w:color="000000" w:sz="4" w:space="0"/>
              <w:left w:val="single" w:color="000000" w:sz="4" w:space="0"/>
              <w:bottom w:val="single" w:color="000000" w:sz="4" w:space="0"/>
              <w:right w:val="single" w:color="000000" w:sz="4" w:space="0"/>
            </w:tcBorders>
          </w:tcPr>
          <w:p w14:paraId="1FD63605">
            <w:pPr>
              <w:pStyle w:val="38"/>
              <w:rPr>
                <w:highlight w:val="none"/>
              </w:rPr>
            </w:pPr>
          </w:p>
        </w:tc>
      </w:tr>
      <w:tr w14:paraId="1E14BFBB">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34542EC5">
            <w:pPr>
              <w:pStyle w:val="38"/>
              <w:rPr>
                <w:highlight w:val="none"/>
              </w:rPr>
            </w:pPr>
            <w:r>
              <w:rPr>
                <w:highlight w:val="none"/>
              </w:rPr>
              <w:t>9</w:t>
            </w:r>
          </w:p>
        </w:tc>
        <w:tc>
          <w:tcPr>
            <w:tcW w:w="2123" w:type="dxa"/>
            <w:tcBorders>
              <w:top w:val="single" w:color="000000" w:sz="4" w:space="0"/>
              <w:left w:val="single" w:color="000000" w:sz="4" w:space="0"/>
              <w:bottom w:val="single" w:color="000000" w:sz="4" w:space="0"/>
              <w:right w:val="single" w:color="000000" w:sz="4" w:space="0"/>
            </w:tcBorders>
          </w:tcPr>
          <w:p w14:paraId="5955085C">
            <w:pPr>
              <w:pStyle w:val="38"/>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5733655D">
            <w:pPr>
              <w:pStyle w:val="38"/>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17549E15">
            <w:pPr>
              <w:pStyle w:val="38"/>
              <w:rPr>
                <w:highlight w:val="none"/>
              </w:rPr>
            </w:pPr>
          </w:p>
        </w:tc>
        <w:tc>
          <w:tcPr>
            <w:tcW w:w="1601" w:type="dxa"/>
            <w:tcBorders>
              <w:top w:val="single" w:color="000000" w:sz="4" w:space="0"/>
              <w:left w:val="single" w:color="000000" w:sz="4" w:space="0"/>
              <w:bottom w:val="single" w:color="000000" w:sz="4" w:space="0"/>
              <w:right w:val="single" w:color="000000" w:sz="4" w:space="0"/>
            </w:tcBorders>
          </w:tcPr>
          <w:p w14:paraId="062B6470">
            <w:pPr>
              <w:pStyle w:val="38"/>
              <w:rPr>
                <w:highlight w:val="none"/>
              </w:rPr>
            </w:pPr>
          </w:p>
        </w:tc>
        <w:tc>
          <w:tcPr>
            <w:tcW w:w="1530" w:type="dxa"/>
            <w:tcBorders>
              <w:top w:val="single" w:color="000000" w:sz="4" w:space="0"/>
              <w:left w:val="single" w:color="000000" w:sz="4" w:space="0"/>
              <w:bottom w:val="single" w:color="000000" w:sz="4" w:space="0"/>
              <w:right w:val="single" w:color="000000" w:sz="4" w:space="0"/>
            </w:tcBorders>
          </w:tcPr>
          <w:p w14:paraId="3C4180BF">
            <w:pPr>
              <w:pStyle w:val="38"/>
              <w:rPr>
                <w:highlight w:val="none"/>
              </w:rPr>
            </w:pPr>
          </w:p>
        </w:tc>
        <w:tc>
          <w:tcPr>
            <w:tcW w:w="1121" w:type="dxa"/>
            <w:tcBorders>
              <w:top w:val="single" w:color="000000" w:sz="4" w:space="0"/>
              <w:left w:val="single" w:color="000000" w:sz="4" w:space="0"/>
              <w:bottom w:val="single" w:color="000000" w:sz="4" w:space="0"/>
              <w:right w:val="single" w:color="000000" w:sz="4" w:space="0"/>
            </w:tcBorders>
          </w:tcPr>
          <w:p w14:paraId="431D5EE0">
            <w:pPr>
              <w:pStyle w:val="38"/>
              <w:rPr>
                <w:highlight w:val="none"/>
              </w:rPr>
            </w:pPr>
          </w:p>
        </w:tc>
      </w:tr>
      <w:tr w14:paraId="4474B3A4">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6DBA167C">
            <w:pPr>
              <w:pStyle w:val="38"/>
              <w:rPr>
                <w:highlight w:val="none"/>
              </w:rPr>
            </w:pPr>
            <w:r>
              <w:rPr>
                <w:highlight w:val="none"/>
              </w:rPr>
              <w:t>10</w:t>
            </w:r>
          </w:p>
        </w:tc>
        <w:tc>
          <w:tcPr>
            <w:tcW w:w="2123" w:type="dxa"/>
            <w:tcBorders>
              <w:top w:val="single" w:color="000000" w:sz="4" w:space="0"/>
              <w:left w:val="single" w:color="000000" w:sz="4" w:space="0"/>
              <w:bottom w:val="single" w:color="000000" w:sz="4" w:space="0"/>
              <w:right w:val="single" w:color="000000" w:sz="4" w:space="0"/>
            </w:tcBorders>
          </w:tcPr>
          <w:p w14:paraId="4B30D517">
            <w:pPr>
              <w:pStyle w:val="38"/>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15E8EED8">
            <w:pPr>
              <w:pStyle w:val="38"/>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B409BC5">
            <w:pPr>
              <w:pStyle w:val="38"/>
              <w:rPr>
                <w:highlight w:val="none"/>
              </w:rPr>
            </w:pPr>
          </w:p>
        </w:tc>
        <w:tc>
          <w:tcPr>
            <w:tcW w:w="1601" w:type="dxa"/>
            <w:tcBorders>
              <w:top w:val="single" w:color="000000" w:sz="4" w:space="0"/>
              <w:left w:val="single" w:color="000000" w:sz="4" w:space="0"/>
              <w:bottom w:val="single" w:color="000000" w:sz="4" w:space="0"/>
              <w:right w:val="single" w:color="000000" w:sz="4" w:space="0"/>
            </w:tcBorders>
          </w:tcPr>
          <w:p w14:paraId="46252563">
            <w:pPr>
              <w:pStyle w:val="38"/>
              <w:rPr>
                <w:highlight w:val="none"/>
              </w:rPr>
            </w:pPr>
          </w:p>
        </w:tc>
        <w:tc>
          <w:tcPr>
            <w:tcW w:w="1530" w:type="dxa"/>
            <w:tcBorders>
              <w:top w:val="single" w:color="000000" w:sz="4" w:space="0"/>
              <w:left w:val="single" w:color="000000" w:sz="4" w:space="0"/>
              <w:bottom w:val="single" w:color="000000" w:sz="4" w:space="0"/>
              <w:right w:val="single" w:color="000000" w:sz="4" w:space="0"/>
            </w:tcBorders>
          </w:tcPr>
          <w:p w14:paraId="7955E0A3">
            <w:pPr>
              <w:pStyle w:val="38"/>
              <w:rPr>
                <w:highlight w:val="none"/>
              </w:rPr>
            </w:pPr>
          </w:p>
        </w:tc>
        <w:tc>
          <w:tcPr>
            <w:tcW w:w="1121" w:type="dxa"/>
            <w:tcBorders>
              <w:top w:val="single" w:color="000000" w:sz="4" w:space="0"/>
              <w:left w:val="single" w:color="000000" w:sz="4" w:space="0"/>
              <w:bottom w:val="single" w:color="000000" w:sz="4" w:space="0"/>
              <w:right w:val="single" w:color="000000" w:sz="4" w:space="0"/>
            </w:tcBorders>
          </w:tcPr>
          <w:p w14:paraId="5CE6166B">
            <w:pPr>
              <w:pStyle w:val="38"/>
              <w:rPr>
                <w:highlight w:val="none"/>
              </w:rPr>
            </w:pPr>
          </w:p>
        </w:tc>
      </w:tr>
      <w:tr w14:paraId="6386579E">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0DA56DF2">
            <w:pPr>
              <w:pStyle w:val="38"/>
              <w:rPr>
                <w:highlight w:val="none"/>
              </w:rPr>
            </w:pPr>
            <w:r>
              <w:rPr>
                <w:highlight w:val="none"/>
              </w:rPr>
              <w:t>……</w:t>
            </w:r>
          </w:p>
        </w:tc>
        <w:tc>
          <w:tcPr>
            <w:tcW w:w="2123" w:type="dxa"/>
            <w:tcBorders>
              <w:top w:val="single" w:color="000000" w:sz="4" w:space="0"/>
              <w:left w:val="single" w:color="000000" w:sz="4" w:space="0"/>
              <w:bottom w:val="single" w:color="000000" w:sz="4" w:space="0"/>
              <w:right w:val="single" w:color="000000" w:sz="4" w:space="0"/>
            </w:tcBorders>
          </w:tcPr>
          <w:p w14:paraId="1FD6832D">
            <w:pPr>
              <w:pStyle w:val="38"/>
              <w:rPr>
                <w:highlight w:val="none"/>
              </w:rPr>
            </w:pPr>
          </w:p>
        </w:tc>
        <w:tc>
          <w:tcPr>
            <w:tcW w:w="1081" w:type="dxa"/>
            <w:tcBorders>
              <w:top w:val="single" w:color="000000" w:sz="4" w:space="0"/>
              <w:left w:val="single" w:color="000000" w:sz="4" w:space="0"/>
              <w:bottom w:val="single" w:color="000000" w:sz="4" w:space="0"/>
              <w:right w:val="single" w:color="000000" w:sz="4" w:space="0"/>
            </w:tcBorders>
          </w:tcPr>
          <w:p w14:paraId="4096C38E">
            <w:pPr>
              <w:pStyle w:val="38"/>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04B482C">
            <w:pPr>
              <w:pStyle w:val="38"/>
              <w:rPr>
                <w:highlight w:val="none"/>
              </w:rPr>
            </w:pPr>
          </w:p>
        </w:tc>
        <w:tc>
          <w:tcPr>
            <w:tcW w:w="1601" w:type="dxa"/>
            <w:tcBorders>
              <w:top w:val="single" w:color="000000" w:sz="4" w:space="0"/>
              <w:left w:val="single" w:color="000000" w:sz="4" w:space="0"/>
              <w:bottom w:val="single" w:color="000000" w:sz="4" w:space="0"/>
              <w:right w:val="single" w:color="000000" w:sz="4" w:space="0"/>
            </w:tcBorders>
          </w:tcPr>
          <w:p w14:paraId="49113A2E">
            <w:pPr>
              <w:pStyle w:val="38"/>
              <w:rPr>
                <w:highlight w:val="none"/>
              </w:rPr>
            </w:pPr>
          </w:p>
        </w:tc>
        <w:tc>
          <w:tcPr>
            <w:tcW w:w="1530" w:type="dxa"/>
            <w:tcBorders>
              <w:top w:val="single" w:color="000000" w:sz="4" w:space="0"/>
              <w:left w:val="single" w:color="000000" w:sz="4" w:space="0"/>
              <w:bottom w:val="single" w:color="000000" w:sz="4" w:space="0"/>
              <w:right w:val="single" w:color="000000" w:sz="4" w:space="0"/>
            </w:tcBorders>
          </w:tcPr>
          <w:p w14:paraId="166A314C">
            <w:pPr>
              <w:pStyle w:val="38"/>
              <w:rPr>
                <w:highlight w:val="none"/>
              </w:rPr>
            </w:pPr>
          </w:p>
        </w:tc>
        <w:tc>
          <w:tcPr>
            <w:tcW w:w="1121" w:type="dxa"/>
            <w:tcBorders>
              <w:top w:val="single" w:color="000000" w:sz="4" w:space="0"/>
              <w:left w:val="single" w:color="000000" w:sz="4" w:space="0"/>
              <w:bottom w:val="single" w:color="000000" w:sz="4" w:space="0"/>
              <w:right w:val="single" w:color="000000" w:sz="4" w:space="0"/>
            </w:tcBorders>
          </w:tcPr>
          <w:p w14:paraId="2C68597F">
            <w:pPr>
              <w:pStyle w:val="38"/>
              <w:rPr>
                <w:highlight w:val="none"/>
              </w:rPr>
            </w:pPr>
          </w:p>
        </w:tc>
      </w:tr>
    </w:tbl>
    <w:p w14:paraId="6EB37203">
      <w:pPr>
        <w:ind w:firstLine="0" w:firstLineChars="0"/>
        <w:jc w:val="center"/>
        <w:rPr>
          <w:highlight w:val="none"/>
          <w:lang w:val="zh-CN"/>
        </w:rPr>
      </w:pPr>
    </w:p>
    <w:p w14:paraId="4E6412C7">
      <w:pPr>
        <w:pStyle w:val="14"/>
        <w:ind w:left="480" w:firstLine="480"/>
        <w:rPr>
          <w:highlight w:val="none"/>
          <w:lang w:val="zh-CN"/>
        </w:rPr>
      </w:pPr>
    </w:p>
    <w:p w14:paraId="5E8BDE40">
      <w:pPr>
        <w:ind w:firstLine="480"/>
        <w:rPr>
          <w:highlight w:val="none"/>
          <w:lang w:val="zh-CN"/>
        </w:rPr>
      </w:pPr>
    </w:p>
    <w:p w14:paraId="3FF6DD46">
      <w:pPr>
        <w:ind w:firstLine="480"/>
        <w:rPr>
          <w:highlight w:val="none"/>
        </w:rPr>
      </w:pPr>
      <w:r>
        <w:rPr>
          <w:highlight w:val="none"/>
        </w:rPr>
        <w:t xml:space="preserve">供应商全称（盖单位公章）：                             </w:t>
      </w:r>
    </w:p>
    <w:p w14:paraId="7DD66A5F">
      <w:pPr>
        <w:ind w:firstLine="480"/>
        <w:rPr>
          <w:highlight w:val="none"/>
        </w:rPr>
      </w:pPr>
      <w:r>
        <w:rPr>
          <w:rFonts w:hint="eastAsia"/>
          <w:highlight w:val="none"/>
          <w:lang w:val="zh-CN"/>
        </w:rPr>
        <w:t>法定代表人或授权委托人（签字或盖章）：</w:t>
      </w:r>
    </w:p>
    <w:p w14:paraId="1A5DBE0D">
      <w:pPr>
        <w:ind w:firstLine="480"/>
        <w:rPr>
          <w:highlight w:val="none"/>
        </w:rPr>
      </w:pPr>
      <w:r>
        <w:rPr>
          <w:highlight w:val="none"/>
        </w:rPr>
        <w:t>日期：</w:t>
      </w:r>
      <w:r>
        <w:rPr>
          <w:rFonts w:hint="eastAsia"/>
          <w:highlight w:val="none"/>
        </w:rPr>
        <w:t xml:space="preserve">   年   月  日</w:t>
      </w:r>
    </w:p>
    <w:p w14:paraId="009CFCEA">
      <w:pPr>
        <w:widowControl/>
        <w:spacing w:line="240" w:lineRule="auto"/>
        <w:ind w:firstLine="0" w:firstLineChars="0"/>
        <w:jc w:val="left"/>
        <w:rPr>
          <w:rFonts w:ascii="宋体" w:hAnsi="宋体" w:cs="Arial"/>
          <w:spacing w:val="20"/>
          <w:szCs w:val="21"/>
          <w:highlight w:val="none"/>
        </w:rPr>
      </w:pPr>
      <w:r>
        <w:rPr>
          <w:sz w:val="21"/>
          <w:szCs w:val="21"/>
          <w:highlight w:val="none"/>
        </w:rPr>
        <w:br w:type="page"/>
      </w:r>
    </w:p>
    <w:p w14:paraId="536A1064">
      <w:pPr>
        <w:bidi w:val="0"/>
        <w:rPr>
          <w:rFonts w:hint="eastAsia"/>
          <w:highlight w:val="none"/>
          <w:lang w:val="en-US" w:eastAsia="zh-CN"/>
        </w:rPr>
      </w:pPr>
      <w:bookmarkStart w:id="541" w:name="_Toc462229891"/>
      <w:bookmarkStart w:id="542" w:name="_Toc350453720"/>
      <w:bookmarkStart w:id="543" w:name="_Toc427610950"/>
      <w:bookmarkStart w:id="544" w:name="_Toc336683581"/>
      <w:bookmarkStart w:id="545" w:name="_Toc345575543"/>
    </w:p>
    <w:p w14:paraId="3DA8B0D0">
      <w:pPr>
        <w:bidi w:val="0"/>
        <w:rPr>
          <w:rFonts w:hint="eastAsia"/>
          <w:highlight w:val="none"/>
          <w:lang w:val="en-US" w:eastAsia="zh-CN"/>
        </w:rPr>
      </w:pPr>
    </w:p>
    <w:p w14:paraId="218289E4">
      <w:pPr>
        <w:bidi w:val="0"/>
        <w:rPr>
          <w:rFonts w:hint="eastAsia"/>
          <w:highlight w:val="none"/>
          <w:lang w:val="en-US" w:eastAsia="zh-CN"/>
        </w:rPr>
      </w:pPr>
    </w:p>
    <w:p w14:paraId="1A9EDF9D">
      <w:pPr>
        <w:bidi w:val="0"/>
        <w:rPr>
          <w:rFonts w:hint="eastAsia"/>
          <w:highlight w:val="none"/>
          <w:lang w:val="en-US" w:eastAsia="zh-CN"/>
        </w:rPr>
      </w:pPr>
    </w:p>
    <w:p w14:paraId="39B0147C">
      <w:pPr>
        <w:pStyle w:val="4"/>
        <w:bidi w:val="0"/>
        <w:ind w:left="0" w:leftChars="0" w:firstLine="0" w:firstLineChars="0"/>
        <w:jc w:val="center"/>
        <w:rPr>
          <w:rFonts w:hint="default"/>
          <w:highlight w:val="none"/>
          <w:lang w:val="en-US"/>
        </w:rPr>
      </w:pPr>
      <w:bookmarkStart w:id="546" w:name="_Toc30466"/>
      <w:r>
        <w:rPr>
          <w:rFonts w:hint="eastAsia"/>
          <w:highlight w:val="none"/>
          <w:lang w:val="en-US" w:eastAsia="zh-CN"/>
        </w:rPr>
        <w:t>报价文件</w:t>
      </w:r>
      <w:bookmarkEnd w:id="546"/>
    </w:p>
    <w:p w14:paraId="057848B1">
      <w:pPr>
        <w:ind w:left="1296" w:leftChars="540" w:firstLine="480"/>
        <w:rPr>
          <w:rFonts w:ascii="Arial" w:hAnsi="Arial" w:cs="Arial"/>
          <w:kern w:val="0"/>
          <w:szCs w:val="21"/>
          <w:highlight w:val="none"/>
        </w:rPr>
      </w:pPr>
    </w:p>
    <w:p w14:paraId="400F02BE">
      <w:pPr>
        <w:ind w:left="1296" w:leftChars="540" w:firstLine="400"/>
        <w:rPr>
          <w:rFonts w:ascii="Arial" w:hAnsi="Arial" w:cs="Arial"/>
          <w:kern w:val="0"/>
          <w:sz w:val="20"/>
          <w:highlight w:val="none"/>
        </w:rPr>
      </w:pPr>
    </w:p>
    <w:p w14:paraId="368A3162">
      <w:pPr>
        <w:ind w:firstLine="1200" w:firstLineChars="500"/>
        <w:rPr>
          <w:rFonts w:ascii="宋体" w:hAnsi="宋体"/>
          <w:sz w:val="24"/>
          <w:szCs w:val="24"/>
          <w:highlight w:val="none"/>
        </w:rPr>
      </w:pPr>
      <w:r>
        <w:rPr>
          <w:rFonts w:hint="eastAsia" w:ascii="宋体" w:hAnsi="宋体"/>
          <w:sz w:val="24"/>
          <w:szCs w:val="24"/>
          <w:highlight w:val="none"/>
        </w:rPr>
        <w:t>项目编号：</w:t>
      </w:r>
    </w:p>
    <w:p w14:paraId="3B4E1CF7">
      <w:pPr>
        <w:ind w:firstLine="1200" w:firstLineChars="500"/>
        <w:rPr>
          <w:rFonts w:ascii="宋体" w:hAnsi="宋体"/>
          <w:sz w:val="24"/>
          <w:szCs w:val="24"/>
          <w:highlight w:val="none"/>
        </w:rPr>
      </w:pPr>
      <w:r>
        <w:rPr>
          <w:rFonts w:hint="eastAsia" w:ascii="宋体" w:hAnsi="宋体"/>
          <w:sz w:val="24"/>
          <w:szCs w:val="24"/>
          <w:highlight w:val="none"/>
        </w:rPr>
        <w:t>项目名称：</w:t>
      </w:r>
    </w:p>
    <w:p w14:paraId="62FD4FE0">
      <w:pPr>
        <w:ind w:firstLine="1200" w:firstLineChars="500"/>
        <w:rPr>
          <w:rFonts w:ascii="宋体" w:hAnsi="宋体"/>
          <w:sz w:val="24"/>
          <w:szCs w:val="24"/>
          <w:highlight w:val="none"/>
        </w:rPr>
      </w:pPr>
    </w:p>
    <w:p w14:paraId="4B1779DF">
      <w:pPr>
        <w:ind w:firstLine="1200" w:firstLineChars="500"/>
        <w:rPr>
          <w:rFonts w:ascii="宋体" w:hAnsi="宋体"/>
          <w:sz w:val="24"/>
          <w:szCs w:val="24"/>
          <w:highlight w:val="none"/>
        </w:rPr>
      </w:pPr>
    </w:p>
    <w:p w14:paraId="6AC39129">
      <w:pPr>
        <w:ind w:left="1296" w:leftChars="540" w:firstLine="400"/>
        <w:rPr>
          <w:rFonts w:ascii="Arial" w:hAnsi="Arial" w:cs="Arial"/>
          <w:kern w:val="0"/>
          <w:sz w:val="24"/>
          <w:szCs w:val="24"/>
          <w:highlight w:val="none"/>
        </w:rPr>
      </w:pPr>
    </w:p>
    <w:p w14:paraId="5128FA40">
      <w:pPr>
        <w:ind w:left="1296" w:leftChars="540" w:firstLine="400"/>
        <w:rPr>
          <w:rFonts w:ascii="Arial" w:hAnsi="Arial" w:cs="Arial"/>
          <w:kern w:val="0"/>
          <w:sz w:val="24"/>
          <w:szCs w:val="24"/>
          <w:highlight w:val="none"/>
        </w:rPr>
      </w:pPr>
    </w:p>
    <w:p w14:paraId="6F7D454C">
      <w:pPr>
        <w:ind w:left="1296" w:leftChars="540" w:firstLine="400"/>
        <w:rPr>
          <w:rFonts w:ascii="Arial" w:hAnsi="Arial" w:cs="Arial"/>
          <w:kern w:val="0"/>
          <w:sz w:val="24"/>
          <w:szCs w:val="24"/>
          <w:highlight w:val="none"/>
        </w:rPr>
      </w:pPr>
    </w:p>
    <w:p w14:paraId="7F038F9E">
      <w:pPr>
        <w:ind w:left="1296" w:leftChars="540" w:firstLine="400"/>
        <w:rPr>
          <w:rFonts w:ascii="Arial" w:hAnsi="Arial" w:cs="Arial"/>
          <w:kern w:val="0"/>
          <w:sz w:val="24"/>
          <w:szCs w:val="24"/>
          <w:highlight w:val="none"/>
        </w:rPr>
      </w:pPr>
    </w:p>
    <w:p w14:paraId="66B16710">
      <w:pPr>
        <w:ind w:left="1296" w:leftChars="540" w:firstLine="400"/>
        <w:rPr>
          <w:rFonts w:ascii="Arial" w:hAnsi="Arial" w:cs="Arial"/>
          <w:kern w:val="0"/>
          <w:sz w:val="24"/>
          <w:szCs w:val="24"/>
          <w:highlight w:val="none"/>
        </w:rPr>
      </w:pPr>
    </w:p>
    <w:p w14:paraId="65BB1B4C">
      <w:pPr>
        <w:ind w:left="1296" w:leftChars="540" w:firstLine="400"/>
        <w:rPr>
          <w:rFonts w:ascii="Arial" w:hAnsi="Arial" w:cs="Arial"/>
          <w:kern w:val="0"/>
          <w:sz w:val="24"/>
          <w:szCs w:val="24"/>
          <w:highlight w:val="none"/>
        </w:rPr>
      </w:pPr>
    </w:p>
    <w:p w14:paraId="61342538">
      <w:pPr>
        <w:ind w:firstLine="480"/>
        <w:rPr>
          <w:highlight w:val="none"/>
        </w:rPr>
      </w:pPr>
      <w:r>
        <w:rPr>
          <w:highlight w:val="none"/>
        </w:rPr>
        <w:t xml:space="preserve">供应商全称（盖单位公章）：                             </w:t>
      </w:r>
    </w:p>
    <w:p w14:paraId="315F9D8D">
      <w:pPr>
        <w:ind w:firstLine="480"/>
        <w:rPr>
          <w:highlight w:val="none"/>
        </w:rPr>
      </w:pPr>
      <w:r>
        <w:rPr>
          <w:rFonts w:hint="eastAsia"/>
          <w:highlight w:val="none"/>
          <w:lang w:val="zh-CN"/>
        </w:rPr>
        <w:t>法定代表人或授权委托人（签字或盖章）：</w:t>
      </w:r>
    </w:p>
    <w:p w14:paraId="3F1DA9F8">
      <w:pPr>
        <w:rPr>
          <w:rFonts w:ascii="宋体" w:hAnsi="宋体"/>
          <w:sz w:val="21"/>
          <w:szCs w:val="21"/>
          <w:highlight w:val="none"/>
        </w:rPr>
      </w:pPr>
      <w:r>
        <w:rPr>
          <w:highlight w:val="none"/>
        </w:rPr>
        <w:t>日期：</w:t>
      </w:r>
      <w:r>
        <w:rPr>
          <w:rFonts w:hint="eastAsia"/>
          <w:highlight w:val="none"/>
        </w:rPr>
        <w:t xml:space="preserve">   年   月  日</w:t>
      </w:r>
    </w:p>
    <w:p w14:paraId="29697F94">
      <w:pPr>
        <w:rPr>
          <w:rFonts w:hint="eastAsia"/>
          <w:highlight w:val="none"/>
        </w:rPr>
      </w:pPr>
      <w:r>
        <w:rPr>
          <w:rFonts w:hint="eastAsia"/>
          <w:highlight w:val="none"/>
        </w:rPr>
        <w:br w:type="page"/>
      </w:r>
    </w:p>
    <w:p w14:paraId="13624235">
      <w:pPr>
        <w:ind w:firstLine="480"/>
        <w:rPr>
          <w:rFonts w:hint="eastAsia" w:eastAsia="宋体"/>
          <w:highlight w:val="none"/>
          <w:lang w:eastAsia="zh-CN"/>
        </w:rPr>
      </w:pPr>
      <w:r>
        <w:rPr>
          <w:rFonts w:hint="eastAsia"/>
          <w:highlight w:val="none"/>
        </w:rPr>
        <w:t>附件</w:t>
      </w:r>
      <w:bookmarkEnd w:id="541"/>
      <w:bookmarkEnd w:id="542"/>
      <w:bookmarkEnd w:id="543"/>
      <w:bookmarkEnd w:id="544"/>
      <w:bookmarkEnd w:id="545"/>
      <w:r>
        <w:rPr>
          <w:rFonts w:hint="eastAsia"/>
          <w:highlight w:val="none"/>
          <w:lang w:val="en-US" w:eastAsia="zh-CN"/>
        </w:rPr>
        <w:t>6</w:t>
      </w:r>
    </w:p>
    <w:p w14:paraId="099EE63C">
      <w:pPr>
        <w:pStyle w:val="5"/>
        <w:ind w:firstLine="643"/>
        <w:jc w:val="center"/>
        <w:rPr>
          <w:highlight w:val="none"/>
        </w:rPr>
      </w:pPr>
      <w:bookmarkStart w:id="547" w:name="_Toc26596"/>
      <w:bookmarkStart w:id="548" w:name="_Toc15976"/>
      <w:bookmarkStart w:id="549" w:name="_Toc29121"/>
      <w:bookmarkStart w:id="550" w:name="_Toc24686"/>
      <w:bookmarkStart w:id="551" w:name="_Toc18933"/>
      <w:bookmarkStart w:id="552" w:name="_Toc14959"/>
      <w:bookmarkStart w:id="553" w:name="_Toc2822"/>
      <w:bookmarkStart w:id="554" w:name="_Toc17918"/>
      <w:r>
        <w:rPr>
          <w:rFonts w:hint="eastAsia"/>
          <w:highlight w:val="none"/>
        </w:rPr>
        <w:t>报价一览表</w:t>
      </w:r>
      <w:bookmarkEnd w:id="547"/>
      <w:bookmarkEnd w:id="548"/>
      <w:bookmarkEnd w:id="549"/>
      <w:bookmarkEnd w:id="550"/>
      <w:bookmarkEnd w:id="551"/>
      <w:bookmarkEnd w:id="552"/>
      <w:bookmarkEnd w:id="553"/>
      <w:bookmarkEnd w:id="554"/>
    </w:p>
    <w:p w14:paraId="01835A33">
      <w:pPr>
        <w:ind w:left="1680" w:leftChars="200" w:hanging="1200" w:hangingChars="500"/>
        <w:rPr>
          <w:rFonts w:hint="eastAsia" w:eastAsia="宋体"/>
          <w:highlight w:val="none"/>
          <w:lang w:eastAsia="zh-CN"/>
        </w:rPr>
      </w:pPr>
      <w:r>
        <w:rPr>
          <w:highlight w:val="none"/>
        </w:rPr>
        <w:t>项目名称</w:t>
      </w:r>
      <w:r>
        <w:rPr>
          <w:rFonts w:hint="eastAsia"/>
          <w:highlight w:val="none"/>
        </w:rPr>
        <w:t>：</w:t>
      </w:r>
      <w:r>
        <w:rPr>
          <w:rFonts w:hint="eastAsia"/>
          <w:highlight w:val="none"/>
          <w:u w:val="single"/>
          <w:lang w:val="en-US" w:eastAsia="zh-CN"/>
        </w:rPr>
        <w:t>龙游县电子政务外网网络数据安全运维服务项目（2025年）</w:t>
      </w:r>
    </w:p>
    <w:p w14:paraId="0BD7571F">
      <w:pPr>
        <w:ind w:firstLine="480"/>
        <w:rPr>
          <w:rFonts w:hint="eastAsia" w:eastAsia="宋体"/>
          <w:highlight w:val="none"/>
          <w:lang w:eastAsia="zh-CN"/>
        </w:rPr>
      </w:pPr>
      <w:r>
        <w:rPr>
          <w:highlight w:val="none"/>
        </w:rPr>
        <w:t>项目编号</w:t>
      </w:r>
      <w:r>
        <w:rPr>
          <w:rFonts w:hint="eastAsia"/>
          <w:highlight w:val="none"/>
        </w:rPr>
        <w:t>：</w:t>
      </w:r>
      <w:r>
        <w:rPr>
          <w:rFonts w:hint="eastAsia"/>
          <w:highlight w:val="none"/>
          <w:u w:val="single"/>
          <w:lang w:eastAsia="zh-CN"/>
        </w:rPr>
        <w:t>LYJY2025006</w:t>
      </w:r>
    </w:p>
    <w:p w14:paraId="4A8B811D">
      <w:pPr>
        <w:ind w:firstLine="480"/>
        <w:rPr>
          <w:highlight w:val="none"/>
        </w:rPr>
      </w:pPr>
    </w:p>
    <w:tbl>
      <w:tblPr>
        <w:tblStyle w:val="26"/>
        <w:tblW w:w="8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36"/>
        <w:gridCol w:w="953"/>
        <w:gridCol w:w="2930"/>
      </w:tblGrid>
      <w:tr w14:paraId="7F768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exact"/>
          <w:jc w:val="center"/>
        </w:trPr>
        <w:tc>
          <w:tcPr>
            <w:tcW w:w="4636" w:type="dxa"/>
            <w:tcBorders>
              <w:top w:val="single" w:color="auto" w:sz="4" w:space="0"/>
              <w:left w:val="single" w:color="auto" w:sz="4" w:space="0"/>
              <w:bottom w:val="single" w:color="auto" w:sz="4" w:space="0"/>
              <w:right w:val="single" w:color="auto" w:sz="4" w:space="0"/>
            </w:tcBorders>
            <w:vAlign w:val="center"/>
          </w:tcPr>
          <w:p w14:paraId="2E0A7FFB">
            <w:pPr>
              <w:pStyle w:val="38"/>
              <w:rPr>
                <w:highlight w:val="none"/>
              </w:rPr>
            </w:pPr>
            <w:r>
              <w:rPr>
                <w:rFonts w:hint="eastAsia"/>
                <w:highlight w:val="none"/>
              </w:rPr>
              <w:t>项目名称</w:t>
            </w:r>
          </w:p>
        </w:tc>
        <w:tc>
          <w:tcPr>
            <w:tcW w:w="953" w:type="dxa"/>
            <w:tcBorders>
              <w:top w:val="single" w:color="auto" w:sz="4" w:space="0"/>
              <w:left w:val="single" w:color="auto" w:sz="4" w:space="0"/>
              <w:bottom w:val="single" w:color="auto" w:sz="4" w:space="0"/>
              <w:right w:val="single" w:color="auto" w:sz="4" w:space="0"/>
            </w:tcBorders>
            <w:vAlign w:val="center"/>
          </w:tcPr>
          <w:p w14:paraId="3A4DFE20">
            <w:pPr>
              <w:pStyle w:val="38"/>
              <w:rPr>
                <w:highlight w:val="none"/>
              </w:rPr>
            </w:pPr>
            <w:r>
              <w:rPr>
                <w:rFonts w:hint="eastAsia"/>
                <w:highlight w:val="none"/>
              </w:rPr>
              <w:t>数量</w:t>
            </w:r>
          </w:p>
        </w:tc>
        <w:tc>
          <w:tcPr>
            <w:tcW w:w="2930" w:type="dxa"/>
            <w:tcBorders>
              <w:top w:val="single" w:color="auto" w:sz="4" w:space="0"/>
              <w:left w:val="single" w:color="auto" w:sz="4" w:space="0"/>
              <w:bottom w:val="single" w:color="auto" w:sz="4" w:space="0"/>
              <w:right w:val="single" w:color="auto" w:sz="4" w:space="0"/>
            </w:tcBorders>
            <w:vAlign w:val="center"/>
          </w:tcPr>
          <w:p w14:paraId="0FC9B511">
            <w:pPr>
              <w:pStyle w:val="38"/>
              <w:rPr>
                <w:rFonts w:hint="default" w:eastAsia="宋体"/>
                <w:highlight w:val="none"/>
                <w:lang w:val="en-US" w:eastAsia="zh-CN"/>
              </w:rPr>
            </w:pPr>
            <w:r>
              <w:rPr>
                <w:rFonts w:hint="eastAsia"/>
                <w:highlight w:val="none"/>
                <w:lang w:val="en-US" w:eastAsia="zh-CN"/>
              </w:rPr>
              <w:t>投标报价/元</w:t>
            </w:r>
          </w:p>
        </w:tc>
      </w:tr>
      <w:tr w14:paraId="5E81D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exact"/>
          <w:jc w:val="center"/>
        </w:trPr>
        <w:tc>
          <w:tcPr>
            <w:tcW w:w="4636" w:type="dxa"/>
            <w:tcBorders>
              <w:top w:val="single" w:color="auto" w:sz="4" w:space="0"/>
              <w:left w:val="single" w:color="auto" w:sz="4" w:space="0"/>
              <w:bottom w:val="single" w:color="auto" w:sz="4" w:space="0"/>
              <w:right w:val="single" w:color="auto" w:sz="4" w:space="0"/>
            </w:tcBorders>
            <w:vAlign w:val="center"/>
          </w:tcPr>
          <w:p w14:paraId="3A672F35">
            <w:pPr>
              <w:pStyle w:val="38"/>
              <w:rPr>
                <w:rFonts w:hint="eastAsia" w:eastAsia="宋体"/>
                <w:highlight w:val="none"/>
                <w:lang w:eastAsia="zh-CN"/>
              </w:rPr>
            </w:pPr>
            <w:r>
              <w:rPr>
                <w:rFonts w:hint="eastAsia"/>
                <w:highlight w:val="none"/>
                <w:lang w:val="en-US" w:eastAsia="zh-CN"/>
              </w:rPr>
              <w:t>龙游县电子政务外网网络数据安全运维服务项目（2025年）</w:t>
            </w:r>
          </w:p>
        </w:tc>
        <w:tc>
          <w:tcPr>
            <w:tcW w:w="953" w:type="dxa"/>
            <w:tcBorders>
              <w:top w:val="single" w:color="auto" w:sz="4" w:space="0"/>
              <w:left w:val="single" w:color="auto" w:sz="4" w:space="0"/>
              <w:bottom w:val="single" w:color="auto" w:sz="4" w:space="0"/>
              <w:right w:val="single" w:color="auto" w:sz="4" w:space="0"/>
            </w:tcBorders>
            <w:vAlign w:val="center"/>
          </w:tcPr>
          <w:p w14:paraId="6E19E19A">
            <w:pPr>
              <w:pStyle w:val="38"/>
              <w:rPr>
                <w:highlight w:val="none"/>
              </w:rPr>
            </w:pPr>
            <w:r>
              <w:rPr>
                <w:rFonts w:hint="eastAsia"/>
                <w:highlight w:val="none"/>
              </w:rPr>
              <w:t>1</w:t>
            </w:r>
          </w:p>
        </w:tc>
        <w:tc>
          <w:tcPr>
            <w:tcW w:w="2930" w:type="dxa"/>
            <w:tcBorders>
              <w:top w:val="single" w:color="auto" w:sz="4" w:space="0"/>
              <w:left w:val="single" w:color="auto" w:sz="4" w:space="0"/>
              <w:bottom w:val="single" w:color="auto" w:sz="4" w:space="0"/>
              <w:right w:val="single" w:color="auto" w:sz="4" w:space="0"/>
            </w:tcBorders>
            <w:vAlign w:val="center"/>
          </w:tcPr>
          <w:p w14:paraId="0AB13A65">
            <w:pPr>
              <w:pStyle w:val="38"/>
              <w:rPr>
                <w:highlight w:val="none"/>
              </w:rPr>
            </w:pPr>
            <w:r>
              <w:rPr>
                <w:rFonts w:hint="eastAsia"/>
                <w:highlight w:val="none"/>
              </w:rPr>
              <w:t>小写：       元</w:t>
            </w:r>
          </w:p>
          <w:p w14:paraId="53365C1E">
            <w:pPr>
              <w:pStyle w:val="38"/>
              <w:rPr>
                <w:highlight w:val="none"/>
              </w:rPr>
            </w:pPr>
          </w:p>
          <w:p w14:paraId="04646C09">
            <w:pPr>
              <w:pStyle w:val="38"/>
              <w:rPr>
                <w:highlight w:val="none"/>
              </w:rPr>
            </w:pPr>
            <w:r>
              <w:rPr>
                <w:rFonts w:hint="eastAsia"/>
                <w:highlight w:val="none"/>
              </w:rPr>
              <w:t>大写：</w:t>
            </w:r>
            <w:r>
              <w:rPr>
                <w:rFonts w:hint="eastAsia"/>
                <w:highlight w:val="none"/>
                <w:lang w:val="en-US"/>
              </w:rPr>
              <w:t xml:space="preserve">       元</w:t>
            </w:r>
          </w:p>
        </w:tc>
      </w:tr>
    </w:tbl>
    <w:p w14:paraId="261F7F54">
      <w:pPr>
        <w:pStyle w:val="14"/>
        <w:ind w:left="480"/>
        <w:rPr>
          <w:rFonts w:ascii="宋体" w:hAnsi="宋体" w:cs="宋体"/>
          <w:sz w:val="21"/>
          <w:szCs w:val="21"/>
          <w:highlight w:val="none"/>
          <w:u w:val="single"/>
        </w:rPr>
      </w:pPr>
    </w:p>
    <w:p w14:paraId="163F55BE">
      <w:pPr>
        <w:ind w:firstLine="480"/>
        <w:rPr>
          <w:highlight w:val="none"/>
          <w:lang w:val="zh-CN"/>
        </w:rPr>
      </w:pPr>
      <w:r>
        <w:rPr>
          <w:rFonts w:hint="eastAsia"/>
          <w:highlight w:val="none"/>
          <w:lang w:val="zh-CN"/>
        </w:rPr>
        <w:t>注：</w:t>
      </w:r>
    </w:p>
    <w:p w14:paraId="570EC37B">
      <w:pPr>
        <w:ind w:firstLine="480"/>
        <w:rPr>
          <w:highlight w:val="none"/>
          <w:lang w:val="zh-CN"/>
        </w:rPr>
      </w:pPr>
      <w:r>
        <w:rPr>
          <w:rFonts w:hint="eastAsia"/>
          <w:highlight w:val="none"/>
          <w:lang w:val="zh-CN"/>
        </w:rPr>
        <w:t>1</w:t>
      </w:r>
      <w:r>
        <w:rPr>
          <w:rFonts w:hint="eastAsia"/>
          <w:highlight w:val="none"/>
        </w:rPr>
        <w:t>.</w:t>
      </w:r>
      <w:r>
        <w:rPr>
          <w:rFonts w:hint="eastAsia"/>
          <w:highlight w:val="none"/>
          <w:lang w:val="zh-CN"/>
        </w:rPr>
        <w:t>本表由磋商响应供应商填写。供磋商小组参考所用。</w:t>
      </w:r>
      <w:r>
        <w:rPr>
          <w:rFonts w:hint="eastAsia"/>
          <w:highlight w:val="none"/>
        </w:rPr>
        <w:t>▲报价填写必须为印刷体打印</w:t>
      </w:r>
      <w:r>
        <w:rPr>
          <w:rFonts w:hint="eastAsia"/>
          <w:highlight w:val="none"/>
          <w:lang w:eastAsia="zh-CN"/>
        </w:rPr>
        <w:t>，</w:t>
      </w:r>
      <w:r>
        <w:rPr>
          <w:rFonts w:hint="eastAsia"/>
          <w:highlight w:val="none"/>
        </w:rPr>
        <w:t>手写无效报价</w:t>
      </w:r>
      <w:r>
        <w:rPr>
          <w:rFonts w:hint="eastAsia"/>
          <w:highlight w:val="none"/>
          <w:lang w:val="zh-CN"/>
        </w:rPr>
        <w:t>。</w:t>
      </w:r>
    </w:p>
    <w:p w14:paraId="0BE12673">
      <w:pPr>
        <w:ind w:firstLine="480"/>
        <w:rPr>
          <w:highlight w:val="none"/>
          <w:lang w:val="zh-CN"/>
        </w:rPr>
      </w:pPr>
      <w:r>
        <w:rPr>
          <w:rFonts w:hint="eastAsia"/>
          <w:highlight w:val="none"/>
          <w:lang w:val="zh-CN"/>
        </w:rPr>
        <w:t>2</w:t>
      </w:r>
      <w:r>
        <w:rPr>
          <w:rFonts w:hint="eastAsia"/>
          <w:highlight w:val="none"/>
        </w:rPr>
        <w:t>.</w:t>
      </w:r>
      <w:r>
        <w:rPr>
          <w:rFonts w:hint="eastAsia"/>
          <w:highlight w:val="none"/>
          <w:lang w:val="zh-CN"/>
        </w:rPr>
        <w:t>本表中的报价为总报价，包含项目实施全过程所涉及的全部费用以及合理的利润、税金、招标代理服务费、风险等其他一切费用。</w:t>
      </w:r>
    </w:p>
    <w:p w14:paraId="436B2CBF">
      <w:pPr>
        <w:ind w:firstLine="480"/>
        <w:rPr>
          <w:highlight w:val="none"/>
          <w:lang w:val="zh-CN"/>
        </w:rPr>
      </w:pPr>
      <w:r>
        <w:rPr>
          <w:rFonts w:hint="eastAsia"/>
          <w:highlight w:val="none"/>
          <w:lang w:val="zh-CN"/>
        </w:rPr>
        <w:t>3</w:t>
      </w:r>
      <w:r>
        <w:rPr>
          <w:rFonts w:hint="eastAsia"/>
          <w:highlight w:val="none"/>
        </w:rPr>
        <w:t>.</w:t>
      </w:r>
      <w:r>
        <w:rPr>
          <w:rFonts w:hint="eastAsia"/>
          <w:highlight w:val="none"/>
          <w:lang w:val="zh-CN"/>
        </w:rPr>
        <w:t>本次报价仅做磋商参考，不做成交依据。</w:t>
      </w:r>
    </w:p>
    <w:p w14:paraId="1602201C">
      <w:pPr>
        <w:ind w:firstLine="480"/>
        <w:rPr>
          <w:highlight w:val="none"/>
          <w:lang w:val="zh-CN"/>
        </w:rPr>
      </w:pPr>
      <w:r>
        <w:rPr>
          <w:rFonts w:hint="eastAsia"/>
          <w:highlight w:val="none"/>
          <w:lang w:val="zh-CN"/>
        </w:rPr>
        <w:t>4</w:t>
      </w:r>
      <w:r>
        <w:rPr>
          <w:rFonts w:hint="eastAsia"/>
          <w:highlight w:val="none"/>
        </w:rPr>
        <w:t>.</w:t>
      </w:r>
      <w:r>
        <w:rPr>
          <w:rFonts w:hint="eastAsia"/>
          <w:highlight w:val="none"/>
          <w:lang w:val="zh-CN"/>
        </w:rPr>
        <w:t>报价不得超过总限价。</w:t>
      </w:r>
    </w:p>
    <w:p w14:paraId="42EDF117">
      <w:pPr>
        <w:ind w:firstLine="480"/>
        <w:rPr>
          <w:highlight w:val="none"/>
          <w:lang w:val="zh-CN"/>
        </w:rPr>
      </w:pPr>
    </w:p>
    <w:p w14:paraId="01112EC6">
      <w:pPr>
        <w:ind w:firstLine="480"/>
        <w:rPr>
          <w:highlight w:val="none"/>
        </w:rPr>
      </w:pPr>
    </w:p>
    <w:p w14:paraId="0A72BBD9">
      <w:pPr>
        <w:ind w:firstLine="480"/>
        <w:rPr>
          <w:highlight w:val="none"/>
        </w:rPr>
      </w:pPr>
      <w:r>
        <w:rPr>
          <w:rFonts w:hint="eastAsia"/>
          <w:highlight w:val="none"/>
        </w:rPr>
        <w:t>供应商</w:t>
      </w:r>
      <w:r>
        <w:rPr>
          <w:highlight w:val="none"/>
        </w:rPr>
        <w:t>名称（盖单位公章）：</w:t>
      </w:r>
    </w:p>
    <w:p w14:paraId="7B99CBB0">
      <w:pPr>
        <w:ind w:firstLine="480"/>
        <w:rPr>
          <w:highlight w:val="none"/>
        </w:rPr>
      </w:pPr>
      <w:r>
        <w:rPr>
          <w:highlight w:val="none"/>
        </w:rPr>
        <w:t>响应文件签署人（签字或盖章）：</w:t>
      </w:r>
    </w:p>
    <w:p w14:paraId="61B4C87F">
      <w:pPr>
        <w:ind w:firstLine="480"/>
        <w:rPr>
          <w:highlight w:val="none"/>
        </w:rPr>
      </w:pPr>
      <w:r>
        <w:rPr>
          <w:highlight w:val="none"/>
        </w:rPr>
        <w:t>日期：</w:t>
      </w:r>
      <w:r>
        <w:rPr>
          <w:rFonts w:hint="eastAsia"/>
          <w:highlight w:val="none"/>
        </w:rPr>
        <w:t xml:space="preserve">   年   月   日</w:t>
      </w:r>
    </w:p>
    <w:p w14:paraId="1BD827CB">
      <w:pPr>
        <w:widowControl/>
        <w:spacing w:line="240" w:lineRule="auto"/>
        <w:ind w:firstLine="0" w:firstLineChars="0"/>
        <w:jc w:val="left"/>
        <w:rPr>
          <w:rFonts w:ascii="宋体" w:hAnsi="宋体"/>
          <w:b/>
          <w:highlight w:val="none"/>
        </w:rPr>
      </w:pPr>
      <w:r>
        <w:rPr>
          <w:rFonts w:ascii="宋体" w:hAnsi="宋体"/>
          <w:b/>
          <w:highlight w:val="none"/>
        </w:rPr>
        <w:br w:type="page"/>
      </w:r>
    </w:p>
    <w:p w14:paraId="3249F906">
      <w:pPr>
        <w:ind w:firstLine="480"/>
        <w:rPr>
          <w:rFonts w:hint="eastAsia" w:eastAsia="宋体"/>
          <w:highlight w:val="none"/>
          <w:lang w:eastAsia="zh-CN"/>
        </w:rPr>
      </w:pPr>
      <w:r>
        <w:rPr>
          <w:rFonts w:hint="eastAsia"/>
          <w:highlight w:val="none"/>
        </w:rPr>
        <w:t>附件</w:t>
      </w:r>
      <w:r>
        <w:rPr>
          <w:rFonts w:hint="eastAsia"/>
          <w:highlight w:val="none"/>
          <w:lang w:val="en-US" w:eastAsia="zh-CN"/>
        </w:rPr>
        <w:t>7</w:t>
      </w:r>
    </w:p>
    <w:p w14:paraId="2F48AFB9">
      <w:pPr>
        <w:pStyle w:val="5"/>
        <w:ind w:firstLine="643"/>
        <w:jc w:val="center"/>
        <w:rPr>
          <w:rFonts w:hint="default" w:eastAsia="宋体"/>
          <w:highlight w:val="none"/>
          <w:lang w:val="en-US" w:eastAsia="zh-CN"/>
        </w:rPr>
      </w:pPr>
      <w:bookmarkStart w:id="555" w:name="_Toc18362"/>
      <w:bookmarkStart w:id="556" w:name="_Toc23729"/>
      <w:bookmarkStart w:id="557" w:name="_Toc17542"/>
      <w:bookmarkStart w:id="558" w:name="_Toc14488"/>
      <w:bookmarkStart w:id="559" w:name="_Toc31791"/>
      <w:bookmarkStart w:id="560" w:name="_Toc28018"/>
      <w:bookmarkStart w:id="561" w:name="_Toc9605"/>
      <w:bookmarkStart w:id="562" w:name="_Toc20772"/>
      <w:r>
        <w:rPr>
          <w:rFonts w:hint="eastAsia"/>
          <w:highlight w:val="none"/>
        </w:rPr>
        <w:t>中小企业声明函</w:t>
      </w:r>
      <w:bookmarkEnd w:id="555"/>
      <w:bookmarkEnd w:id="556"/>
      <w:bookmarkEnd w:id="557"/>
      <w:bookmarkEnd w:id="558"/>
      <w:bookmarkEnd w:id="559"/>
      <w:bookmarkEnd w:id="560"/>
      <w:bookmarkEnd w:id="561"/>
      <w:r>
        <w:rPr>
          <w:rFonts w:hint="eastAsia"/>
          <w:highlight w:val="none"/>
          <w:lang w:eastAsia="zh-CN"/>
        </w:rPr>
        <w:t>（</w:t>
      </w:r>
      <w:r>
        <w:rPr>
          <w:rFonts w:hint="eastAsia"/>
          <w:highlight w:val="none"/>
          <w:lang w:val="en-US" w:eastAsia="zh-CN"/>
        </w:rPr>
        <w:t>服务）</w:t>
      </w:r>
      <w:bookmarkEnd w:id="562"/>
    </w:p>
    <w:p w14:paraId="440B5B41">
      <w:pPr>
        <w:snapToGrid w:val="0"/>
        <w:spacing w:line="360" w:lineRule="auto"/>
        <w:ind w:firstLine="480"/>
        <w:jc w:val="center"/>
        <w:rPr>
          <w:rFonts w:ascii="宋体" w:hAnsi="宋体"/>
          <w:szCs w:val="21"/>
          <w:highlight w:val="none"/>
        </w:rPr>
      </w:pPr>
    </w:p>
    <w:p w14:paraId="72798E3C">
      <w:pPr>
        <w:ind w:firstLine="480"/>
        <w:rPr>
          <w:highlight w:val="none"/>
        </w:rPr>
      </w:pPr>
      <w:r>
        <w:rPr>
          <w:rFonts w:hint="eastAsia"/>
          <w:highlight w:val="none"/>
        </w:rPr>
        <w:t>本公司（联合体）郑重声明</w:t>
      </w:r>
      <w:r>
        <w:rPr>
          <w:rFonts w:hint="eastAsia"/>
          <w:highlight w:val="none"/>
          <w:lang w:eastAsia="zh-CN"/>
        </w:rPr>
        <w:t>，</w:t>
      </w:r>
      <w:r>
        <w:rPr>
          <w:rFonts w:hint="eastAsia"/>
          <w:highlight w:val="none"/>
        </w:rPr>
        <w:t>根据《政府采购促进中小企业发展管理办法》（财库〔2020〕46号）的规定</w:t>
      </w:r>
      <w:r>
        <w:rPr>
          <w:rFonts w:hint="eastAsia"/>
          <w:highlight w:val="none"/>
          <w:lang w:eastAsia="zh-CN"/>
        </w:rPr>
        <w:t>，</w:t>
      </w:r>
      <w:r>
        <w:rPr>
          <w:rFonts w:hint="eastAsia"/>
          <w:highlight w:val="none"/>
        </w:rPr>
        <w:t>本公司（联合体）参加（单位名称）的（项目名称）的采购活动</w:t>
      </w:r>
      <w:r>
        <w:rPr>
          <w:rFonts w:hint="eastAsia"/>
          <w:highlight w:val="none"/>
          <w:lang w:eastAsia="zh-CN"/>
        </w:rPr>
        <w:t>，</w:t>
      </w:r>
      <w:r>
        <w:rPr>
          <w:rFonts w:hint="eastAsia"/>
          <w:highlight w:val="none"/>
          <w:lang w:val="en-US" w:eastAsia="zh-CN"/>
        </w:rPr>
        <w:t>服务全部由符合政策要求的中小企业承接。</w:t>
      </w:r>
      <w:r>
        <w:rPr>
          <w:rFonts w:hint="eastAsia"/>
          <w:highlight w:val="none"/>
        </w:rPr>
        <w:t>相关企业（含联合体中的中小企业、签订分包意向协议的中小企业）的具体情况如下：</w:t>
      </w:r>
    </w:p>
    <w:p w14:paraId="342D9611">
      <w:pPr>
        <w:ind w:firstLine="480"/>
        <w:rPr>
          <w:highlight w:val="none"/>
        </w:rPr>
      </w:pPr>
      <w:r>
        <w:rPr>
          <w:rFonts w:hint="eastAsia"/>
          <w:highlight w:val="none"/>
        </w:rPr>
        <w:t>1.（标的名称）</w:t>
      </w:r>
      <w:r>
        <w:rPr>
          <w:rFonts w:hint="eastAsia"/>
          <w:highlight w:val="none"/>
          <w:lang w:eastAsia="zh-CN"/>
        </w:rPr>
        <w:t>，</w:t>
      </w:r>
      <w:r>
        <w:rPr>
          <w:rFonts w:hint="eastAsia"/>
          <w:highlight w:val="none"/>
        </w:rPr>
        <w:t>属于</w:t>
      </w:r>
      <w:r>
        <w:rPr>
          <w:rFonts w:hint="eastAsia"/>
          <w:highlight w:val="none"/>
          <w:u w:val="single"/>
        </w:rPr>
        <w:t xml:space="preserve">     </w:t>
      </w:r>
      <w:r>
        <w:rPr>
          <w:rFonts w:hint="eastAsia"/>
          <w:highlight w:val="none"/>
          <w:lang w:eastAsia="zh-CN"/>
        </w:rPr>
        <w:t>（</w:t>
      </w:r>
      <w:r>
        <w:rPr>
          <w:rFonts w:hint="eastAsia"/>
          <w:highlight w:val="none"/>
        </w:rPr>
        <w:t>采购文件中明确的所属行业</w:t>
      </w:r>
      <w:r>
        <w:rPr>
          <w:rFonts w:hint="eastAsia"/>
          <w:highlight w:val="none"/>
          <w:lang w:eastAsia="zh-CN"/>
        </w:rPr>
        <w:t>）</w:t>
      </w:r>
      <w:r>
        <w:rPr>
          <w:rFonts w:hint="eastAsia"/>
          <w:highlight w:val="none"/>
        </w:rPr>
        <w:t>；</w:t>
      </w:r>
      <w:r>
        <w:rPr>
          <w:rFonts w:hint="eastAsia"/>
          <w:highlight w:val="none"/>
          <w:lang w:val="en-US" w:eastAsia="zh-CN"/>
        </w:rPr>
        <w:t>承接企业</w:t>
      </w:r>
      <w:r>
        <w:rPr>
          <w:rFonts w:hint="eastAsia"/>
          <w:highlight w:val="none"/>
        </w:rPr>
        <w:t>为（企业名称）</w:t>
      </w:r>
      <w:r>
        <w:rPr>
          <w:rFonts w:hint="eastAsia"/>
          <w:highlight w:val="none"/>
          <w:lang w:eastAsia="zh-CN"/>
        </w:rPr>
        <w:t>，</w:t>
      </w:r>
      <w:r>
        <w:rPr>
          <w:rFonts w:hint="eastAsia"/>
          <w:highlight w:val="none"/>
        </w:rPr>
        <w:t>从业人员</w:t>
      </w:r>
      <w:r>
        <w:rPr>
          <w:rFonts w:hint="eastAsia"/>
          <w:highlight w:val="none"/>
          <w:u w:val="single"/>
          <w:lang w:val="en-US" w:eastAsia="zh-CN"/>
        </w:rPr>
        <w:t xml:space="preserve">    </w:t>
      </w:r>
      <w:r>
        <w:rPr>
          <w:rFonts w:hint="eastAsia"/>
          <w:highlight w:val="none"/>
        </w:rPr>
        <w:t>人</w:t>
      </w:r>
      <w:r>
        <w:rPr>
          <w:rFonts w:hint="eastAsia"/>
          <w:highlight w:val="none"/>
          <w:lang w:eastAsia="zh-CN"/>
        </w:rPr>
        <w:t>，</w:t>
      </w:r>
      <w:r>
        <w:rPr>
          <w:rFonts w:hint="eastAsia"/>
          <w:highlight w:val="none"/>
        </w:rPr>
        <w:t>营业收入为</w:t>
      </w:r>
      <w:r>
        <w:rPr>
          <w:rFonts w:hint="eastAsia"/>
          <w:highlight w:val="none"/>
          <w:u w:val="single"/>
          <w:lang w:val="en-US" w:eastAsia="zh-CN"/>
        </w:rPr>
        <w:t xml:space="preserve">   </w:t>
      </w:r>
      <w:r>
        <w:rPr>
          <w:rFonts w:hint="eastAsia"/>
          <w:highlight w:val="none"/>
        </w:rPr>
        <w:t>万元</w:t>
      </w:r>
      <w:r>
        <w:rPr>
          <w:rFonts w:hint="eastAsia"/>
          <w:highlight w:val="none"/>
          <w:lang w:eastAsia="zh-CN"/>
        </w:rPr>
        <w:t>，</w:t>
      </w:r>
      <w:r>
        <w:rPr>
          <w:rFonts w:hint="eastAsia"/>
          <w:highlight w:val="none"/>
        </w:rPr>
        <w:t>资产总额为</w:t>
      </w:r>
      <w:r>
        <w:rPr>
          <w:rFonts w:hint="eastAsia"/>
          <w:highlight w:val="none"/>
          <w:u w:val="single"/>
          <w:lang w:val="en-US" w:eastAsia="zh-CN"/>
        </w:rPr>
        <w:t xml:space="preserve">   </w:t>
      </w:r>
      <w:r>
        <w:rPr>
          <w:rFonts w:hint="eastAsia"/>
          <w:highlight w:val="none"/>
        </w:rPr>
        <w:t>万元</w:t>
      </w:r>
      <w:r>
        <w:rPr>
          <w:rFonts w:hint="eastAsia"/>
          <w:highlight w:val="none"/>
          <w:lang w:eastAsia="zh-CN"/>
        </w:rPr>
        <w:t>，</w:t>
      </w:r>
      <w:r>
        <w:rPr>
          <w:rFonts w:hint="eastAsia"/>
          <w:highlight w:val="none"/>
        </w:rPr>
        <w:t>属于（中型企业、小型企业、微型企业）；</w:t>
      </w:r>
    </w:p>
    <w:p w14:paraId="28B36058">
      <w:pPr>
        <w:ind w:firstLine="480"/>
        <w:rPr>
          <w:highlight w:val="none"/>
        </w:rPr>
      </w:pPr>
      <w:r>
        <w:rPr>
          <w:rFonts w:hint="eastAsia"/>
          <w:highlight w:val="none"/>
        </w:rPr>
        <w:t>2.（标的名称）</w:t>
      </w:r>
      <w:r>
        <w:rPr>
          <w:rFonts w:hint="eastAsia"/>
          <w:highlight w:val="none"/>
          <w:lang w:eastAsia="zh-CN"/>
        </w:rPr>
        <w:t>，</w:t>
      </w:r>
      <w:r>
        <w:rPr>
          <w:rFonts w:hint="eastAsia"/>
          <w:highlight w:val="none"/>
        </w:rPr>
        <w:t>属于</w:t>
      </w:r>
      <w:r>
        <w:rPr>
          <w:rFonts w:hint="eastAsia"/>
          <w:highlight w:val="none"/>
          <w:u w:val="single"/>
        </w:rPr>
        <w:t xml:space="preserve">     </w:t>
      </w:r>
      <w:r>
        <w:rPr>
          <w:rFonts w:hint="eastAsia"/>
          <w:highlight w:val="none"/>
          <w:lang w:eastAsia="zh-CN"/>
        </w:rPr>
        <w:t>（</w:t>
      </w:r>
      <w:r>
        <w:rPr>
          <w:rFonts w:hint="eastAsia"/>
          <w:highlight w:val="none"/>
        </w:rPr>
        <w:t>采购文件中明确的所属行业</w:t>
      </w:r>
      <w:r>
        <w:rPr>
          <w:rFonts w:hint="eastAsia"/>
          <w:highlight w:val="none"/>
          <w:lang w:eastAsia="zh-CN"/>
        </w:rPr>
        <w:t>）</w:t>
      </w:r>
      <w:r>
        <w:rPr>
          <w:rFonts w:hint="eastAsia"/>
          <w:highlight w:val="none"/>
        </w:rPr>
        <w:t>；</w:t>
      </w:r>
      <w:r>
        <w:rPr>
          <w:rFonts w:hint="eastAsia"/>
          <w:highlight w:val="none"/>
          <w:lang w:val="en-US" w:eastAsia="zh-CN"/>
        </w:rPr>
        <w:t>承接企业</w:t>
      </w:r>
      <w:r>
        <w:rPr>
          <w:rFonts w:hint="eastAsia"/>
          <w:highlight w:val="none"/>
        </w:rPr>
        <w:t>为（企业名称）</w:t>
      </w:r>
      <w:r>
        <w:rPr>
          <w:rFonts w:hint="eastAsia"/>
          <w:highlight w:val="none"/>
          <w:lang w:eastAsia="zh-CN"/>
        </w:rPr>
        <w:t>，</w:t>
      </w:r>
      <w:r>
        <w:rPr>
          <w:rFonts w:hint="eastAsia"/>
          <w:highlight w:val="none"/>
        </w:rPr>
        <w:t>从业人员</w:t>
      </w:r>
      <w:r>
        <w:rPr>
          <w:rFonts w:hint="eastAsia"/>
          <w:highlight w:val="none"/>
          <w:u w:val="single"/>
          <w:lang w:val="en-US" w:eastAsia="zh-CN"/>
        </w:rPr>
        <w:t xml:space="preserve">    </w:t>
      </w:r>
      <w:r>
        <w:rPr>
          <w:rFonts w:hint="eastAsia"/>
          <w:highlight w:val="none"/>
        </w:rPr>
        <w:t>人</w:t>
      </w:r>
      <w:r>
        <w:rPr>
          <w:rFonts w:hint="eastAsia"/>
          <w:highlight w:val="none"/>
          <w:lang w:eastAsia="zh-CN"/>
        </w:rPr>
        <w:t>，</w:t>
      </w:r>
      <w:r>
        <w:rPr>
          <w:rFonts w:hint="eastAsia"/>
          <w:highlight w:val="none"/>
        </w:rPr>
        <w:t>营业收入为</w:t>
      </w:r>
      <w:r>
        <w:rPr>
          <w:rFonts w:hint="eastAsia"/>
          <w:highlight w:val="none"/>
          <w:u w:val="single"/>
          <w:lang w:val="en-US" w:eastAsia="zh-CN"/>
        </w:rPr>
        <w:t xml:space="preserve">   </w:t>
      </w:r>
      <w:r>
        <w:rPr>
          <w:rFonts w:hint="eastAsia"/>
          <w:highlight w:val="none"/>
        </w:rPr>
        <w:t>万元</w:t>
      </w:r>
      <w:r>
        <w:rPr>
          <w:rFonts w:hint="eastAsia"/>
          <w:highlight w:val="none"/>
          <w:lang w:eastAsia="zh-CN"/>
        </w:rPr>
        <w:t>，</w:t>
      </w:r>
      <w:r>
        <w:rPr>
          <w:rFonts w:hint="eastAsia"/>
          <w:highlight w:val="none"/>
        </w:rPr>
        <w:t>资产总额为</w:t>
      </w:r>
      <w:r>
        <w:rPr>
          <w:rFonts w:hint="eastAsia"/>
          <w:highlight w:val="none"/>
          <w:u w:val="single"/>
          <w:lang w:val="en-US" w:eastAsia="zh-CN"/>
        </w:rPr>
        <w:t xml:space="preserve">   </w:t>
      </w:r>
      <w:r>
        <w:rPr>
          <w:rFonts w:hint="eastAsia"/>
          <w:highlight w:val="none"/>
        </w:rPr>
        <w:t>万元</w:t>
      </w:r>
      <w:r>
        <w:rPr>
          <w:rFonts w:hint="eastAsia"/>
          <w:highlight w:val="none"/>
          <w:lang w:eastAsia="zh-CN"/>
        </w:rPr>
        <w:t>，</w:t>
      </w:r>
      <w:r>
        <w:rPr>
          <w:rFonts w:hint="eastAsia"/>
          <w:highlight w:val="none"/>
        </w:rPr>
        <w:t>属于（中型企业、小型企业、微型企业）；</w:t>
      </w:r>
    </w:p>
    <w:p w14:paraId="50C80E09">
      <w:pPr>
        <w:ind w:firstLine="480"/>
        <w:rPr>
          <w:highlight w:val="none"/>
        </w:rPr>
      </w:pPr>
      <w:r>
        <w:rPr>
          <w:rFonts w:hint="eastAsia"/>
          <w:highlight w:val="none"/>
        </w:rPr>
        <w:t>…………</w:t>
      </w:r>
    </w:p>
    <w:p w14:paraId="65B14029">
      <w:pPr>
        <w:ind w:firstLine="480"/>
        <w:rPr>
          <w:highlight w:val="none"/>
        </w:rPr>
      </w:pPr>
      <w:r>
        <w:rPr>
          <w:rFonts w:hint="eastAsia"/>
          <w:highlight w:val="none"/>
        </w:rPr>
        <w:t>以上企业</w:t>
      </w:r>
      <w:r>
        <w:rPr>
          <w:rFonts w:hint="eastAsia"/>
          <w:highlight w:val="none"/>
          <w:lang w:eastAsia="zh-CN"/>
        </w:rPr>
        <w:t>，</w:t>
      </w:r>
      <w:r>
        <w:rPr>
          <w:rFonts w:hint="eastAsia"/>
          <w:highlight w:val="none"/>
        </w:rPr>
        <w:t>不属于大企业的分支机构</w:t>
      </w:r>
      <w:r>
        <w:rPr>
          <w:rFonts w:hint="eastAsia"/>
          <w:highlight w:val="none"/>
          <w:lang w:eastAsia="zh-CN"/>
        </w:rPr>
        <w:t>，</w:t>
      </w:r>
      <w:r>
        <w:rPr>
          <w:rFonts w:hint="eastAsia"/>
          <w:highlight w:val="none"/>
        </w:rPr>
        <w:t>不存在控股股东为大企业的情形</w:t>
      </w:r>
      <w:r>
        <w:rPr>
          <w:rFonts w:hint="eastAsia"/>
          <w:highlight w:val="none"/>
          <w:lang w:eastAsia="zh-CN"/>
        </w:rPr>
        <w:t>，</w:t>
      </w:r>
      <w:r>
        <w:rPr>
          <w:rFonts w:hint="eastAsia"/>
          <w:highlight w:val="none"/>
        </w:rPr>
        <w:t>也不存在与大企业的负责人为同一人的情形。</w:t>
      </w:r>
    </w:p>
    <w:p w14:paraId="0BA73C8D">
      <w:pPr>
        <w:ind w:firstLine="480"/>
        <w:rPr>
          <w:highlight w:val="none"/>
        </w:rPr>
      </w:pPr>
      <w:r>
        <w:rPr>
          <w:rFonts w:hint="eastAsia"/>
          <w:highlight w:val="none"/>
        </w:rPr>
        <w:t>本企业对上述声明内容的真实性负责。如有虚假</w:t>
      </w:r>
      <w:r>
        <w:rPr>
          <w:rFonts w:hint="eastAsia"/>
          <w:highlight w:val="none"/>
          <w:lang w:eastAsia="zh-CN"/>
        </w:rPr>
        <w:t>，</w:t>
      </w:r>
      <w:r>
        <w:rPr>
          <w:rFonts w:hint="eastAsia"/>
          <w:highlight w:val="none"/>
        </w:rPr>
        <w:t>将依法承担相应责任。</w:t>
      </w:r>
    </w:p>
    <w:p w14:paraId="31D477FA">
      <w:pPr>
        <w:ind w:firstLine="480"/>
        <w:rPr>
          <w:highlight w:val="none"/>
        </w:rPr>
      </w:pPr>
    </w:p>
    <w:p w14:paraId="32C855DF">
      <w:pPr>
        <w:ind w:firstLine="480"/>
        <w:rPr>
          <w:highlight w:val="none"/>
        </w:rPr>
      </w:pPr>
    </w:p>
    <w:p w14:paraId="7FCE427F">
      <w:pPr>
        <w:ind w:firstLine="480"/>
        <w:rPr>
          <w:highlight w:val="none"/>
        </w:rPr>
      </w:pPr>
      <w:r>
        <w:rPr>
          <w:rFonts w:hint="eastAsia"/>
          <w:highlight w:val="none"/>
        </w:rPr>
        <w:t>供应商</w:t>
      </w:r>
      <w:r>
        <w:rPr>
          <w:highlight w:val="none"/>
        </w:rPr>
        <w:t>名称（盖单位公章）：</w:t>
      </w:r>
    </w:p>
    <w:p w14:paraId="0F6424EF">
      <w:pPr>
        <w:ind w:firstLine="480"/>
        <w:rPr>
          <w:highlight w:val="none"/>
        </w:rPr>
      </w:pPr>
      <w:r>
        <w:rPr>
          <w:highlight w:val="none"/>
        </w:rPr>
        <w:t xml:space="preserve">响应文件签署人（签字或盖章）：                                  </w:t>
      </w:r>
    </w:p>
    <w:p w14:paraId="429E2CA0">
      <w:pPr>
        <w:ind w:firstLine="480"/>
        <w:rPr>
          <w:highlight w:val="none"/>
        </w:rPr>
      </w:pPr>
      <w:r>
        <w:rPr>
          <w:highlight w:val="none"/>
        </w:rPr>
        <w:t>日期：</w:t>
      </w:r>
      <w:r>
        <w:rPr>
          <w:rFonts w:hint="eastAsia"/>
          <w:highlight w:val="none"/>
        </w:rPr>
        <w:t xml:space="preserve">   年   月   日</w:t>
      </w:r>
    </w:p>
    <w:p w14:paraId="43E5BCA3">
      <w:pPr>
        <w:ind w:firstLine="480"/>
        <w:rPr>
          <w:highlight w:val="none"/>
        </w:rPr>
      </w:pPr>
    </w:p>
    <w:p w14:paraId="16A129A2">
      <w:pPr>
        <w:ind w:firstLine="480"/>
        <w:rPr>
          <w:highlight w:val="none"/>
        </w:rPr>
      </w:pPr>
    </w:p>
    <w:p w14:paraId="7A412EF0">
      <w:pPr>
        <w:ind w:firstLine="480"/>
        <w:rPr>
          <w:highlight w:val="none"/>
        </w:rPr>
      </w:pPr>
      <w:r>
        <w:rPr>
          <w:rFonts w:hint="eastAsia"/>
          <w:highlight w:val="none"/>
        </w:rPr>
        <w:t>注：从业人员、营业收入、资产总额填报上一年度数据</w:t>
      </w:r>
      <w:r>
        <w:rPr>
          <w:rFonts w:hint="eastAsia"/>
          <w:highlight w:val="none"/>
          <w:lang w:eastAsia="zh-CN"/>
        </w:rPr>
        <w:t>，</w:t>
      </w:r>
      <w:r>
        <w:rPr>
          <w:rFonts w:hint="eastAsia"/>
          <w:highlight w:val="none"/>
        </w:rPr>
        <w:t>无上一年度数据的新成立企业可不填报。</w:t>
      </w:r>
    </w:p>
    <w:p w14:paraId="12A17A89">
      <w:pPr>
        <w:ind w:firstLine="480"/>
        <w:rPr>
          <w:highlight w:val="none"/>
        </w:rPr>
      </w:pPr>
      <w:r>
        <w:rPr>
          <w:rFonts w:hint="eastAsia"/>
          <w:highlight w:val="none"/>
        </w:rPr>
        <w:t>供应商不属于小型、微型企业</w:t>
      </w:r>
      <w:r>
        <w:rPr>
          <w:rFonts w:hint="eastAsia"/>
          <w:highlight w:val="none"/>
          <w:lang w:eastAsia="zh-CN"/>
        </w:rPr>
        <w:t>，</w:t>
      </w:r>
      <w:r>
        <w:rPr>
          <w:rFonts w:hint="eastAsia"/>
          <w:highlight w:val="none"/>
        </w:rPr>
        <w:t>不需要提供此函。</w:t>
      </w:r>
    </w:p>
    <w:p w14:paraId="4921827C">
      <w:pPr>
        <w:pStyle w:val="2"/>
        <w:spacing w:line="500" w:lineRule="exact"/>
        <w:ind w:firstLine="420"/>
        <w:rPr>
          <w:rFonts w:ascii="宋体" w:hAnsi="宋体"/>
          <w:highlight w:val="none"/>
        </w:rPr>
      </w:pPr>
    </w:p>
    <w:p w14:paraId="3CCBF8A5">
      <w:pPr>
        <w:pStyle w:val="2"/>
        <w:spacing w:line="500" w:lineRule="exact"/>
        <w:ind w:firstLine="420"/>
        <w:rPr>
          <w:rFonts w:ascii="宋体" w:hAnsi="宋体"/>
          <w:color w:val="000000"/>
          <w:highlight w:val="none"/>
        </w:rPr>
      </w:pPr>
    </w:p>
    <w:p w14:paraId="5455649C">
      <w:pPr>
        <w:ind w:firstLine="480"/>
        <w:rPr>
          <w:highlight w:val="none"/>
        </w:rPr>
      </w:pPr>
      <w:r>
        <w:rPr>
          <w:highlight w:val="none"/>
        </w:rPr>
        <w:br w:type="page"/>
      </w:r>
    </w:p>
    <w:p w14:paraId="73A5C63D">
      <w:pPr>
        <w:ind w:firstLine="480"/>
        <w:rPr>
          <w:rFonts w:hint="eastAsia" w:eastAsia="宋体"/>
          <w:highlight w:val="none"/>
          <w:lang w:eastAsia="zh-CN"/>
        </w:rPr>
      </w:pPr>
      <w:r>
        <w:rPr>
          <w:highlight w:val="none"/>
        </w:rPr>
        <w:t>附件</w:t>
      </w:r>
      <w:r>
        <w:rPr>
          <w:rFonts w:hint="eastAsia"/>
          <w:highlight w:val="none"/>
          <w:lang w:val="en-US" w:eastAsia="zh-CN"/>
        </w:rPr>
        <w:t>8</w:t>
      </w:r>
    </w:p>
    <w:p w14:paraId="14D6F035">
      <w:pPr>
        <w:pStyle w:val="5"/>
        <w:ind w:firstLine="643"/>
        <w:jc w:val="center"/>
        <w:rPr>
          <w:highlight w:val="none"/>
        </w:rPr>
      </w:pPr>
      <w:bookmarkStart w:id="563" w:name="_Toc9334"/>
      <w:bookmarkStart w:id="564" w:name="_Toc3015"/>
      <w:bookmarkStart w:id="565" w:name="_Toc4176"/>
      <w:bookmarkStart w:id="566" w:name="_Toc7446"/>
      <w:bookmarkStart w:id="567" w:name="_Toc9077"/>
      <w:bookmarkStart w:id="568" w:name="_Toc15257"/>
      <w:bookmarkStart w:id="569" w:name="_Toc18040"/>
      <w:bookmarkStart w:id="570" w:name="_Toc653"/>
      <w:r>
        <w:rPr>
          <w:rFonts w:hint="eastAsia"/>
          <w:highlight w:val="none"/>
        </w:rPr>
        <w:t>监狱企业声明函</w:t>
      </w:r>
      <w:bookmarkEnd w:id="563"/>
      <w:bookmarkEnd w:id="564"/>
      <w:bookmarkEnd w:id="565"/>
      <w:bookmarkEnd w:id="566"/>
      <w:bookmarkEnd w:id="567"/>
      <w:bookmarkEnd w:id="568"/>
      <w:bookmarkEnd w:id="569"/>
      <w:bookmarkEnd w:id="570"/>
    </w:p>
    <w:p w14:paraId="649AAE2E">
      <w:pPr>
        <w:autoSpaceDE w:val="0"/>
        <w:autoSpaceDN w:val="0"/>
        <w:adjustRightInd w:val="0"/>
        <w:snapToGrid w:val="0"/>
        <w:spacing w:after="326" w:afterLines="100" w:line="500" w:lineRule="exact"/>
        <w:ind w:firstLine="560"/>
        <w:jc w:val="center"/>
        <w:rPr>
          <w:rFonts w:ascii="宋体" w:hAnsi="宋体"/>
          <w:sz w:val="28"/>
          <w:szCs w:val="28"/>
          <w:highlight w:val="none"/>
        </w:rPr>
      </w:pPr>
      <w:r>
        <w:rPr>
          <w:rFonts w:hint="eastAsia" w:ascii="宋体" w:hAnsi="宋体"/>
          <w:sz w:val="28"/>
          <w:szCs w:val="28"/>
          <w:highlight w:val="none"/>
        </w:rPr>
        <w:t>【非监狱企业不需提供】</w:t>
      </w:r>
    </w:p>
    <w:p w14:paraId="16021C16">
      <w:pPr>
        <w:ind w:firstLine="480"/>
        <w:rPr>
          <w:highlight w:val="none"/>
        </w:rPr>
      </w:pPr>
      <w:r>
        <w:rPr>
          <w:rFonts w:hint="eastAsia"/>
          <w:highlight w:val="none"/>
        </w:rPr>
        <w:t>本企业郑重声明</w:t>
      </w:r>
      <w:r>
        <w:rPr>
          <w:rFonts w:hint="eastAsia"/>
          <w:highlight w:val="none"/>
          <w:lang w:eastAsia="zh-CN"/>
        </w:rPr>
        <w:t>，</w:t>
      </w:r>
      <w:r>
        <w:rPr>
          <w:rFonts w:hint="eastAsia"/>
          <w:highlight w:val="none"/>
        </w:rPr>
        <w:t>根据《关于政府采购支持监狱企业发展有关问题的通知》（财库[2014]68号）的规定</w:t>
      </w:r>
      <w:r>
        <w:rPr>
          <w:rFonts w:hint="eastAsia"/>
          <w:highlight w:val="none"/>
          <w:lang w:eastAsia="zh-CN"/>
        </w:rPr>
        <w:t>，</w:t>
      </w:r>
      <w:r>
        <w:rPr>
          <w:rFonts w:hint="eastAsia"/>
          <w:highlight w:val="none"/>
        </w:rPr>
        <w:t>本企业为监狱企业。</w:t>
      </w:r>
    </w:p>
    <w:p w14:paraId="1D75A9FE">
      <w:pPr>
        <w:ind w:firstLine="480"/>
        <w:rPr>
          <w:highlight w:val="none"/>
        </w:rPr>
      </w:pPr>
      <w:r>
        <w:rPr>
          <w:rFonts w:hint="eastAsia"/>
          <w:highlight w:val="none"/>
        </w:rPr>
        <w:t>根据上述标准</w:t>
      </w:r>
      <w:r>
        <w:rPr>
          <w:rFonts w:hint="eastAsia"/>
          <w:highlight w:val="none"/>
          <w:lang w:eastAsia="zh-CN"/>
        </w:rPr>
        <w:t>，</w:t>
      </w:r>
      <w:r>
        <w:rPr>
          <w:rFonts w:hint="eastAsia"/>
          <w:highlight w:val="none"/>
        </w:rPr>
        <w:t>我企业属于监狱企业的理由为：</w:t>
      </w:r>
    </w:p>
    <w:p w14:paraId="3F151BAD">
      <w:pPr>
        <w:ind w:firstLine="480"/>
        <w:rPr>
          <w:highlight w:val="none"/>
        </w:rPr>
      </w:pPr>
      <w:r>
        <w:rPr>
          <w:rFonts w:hint="eastAsia"/>
          <w:highlight w:val="none"/>
        </w:rPr>
        <w:t>本企业为参加</w:t>
      </w:r>
      <w:r>
        <w:rPr>
          <w:rFonts w:hint="eastAsia"/>
          <w:highlight w:val="none"/>
          <w:u w:val="single"/>
        </w:rPr>
        <w:t>（项目名称：     ）（项目编号：   ）</w:t>
      </w:r>
      <w:r>
        <w:rPr>
          <w:rFonts w:hint="eastAsia"/>
          <w:highlight w:val="none"/>
        </w:rPr>
        <w:t>采购活动提供本企业的产品。</w:t>
      </w:r>
    </w:p>
    <w:p w14:paraId="72EEFA8F">
      <w:pPr>
        <w:ind w:firstLine="480"/>
        <w:rPr>
          <w:highlight w:val="none"/>
        </w:rPr>
      </w:pPr>
      <w:r>
        <w:rPr>
          <w:rFonts w:hint="eastAsia"/>
          <w:highlight w:val="none"/>
        </w:rPr>
        <w:t>本企业对上述声明的真实性负责。如有虚假</w:t>
      </w:r>
      <w:r>
        <w:rPr>
          <w:rFonts w:hint="eastAsia"/>
          <w:highlight w:val="none"/>
          <w:lang w:eastAsia="zh-CN"/>
        </w:rPr>
        <w:t>，</w:t>
      </w:r>
      <w:r>
        <w:rPr>
          <w:rFonts w:hint="eastAsia"/>
          <w:highlight w:val="none"/>
        </w:rPr>
        <w:t>将依法承担相应责任。</w:t>
      </w:r>
    </w:p>
    <w:p w14:paraId="2F99EF81">
      <w:pPr>
        <w:ind w:firstLine="480"/>
        <w:rPr>
          <w:highlight w:val="none"/>
        </w:rPr>
      </w:pPr>
    </w:p>
    <w:p w14:paraId="2D25F824">
      <w:pPr>
        <w:ind w:firstLine="480"/>
        <w:rPr>
          <w:highlight w:val="none"/>
        </w:rPr>
      </w:pPr>
    </w:p>
    <w:p w14:paraId="79091413">
      <w:pPr>
        <w:ind w:firstLine="480"/>
        <w:rPr>
          <w:highlight w:val="none"/>
        </w:rPr>
      </w:pPr>
    </w:p>
    <w:p w14:paraId="326C3924">
      <w:pPr>
        <w:ind w:firstLine="480"/>
        <w:rPr>
          <w:highlight w:val="none"/>
        </w:rPr>
      </w:pPr>
    </w:p>
    <w:p w14:paraId="713541EF">
      <w:pPr>
        <w:ind w:firstLine="480"/>
        <w:rPr>
          <w:highlight w:val="none"/>
        </w:rPr>
      </w:pPr>
    </w:p>
    <w:p w14:paraId="0EA410C6">
      <w:pPr>
        <w:ind w:firstLine="480"/>
        <w:rPr>
          <w:highlight w:val="none"/>
        </w:rPr>
      </w:pPr>
    </w:p>
    <w:p w14:paraId="487B09F9">
      <w:pPr>
        <w:ind w:firstLine="480"/>
        <w:rPr>
          <w:highlight w:val="none"/>
        </w:rPr>
      </w:pPr>
    </w:p>
    <w:p w14:paraId="0973083A">
      <w:pPr>
        <w:ind w:firstLine="480"/>
        <w:rPr>
          <w:highlight w:val="none"/>
        </w:rPr>
      </w:pPr>
    </w:p>
    <w:p w14:paraId="6DC83061">
      <w:pPr>
        <w:ind w:firstLine="480"/>
        <w:rPr>
          <w:highlight w:val="none"/>
        </w:rPr>
      </w:pPr>
      <w:r>
        <w:rPr>
          <w:rFonts w:hint="eastAsia"/>
          <w:highlight w:val="none"/>
        </w:rPr>
        <w:t>供应商</w:t>
      </w:r>
      <w:r>
        <w:rPr>
          <w:highlight w:val="none"/>
        </w:rPr>
        <w:t>名称（盖单位公章）：</w:t>
      </w:r>
    </w:p>
    <w:p w14:paraId="22263051">
      <w:pPr>
        <w:ind w:firstLine="480"/>
        <w:rPr>
          <w:highlight w:val="none"/>
        </w:rPr>
      </w:pPr>
      <w:r>
        <w:rPr>
          <w:highlight w:val="none"/>
        </w:rPr>
        <w:t xml:space="preserve">响应文件签署人（签字或盖章）：                                  </w:t>
      </w:r>
    </w:p>
    <w:p w14:paraId="06F26F4A">
      <w:pPr>
        <w:ind w:firstLine="480"/>
        <w:rPr>
          <w:highlight w:val="none"/>
        </w:rPr>
      </w:pPr>
      <w:r>
        <w:rPr>
          <w:highlight w:val="none"/>
        </w:rPr>
        <w:t>日期：</w:t>
      </w:r>
      <w:r>
        <w:rPr>
          <w:rFonts w:hint="eastAsia"/>
          <w:highlight w:val="none"/>
        </w:rPr>
        <w:t xml:space="preserve">   年   月   日</w:t>
      </w:r>
    </w:p>
    <w:p w14:paraId="4C0FEDE7">
      <w:pPr>
        <w:ind w:firstLine="480"/>
        <w:rPr>
          <w:highlight w:val="none"/>
        </w:rPr>
      </w:pPr>
    </w:p>
    <w:p w14:paraId="61C6B908">
      <w:pPr>
        <w:ind w:firstLine="480"/>
        <w:rPr>
          <w:highlight w:val="none"/>
        </w:rPr>
      </w:pPr>
    </w:p>
    <w:p w14:paraId="474A85FB">
      <w:pPr>
        <w:ind w:firstLine="480"/>
        <w:rPr>
          <w:highlight w:val="none"/>
        </w:rPr>
      </w:pPr>
      <w:r>
        <w:rPr>
          <w:rFonts w:hint="eastAsia"/>
          <w:highlight w:val="none"/>
        </w:rPr>
        <w:t>注：供应商为监狱企业的提供此函。</w:t>
      </w:r>
    </w:p>
    <w:p w14:paraId="50B5C89A">
      <w:pPr>
        <w:ind w:firstLine="480"/>
        <w:rPr>
          <w:rFonts w:ascii="宋体" w:hAnsi="宋体"/>
          <w:szCs w:val="21"/>
          <w:highlight w:val="none"/>
        </w:rPr>
      </w:pPr>
      <w:r>
        <w:rPr>
          <w:rFonts w:hint="eastAsia"/>
          <w:highlight w:val="none"/>
        </w:rPr>
        <w:t>监狱企业参加政府采购活动时</w:t>
      </w:r>
      <w:r>
        <w:rPr>
          <w:rFonts w:hint="eastAsia"/>
          <w:highlight w:val="none"/>
          <w:lang w:eastAsia="zh-CN"/>
        </w:rPr>
        <w:t>，</w:t>
      </w:r>
      <w:r>
        <w:rPr>
          <w:rFonts w:hint="eastAsia"/>
          <w:highlight w:val="none"/>
        </w:rPr>
        <w:t>应当提供由省级以上监狱管理局、戒毒管理局（含新疆生产建设兵团）出具的属于监狱企业的证明文件。</w:t>
      </w:r>
    </w:p>
    <w:p w14:paraId="5C10A5F1">
      <w:pPr>
        <w:adjustRightInd w:val="0"/>
        <w:snapToGrid w:val="0"/>
        <w:spacing w:line="500" w:lineRule="exact"/>
        <w:ind w:firstLine="480"/>
        <w:textAlignment w:val="baseline"/>
        <w:rPr>
          <w:rFonts w:ascii="宋体" w:hAnsi="宋体"/>
          <w:highlight w:val="none"/>
        </w:rPr>
      </w:pPr>
    </w:p>
    <w:p w14:paraId="32682DA6">
      <w:pPr>
        <w:ind w:firstLine="480"/>
        <w:rPr>
          <w:rFonts w:hint="eastAsia" w:eastAsia="宋体"/>
          <w:highlight w:val="none"/>
          <w:lang w:eastAsia="zh-CN"/>
        </w:rPr>
      </w:pPr>
      <w:r>
        <w:rPr>
          <w:rFonts w:hint="eastAsia"/>
          <w:highlight w:val="none"/>
        </w:rPr>
        <w:br w:type="page"/>
      </w:r>
      <w:r>
        <w:rPr>
          <w:rFonts w:hint="eastAsia"/>
          <w:highlight w:val="none"/>
        </w:rPr>
        <w:t>附件</w:t>
      </w:r>
      <w:r>
        <w:rPr>
          <w:rFonts w:hint="eastAsia"/>
          <w:highlight w:val="none"/>
          <w:lang w:val="en-US" w:eastAsia="zh-CN"/>
        </w:rPr>
        <w:t>9</w:t>
      </w:r>
    </w:p>
    <w:p w14:paraId="6894758F">
      <w:pPr>
        <w:pStyle w:val="5"/>
        <w:ind w:firstLine="643"/>
        <w:jc w:val="center"/>
        <w:rPr>
          <w:highlight w:val="none"/>
        </w:rPr>
      </w:pPr>
      <w:bookmarkStart w:id="571" w:name="_Toc24607"/>
      <w:bookmarkStart w:id="572" w:name="_Toc14184"/>
      <w:bookmarkStart w:id="573" w:name="_Toc27972"/>
      <w:bookmarkStart w:id="574" w:name="_Toc25747"/>
      <w:bookmarkStart w:id="575" w:name="_Toc12294"/>
      <w:bookmarkStart w:id="576" w:name="_Toc26836"/>
      <w:bookmarkStart w:id="577" w:name="_Toc18052"/>
      <w:bookmarkStart w:id="578" w:name="_Toc20030"/>
      <w:r>
        <w:rPr>
          <w:rFonts w:hint="eastAsia"/>
          <w:highlight w:val="none"/>
        </w:rPr>
        <w:t>残疾人福利性单位声明函</w:t>
      </w:r>
      <w:bookmarkEnd w:id="571"/>
      <w:bookmarkEnd w:id="572"/>
      <w:bookmarkEnd w:id="573"/>
      <w:bookmarkEnd w:id="574"/>
      <w:bookmarkEnd w:id="575"/>
      <w:bookmarkEnd w:id="576"/>
      <w:bookmarkEnd w:id="577"/>
      <w:bookmarkEnd w:id="578"/>
    </w:p>
    <w:p w14:paraId="0EF1CC2C">
      <w:pPr>
        <w:autoSpaceDE w:val="0"/>
        <w:autoSpaceDN w:val="0"/>
        <w:adjustRightInd w:val="0"/>
        <w:snapToGrid w:val="0"/>
        <w:spacing w:after="326" w:afterLines="100" w:line="500" w:lineRule="exact"/>
        <w:ind w:firstLine="560"/>
        <w:jc w:val="center"/>
        <w:rPr>
          <w:rFonts w:ascii="宋体" w:hAnsi="宋体"/>
          <w:sz w:val="28"/>
          <w:szCs w:val="28"/>
          <w:highlight w:val="none"/>
        </w:rPr>
      </w:pPr>
      <w:r>
        <w:rPr>
          <w:rFonts w:hint="eastAsia" w:ascii="宋体" w:hAnsi="宋体"/>
          <w:sz w:val="28"/>
          <w:szCs w:val="28"/>
          <w:highlight w:val="none"/>
        </w:rPr>
        <w:t>【非残疾人福利性单位不需提供】</w:t>
      </w:r>
    </w:p>
    <w:p w14:paraId="01E5FE06">
      <w:pPr>
        <w:ind w:firstLine="480"/>
        <w:rPr>
          <w:highlight w:val="none"/>
        </w:rPr>
      </w:pPr>
      <w:r>
        <w:rPr>
          <w:rFonts w:hint="eastAsia"/>
          <w:highlight w:val="none"/>
        </w:rPr>
        <w:t>本单位郑重声明</w:t>
      </w:r>
      <w:r>
        <w:rPr>
          <w:rFonts w:hint="eastAsia"/>
          <w:highlight w:val="none"/>
          <w:lang w:eastAsia="zh-CN"/>
        </w:rPr>
        <w:t>，</w:t>
      </w:r>
      <w:r>
        <w:rPr>
          <w:rFonts w:hint="eastAsia"/>
          <w:highlight w:val="none"/>
        </w:rPr>
        <w:t>根据《财政部民政部中国残疾人联合会关于促进残疾人就业政府采购政策的通知》（财库〔2017〕141号）的规定</w:t>
      </w:r>
      <w:r>
        <w:rPr>
          <w:rFonts w:hint="eastAsia"/>
          <w:highlight w:val="none"/>
          <w:lang w:eastAsia="zh-CN"/>
        </w:rPr>
        <w:t>，</w:t>
      </w:r>
      <w:r>
        <w:rPr>
          <w:rFonts w:hint="eastAsia"/>
          <w:highlight w:val="none"/>
        </w:rPr>
        <w:t>本单位为符合条件的残疾人福利性单位</w:t>
      </w:r>
      <w:r>
        <w:rPr>
          <w:rFonts w:hint="eastAsia"/>
          <w:highlight w:val="none"/>
          <w:lang w:eastAsia="zh-CN"/>
        </w:rPr>
        <w:t>，</w:t>
      </w:r>
      <w:r>
        <w:rPr>
          <w:rFonts w:hint="eastAsia"/>
          <w:highlight w:val="none"/>
        </w:rPr>
        <w:t>且本单位参加（采购人名称）单位的（项目名称）项目采购活动提供本单位制造的货物（由本单位承担工程/提供服务）</w:t>
      </w:r>
      <w:r>
        <w:rPr>
          <w:rFonts w:hint="eastAsia"/>
          <w:highlight w:val="none"/>
          <w:lang w:eastAsia="zh-CN"/>
        </w:rPr>
        <w:t>，</w:t>
      </w:r>
      <w:r>
        <w:rPr>
          <w:rFonts w:hint="eastAsia"/>
          <w:highlight w:val="none"/>
        </w:rPr>
        <w:t>或者提供其他残疾人福利性单位制造的货物（不包括使用非残疾人福利性单位注册商标的货物）。</w:t>
      </w:r>
    </w:p>
    <w:p w14:paraId="2AFA70E3">
      <w:pPr>
        <w:ind w:firstLine="480"/>
        <w:rPr>
          <w:highlight w:val="none"/>
        </w:rPr>
      </w:pPr>
      <w:r>
        <w:rPr>
          <w:rFonts w:hint="eastAsia"/>
          <w:highlight w:val="none"/>
        </w:rPr>
        <w:t>本单位对上述声明的真实性负责。如有虚假</w:t>
      </w:r>
      <w:r>
        <w:rPr>
          <w:rFonts w:hint="eastAsia"/>
          <w:highlight w:val="none"/>
          <w:lang w:eastAsia="zh-CN"/>
        </w:rPr>
        <w:t>，</w:t>
      </w:r>
      <w:r>
        <w:rPr>
          <w:rFonts w:hint="eastAsia"/>
          <w:highlight w:val="none"/>
        </w:rPr>
        <w:t>将依法承担相应责任。</w:t>
      </w:r>
    </w:p>
    <w:p w14:paraId="01ACF483">
      <w:pPr>
        <w:ind w:firstLine="480"/>
        <w:rPr>
          <w:highlight w:val="none"/>
        </w:rPr>
      </w:pPr>
    </w:p>
    <w:p w14:paraId="40598BD9">
      <w:pPr>
        <w:ind w:firstLine="480"/>
        <w:rPr>
          <w:highlight w:val="none"/>
        </w:rPr>
      </w:pPr>
    </w:p>
    <w:p w14:paraId="57A4F2F4">
      <w:pPr>
        <w:ind w:firstLine="480"/>
        <w:rPr>
          <w:highlight w:val="none"/>
        </w:rPr>
      </w:pPr>
    </w:p>
    <w:p w14:paraId="14D295F3">
      <w:pPr>
        <w:ind w:firstLine="480"/>
        <w:rPr>
          <w:highlight w:val="none"/>
        </w:rPr>
      </w:pPr>
    </w:p>
    <w:p w14:paraId="65385D85">
      <w:pPr>
        <w:ind w:firstLine="480"/>
        <w:rPr>
          <w:highlight w:val="none"/>
        </w:rPr>
      </w:pPr>
    </w:p>
    <w:p w14:paraId="04287D25">
      <w:pPr>
        <w:ind w:firstLine="480"/>
        <w:rPr>
          <w:highlight w:val="none"/>
        </w:rPr>
      </w:pPr>
    </w:p>
    <w:p w14:paraId="459A8FA6">
      <w:pPr>
        <w:ind w:firstLine="480"/>
        <w:rPr>
          <w:highlight w:val="none"/>
        </w:rPr>
      </w:pPr>
    </w:p>
    <w:p w14:paraId="1A4027AE">
      <w:pPr>
        <w:ind w:firstLine="480"/>
        <w:rPr>
          <w:highlight w:val="none"/>
        </w:rPr>
      </w:pPr>
      <w:r>
        <w:rPr>
          <w:rFonts w:hint="eastAsia"/>
          <w:highlight w:val="none"/>
        </w:rPr>
        <w:t>供应商</w:t>
      </w:r>
      <w:r>
        <w:rPr>
          <w:highlight w:val="none"/>
        </w:rPr>
        <w:t>名称（盖单位公章）：</w:t>
      </w:r>
    </w:p>
    <w:p w14:paraId="2942892A">
      <w:pPr>
        <w:ind w:firstLine="480"/>
        <w:rPr>
          <w:highlight w:val="none"/>
        </w:rPr>
      </w:pPr>
      <w:r>
        <w:rPr>
          <w:highlight w:val="none"/>
        </w:rPr>
        <w:t xml:space="preserve">响应文件签署人（签字或盖章）：                                  </w:t>
      </w:r>
    </w:p>
    <w:p w14:paraId="77B3447D">
      <w:pPr>
        <w:ind w:firstLine="480"/>
        <w:rPr>
          <w:highlight w:val="none"/>
        </w:rPr>
      </w:pPr>
      <w:r>
        <w:rPr>
          <w:highlight w:val="none"/>
        </w:rPr>
        <w:t>日期：</w:t>
      </w:r>
      <w:r>
        <w:rPr>
          <w:rFonts w:hint="eastAsia"/>
          <w:highlight w:val="none"/>
        </w:rPr>
        <w:t xml:space="preserve">   年   月   日</w:t>
      </w:r>
    </w:p>
    <w:p w14:paraId="4A8842E9">
      <w:pPr>
        <w:adjustRightInd w:val="0"/>
        <w:snapToGrid w:val="0"/>
        <w:spacing w:line="500" w:lineRule="exact"/>
        <w:ind w:firstLine="420"/>
        <w:rPr>
          <w:rFonts w:ascii="宋体" w:hAnsi="宋体"/>
          <w:sz w:val="21"/>
          <w:szCs w:val="21"/>
          <w:highlight w:val="none"/>
        </w:rPr>
      </w:pPr>
    </w:p>
    <w:p w14:paraId="5091098E">
      <w:pPr>
        <w:adjustRightInd w:val="0"/>
        <w:snapToGrid w:val="0"/>
        <w:spacing w:line="500" w:lineRule="exact"/>
        <w:ind w:firstLine="420"/>
        <w:rPr>
          <w:rFonts w:ascii="宋体" w:hAnsi="宋体"/>
          <w:sz w:val="21"/>
          <w:szCs w:val="21"/>
          <w:highlight w:val="none"/>
        </w:rPr>
      </w:pPr>
    </w:p>
    <w:p w14:paraId="1F13CD0B">
      <w:pPr>
        <w:adjustRightInd w:val="0"/>
        <w:snapToGrid w:val="0"/>
        <w:spacing w:line="500" w:lineRule="exact"/>
        <w:ind w:firstLine="420"/>
        <w:rPr>
          <w:rFonts w:ascii="宋体" w:hAnsi="宋体"/>
          <w:sz w:val="21"/>
          <w:szCs w:val="21"/>
          <w:highlight w:val="none"/>
        </w:rPr>
      </w:pPr>
    </w:p>
    <w:p w14:paraId="193C75D3">
      <w:pPr>
        <w:adjustRightInd w:val="0"/>
        <w:snapToGrid w:val="0"/>
        <w:spacing w:line="500" w:lineRule="exact"/>
        <w:ind w:firstLine="420"/>
        <w:rPr>
          <w:rFonts w:ascii="宋体" w:hAnsi="宋体"/>
          <w:sz w:val="21"/>
          <w:szCs w:val="21"/>
          <w:highlight w:val="none"/>
        </w:rPr>
      </w:pPr>
    </w:p>
    <w:p w14:paraId="333BC41B">
      <w:pPr>
        <w:ind w:firstLine="480"/>
        <w:rPr>
          <w:highlight w:val="none"/>
        </w:rPr>
      </w:pPr>
      <w:r>
        <w:rPr>
          <w:rFonts w:hint="eastAsia"/>
          <w:highlight w:val="none"/>
        </w:rPr>
        <w:t>供应商为残疾人福利性单位的提供此函。</w:t>
      </w:r>
    </w:p>
    <w:p w14:paraId="64497666">
      <w:pPr>
        <w:ind w:firstLine="480"/>
        <w:rPr>
          <w:highlight w:val="none"/>
        </w:rPr>
      </w:pPr>
      <w:r>
        <w:rPr>
          <w:rFonts w:hint="eastAsia"/>
          <w:color w:val="FF0000"/>
          <w:highlight w:val="none"/>
        </w:rPr>
        <w:t>备注：成交供应商为残疾人福利性单位的</w:t>
      </w:r>
      <w:r>
        <w:rPr>
          <w:rFonts w:hint="eastAsia"/>
          <w:color w:val="FF0000"/>
          <w:highlight w:val="none"/>
          <w:lang w:eastAsia="zh-CN"/>
        </w:rPr>
        <w:t>，</w:t>
      </w:r>
      <w:r>
        <w:rPr>
          <w:rFonts w:hint="eastAsia"/>
          <w:color w:val="FF0000"/>
          <w:highlight w:val="none"/>
        </w:rPr>
        <w:t>应当随成交结果同时公告其《残疾人福利性单位声明函》</w:t>
      </w:r>
      <w:r>
        <w:rPr>
          <w:rFonts w:hint="eastAsia"/>
          <w:color w:val="FF0000"/>
          <w:highlight w:val="none"/>
          <w:lang w:eastAsia="zh-CN"/>
        </w:rPr>
        <w:t>，</w:t>
      </w:r>
      <w:r>
        <w:rPr>
          <w:rFonts w:hint="eastAsia"/>
          <w:color w:val="FF0000"/>
          <w:highlight w:val="none"/>
        </w:rPr>
        <w:t>接受社会监督。</w:t>
      </w:r>
    </w:p>
    <w:p w14:paraId="6CEFE17B">
      <w:pPr>
        <w:widowControl/>
        <w:spacing w:line="240" w:lineRule="auto"/>
        <w:ind w:firstLine="0" w:firstLineChars="0"/>
        <w:jc w:val="left"/>
        <w:rPr>
          <w:rFonts w:ascii="Arial" w:hAnsi="宋体" w:cs="Arial"/>
          <w:highlight w:val="none"/>
        </w:rPr>
      </w:pPr>
    </w:p>
    <w:p w14:paraId="6C61340C">
      <w:pPr>
        <w:ind w:firstLine="482"/>
        <w:jc w:val="center"/>
        <w:rPr>
          <w:rFonts w:ascii="宋体" w:hAnsi="宋体"/>
          <w:b/>
          <w:highlight w:val="none"/>
        </w:rPr>
      </w:pPr>
    </w:p>
    <w:p w14:paraId="1B018A8F">
      <w:pPr>
        <w:ind w:firstLine="480"/>
        <w:rPr>
          <w:highlight w:val="none"/>
        </w:rPr>
      </w:pPr>
      <w:r>
        <w:rPr>
          <w:rFonts w:hint="eastAsia"/>
          <w:highlight w:val="none"/>
        </w:rPr>
        <w:br w:type="page"/>
      </w:r>
    </w:p>
    <w:p w14:paraId="6DC70BBC">
      <w:pPr>
        <w:ind w:firstLine="600" w:firstLineChars="250"/>
        <w:rPr>
          <w:highlight w:val="none"/>
        </w:rPr>
      </w:pPr>
    </w:p>
    <w:p w14:paraId="67EC54F5">
      <w:pPr>
        <w:ind w:firstLine="480"/>
        <w:rPr>
          <w:highlight w:val="none"/>
        </w:rPr>
      </w:pPr>
      <w:r>
        <w:rPr>
          <w:rFonts w:hint="eastAsia"/>
          <w:highlight w:val="none"/>
        </w:rPr>
        <w:t>投标人认为需要提供的其他资料</w:t>
      </w:r>
    </w:p>
    <w:p w14:paraId="3E5E83B9">
      <w:pPr>
        <w:pStyle w:val="14"/>
        <w:ind w:left="480" w:firstLine="480"/>
        <w:rPr>
          <w:highlight w:val="none"/>
        </w:rPr>
      </w:pPr>
    </w:p>
    <w:p w14:paraId="3A711A21">
      <w:pPr>
        <w:pStyle w:val="14"/>
        <w:ind w:left="480" w:firstLine="480"/>
        <w:rPr>
          <w:highlight w:val="none"/>
        </w:rPr>
      </w:pPr>
    </w:p>
    <w:p w14:paraId="24666B55">
      <w:pPr>
        <w:ind w:firstLine="480"/>
        <w:rPr>
          <w:rFonts w:hint="eastAsia" w:eastAsia="宋体"/>
          <w:highlight w:val="none"/>
          <w:lang w:eastAsia="zh-CN"/>
        </w:rPr>
      </w:pPr>
      <w:r>
        <w:rPr>
          <w:rFonts w:hint="eastAsia"/>
          <w:highlight w:val="none"/>
          <w:lang w:eastAsia="zh-CN"/>
        </w:rPr>
        <w:t>（</w:t>
      </w:r>
      <w:r>
        <w:rPr>
          <w:rFonts w:hint="eastAsia"/>
          <w:highlight w:val="none"/>
        </w:rPr>
        <w:t>格式自拟</w:t>
      </w:r>
      <w:r>
        <w:rPr>
          <w:rFonts w:hint="eastAsia"/>
          <w:highlight w:val="none"/>
          <w:lang w:eastAsia="zh-CN"/>
        </w:rPr>
        <w:t>，</w:t>
      </w:r>
      <w:r>
        <w:rPr>
          <w:rFonts w:hint="eastAsia"/>
          <w:highlight w:val="none"/>
        </w:rPr>
        <w:t>按采购文件要求及打分条款内容自行编制</w:t>
      </w:r>
      <w:r>
        <w:rPr>
          <w:rFonts w:hint="eastAsia"/>
          <w:highlight w:val="none"/>
          <w:lang w:eastAsia="zh-CN"/>
        </w:rPr>
        <w:t>）</w:t>
      </w:r>
    </w:p>
    <w:p w14:paraId="4151BFAD">
      <w:pPr>
        <w:widowControl/>
        <w:spacing w:line="240" w:lineRule="auto"/>
        <w:ind w:firstLine="0" w:firstLineChars="0"/>
        <w:jc w:val="left"/>
        <w:rPr>
          <w:highlight w:val="none"/>
        </w:rPr>
      </w:pPr>
    </w:p>
    <w:sectPr>
      <w:pgSz w:w="11906" w:h="16838"/>
      <w:pgMar w:top="1440" w:right="1800" w:bottom="1440" w:left="1800" w:header="1020" w:footer="992" w:gutter="0"/>
      <w:pgNumType w:fmt="decimal"/>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Lucida Sans Unicode"/>
    <w:panose1 w:val="02010600030101010101"/>
    <w:charset w:val="A1"/>
    <w:family w:val="auto"/>
    <w:pitch w:val="default"/>
    <w:sig w:usb0="00000000" w:usb1="00000000" w:usb2="00000000" w:usb3="00000000" w:csb0="00000009"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兰亭纤黑简体">
    <w:altName w:val="黑体"/>
    <w:panose1 w:val="00000000000000000000"/>
    <w:charset w:val="00"/>
    <w:family w:val="auto"/>
    <w:pitch w:val="default"/>
    <w:sig w:usb0="00000000" w:usb1="00000000" w:usb2="00000000" w:usb3="00000000" w:csb0="00040001" w:csb1="00000000"/>
  </w:font>
  <w:font w:name="文鼎小标宋简">
    <w:altName w:val="微软雅黑"/>
    <w:panose1 w:val="00000000000000000000"/>
    <w:charset w:val="01"/>
    <w:family w:val="roman"/>
    <w:pitch w:val="default"/>
    <w:sig w:usb0="00000000" w:usb1="00000000" w:usb2="00000000" w:usb3="00000000" w:csb0="000001FF" w:csb1="00000000"/>
  </w:font>
  <w:font w:name="helvetica">
    <w:altName w:val="Arial"/>
    <w:panose1 w:val="00000000000000000000"/>
    <w:charset w:val="00"/>
    <w:family w:val="auto"/>
    <w:pitch w:val="default"/>
    <w:sig w:usb0="00000000" w:usb1="00000000" w:usb2="00000000" w:usb3="00000000" w:csb0="2000019F" w:csb1="4F010000"/>
  </w:font>
  <w:font w:name="Plantagenet Cherokee">
    <w:altName w:val="Times New Roman"/>
    <w:panose1 w:val="02020602070100000000"/>
    <w:charset w:val="00"/>
    <w:family w:val="auto"/>
    <w:pitch w:val="default"/>
    <w:sig w:usb0="00000000" w:usb1="00000000" w:usb2="00001000" w:usb3="00000000" w:csb0="0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80FC6">
    <w:pPr>
      <w:pStyle w:val="19"/>
      <w:pBdr>
        <w:top w:val="single" w:color="auto" w:sz="4" w:space="1"/>
      </w:pBdr>
      <w:ind w:firstLine="0" w:firstLineChars="0"/>
      <w:rPr>
        <w:sz w:val="21"/>
        <w:szCs w:val="21"/>
      </w:rPr>
    </w:pPr>
    <w:r>
      <w:rPr>
        <w:rFonts w:hint="eastAsia"/>
        <w:sz w:val="21"/>
        <w:szCs w:val="21"/>
      </w:rPr>
      <w:t>龙游久圆工程管理有限公司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410B3">
    <w:pPr>
      <w:pStyle w:val="19"/>
      <w:pBdr>
        <w:top w:val="single" w:color="auto" w:sz="4" w:space="1"/>
        <w:left w:val="none" w:color="auto" w:sz="0" w:space="4"/>
        <w:bottom w:val="none" w:color="auto" w:sz="0" w:space="1"/>
        <w:right w:val="none" w:color="auto" w:sz="0" w:space="4"/>
      </w:pBdr>
      <w:ind w:firstLine="0" w:firstLineChars="0"/>
      <w:rPr>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1F87D">
                          <w:pPr>
                            <w:pStyle w:val="19"/>
                            <w:ind w:firstLine="36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07A1F87D">
                    <w:pPr>
                      <w:pStyle w:val="19"/>
                      <w:ind w:firstLine="360"/>
                    </w:pPr>
                    <w:r>
                      <w:fldChar w:fldCharType="begin"/>
                    </w:r>
                    <w:r>
                      <w:instrText xml:space="preserve"> PAGE  \* MERGEFORMAT </w:instrText>
                    </w:r>
                    <w:r>
                      <w:fldChar w:fldCharType="separate"/>
                    </w:r>
                    <w:r>
                      <w:t>22</w:t>
                    </w:r>
                    <w:r>
                      <w:fldChar w:fldCharType="end"/>
                    </w:r>
                  </w:p>
                </w:txbxContent>
              </v:textbox>
            </v:shape>
          </w:pict>
        </mc:Fallback>
      </mc:AlternateContent>
    </w:r>
    <w:r>
      <w:rPr>
        <w:rFonts w:hint="eastAsia"/>
        <w:sz w:val="21"/>
        <w:szCs w:val="21"/>
      </w:rPr>
      <w:t>龙游久圆工程管理有限公司</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4E96D">
    <w:pPr>
      <w:pStyle w:val="19"/>
      <w:pBdr>
        <w:top w:val="single" w:color="auto" w:sz="4" w:space="1"/>
        <w:left w:val="none" w:color="auto" w:sz="0" w:space="4"/>
        <w:bottom w:val="none" w:color="auto" w:sz="0" w:space="1"/>
        <w:right w:val="none" w:color="auto" w:sz="0" w:space="4"/>
      </w:pBdr>
      <w:ind w:firstLine="0" w:firstLineChars="0"/>
      <w:rPr>
        <w:sz w:val="21"/>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93268">
                          <w:pPr>
                            <w:pStyle w:val="19"/>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30993268">
                    <w:pPr>
                      <w:pStyle w:val="19"/>
                      <w:ind w:firstLine="360"/>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sz w:val="21"/>
        <w:szCs w:val="21"/>
      </w:rPr>
      <w:t>龙游久圆工程管理有限公司</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9DADA">
    <w:pPr>
      <w:pStyle w:val="19"/>
      <w:pBdr>
        <w:top w:val="single" w:color="auto" w:sz="4" w:space="1"/>
      </w:pBdr>
      <w:ind w:firstLine="0" w:firstLineChars="0"/>
      <w:rPr>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7CAB9">
                          <w:pPr>
                            <w:pStyle w:val="19"/>
                            <w:ind w:firstLine="36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7087CAB9">
                    <w:pPr>
                      <w:pStyle w:val="19"/>
                      <w:ind w:firstLine="360"/>
                    </w:pPr>
                    <w:r>
                      <w:fldChar w:fldCharType="begin"/>
                    </w:r>
                    <w:r>
                      <w:instrText xml:space="preserve"> PAGE  \* MERGEFORMAT </w:instrText>
                    </w:r>
                    <w:r>
                      <w:fldChar w:fldCharType="separate"/>
                    </w:r>
                    <w:r>
                      <w:t>27</w:t>
                    </w:r>
                    <w:r>
                      <w:fldChar w:fldCharType="end"/>
                    </w:r>
                  </w:p>
                </w:txbxContent>
              </v:textbox>
            </v:shape>
          </w:pict>
        </mc:Fallback>
      </mc:AlternateContent>
    </w:r>
    <w:r>
      <w:rPr>
        <w:rFonts w:hint="eastAsia"/>
        <w:sz w:val="21"/>
        <w:szCs w:val="21"/>
      </w:rPr>
      <w:t>龙游久圆工程管理有限公司</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636A6">
    <w:pPr>
      <w:pStyle w:val="19"/>
      <w:pBdr>
        <w:top w:val="single" w:color="auto" w:sz="4" w:space="1"/>
        <w:left w:val="none" w:color="auto" w:sz="0" w:space="4"/>
        <w:bottom w:val="none" w:color="auto" w:sz="0" w:space="1"/>
        <w:right w:val="none" w:color="auto" w:sz="0" w:space="4"/>
      </w:pBdr>
      <w:ind w:firstLine="0" w:firstLineChars="0"/>
      <w:rPr>
        <w:sz w:val="21"/>
        <w:szCs w:val="21"/>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45500">
                          <w:pPr>
                            <w:pStyle w:val="19"/>
                            <w:ind w:firstLine="36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14345500">
                    <w:pPr>
                      <w:pStyle w:val="19"/>
                      <w:ind w:firstLine="360"/>
                    </w:pPr>
                    <w:r>
                      <w:fldChar w:fldCharType="begin"/>
                    </w:r>
                    <w:r>
                      <w:instrText xml:space="preserve"> PAGE  \* MERGEFORMAT </w:instrText>
                    </w:r>
                    <w:r>
                      <w:fldChar w:fldCharType="separate"/>
                    </w:r>
                    <w:r>
                      <w:t>23</w:t>
                    </w:r>
                    <w:r>
                      <w:fldChar w:fldCharType="end"/>
                    </w:r>
                  </w:p>
                </w:txbxContent>
              </v:textbox>
            </v:shape>
          </w:pict>
        </mc:Fallback>
      </mc:AlternateContent>
    </w:r>
    <w:r>
      <w:rPr>
        <w:rFonts w:hint="eastAsia"/>
        <w:sz w:val="21"/>
        <w:szCs w:val="21"/>
      </w:rPr>
      <w:t>龙游久圆工程管理有限公司</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66C7A">
    <w:pPr>
      <w:pStyle w:val="19"/>
      <w:pBdr>
        <w:top w:val="single" w:color="auto" w:sz="4" w:space="1"/>
        <w:left w:val="none" w:color="auto" w:sz="0" w:space="4"/>
        <w:bottom w:val="none" w:color="auto" w:sz="0" w:space="1"/>
        <w:right w:val="none" w:color="auto" w:sz="0" w:space="4"/>
      </w:pBdr>
      <w:ind w:firstLine="0" w:firstLineChars="0"/>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E85A1">
                          <w:pPr>
                            <w:pStyle w:val="19"/>
                            <w:ind w:firstLine="36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044E85A1">
                    <w:pPr>
                      <w:pStyle w:val="19"/>
                      <w:ind w:firstLine="360"/>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sz w:val="21"/>
        <w:szCs w:val="21"/>
      </w:rPr>
      <w:t>龙游久圆工程管理有限公司</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3A0E6">
    <w:pPr>
      <w:pStyle w:val="19"/>
      <w:pBdr>
        <w:top w:val="single" w:color="auto" w:sz="4" w:space="1"/>
        <w:left w:val="none" w:color="auto" w:sz="0" w:space="4"/>
        <w:bottom w:val="none" w:color="auto" w:sz="0" w:space="1"/>
        <w:right w:val="none" w:color="auto" w:sz="0" w:space="4"/>
      </w:pBdr>
      <w:ind w:firstLine="0" w:firstLineChars="0"/>
      <w:rPr>
        <w:sz w:val="21"/>
        <w:szCs w:val="21"/>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EDBA4">
                          <w:pPr>
                            <w:pStyle w:val="19"/>
                            <w:ind w:firstLine="36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296EDBA4">
                    <w:pPr>
                      <w:pStyle w:val="19"/>
                      <w:ind w:firstLine="360"/>
                    </w:pPr>
                    <w:r>
                      <w:fldChar w:fldCharType="begin"/>
                    </w:r>
                    <w:r>
                      <w:instrText xml:space="preserve"> PAGE  \* MERGEFORMAT </w:instrText>
                    </w:r>
                    <w:r>
                      <w:fldChar w:fldCharType="separate"/>
                    </w:r>
                    <w:r>
                      <w:t>28</w:t>
                    </w:r>
                    <w:r>
                      <w:fldChar w:fldCharType="end"/>
                    </w:r>
                  </w:p>
                </w:txbxContent>
              </v:textbox>
            </v:shape>
          </w:pict>
        </mc:Fallback>
      </mc:AlternateContent>
    </w:r>
    <w:r>
      <w:rPr>
        <w:rFonts w:hint="eastAsia"/>
        <w:sz w:val="21"/>
        <w:szCs w:val="21"/>
      </w:rPr>
      <w:t>龙游久圆工程管理有限公司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EBE04">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F138">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FB57F">
    <w:pPr>
      <w:pStyle w:val="19"/>
      <w:pBdr>
        <w:top w:val="single" w:color="auto" w:sz="4" w:space="1"/>
      </w:pBdr>
      <w:ind w:firstLine="0" w:firstLineChars="0"/>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20286">
                          <w:pPr>
                            <w:pStyle w:val="19"/>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31B20286">
                    <w:pPr>
                      <w:pStyle w:val="19"/>
                      <w:ind w:firstLine="36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1"/>
        <w:szCs w:val="21"/>
      </w:rPr>
      <w:t>龙游久圆工程管理有限公司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AE1C">
    <w:pPr>
      <w:pStyle w:val="1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E12A6">
                          <w:pPr>
                            <w:pStyle w:val="19"/>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E8E12A6">
                    <w:pPr>
                      <w:pStyle w:val="19"/>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81E2A">
    <w:pPr>
      <w:pStyle w:val="19"/>
      <w:pBdr>
        <w:top w:val="single" w:color="auto" w:sz="4" w:space="1"/>
        <w:left w:val="none" w:color="auto" w:sz="0" w:space="4"/>
        <w:bottom w:val="none" w:color="auto" w:sz="0" w:space="1"/>
        <w:right w:val="none" w:color="auto" w:sz="0" w:space="4"/>
      </w:pBdr>
      <w:ind w:firstLine="0" w:firstLineChars="0"/>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0471A">
                          <w:pPr>
                            <w:pStyle w:val="19"/>
                            <w:ind w:firstLine="36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3810471A">
                    <w:pPr>
                      <w:pStyle w:val="19"/>
                      <w:ind w:firstLine="360"/>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sz w:val="21"/>
        <w:szCs w:val="21"/>
      </w:rPr>
      <w:t>龙游久圆工程管理有限公司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5F521">
    <w:pPr>
      <w:pStyle w:val="19"/>
      <w:pBdr>
        <w:top w:val="single" w:color="auto" w:sz="4" w:space="1"/>
        <w:left w:val="none" w:color="auto" w:sz="0" w:space="4"/>
        <w:bottom w:val="none" w:color="auto" w:sz="0" w:space="1"/>
        <w:right w:val="none" w:color="auto" w:sz="0" w:space="4"/>
      </w:pBdr>
      <w:ind w:firstLine="0" w:firstLineChars="0"/>
      <w:rPr>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7F53F">
                          <w:pPr>
                            <w:pStyle w:val="19"/>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13F7F53F">
                    <w:pPr>
                      <w:pStyle w:val="19"/>
                      <w:ind w:firstLine="360"/>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sz w:val="21"/>
        <w:szCs w:val="21"/>
      </w:rPr>
      <w:t>龙游久圆工程管理有限公司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74C9C">
    <w:pPr>
      <w:pStyle w:val="19"/>
      <w:pBdr>
        <w:top w:val="single" w:color="auto" w:sz="4" w:space="1"/>
        <w:left w:val="none" w:color="auto" w:sz="0" w:space="4"/>
        <w:bottom w:val="none" w:color="auto" w:sz="0" w:space="1"/>
        <w:right w:val="none" w:color="auto" w:sz="0" w:space="4"/>
      </w:pBdr>
      <w:ind w:firstLine="0" w:firstLineChars="0"/>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B36C3">
                          <w:pPr>
                            <w:pStyle w:val="19"/>
                            <w:ind w:firstLine="36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5C0B36C3">
                    <w:pPr>
                      <w:pStyle w:val="19"/>
                      <w:ind w:firstLine="360"/>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sz w:val="21"/>
        <w:szCs w:val="21"/>
      </w:rPr>
      <w:t>龙游久圆工程管理有限公司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EDFB8">
    <w:pPr>
      <w:pStyle w:val="19"/>
      <w:pBdr>
        <w:top w:val="single" w:color="auto" w:sz="4" w:space="1"/>
        <w:left w:val="none" w:color="auto" w:sz="0" w:space="4"/>
        <w:bottom w:val="none" w:color="auto" w:sz="0" w:space="1"/>
        <w:right w:val="none" w:color="auto" w:sz="0" w:space="4"/>
      </w:pBdr>
      <w:ind w:firstLine="0" w:firstLineChars="0"/>
      <w:rPr>
        <w:sz w:val="21"/>
        <w:szCs w:val="21"/>
      </w:rPr>
    </w:pPr>
    <w:r>
      <w:rPr>
        <w:sz w:val="21"/>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A856B">
                          <w:pPr>
                            <w:pStyle w:val="19"/>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0F7A856B">
                    <w:pPr>
                      <w:pStyle w:val="19"/>
                      <w:ind w:firstLine="360"/>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sz w:val="21"/>
        <w:szCs w:val="21"/>
      </w:rPr>
      <w:t>龙游久圆工程管理有限公司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80"/>
      </w:pPr>
      <w:r>
        <w:separator/>
      </w:r>
    </w:p>
  </w:footnote>
  <w:footnote w:type="continuationSeparator" w:id="1">
    <w:p>
      <w:pPr>
        <w:spacing w:line="312"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EE34C">
    <w:pPr>
      <w:pStyle w:val="20"/>
      <w:ind w:firstLine="42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龙游县电子政务外网网络数据安全运维服务项目（2025年）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0F69F">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F4754">
    <w:pPr>
      <w:pStyle w:val="20"/>
      <w:ind w:firstLine="420"/>
    </w:pPr>
    <w:r>
      <w:rPr>
        <w:rFonts w:hint="eastAsia" w:asciiTheme="minorEastAsia" w:hAnsiTheme="minorEastAsia" w:eastAsiaTheme="minorEastAsia"/>
        <w:sz w:val="21"/>
        <w:szCs w:val="21"/>
        <w:lang w:val="en-US" w:eastAsia="zh-CN"/>
      </w:rPr>
      <w:t>龙游县电子政务外网网络数据安全运维服务项目（2025年）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6A570"/>
    <w:multiLevelType w:val="singleLevel"/>
    <w:tmpl w:val="4876A57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ODg3NzI4NDIwOGQzNjg0ZTYzODA3MWEyY2ExMjIifQ=="/>
  </w:docVars>
  <w:rsids>
    <w:rsidRoot w:val="00AD442D"/>
    <w:rsid w:val="00003171"/>
    <w:rsid w:val="00005231"/>
    <w:rsid w:val="0000685D"/>
    <w:rsid w:val="000121E9"/>
    <w:rsid w:val="00014FF2"/>
    <w:rsid w:val="0003649D"/>
    <w:rsid w:val="0003775C"/>
    <w:rsid w:val="00040CF3"/>
    <w:rsid w:val="000433C0"/>
    <w:rsid w:val="00057A3A"/>
    <w:rsid w:val="00070F8E"/>
    <w:rsid w:val="0007602F"/>
    <w:rsid w:val="00096BE6"/>
    <w:rsid w:val="000A26FC"/>
    <w:rsid w:val="000C064F"/>
    <w:rsid w:val="000E19AA"/>
    <w:rsid w:val="000F016A"/>
    <w:rsid w:val="001013AC"/>
    <w:rsid w:val="001034D3"/>
    <w:rsid w:val="0011158D"/>
    <w:rsid w:val="00123126"/>
    <w:rsid w:val="001367CD"/>
    <w:rsid w:val="00143D4C"/>
    <w:rsid w:val="001542A5"/>
    <w:rsid w:val="00161F81"/>
    <w:rsid w:val="00164F27"/>
    <w:rsid w:val="00170FF8"/>
    <w:rsid w:val="00172FBC"/>
    <w:rsid w:val="00176C1B"/>
    <w:rsid w:val="001836FD"/>
    <w:rsid w:val="00187FA7"/>
    <w:rsid w:val="00192E3D"/>
    <w:rsid w:val="001A18B3"/>
    <w:rsid w:val="001B311F"/>
    <w:rsid w:val="001B743C"/>
    <w:rsid w:val="001D0292"/>
    <w:rsid w:val="001D0835"/>
    <w:rsid w:val="001D74B4"/>
    <w:rsid w:val="001F2F96"/>
    <w:rsid w:val="00201904"/>
    <w:rsid w:val="002022BA"/>
    <w:rsid w:val="002074D1"/>
    <w:rsid w:val="00212102"/>
    <w:rsid w:val="0021743D"/>
    <w:rsid w:val="002307C1"/>
    <w:rsid w:val="002378D1"/>
    <w:rsid w:val="002414A7"/>
    <w:rsid w:val="00244317"/>
    <w:rsid w:val="002543B0"/>
    <w:rsid w:val="00292AB7"/>
    <w:rsid w:val="002B0DA7"/>
    <w:rsid w:val="002B1DE4"/>
    <w:rsid w:val="002C43B2"/>
    <w:rsid w:val="002C5A38"/>
    <w:rsid w:val="002D2AB2"/>
    <w:rsid w:val="002E230C"/>
    <w:rsid w:val="00300713"/>
    <w:rsid w:val="003105E7"/>
    <w:rsid w:val="00312C4A"/>
    <w:rsid w:val="0031521A"/>
    <w:rsid w:val="00320C71"/>
    <w:rsid w:val="00330B01"/>
    <w:rsid w:val="003314A3"/>
    <w:rsid w:val="00341904"/>
    <w:rsid w:val="00343E1E"/>
    <w:rsid w:val="003460B5"/>
    <w:rsid w:val="003A601C"/>
    <w:rsid w:val="003A6EB4"/>
    <w:rsid w:val="003B2EC9"/>
    <w:rsid w:val="003C6DB8"/>
    <w:rsid w:val="003D06EE"/>
    <w:rsid w:val="003D32F2"/>
    <w:rsid w:val="003D3FC5"/>
    <w:rsid w:val="003D6BC8"/>
    <w:rsid w:val="003E6178"/>
    <w:rsid w:val="00413713"/>
    <w:rsid w:val="004151C2"/>
    <w:rsid w:val="0042032C"/>
    <w:rsid w:val="00425388"/>
    <w:rsid w:val="00427AD6"/>
    <w:rsid w:val="00430F62"/>
    <w:rsid w:val="00447CBB"/>
    <w:rsid w:val="00447E00"/>
    <w:rsid w:val="004531AB"/>
    <w:rsid w:val="00453D11"/>
    <w:rsid w:val="00462FE6"/>
    <w:rsid w:val="00475443"/>
    <w:rsid w:val="00475656"/>
    <w:rsid w:val="004759A3"/>
    <w:rsid w:val="00480CE2"/>
    <w:rsid w:val="004A06FC"/>
    <w:rsid w:val="004B52AC"/>
    <w:rsid w:val="004E3AC8"/>
    <w:rsid w:val="004E4752"/>
    <w:rsid w:val="004F6294"/>
    <w:rsid w:val="004F636B"/>
    <w:rsid w:val="00501B57"/>
    <w:rsid w:val="0051206F"/>
    <w:rsid w:val="00512F37"/>
    <w:rsid w:val="005443A8"/>
    <w:rsid w:val="005577F9"/>
    <w:rsid w:val="00563D70"/>
    <w:rsid w:val="005735C4"/>
    <w:rsid w:val="005818F3"/>
    <w:rsid w:val="00582B45"/>
    <w:rsid w:val="00590BF3"/>
    <w:rsid w:val="005A6584"/>
    <w:rsid w:val="005B5683"/>
    <w:rsid w:val="005B6DCD"/>
    <w:rsid w:val="005C48B8"/>
    <w:rsid w:val="005D2CF9"/>
    <w:rsid w:val="005E09D3"/>
    <w:rsid w:val="005F48D2"/>
    <w:rsid w:val="005F57C8"/>
    <w:rsid w:val="00610AD7"/>
    <w:rsid w:val="0063181D"/>
    <w:rsid w:val="006327C8"/>
    <w:rsid w:val="00644B69"/>
    <w:rsid w:val="00655AA4"/>
    <w:rsid w:val="00660EA9"/>
    <w:rsid w:val="006659CA"/>
    <w:rsid w:val="006665DF"/>
    <w:rsid w:val="006808E4"/>
    <w:rsid w:val="00686F93"/>
    <w:rsid w:val="0069501E"/>
    <w:rsid w:val="006A40D9"/>
    <w:rsid w:val="006A75B1"/>
    <w:rsid w:val="006C77D6"/>
    <w:rsid w:val="006D2E75"/>
    <w:rsid w:val="006D5F9A"/>
    <w:rsid w:val="006D6833"/>
    <w:rsid w:val="006E1F1F"/>
    <w:rsid w:val="006E2618"/>
    <w:rsid w:val="00703B61"/>
    <w:rsid w:val="0070490A"/>
    <w:rsid w:val="00706F3D"/>
    <w:rsid w:val="0071408D"/>
    <w:rsid w:val="007168C2"/>
    <w:rsid w:val="007329B0"/>
    <w:rsid w:val="00736C67"/>
    <w:rsid w:val="0074669B"/>
    <w:rsid w:val="0075234D"/>
    <w:rsid w:val="00753EC8"/>
    <w:rsid w:val="00755D36"/>
    <w:rsid w:val="007776CD"/>
    <w:rsid w:val="00786AA5"/>
    <w:rsid w:val="007968BC"/>
    <w:rsid w:val="0079763D"/>
    <w:rsid w:val="007A3C79"/>
    <w:rsid w:val="007A4ABE"/>
    <w:rsid w:val="007B3E33"/>
    <w:rsid w:val="007B6B3B"/>
    <w:rsid w:val="007D0D68"/>
    <w:rsid w:val="007D1188"/>
    <w:rsid w:val="007D41F0"/>
    <w:rsid w:val="007D43A3"/>
    <w:rsid w:val="007D52F8"/>
    <w:rsid w:val="007E621B"/>
    <w:rsid w:val="00811C89"/>
    <w:rsid w:val="00823036"/>
    <w:rsid w:val="008247EA"/>
    <w:rsid w:val="00831BB9"/>
    <w:rsid w:val="008329BE"/>
    <w:rsid w:val="00857BDC"/>
    <w:rsid w:val="00871453"/>
    <w:rsid w:val="00873605"/>
    <w:rsid w:val="0087571C"/>
    <w:rsid w:val="00896C98"/>
    <w:rsid w:val="008A13AC"/>
    <w:rsid w:val="008B3D8A"/>
    <w:rsid w:val="008C3FA3"/>
    <w:rsid w:val="008C755D"/>
    <w:rsid w:val="008E3B42"/>
    <w:rsid w:val="008F249F"/>
    <w:rsid w:val="008F27C6"/>
    <w:rsid w:val="00902464"/>
    <w:rsid w:val="00912423"/>
    <w:rsid w:val="00923593"/>
    <w:rsid w:val="00951826"/>
    <w:rsid w:val="00964CFE"/>
    <w:rsid w:val="00971B44"/>
    <w:rsid w:val="00974F06"/>
    <w:rsid w:val="009A7262"/>
    <w:rsid w:val="009B12E9"/>
    <w:rsid w:val="009B5626"/>
    <w:rsid w:val="009B63AD"/>
    <w:rsid w:val="009D0510"/>
    <w:rsid w:val="009E224D"/>
    <w:rsid w:val="009E3B6F"/>
    <w:rsid w:val="009E6919"/>
    <w:rsid w:val="009F7F44"/>
    <w:rsid w:val="00A05B0D"/>
    <w:rsid w:val="00A10EA2"/>
    <w:rsid w:val="00A14D5A"/>
    <w:rsid w:val="00A17E30"/>
    <w:rsid w:val="00A244E3"/>
    <w:rsid w:val="00A44890"/>
    <w:rsid w:val="00A87C6E"/>
    <w:rsid w:val="00A91966"/>
    <w:rsid w:val="00A932B6"/>
    <w:rsid w:val="00AB7E3E"/>
    <w:rsid w:val="00AC1323"/>
    <w:rsid w:val="00AD442D"/>
    <w:rsid w:val="00AE59AA"/>
    <w:rsid w:val="00AF2C2A"/>
    <w:rsid w:val="00B00D60"/>
    <w:rsid w:val="00B018F6"/>
    <w:rsid w:val="00B0363F"/>
    <w:rsid w:val="00B1164E"/>
    <w:rsid w:val="00B13D53"/>
    <w:rsid w:val="00B545BC"/>
    <w:rsid w:val="00B57330"/>
    <w:rsid w:val="00B602AB"/>
    <w:rsid w:val="00B67429"/>
    <w:rsid w:val="00B74F65"/>
    <w:rsid w:val="00B81FAC"/>
    <w:rsid w:val="00B846ED"/>
    <w:rsid w:val="00B87BAE"/>
    <w:rsid w:val="00BA54B5"/>
    <w:rsid w:val="00BB15C1"/>
    <w:rsid w:val="00BC3650"/>
    <w:rsid w:val="00BC763A"/>
    <w:rsid w:val="00BD7514"/>
    <w:rsid w:val="00BF2742"/>
    <w:rsid w:val="00BF30F7"/>
    <w:rsid w:val="00BF3F55"/>
    <w:rsid w:val="00C11040"/>
    <w:rsid w:val="00C213A4"/>
    <w:rsid w:val="00C24B08"/>
    <w:rsid w:val="00C57980"/>
    <w:rsid w:val="00C65D3E"/>
    <w:rsid w:val="00C749C0"/>
    <w:rsid w:val="00C75388"/>
    <w:rsid w:val="00C76B77"/>
    <w:rsid w:val="00C7713B"/>
    <w:rsid w:val="00C85823"/>
    <w:rsid w:val="00C9454B"/>
    <w:rsid w:val="00C963A6"/>
    <w:rsid w:val="00C967DD"/>
    <w:rsid w:val="00C96EAE"/>
    <w:rsid w:val="00CA177D"/>
    <w:rsid w:val="00CA3523"/>
    <w:rsid w:val="00CB3172"/>
    <w:rsid w:val="00CB34B4"/>
    <w:rsid w:val="00CE44D7"/>
    <w:rsid w:val="00CF64BC"/>
    <w:rsid w:val="00D03031"/>
    <w:rsid w:val="00D06FC0"/>
    <w:rsid w:val="00D07C0B"/>
    <w:rsid w:val="00D10F01"/>
    <w:rsid w:val="00D17559"/>
    <w:rsid w:val="00D22F3D"/>
    <w:rsid w:val="00D32460"/>
    <w:rsid w:val="00D5236C"/>
    <w:rsid w:val="00D71C14"/>
    <w:rsid w:val="00D734FF"/>
    <w:rsid w:val="00D75C4F"/>
    <w:rsid w:val="00DA25AA"/>
    <w:rsid w:val="00DA5F38"/>
    <w:rsid w:val="00DC0D87"/>
    <w:rsid w:val="00E06041"/>
    <w:rsid w:val="00E15097"/>
    <w:rsid w:val="00E240BB"/>
    <w:rsid w:val="00E4736D"/>
    <w:rsid w:val="00E6374C"/>
    <w:rsid w:val="00E670EC"/>
    <w:rsid w:val="00E706BC"/>
    <w:rsid w:val="00E748FC"/>
    <w:rsid w:val="00E756FF"/>
    <w:rsid w:val="00E81FDF"/>
    <w:rsid w:val="00EA026D"/>
    <w:rsid w:val="00EA15AF"/>
    <w:rsid w:val="00EB0228"/>
    <w:rsid w:val="00EB02A4"/>
    <w:rsid w:val="00EB129E"/>
    <w:rsid w:val="00EB39A9"/>
    <w:rsid w:val="00EC4258"/>
    <w:rsid w:val="00EC5BE2"/>
    <w:rsid w:val="00F005D5"/>
    <w:rsid w:val="00F04FDB"/>
    <w:rsid w:val="00F268BA"/>
    <w:rsid w:val="00F273ED"/>
    <w:rsid w:val="00F3021A"/>
    <w:rsid w:val="00F51993"/>
    <w:rsid w:val="00F60CD7"/>
    <w:rsid w:val="00F73A43"/>
    <w:rsid w:val="00F74B17"/>
    <w:rsid w:val="00F93832"/>
    <w:rsid w:val="00F96C15"/>
    <w:rsid w:val="00FB16CB"/>
    <w:rsid w:val="00FD4077"/>
    <w:rsid w:val="00FE33C3"/>
    <w:rsid w:val="00FE4663"/>
    <w:rsid w:val="00FE46A6"/>
    <w:rsid w:val="00FE5F8B"/>
    <w:rsid w:val="00FF6FF4"/>
    <w:rsid w:val="013C690E"/>
    <w:rsid w:val="029C6837"/>
    <w:rsid w:val="02E206A7"/>
    <w:rsid w:val="02F715E8"/>
    <w:rsid w:val="032675B7"/>
    <w:rsid w:val="034124F8"/>
    <w:rsid w:val="03C2134C"/>
    <w:rsid w:val="03D0258B"/>
    <w:rsid w:val="03FD1E0D"/>
    <w:rsid w:val="04342338"/>
    <w:rsid w:val="047878DC"/>
    <w:rsid w:val="05B178F5"/>
    <w:rsid w:val="05BB5160"/>
    <w:rsid w:val="05CC2A57"/>
    <w:rsid w:val="068E09C2"/>
    <w:rsid w:val="082A0F4F"/>
    <w:rsid w:val="08EB0A15"/>
    <w:rsid w:val="08FF5BAE"/>
    <w:rsid w:val="094E43B4"/>
    <w:rsid w:val="09727D0F"/>
    <w:rsid w:val="09CB082F"/>
    <w:rsid w:val="09EC3B8D"/>
    <w:rsid w:val="0A036F3E"/>
    <w:rsid w:val="0A286225"/>
    <w:rsid w:val="0AB70C51"/>
    <w:rsid w:val="0AFC2356"/>
    <w:rsid w:val="0B152184"/>
    <w:rsid w:val="0B966523"/>
    <w:rsid w:val="0C9431C0"/>
    <w:rsid w:val="0D6C45B6"/>
    <w:rsid w:val="0DC664A8"/>
    <w:rsid w:val="0E7A76BD"/>
    <w:rsid w:val="0E896644"/>
    <w:rsid w:val="0EEB5E84"/>
    <w:rsid w:val="0F7A6F7F"/>
    <w:rsid w:val="0FD05C09"/>
    <w:rsid w:val="10192846"/>
    <w:rsid w:val="101D515C"/>
    <w:rsid w:val="10B70FCF"/>
    <w:rsid w:val="10BB784F"/>
    <w:rsid w:val="11281521"/>
    <w:rsid w:val="11A2456B"/>
    <w:rsid w:val="11BA7F01"/>
    <w:rsid w:val="11E971D3"/>
    <w:rsid w:val="12031614"/>
    <w:rsid w:val="12270EBA"/>
    <w:rsid w:val="131A4FC5"/>
    <w:rsid w:val="132D6B62"/>
    <w:rsid w:val="137D78D9"/>
    <w:rsid w:val="13A97E33"/>
    <w:rsid w:val="13C539D9"/>
    <w:rsid w:val="143A4F2F"/>
    <w:rsid w:val="15A63C9D"/>
    <w:rsid w:val="15B8610B"/>
    <w:rsid w:val="1639016C"/>
    <w:rsid w:val="166F0C7A"/>
    <w:rsid w:val="16C50DD7"/>
    <w:rsid w:val="1740285C"/>
    <w:rsid w:val="18241530"/>
    <w:rsid w:val="185337C6"/>
    <w:rsid w:val="188E1B42"/>
    <w:rsid w:val="19362169"/>
    <w:rsid w:val="1A4B1203"/>
    <w:rsid w:val="1A580458"/>
    <w:rsid w:val="1A621740"/>
    <w:rsid w:val="1B4350CC"/>
    <w:rsid w:val="1B4F5682"/>
    <w:rsid w:val="1D1E53EE"/>
    <w:rsid w:val="1D6E4FE8"/>
    <w:rsid w:val="1E1201EA"/>
    <w:rsid w:val="1E29333F"/>
    <w:rsid w:val="1E316639"/>
    <w:rsid w:val="1EEFD3E8"/>
    <w:rsid w:val="1F230533"/>
    <w:rsid w:val="1FB77434"/>
    <w:rsid w:val="20A9058E"/>
    <w:rsid w:val="20C718F8"/>
    <w:rsid w:val="21146B57"/>
    <w:rsid w:val="212B26B1"/>
    <w:rsid w:val="216043C0"/>
    <w:rsid w:val="220023FA"/>
    <w:rsid w:val="22E97F18"/>
    <w:rsid w:val="23105BAE"/>
    <w:rsid w:val="23164DB9"/>
    <w:rsid w:val="233D4F39"/>
    <w:rsid w:val="25C26673"/>
    <w:rsid w:val="260A5617"/>
    <w:rsid w:val="26A10C53"/>
    <w:rsid w:val="26AB5818"/>
    <w:rsid w:val="273A7684"/>
    <w:rsid w:val="274B10E8"/>
    <w:rsid w:val="27FF286F"/>
    <w:rsid w:val="2804198D"/>
    <w:rsid w:val="285B013A"/>
    <w:rsid w:val="287039F2"/>
    <w:rsid w:val="29340703"/>
    <w:rsid w:val="2A227168"/>
    <w:rsid w:val="2A607352"/>
    <w:rsid w:val="2A771A3E"/>
    <w:rsid w:val="2B2D2428"/>
    <w:rsid w:val="2B84641F"/>
    <w:rsid w:val="2B920D55"/>
    <w:rsid w:val="2C094F50"/>
    <w:rsid w:val="2CD767B3"/>
    <w:rsid w:val="2D12039F"/>
    <w:rsid w:val="2D8A7B9A"/>
    <w:rsid w:val="2DB126A6"/>
    <w:rsid w:val="2DB3175D"/>
    <w:rsid w:val="2DC11946"/>
    <w:rsid w:val="2E4E469E"/>
    <w:rsid w:val="2EC77B2C"/>
    <w:rsid w:val="2EE93507"/>
    <w:rsid w:val="30AB1FF6"/>
    <w:rsid w:val="30B772F4"/>
    <w:rsid w:val="311763EB"/>
    <w:rsid w:val="31545EF3"/>
    <w:rsid w:val="31757605"/>
    <w:rsid w:val="31D01E70"/>
    <w:rsid w:val="321F36E2"/>
    <w:rsid w:val="333B6F5C"/>
    <w:rsid w:val="33CE1F01"/>
    <w:rsid w:val="34EC48B2"/>
    <w:rsid w:val="34F435DC"/>
    <w:rsid w:val="355B3010"/>
    <w:rsid w:val="3577501F"/>
    <w:rsid w:val="36637A9D"/>
    <w:rsid w:val="36753CE8"/>
    <w:rsid w:val="368C334C"/>
    <w:rsid w:val="36D16BD5"/>
    <w:rsid w:val="37287063"/>
    <w:rsid w:val="37AD7EC0"/>
    <w:rsid w:val="37B5146C"/>
    <w:rsid w:val="38436219"/>
    <w:rsid w:val="389D5322"/>
    <w:rsid w:val="38B03123"/>
    <w:rsid w:val="39162B6F"/>
    <w:rsid w:val="39BC13E0"/>
    <w:rsid w:val="3AC32CD9"/>
    <w:rsid w:val="3B776754"/>
    <w:rsid w:val="3B7E0668"/>
    <w:rsid w:val="3B941554"/>
    <w:rsid w:val="3C1D7CFF"/>
    <w:rsid w:val="3C331D70"/>
    <w:rsid w:val="3C611123"/>
    <w:rsid w:val="3C875AED"/>
    <w:rsid w:val="3D332076"/>
    <w:rsid w:val="3D4C78D3"/>
    <w:rsid w:val="3D987470"/>
    <w:rsid w:val="3DE537C3"/>
    <w:rsid w:val="3E646BD2"/>
    <w:rsid w:val="3FDC1819"/>
    <w:rsid w:val="40A73B8C"/>
    <w:rsid w:val="410C1CDC"/>
    <w:rsid w:val="423B0C32"/>
    <w:rsid w:val="423B584A"/>
    <w:rsid w:val="42B33D02"/>
    <w:rsid w:val="432F5A9A"/>
    <w:rsid w:val="435B1A92"/>
    <w:rsid w:val="438F3899"/>
    <w:rsid w:val="43D9689E"/>
    <w:rsid w:val="448160DE"/>
    <w:rsid w:val="450D562C"/>
    <w:rsid w:val="45A943D2"/>
    <w:rsid w:val="46224BDF"/>
    <w:rsid w:val="47613705"/>
    <w:rsid w:val="4823556A"/>
    <w:rsid w:val="485B5636"/>
    <w:rsid w:val="491944CD"/>
    <w:rsid w:val="4A2058CF"/>
    <w:rsid w:val="4A9330E1"/>
    <w:rsid w:val="4AA30810"/>
    <w:rsid w:val="4AAC461E"/>
    <w:rsid w:val="4AB94747"/>
    <w:rsid w:val="4B4323EB"/>
    <w:rsid w:val="4BE8025A"/>
    <w:rsid w:val="4C5551C1"/>
    <w:rsid w:val="4CC250FE"/>
    <w:rsid w:val="4CFC691B"/>
    <w:rsid w:val="4D7542DB"/>
    <w:rsid w:val="4D7C7E2A"/>
    <w:rsid w:val="4D85602B"/>
    <w:rsid w:val="4D89688B"/>
    <w:rsid w:val="4DE85D46"/>
    <w:rsid w:val="4E172528"/>
    <w:rsid w:val="4E7870BD"/>
    <w:rsid w:val="4E830CA5"/>
    <w:rsid w:val="4F69202E"/>
    <w:rsid w:val="4F7B3806"/>
    <w:rsid w:val="4F880A73"/>
    <w:rsid w:val="50893BBA"/>
    <w:rsid w:val="50897318"/>
    <w:rsid w:val="51C73A68"/>
    <w:rsid w:val="52214A5D"/>
    <w:rsid w:val="528B0652"/>
    <w:rsid w:val="531F4A35"/>
    <w:rsid w:val="532C554F"/>
    <w:rsid w:val="53775A52"/>
    <w:rsid w:val="53AC1121"/>
    <w:rsid w:val="54577081"/>
    <w:rsid w:val="54B02769"/>
    <w:rsid w:val="54D83437"/>
    <w:rsid w:val="550028D5"/>
    <w:rsid w:val="55AA7799"/>
    <w:rsid w:val="56AB6FEB"/>
    <w:rsid w:val="56D85400"/>
    <w:rsid w:val="574759F3"/>
    <w:rsid w:val="58524E01"/>
    <w:rsid w:val="598D61FF"/>
    <w:rsid w:val="5A3B5DD0"/>
    <w:rsid w:val="5A8663D9"/>
    <w:rsid w:val="5AA71877"/>
    <w:rsid w:val="5B9238F2"/>
    <w:rsid w:val="5BB16E51"/>
    <w:rsid w:val="5BEC21A3"/>
    <w:rsid w:val="5CB77B5B"/>
    <w:rsid w:val="5CC15BF4"/>
    <w:rsid w:val="5CF87F3D"/>
    <w:rsid w:val="5D0E3E30"/>
    <w:rsid w:val="5D2604F4"/>
    <w:rsid w:val="5D6941C2"/>
    <w:rsid w:val="5E715F75"/>
    <w:rsid w:val="5E9665A7"/>
    <w:rsid w:val="5ED6097D"/>
    <w:rsid w:val="5F730366"/>
    <w:rsid w:val="5FEF5487"/>
    <w:rsid w:val="60672A96"/>
    <w:rsid w:val="62441E42"/>
    <w:rsid w:val="626E3B4F"/>
    <w:rsid w:val="62D46007"/>
    <w:rsid w:val="64544042"/>
    <w:rsid w:val="64824E6B"/>
    <w:rsid w:val="64AD0668"/>
    <w:rsid w:val="650024AE"/>
    <w:rsid w:val="652B56B7"/>
    <w:rsid w:val="65CC0289"/>
    <w:rsid w:val="66EA5F3C"/>
    <w:rsid w:val="67101F1F"/>
    <w:rsid w:val="67E4351B"/>
    <w:rsid w:val="68CA30B7"/>
    <w:rsid w:val="697119CE"/>
    <w:rsid w:val="69A44F08"/>
    <w:rsid w:val="69DA007B"/>
    <w:rsid w:val="69E57386"/>
    <w:rsid w:val="6A8165D6"/>
    <w:rsid w:val="6B693081"/>
    <w:rsid w:val="6B6F4633"/>
    <w:rsid w:val="6BC86FB6"/>
    <w:rsid w:val="6BEF6F32"/>
    <w:rsid w:val="6C1B7F41"/>
    <w:rsid w:val="6C8F1CC3"/>
    <w:rsid w:val="6D507461"/>
    <w:rsid w:val="6D527D9A"/>
    <w:rsid w:val="6D7221B9"/>
    <w:rsid w:val="6DD79324"/>
    <w:rsid w:val="6DF32D55"/>
    <w:rsid w:val="6EA15275"/>
    <w:rsid w:val="6F4F789F"/>
    <w:rsid w:val="6F52221E"/>
    <w:rsid w:val="6FD81647"/>
    <w:rsid w:val="701F74F8"/>
    <w:rsid w:val="7154491D"/>
    <w:rsid w:val="71B717AD"/>
    <w:rsid w:val="7232487C"/>
    <w:rsid w:val="73430D3D"/>
    <w:rsid w:val="734C3CB7"/>
    <w:rsid w:val="7362379D"/>
    <w:rsid w:val="73992AF6"/>
    <w:rsid w:val="75157379"/>
    <w:rsid w:val="752913AF"/>
    <w:rsid w:val="75A128F3"/>
    <w:rsid w:val="75C91DA1"/>
    <w:rsid w:val="765B0A08"/>
    <w:rsid w:val="770147B7"/>
    <w:rsid w:val="773A690F"/>
    <w:rsid w:val="77E85551"/>
    <w:rsid w:val="783D5462"/>
    <w:rsid w:val="784A6BD2"/>
    <w:rsid w:val="78850D41"/>
    <w:rsid w:val="78B67568"/>
    <w:rsid w:val="79E3136F"/>
    <w:rsid w:val="7A8C140A"/>
    <w:rsid w:val="7A925C48"/>
    <w:rsid w:val="7AC74440"/>
    <w:rsid w:val="7AF16E13"/>
    <w:rsid w:val="7B264EA2"/>
    <w:rsid w:val="7B8D3FBD"/>
    <w:rsid w:val="7BA27F9D"/>
    <w:rsid w:val="7BA824F1"/>
    <w:rsid w:val="7BFD122E"/>
    <w:rsid w:val="7D11323D"/>
    <w:rsid w:val="7D15727B"/>
    <w:rsid w:val="7D73334C"/>
    <w:rsid w:val="7D857E63"/>
    <w:rsid w:val="7DBA9066"/>
    <w:rsid w:val="7F4F8ACE"/>
    <w:rsid w:val="7F633038"/>
    <w:rsid w:val="7FBF570E"/>
    <w:rsid w:val="7FCB7C32"/>
    <w:rsid w:val="7FFF4EE2"/>
    <w:rsid w:val="A6DFCA34"/>
    <w:rsid w:val="BBB64E1D"/>
    <w:rsid w:val="BDFF9B7E"/>
    <w:rsid w:val="D3CF22EB"/>
    <w:rsid w:val="DE71C381"/>
    <w:rsid w:val="F3F37766"/>
    <w:rsid w:val="FC7DFC5F"/>
    <w:rsid w:val="FEBFE5E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32"/>
    <w:qFormat/>
    <w:uiPriority w:val="0"/>
    <w:pPr>
      <w:tabs>
        <w:tab w:val="left" w:pos="480"/>
      </w:tabs>
      <w:spacing w:line="360" w:lineRule="auto"/>
      <w:jc w:val="center"/>
      <w:outlineLvl w:val="0"/>
    </w:pPr>
    <w:rPr>
      <w:sz w:val="44"/>
      <w:szCs w:val="20"/>
    </w:rPr>
  </w:style>
  <w:style w:type="paragraph" w:styleId="5">
    <w:name w:val="heading 2"/>
    <w:basedOn w:val="1"/>
    <w:next w:val="1"/>
    <w:link w:val="31"/>
    <w:unhideWhenUsed/>
    <w:qFormat/>
    <w:uiPriority w:val="9"/>
    <w:pPr>
      <w:keepNext/>
      <w:keepLines/>
      <w:ind w:firstLine="0" w:firstLineChars="0"/>
      <w:jc w:val="left"/>
      <w:outlineLvl w:val="1"/>
    </w:pPr>
    <w:rPr>
      <w:rFonts w:eastAsia="宋体" w:asciiTheme="majorAscii" w:hAnsiTheme="majorAscii" w:cstheme="majorBidi"/>
      <w:b/>
      <w:bCs/>
      <w:sz w:val="32"/>
      <w:szCs w:val="32"/>
    </w:rPr>
  </w:style>
  <w:style w:type="paragraph" w:styleId="6">
    <w:name w:val="heading 3"/>
    <w:basedOn w:val="1"/>
    <w:next w:val="1"/>
    <w:link w:val="36"/>
    <w:unhideWhenUsed/>
    <w:qFormat/>
    <w:uiPriority w:val="9"/>
    <w:pPr>
      <w:keepNext/>
      <w:keepLines/>
      <w:spacing w:line="240" w:lineRule="auto"/>
      <w:ind w:firstLine="0" w:firstLineChars="0"/>
      <w:outlineLvl w:val="2"/>
    </w:pPr>
    <w:rPr>
      <w:b/>
      <w:bCs/>
      <w:sz w:val="28"/>
      <w:szCs w:val="32"/>
    </w:rPr>
  </w:style>
  <w:style w:type="paragraph" w:styleId="7">
    <w:name w:val="heading 4"/>
    <w:basedOn w:val="1"/>
    <w:next w:val="1"/>
    <w:link w:val="39"/>
    <w:unhideWhenUsed/>
    <w:qFormat/>
    <w:uiPriority w:val="9"/>
    <w:pPr>
      <w:keepNext/>
      <w:keepLines/>
      <w:spacing w:line="240" w:lineRule="auto"/>
      <w:ind w:firstLine="0" w:firstLineChars="0"/>
      <w:outlineLvl w:val="3"/>
    </w:pPr>
    <w:rPr>
      <w:rFonts w:asciiTheme="majorHAnsi" w:hAnsiTheme="majorHAnsi" w:eastAsiaTheme="majorEastAsia" w:cstheme="majorBidi"/>
      <w:b/>
      <w:bCs/>
      <w:sz w:val="28"/>
      <w:szCs w:val="28"/>
    </w:rPr>
  </w:style>
  <w:style w:type="paragraph" w:styleId="8">
    <w:name w:val="heading 5"/>
    <w:basedOn w:val="1"/>
    <w:next w:val="1"/>
    <w:unhideWhenUsed/>
    <w:qFormat/>
    <w:uiPriority w:val="9"/>
    <w:pPr>
      <w:keepNext/>
      <w:keepLines/>
      <w:spacing w:line="240" w:lineRule="auto"/>
      <w:ind w:firstLine="0" w:firstLineChars="0"/>
      <w:outlineLvl w:val="4"/>
    </w:pPr>
    <w:rPr>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9"/>
    <w:qFormat/>
    <w:uiPriority w:val="0"/>
    <w:pPr>
      <w:spacing w:after="120"/>
    </w:pPr>
    <w:rPr>
      <w:rFonts w:asciiTheme="minorHAnsi" w:hAnsiTheme="minorHAnsi" w:eastAsiaTheme="minorEastAsia" w:cstheme="minorBidi"/>
      <w:sz w:val="21"/>
    </w:rPr>
  </w:style>
  <w:style w:type="paragraph" w:styleId="3">
    <w:name w:val="Body Text First Indent"/>
    <w:basedOn w:val="2"/>
    <w:next w:val="1"/>
    <w:link w:val="69"/>
    <w:unhideWhenUsed/>
    <w:qFormat/>
    <w:uiPriority w:val="99"/>
    <w:pPr>
      <w:ind w:firstLine="420" w:firstLineChars="100"/>
    </w:pPr>
    <w:rPr>
      <w:rFonts w:ascii="Times New Roman" w:hAnsi="Times New Roman" w:eastAsia="宋体" w:cs="Times New Roman"/>
      <w:sz w:val="24"/>
    </w:rPr>
  </w:style>
  <w:style w:type="paragraph" w:styleId="9">
    <w:name w:val="Normal Indent"/>
    <w:basedOn w:val="1"/>
    <w:unhideWhenUsed/>
    <w:qFormat/>
    <w:uiPriority w:val="0"/>
    <w:pPr>
      <w:spacing w:line="240" w:lineRule="auto"/>
      <w:ind w:firstLine="420"/>
    </w:pPr>
    <w:rPr>
      <w:sz w:val="21"/>
    </w:rPr>
  </w:style>
  <w:style w:type="paragraph" w:styleId="10">
    <w:name w:val="Document Map"/>
    <w:basedOn w:val="1"/>
    <w:link w:val="52"/>
    <w:qFormat/>
    <w:uiPriority w:val="0"/>
    <w:pPr>
      <w:spacing w:line="240" w:lineRule="auto"/>
      <w:ind w:firstLine="0" w:firstLineChars="0"/>
    </w:pPr>
    <w:rPr>
      <w:rFonts w:ascii="宋体" w:hAnsi="Calibri"/>
      <w:sz w:val="18"/>
      <w:szCs w:val="18"/>
    </w:rPr>
  </w:style>
  <w:style w:type="paragraph" w:styleId="11">
    <w:name w:val="toa heading"/>
    <w:basedOn w:val="1"/>
    <w:next w:val="1"/>
    <w:qFormat/>
    <w:uiPriority w:val="0"/>
    <w:pPr>
      <w:spacing w:before="120"/>
    </w:pPr>
    <w:rPr>
      <w:rFonts w:ascii="Arial" w:hAnsi="Arial"/>
      <w:sz w:val="24"/>
    </w:rPr>
  </w:style>
  <w:style w:type="paragraph" w:styleId="12">
    <w:name w:val="annotation text"/>
    <w:basedOn w:val="1"/>
    <w:unhideWhenUsed/>
    <w:qFormat/>
    <w:uiPriority w:val="99"/>
    <w:pPr>
      <w:jc w:val="left"/>
    </w:pPr>
  </w:style>
  <w:style w:type="paragraph" w:styleId="13">
    <w:name w:val="Body Text Indent"/>
    <w:basedOn w:val="1"/>
    <w:next w:val="14"/>
    <w:link w:val="35"/>
    <w:unhideWhenUsed/>
    <w:qFormat/>
    <w:uiPriority w:val="99"/>
    <w:pPr>
      <w:spacing w:after="120"/>
      <w:ind w:left="420" w:leftChars="200"/>
    </w:pPr>
  </w:style>
  <w:style w:type="paragraph" w:styleId="14">
    <w:name w:val="Body Text First Indent 2"/>
    <w:basedOn w:val="13"/>
    <w:link w:val="34"/>
    <w:unhideWhenUsed/>
    <w:qFormat/>
    <w:uiPriority w:val="99"/>
    <w:pPr>
      <w:ind w:firstLine="420"/>
    </w:pPr>
  </w:style>
  <w:style w:type="paragraph" w:styleId="15">
    <w:name w:val="Plain Text"/>
    <w:basedOn w:val="1"/>
    <w:link w:val="55"/>
    <w:qFormat/>
    <w:uiPriority w:val="99"/>
    <w:pPr>
      <w:spacing w:line="240" w:lineRule="auto"/>
      <w:ind w:firstLine="0" w:firstLineChars="0"/>
    </w:pPr>
    <w:rPr>
      <w:rFonts w:ascii="宋体" w:hAnsi="Courier New"/>
      <w:sz w:val="21"/>
    </w:rPr>
  </w:style>
  <w:style w:type="paragraph" w:styleId="16">
    <w:name w:val="Date"/>
    <w:basedOn w:val="1"/>
    <w:next w:val="1"/>
    <w:link w:val="50"/>
    <w:unhideWhenUsed/>
    <w:qFormat/>
    <w:uiPriority w:val="99"/>
    <w:pPr>
      <w:ind w:left="100" w:leftChars="2500"/>
    </w:pPr>
  </w:style>
  <w:style w:type="paragraph" w:styleId="17">
    <w:name w:val="Body Text Indent 2"/>
    <w:basedOn w:val="1"/>
    <w:link w:val="62"/>
    <w:unhideWhenUsed/>
    <w:qFormat/>
    <w:uiPriority w:val="99"/>
    <w:pPr>
      <w:spacing w:after="120" w:line="480" w:lineRule="auto"/>
      <w:ind w:left="420" w:leftChars="200"/>
    </w:pPr>
  </w:style>
  <w:style w:type="paragraph" w:styleId="18">
    <w:name w:val="Balloon Text"/>
    <w:basedOn w:val="1"/>
    <w:link w:val="78"/>
    <w:semiHidden/>
    <w:unhideWhenUsed/>
    <w:qFormat/>
    <w:uiPriority w:val="99"/>
    <w:pPr>
      <w:spacing w:line="240" w:lineRule="auto"/>
    </w:pPr>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left" w:pos="1470"/>
        <w:tab w:val="right" w:leader="dot" w:pos="8296"/>
      </w:tabs>
      <w:spacing w:line="300" w:lineRule="exact"/>
      <w:ind w:firstLine="480"/>
    </w:pPr>
  </w:style>
  <w:style w:type="paragraph" w:styleId="22">
    <w:name w:val="Subtitle"/>
    <w:basedOn w:val="1"/>
    <w:next w:val="1"/>
    <w:qFormat/>
    <w:uiPriority w:val="11"/>
    <w:pPr>
      <w:spacing w:before="240" w:after="60"/>
      <w:jc w:val="center"/>
      <w:outlineLvl w:val="1"/>
    </w:pPr>
    <w:rPr>
      <w:b/>
      <w:bCs/>
      <w:kern w:val="28"/>
      <w:sz w:val="32"/>
      <w:szCs w:val="32"/>
    </w:rPr>
  </w:style>
  <w:style w:type="paragraph" w:styleId="23">
    <w:name w:val="List"/>
    <w:basedOn w:val="1"/>
    <w:qFormat/>
    <w:uiPriority w:val="0"/>
    <w:pPr>
      <w:spacing w:line="240" w:lineRule="auto"/>
      <w:ind w:left="200" w:hanging="200" w:hangingChars="200"/>
    </w:pPr>
    <w:rPr>
      <w:rFonts w:ascii="仿宋_GB2312" w:eastAsia="仿宋_GB2312"/>
      <w:sz w:val="28"/>
      <w:szCs w:val="28"/>
    </w:rPr>
  </w:style>
  <w:style w:type="paragraph" w:styleId="24">
    <w:name w:val="Body Text Indent 3"/>
    <w:basedOn w:val="1"/>
    <w:link w:val="63"/>
    <w:unhideWhenUsed/>
    <w:qFormat/>
    <w:uiPriority w:val="99"/>
    <w:pPr>
      <w:spacing w:after="120"/>
      <w:ind w:left="420" w:leftChars="200"/>
    </w:pPr>
    <w:rPr>
      <w:sz w:val="16"/>
      <w:szCs w:val="16"/>
    </w:rPr>
  </w:style>
  <w:style w:type="paragraph" w:styleId="25">
    <w:name w:val="toc 2"/>
    <w:basedOn w:val="1"/>
    <w:next w:val="1"/>
    <w:unhideWhenUsed/>
    <w:qFormat/>
    <w:uiPriority w:val="39"/>
    <w:pPr>
      <w:ind w:left="420" w:leftChars="200"/>
    </w:pPr>
  </w:style>
  <w:style w:type="table" w:styleId="27">
    <w:name w:val="Table Grid"/>
    <w:basedOn w:val="2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Hyperlink"/>
    <w:basedOn w:val="28"/>
    <w:unhideWhenUsed/>
    <w:qFormat/>
    <w:uiPriority w:val="99"/>
    <w:rPr>
      <w:color w:val="0000FF" w:themeColor="hyperlink"/>
      <w:u w:val="single"/>
      <w14:textFill>
        <w14:solidFill>
          <w14:schemeClr w14:val="hlink"/>
        </w14:solidFill>
      </w14:textFill>
    </w:rPr>
  </w:style>
  <w:style w:type="character" w:styleId="30">
    <w:name w:val="annotation reference"/>
    <w:basedOn w:val="28"/>
    <w:semiHidden/>
    <w:unhideWhenUsed/>
    <w:qFormat/>
    <w:uiPriority w:val="99"/>
    <w:rPr>
      <w:sz w:val="21"/>
      <w:szCs w:val="21"/>
    </w:rPr>
  </w:style>
  <w:style w:type="character" w:customStyle="1" w:styleId="31">
    <w:name w:val="标题 2 Char"/>
    <w:basedOn w:val="28"/>
    <w:link w:val="5"/>
    <w:qFormat/>
    <w:uiPriority w:val="9"/>
    <w:rPr>
      <w:rFonts w:eastAsia="宋体" w:asciiTheme="majorAscii" w:hAnsiTheme="majorAscii" w:cstheme="majorBidi"/>
      <w:b/>
      <w:bCs/>
      <w:sz w:val="32"/>
      <w:szCs w:val="32"/>
    </w:rPr>
  </w:style>
  <w:style w:type="character" w:customStyle="1" w:styleId="32">
    <w:name w:val="标题 1 Char"/>
    <w:basedOn w:val="28"/>
    <w:link w:val="4"/>
    <w:qFormat/>
    <w:uiPriority w:val="0"/>
    <w:rPr>
      <w:rFonts w:ascii="Times New Roman" w:hAnsi="Times New Roman" w:eastAsia="宋体" w:cs="Times New Roman"/>
      <w:b/>
      <w:sz w:val="44"/>
      <w:szCs w:val="20"/>
    </w:rPr>
  </w:style>
  <w:style w:type="character" w:customStyle="1" w:styleId="33">
    <w:name w:val="正文文本 Char"/>
    <w:qFormat/>
    <w:uiPriority w:val="0"/>
    <w:rPr>
      <w:szCs w:val="24"/>
    </w:rPr>
  </w:style>
  <w:style w:type="character" w:customStyle="1" w:styleId="34">
    <w:name w:val="正文首行缩进 2 Char"/>
    <w:basedOn w:val="35"/>
    <w:link w:val="14"/>
    <w:qFormat/>
    <w:uiPriority w:val="99"/>
    <w:rPr>
      <w:rFonts w:ascii="Times New Roman" w:hAnsi="Times New Roman" w:eastAsia="宋体" w:cs="Times New Roman"/>
      <w:sz w:val="24"/>
      <w:szCs w:val="24"/>
    </w:rPr>
  </w:style>
  <w:style w:type="character" w:customStyle="1" w:styleId="35">
    <w:name w:val="正文文本缩进 Char"/>
    <w:basedOn w:val="28"/>
    <w:link w:val="13"/>
    <w:qFormat/>
    <w:uiPriority w:val="99"/>
    <w:rPr>
      <w:rFonts w:ascii="Times New Roman" w:hAnsi="Times New Roman" w:eastAsia="宋体" w:cs="Times New Roman"/>
      <w:sz w:val="24"/>
      <w:szCs w:val="24"/>
    </w:rPr>
  </w:style>
  <w:style w:type="character" w:customStyle="1" w:styleId="36">
    <w:name w:val="标题 3 Char"/>
    <w:basedOn w:val="28"/>
    <w:link w:val="6"/>
    <w:semiHidden/>
    <w:qFormat/>
    <w:uiPriority w:val="9"/>
    <w:rPr>
      <w:rFonts w:ascii="Times New Roman" w:hAnsi="Times New Roman" w:eastAsia="宋体" w:cs="Times New Roman"/>
      <w:b/>
      <w:bCs/>
      <w:sz w:val="28"/>
      <w:szCs w:val="32"/>
    </w:rPr>
  </w:style>
  <w:style w:type="paragraph" w:customStyle="1" w:styleId="37">
    <w:name w:val="表格"/>
    <w:basedOn w:val="1"/>
    <w:qFormat/>
    <w:uiPriority w:val="0"/>
    <w:pPr>
      <w:adjustRightInd w:val="0"/>
      <w:spacing w:line="240" w:lineRule="auto"/>
      <w:ind w:firstLine="0" w:firstLineChars="0"/>
    </w:pPr>
    <w:rPr>
      <w:rFonts w:hint="eastAsia" w:ascii="宋体" w:hAnsi="宋体" w:cs="宋体"/>
      <w:bCs/>
    </w:rPr>
  </w:style>
  <w:style w:type="paragraph" w:customStyle="1" w:styleId="38">
    <w:name w:val="表格2"/>
    <w:basedOn w:val="1"/>
    <w:qFormat/>
    <w:uiPriority w:val="0"/>
    <w:pPr>
      <w:spacing w:line="240" w:lineRule="auto"/>
      <w:ind w:firstLine="0" w:firstLineChars="0"/>
    </w:pPr>
    <w:rPr>
      <w:rFonts w:ascii="宋体" w:hAnsi="宋体"/>
      <w:szCs w:val="32"/>
      <w:lang w:val="zh-CN"/>
    </w:rPr>
  </w:style>
  <w:style w:type="character" w:customStyle="1" w:styleId="39">
    <w:name w:val="标题 4 Char"/>
    <w:basedOn w:val="28"/>
    <w:link w:val="7"/>
    <w:semiHidden/>
    <w:qFormat/>
    <w:uiPriority w:val="9"/>
    <w:rPr>
      <w:rFonts w:asciiTheme="majorHAnsi" w:hAnsiTheme="majorHAnsi" w:eastAsiaTheme="majorEastAsia" w:cstheme="majorBidi"/>
      <w:b/>
      <w:bCs/>
      <w:sz w:val="28"/>
      <w:szCs w:val="28"/>
    </w:rPr>
  </w:style>
  <w:style w:type="paragraph" w:customStyle="1" w:styleId="40">
    <w:name w:val="无间隔1"/>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paragraph" w:styleId="4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样式 表格正文 + 两端对齐"/>
    <w:basedOn w:val="1"/>
    <w:next w:val="43"/>
    <w:qFormat/>
    <w:uiPriority w:val="0"/>
    <w:pPr>
      <w:spacing w:line="300" w:lineRule="auto"/>
      <w:ind w:firstLine="0"/>
    </w:pPr>
  </w:style>
  <w:style w:type="paragraph" w:customStyle="1" w:styleId="43">
    <w:name w:val="正文1"/>
    <w:basedOn w:val="1"/>
    <w:next w:val="44"/>
    <w:qFormat/>
    <w:uiPriority w:val="0"/>
    <w:pPr>
      <w:widowControl/>
      <w:snapToGrid w:val="0"/>
      <w:spacing w:line="500" w:lineRule="exact"/>
      <w:ind w:firstLine="567"/>
    </w:pPr>
    <w:rPr>
      <w:rFonts w:ascii="楷体_GB2312" w:eastAsia="楷体_GB2312"/>
      <w:kern w:val="0"/>
      <w:sz w:val="28"/>
      <w:szCs w:val="20"/>
    </w:rPr>
  </w:style>
  <w:style w:type="paragraph" w:customStyle="1" w:styleId="44">
    <w:name w:val="自动更正"/>
    <w:next w:val="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xl39"/>
    <w:basedOn w:val="1"/>
    <w:next w:val="46"/>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46">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character" w:customStyle="1" w:styleId="47">
    <w:name w:val="页眉 Char"/>
    <w:basedOn w:val="28"/>
    <w:link w:val="20"/>
    <w:semiHidden/>
    <w:qFormat/>
    <w:uiPriority w:val="99"/>
    <w:rPr>
      <w:sz w:val="18"/>
      <w:szCs w:val="18"/>
    </w:rPr>
  </w:style>
  <w:style w:type="character" w:customStyle="1" w:styleId="48">
    <w:name w:val="页脚 Char"/>
    <w:basedOn w:val="28"/>
    <w:link w:val="19"/>
    <w:qFormat/>
    <w:uiPriority w:val="99"/>
    <w:rPr>
      <w:sz w:val="18"/>
      <w:szCs w:val="18"/>
    </w:rPr>
  </w:style>
  <w:style w:type="character" w:customStyle="1" w:styleId="49">
    <w:name w:val="正文文本 Char1"/>
    <w:basedOn w:val="28"/>
    <w:link w:val="2"/>
    <w:semiHidden/>
    <w:qFormat/>
    <w:uiPriority w:val="99"/>
    <w:rPr>
      <w:rFonts w:ascii="Times New Roman" w:hAnsi="Times New Roman" w:eastAsia="宋体" w:cs="Times New Roman"/>
      <w:sz w:val="24"/>
      <w:szCs w:val="24"/>
    </w:rPr>
  </w:style>
  <w:style w:type="character" w:customStyle="1" w:styleId="50">
    <w:name w:val="日期 Char"/>
    <w:basedOn w:val="28"/>
    <w:link w:val="16"/>
    <w:semiHidden/>
    <w:qFormat/>
    <w:uiPriority w:val="99"/>
    <w:rPr>
      <w:rFonts w:ascii="Times New Roman" w:hAnsi="Times New Roman" w:eastAsia="宋体" w:cs="Times New Roman"/>
      <w:sz w:val="24"/>
      <w:szCs w:val="24"/>
    </w:rPr>
  </w:style>
  <w:style w:type="paragraph" w:customStyle="1" w:styleId="51">
    <w:name w:val="列出段落1"/>
    <w:basedOn w:val="1"/>
    <w:qFormat/>
    <w:uiPriority w:val="34"/>
    <w:pPr>
      <w:ind w:firstLine="420"/>
    </w:pPr>
  </w:style>
  <w:style w:type="character" w:customStyle="1" w:styleId="52">
    <w:name w:val="文档结构图 Char"/>
    <w:basedOn w:val="28"/>
    <w:link w:val="10"/>
    <w:qFormat/>
    <w:uiPriority w:val="0"/>
    <w:rPr>
      <w:rFonts w:ascii="宋体" w:hAnsi="Calibri" w:eastAsia="宋体" w:cs="Times New Roman"/>
      <w:sz w:val="18"/>
      <w:szCs w:val="18"/>
    </w:rPr>
  </w:style>
  <w:style w:type="character" w:customStyle="1" w:styleId="53">
    <w:name w:val="bookmark-item"/>
    <w:basedOn w:val="28"/>
    <w:qFormat/>
    <w:uiPriority w:val="0"/>
  </w:style>
  <w:style w:type="character" w:customStyle="1" w:styleId="54">
    <w:name w:val="纯文本 Char"/>
    <w:basedOn w:val="28"/>
    <w:qFormat/>
    <w:uiPriority w:val="0"/>
    <w:rPr>
      <w:rFonts w:ascii="宋体" w:hAnsi="Courier New" w:eastAsia="宋体" w:cs="Courier New"/>
      <w:szCs w:val="21"/>
    </w:rPr>
  </w:style>
  <w:style w:type="character" w:customStyle="1" w:styleId="55">
    <w:name w:val="纯文本 Char1"/>
    <w:basedOn w:val="28"/>
    <w:link w:val="15"/>
    <w:qFormat/>
    <w:uiPriority w:val="99"/>
    <w:rPr>
      <w:rFonts w:ascii="宋体" w:hAnsi="Courier New" w:eastAsia="宋体" w:cs="Times New Roman"/>
      <w:szCs w:val="24"/>
    </w:rPr>
  </w:style>
  <w:style w:type="character" w:customStyle="1" w:styleId="56">
    <w:name w:val="纯文本 字符"/>
    <w:qFormat/>
    <w:uiPriority w:val="0"/>
    <w:rPr>
      <w:rFonts w:ascii="宋体" w:hAnsi="Courier New"/>
      <w:kern w:val="2"/>
      <w:sz w:val="21"/>
    </w:rPr>
  </w:style>
  <w:style w:type="character" w:customStyle="1" w:styleId="57">
    <w:name w:val="样式1 Char Char"/>
    <w:link w:val="58"/>
    <w:qFormat/>
    <w:uiPriority w:val="0"/>
    <w:rPr>
      <w:rFonts w:ascii="Arial" w:hAnsi="Arial"/>
      <w:szCs w:val="24"/>
    </w:rPr>
  </w:style>
  <w:style w:type="paragraph" w:customStyle="1" w:styleId="58">
    <w:name w:val="样式1"/>
    <w:basedOn w:val="1"/>
    <w:link w:val="57"/>
    <w:qFormat/>
    <w:uiPriority w:val="0"/>
    <w:pPr>
      <w:spacing w:line="360" w:lineRule="exact"/>
    </w:pPr>
    <w:rPr>
      <w:rFonts w:ascii="Arial" w:hAnsi="Arial" w:eastAsiaTheme="minorEastAsia" w:cstheme="minorBidi"/>
      <w:sz w:val="21"/>
    </w:rPr>
  </w:style>
  <w:style w:type="character" w:customStyle="1" w:styleId="59">
    <w:name w:val="正文文本缩进 3 Char1"/>
    <w:semiHidden/>
    <w:qFormat/>
    <w:uiPriority w:val="99"/>
    <w:rPr>
      <w:rFonts w:ascii="Times New Roman" w:hAnsi="Times New Roman" w:eastAsia="宋体" w:cs="Times New Roman"/>
      <w:sz w:val="16"/>
      <w:szCs w:val="16"/>
    </w:rPr>
  </w:style>
  <w:style w:type="character" w:customStyle="1" w:styleId="60">
    <w:name w:val="font71"/>
    <w:qFormat/>
    <w:uiPriority w:val="0"/>
    <w:rPr>
      <w:rFonts w:hint="eastAsia" w:ascii="宋体" w:hAnsi="宋体" w:eastAsia="宋体" w:cs="宋体"/>
      <w:b/>
      <w:color w:val="000000"/>
      <w:sz w:val="21"/>
      <w:szCs w:val="21"/>
      <w:u w:val="none"/>
    </w:rPr>
  </w:style>
  <w:style w:type="paragraph" w:customStyle="1" w:styleId="61">
    <w:name w:val="批注框文本1"/>
    <w:basedOn w:val="1"/>
    <w:qFormat/>
    <w:uiPriority w:val="0"/>
    <w:pPr>
      <w:spacing w:line="240" w:lineRule="auto"/>
      <w:ind w:firstLine="0" w:firstLineChars="0"/>
    </w:pPr>
    <w:rPr>
      <w:rFonts w:ascii="Calibri" w:hAnsi="Calibri"/>
      <w:sz w:val="18"/>
      <w:szCs w:val="18"/>
    </w:rPr>
  </w:style>
  <w:style w:type="character" w:customStyle="1" w:styleId="62">
    <w:name w:val="正文文本缩进 2 Char"/>
    <w:basedOn w:val="28"/>
    <w:link w:val="17"/>
    <w:semiHidden/>
    <w:qFormat/>
    <w:uiPriority w:val="99"/>
    <w:rPr>
      <w:rFonts w:ascii="Times New Roman" w:hAnsi="Times New Roman" w:eastAsia="宋体" w:cs="Times New Roman"/>
      <w:sz w:val="24"/>
      <w:szCs w:val="24"/>
    </w:rPr>
  </w:style>
  <w:style w:type="character" w:customStyle="1" w:styleId="63">
    <w:name w:val="正文文本缩进 3 Char"/>
    <w:basedOn w:val="28"/>
    <w:link w:val="24"/>
    <w:semiHidden/>
    <w:qFormat/>
    <w:uiPriority w:val="99"/>
    <w:rPr>
      <w:rFonts w:ascii="Times New Roman" w:hAnsi="Times New Roman" w:eastAsia="宋体" w:cs="Times New Roman"/>
      <w:sz w:val="16"/>
      <w:szCs w:val="16"/>
    </w:rPr>
  </w:style>
  <w:style w:type="paragraph" w:customStyle="1" w:styleId="64">
    <w:name w:val="表内文字"/>
    <w:basedOn w:val="1"/>
    <w:qFormat/>
    <w:uiPriority w:val="0"/>
    <w:pPr>
      <w:tabs>
        <w:tab w:val="left" w:pos="1418"/>
      </w:tabs>
      <w:spacing w:line="360" w:lineRule="auto"/>
      <w:ind w:firstLine="0" w:firstLineChars="0"/>
      <w:jc w:val="center"/>
    </w:pPr>
    <w:rPr>
      <w:rFonts w:hint="eastAsia" w:ascii="仿宋_GB2312" w:eastAsia="仿宋_GB2312"/>
      <w:spacing w:val="-20"/>
      <w:kern w:val="0"/>
    </w:rPr>
  </w:style>
  <w:style w:type="character" w:customStyle="1" w:styleId="65">
    <w:name w:val="gray s"/>
    <w:basedOn w:val="28"/>
    <w:qFormat/>
    <w:uiPriority w:val="0"/>
  </w:style>
  <w:style w:type="paragraph" w:customStyle="1" w:styleId="66">
    <w:name w:val="Proposals body"/>
    <w:basedOn w:val="1"/>
    <w:next w:val="1"/>
    <w:qFormat/>
    <w:uiPriority w:val="0"/>
    <w:pPr>
      <w:widowControl/>
      <w:adjustRightInd w:val="0"/>
      <w:snapToGrid w:val="0"/>
      <w:spacing w:after="200" w:line="360" w:lineRule="auto"/>
      <w:ind w:firstLine="0" w:firstLineChars="0"/>
      <w:jc w:val="left"/>
    </w:pPr>
    <w:rPr>
      <w:rFonts w:ascii="宋体" w:hAnsi="Tahoma" w:eastAsia="仿宋_GB2312"/>
      <w:snapToGrid w:val="0"/>
      <w:color w:val="000000"/>
      <w:kern w:val="0"/>
      <w:sz w:val="22"/>
      <w:szCs w:val="22"/>
    </w:rPr>
  </w:style>
  <w:style w:type="character" w:customStyle="1" w:styleId="67">
    <w:name w:val="gonggao-downline1"/>
    <w:qFormat/>
    <w:uiPriority w:val="0"/>
    <w:rPr>
      <w:b/>
      <w:u w:val="single"/>
    </w:rPr>
  </w:style>
  <w:style w:type="character" w:customStyle="1" w:styleId="68">
    <w:name w:val="font11"/>
    <w:basedOn w:val="28"/>
    <w:qFormat/>
    <w:uiPriority w:val="0"/>
    <w:rPr>
      <w:rFonts w:ascii="宋体" w:hAnsi="宋体" w:eastAsia="宋体" w:cs="宋体"/>
      <w:b/>
      <w:color w:val="000000"/>
      <w:sz w:val="20"/>
      <w:szCs w:val="20"/>
      <w:u w:val="none"/>
    </w:rPr>
  </w:style>
  <w:style w:type="character" w:customStyle="1" w:styleId="69">
    <w:name w:val="正文首行缩进 Char"/>
    <w:basedOn w:val="33"/>
    <w:link w:val="3"/>
    <w:semiHidden/>
    <w:qFormat/>
    <w:uiPriority w:val="99"/>
    <w:rPr>
      <w:rFonts w:ascii="Times New Roman" w:hAnsi="Times New Roman" w:eastAsia="宋体" w:cs="Times New Roman"/>
      <w:sz w:val="24"/>
      <w:szCs w:val="24"/>
    </w:rPr>
  </w:style>
  <w:style w:type="character" w:customStyle="1" w:styleId="70">
    <w:name w:val="font112"/>
    <w:qFormat/>
    <w:uiPriority w:val="0"/>
    <w:rPr>
      <w:rFonts w:hint="default" w:ascii="方正兰亭纤黑简体" w:hAnsi="方正兰亭纤黑简体" w:eastAsia="方正兰亭纤黑简体" w:cs="方正兰亭纤黑简体"/>
      <w:color w:val="000000"/>
      <w:sz w:val="22"/>
      <w:szCs w:val="22"/>
      <w:u w:val="none"/>
    </w:rPr>
  </w:style>
  <w:style w:type="character" w:customStyle="1" w:styleId="71">
    <w:name w:val="large1"/>
    <w:qFormat/>
    <w:uiPriority w:val="0"/>
    <w:rPr>
      <w:rFonts w:hint="eastAsia" w:ascii="宋体" w:hAnsi="宋体" w:eastAsia="宋体"/>
      <w:sz w:val="21"/>
      <w:szCs w:val="21"/>
    </w:rPr>
  </w:style>
  <w:style w:type="table" w:customStyle="1" w:styleId="72">
    <w:name w:val="TableGrid"/>
    <w:qFormat/>
    <w:uiPriority w:val="0"/>
    <w:tblPr>
      <w:tblCellMar>
        <w:top w:w="0" w:type="dxa"/>
        <w:left w:w="0" w:type="dxa"/>
        <w:bottom w:w="0" w:type="dxa"/>
        <w:right w:w="0" w:type="dxa"/>
      </w:tblCellMar>
    </w:tblPr>
  </w:style>
  <w:style w:type="character" w:customStyle="1" w:styleId="73">
    <w:name w:val="font81"/>
    <w:qFormat/>
    <w:uiPriority w:val="0"/>
    <w:rPr>
      <w:rFonts w:hint="eastAsia" w:ascii="宋体" w:hAnsi="宋体" w:eastAsia="宋体"/>
      <w:color w:val="000000"/>
      <w:sz w:val="21"/>
      <w:szCs w:val="21"/>
      <w:u w:val="none"/>
    </w:rPr>
  </w:style>
  <w:style w:type="character" w:customStyle="1" w:styleId="74">
    <w:name w:val="批注文字 Char Char"/>
    <w:qFormat/>
    <w:uiPriority w:val="0"/>
    <w:rPr>
      <w:kern w:val="2"/>
      <w:sz w:val="21"/>
      <w:szCs w:val="24"/>
    </w:rPr>
  </w:style>
  <w:style w:type="character" w:customStyle="1" w:styleId="75">
    <w:name w:val="标题 2 Char Char Char"/>
    <w:qFormat/>
    <w:uiPriority w:val="0"/>
    <w:rPr>
      <w:rFonts w:ascii="文鼎小标宋简" w:hAnsi="Times New Roman" w:eastAsia="文鼎小标宋简" w:cs="Times New Roman"/>
      <w:b/>
      <w:sz w:val="36"/>
      <w:lang w:val="en-US" w:eastAsia="zh-CN" w:bidi="ar-SA"/>
    </w:rPr>
  </w:style>
  <w:style w:type="character" w:customStyle="1" w:styleId="76">
    <w:name w:val="fontstyle01"/>
    <w:basedOn w:val="28"/>
    <w:qFormat/>
    <w:uiPriority w:val="0"/>
    <w:rPr>
      <w:rFonts w:hint="eastAsia" w:ascii="宋体" w:hAnsi="宋体" w:eastAsia="宋体" w:cs="Times New Roman"/>
      <w:color w:val="000000"/>
      <w:sz w:val="22"/>
      <w:szCs w:val="22"/>
    </w:rPr>
  </w:style>
  <w:style w:type="paragraph" w:customStyle="1" w:styleId="77">
    <w:name w:val="Table Paragraph"/>
    <w:basedOn w:val="1"/>
    <w:qFormat/>
    <w:uiPriority w:val="1"/>
    <w:rPr>
      <w:rFonts w:ascii="宋体" w:hAnsi="宋体" w:cs="宋体"/>
    </w:rPr>
  </w:style>
  <w:style w:type="character" w:customStyle="1" w:styleId="78">
    <w:name w:val="批注框文本 Char"/>
    <w:basedOn w:val="28"/>
    <w:link w:val="18"/>
    <w:semiHidden/>
    <w:qFormat/>
    <w:uiPriority w:val="99"/>
    <w:rPr>
      <w:kern w:val="2"/>
      <w:sz w:val="18"/>
      <w:szCs w:val="18"/>
    </w:rPr>
  </w:style>
  <w:style w:type="character" w:customStyle="1" w:styleId="79">
    <w:name w:val="font51"/>
    <w:basedOn w:val="28"/>
    <w:qFormat/>
    <w:uiPriority w:val="0"/>
    <w:rPr>
      <w:rFonts w:hint="eastAsia" w:ascii="宋体" w:hAnsi="宋体" w:eastAsia="宋体" w:cs="宋体"/>
      <w:color w:val="000000"/>
      <w:sz w:val="32"/>
      <w:szCs w:val="32"/>
      <w:u w:val="none"/>
    </w:rPr>
  </w:style>
  <w:style w:type="character" w:customStyle="1" w:styleId="80">
    <w:name w:val="font91"/>
    <w:basedOn w:val="28"/>
    <w:qFormat/>
    <w:uiPriority w:val="0"/>
    <w:rPr>
      <w:rFonts w:hint="eastAsia" w:ascii="宋体" w:hAnsi="宋体" w:eastAsia="宋体" w:cs="宋体"/>
      <w:color w:val="000000"/>
      <w:sz w:val="32"/>
      <w:szCs w:val="32"/>
      <w:u w:val="none"/>
    </w:rPr>
  </w:style>
  <w:style w:type="character" w:customStyle="1" w:styleId="81">
    <w:name w:val="font101"/>
    <w:basedOn w:val="28"/>
    <w:qFormat/>
    <w:uiPriority w:val="0"/>
    <w:rPr>
      <w:rFonts w:hint="eastAsia" w:ascii="宋体" w:hAnsi="宋体" w:eastAsia="宋体" w:cs="宋体"/>
      <w:color w:val="FF0000"/>
      <w:sz w:val="32"/>
      <w:szCs w:val="32"/>
      <w:u w:val="none"/>
    </w:rPr>
  </w:style>
  <w:style w:type="character" w:customStyle="1" w:styleId="82">
    <w:name w:val="font111"/>
    <w:basedOn w:val="28"/>
    <w:qFormat/>
    <w:uiPriority w:val="0"/>
    <w:rPr>
      <w:rFonts w:hint="eastAsia" w:ascii="宋体" w:hAnsi="宋体" w:eastAsia="宋体" w:cs="宋体"/>
      <w:color w:val="000000"/>
      <w:sz w:val="21"/>
      <w:szCs w:val="21"/>
      <w:u w:val="none"/>
    </w:rPr>
  </w:style>
  <w:style w:type="character" w:customStyle="1" w:styleId="83">
    <w:name w:val="font122"/>
    <w:basedOn w:val="28"/>
    <w:qFormat/>
    <w:uiPriority w:val="0"/>
    <w:rPr>
      <w:rFonts w:hint="default" w:ascii="Times New Roman" w:hAnsi="Times New Roman" w:cs="Times New Roman"/>
      <w:color w:val="000000"/>
      <w:sz w:val="32"/>
      <w:szCs w:val="32"/>
      <w:u w:val="none"/>
    </w:rPr>
  </w:style>
  <w:style w:type="character" w:customStyle="1" w:styleId="84">
    <w:name w:val="font131"/>
    <w:basedOn w:val="28"/>
    <w:qFormat/>
    <w:uiPriority w:val="0"/>
    <w:rPr>
      <w:rFonts w:hint="default" w:ascii="Times New Roman" w:hAnsi="Times New Roman" w:cs="Times New Roman"/>
      <w:color w:val="000000"/>
      <w:sz w:val="21"/>
      <w:szCs w:val="21"/>
      <w:u w:val="none"/>
    </w:rPr>
  </w:style>
  <w:style w:type="character" w:customStyle="1" w:styleId="85">
    <w:name w:val="font141"/>
    <w:basedOn w:val="28"/>
    <w:qFormat/>
    <w:uiPriority w:val="0"/>
    <w:rPr>
      <w:rFonts w:hint="default" w:ascii="Times New Roman" w:hAnsi="Times New Roman" w:cs="Times New Roman"/>
      <w:color w:val="000000"/>
      <w:sz w:val="21"/>
      <w:szCs w:val="21"/>
      <w:u w:val="none"/>
    </w:rPr>
  </w:style>
  <w:style w:type="character" w:customStyle="1" w:styleId="86">
    <w:name w:val="font161"/>
    <w:basedOn w:val="28"/>
    <w:qFormat/>
    <w:uiPriority w:val="0"/>
    <w:rPr>
      <w:rFonts w:hint="eastAsia" w:ascii="宋体" w:hAnsi="宋体" w:eastAsia="宋体" w:cs="宋体"/>
      <w:color w:val="003366"/>
      <w:sz w:val="21"/>
      <w:szCs w:val="21"/>
      <w:u w:val="none"/>
    </w:rPr>
  </w:style>
  <w:style w:type="character" w:customStyle="1" w:styleId="87">
    <w:name w:val="font151"/>
    <w:basedOn w:val="28"/>
    <w:qFormat/>
    <w:uiPriority w:val="0"/>
    <w:rPr>
      <w:rFonts w:hint="default" w:ascii="Times New Roman" w:hAnsi="Times New Roman" w:cs="Times New Roman"/>
      <w:color w:val="000000"/>
      <w:sz w:val="32"/>
      <w:szCs w:val="32"/>
      <w:u w:val="none"/>
    </w:rPr>
  </w:style>
  <w:style w:type="character" w:customStyle="1" w:styleId="88">
    <w:name w:val="font121"/>
    <w:basedOn w:val="28"/>
    <w:qFormat/>
    <w:uiPriority w:val="0"/>
    <w:rPr>
      <w:rFonts w:hint="eastAsia" w:ascii="宋体" w:hAnsi="宋体" w:eastAsia="宋体" w:cs="宋体"/>
      <w:color w:val="FF0000"/>
      <w:sz w:val="32"/>
      <w:szCs w:val="32"/>
      <w:u w:val="none"/>
    </w:rPr>
  </w:style>
  <w:style w:type="character" w:customStyle="1" w:styleId="89">
    <w:name w:val="font31"/>
    <w:basedOn w:val="28"/>
    <w:qFormat/>
    <w:uiPriority w:val="0"/>
    <w:rPr>
      <w:rFonts w:hint="eastAsia" w:ascii="宋体" w:hAnsi="宋体" w:eastAsia="宋体" w:cs="宋体"/>
      <w:color w:val="003366"/>
      <w:sz w:val="21"/>
      <w:szCs w:val="21"/>
      <w:u w:val="none"/>
    </w:rPr>
  </w:style>
  <w:style w:type="paragraph" w:customStyle="1" w:styleId="90">
    <w:name w:val="Body A"/>
    <w:qFormat/>
    <w:uiPriority w:val="0"/>
    <w:pPr>
      <w:spacing w:line="360" w:lineRule="auto"/>
    </w:pPr>
    <w:rPr>
      <w:rFonts w:ascii="Times New Roman" w:hAnsi="Times New Roman" w:eastAsia="Times New Roman" w:cs="Times New Roman"/>
      <w:color w:val="000000"/>
      <w:sz w:val="28"/>
      <w:szCs w:val="28"/>
      <w:u w:color="000000"/>
      <w:lang w:val="en-US" w:eastAsia="zh-CN" w:bidi="ar-SA"/>
    </w:rPr>
  </w:style>
  <w:style w:type="paragraph" w:styleId="91">
    <w:name w:val="List Paragraph"/>
    <w:basedOn w:val="1"/>
    <w:qFormat/>
    <w:uiPriority w:val="34"/>
    <w:pPr>
      <w:ind w:firstLine="420"/>
    </w:pPr>
  </w:style>
  <w:style w:type="paragraph" w:customStyle="1" w:styleId="92">
    <w:name w:val="p1"/>
    <w:basedOn w:val="1"/>
    <w:qFormat/>
    <w:uiPriority w:val="0"/>
    <w:pPr>
      <w:tabs>
        <w:tab w:val="left" w:pos="0"/>
      </w:tabs>
      <w:spacing w:before="0" w:beforeAutospacing="0" w:after="0" w:afterAutospacing="0"/>
      <w:ind w:left="0" w:right="0"/>
      <w:jc w:val="left"/>
    </w:pPr>
    <w:rPr>
      <w:rFonts w:ascii="helvetica" w:hAnsi="helvetica" w:eastAsia="helvetica" w:cs="helvetica"/>
      <w:kern w:val="0"/>
      <w:sz w:val="24"/>
      <w:szCs w:val="24"/>
      <w:lang w:val="en-US" w:eastAsia="zh-CN" w:bidi="ar"/>
    </w:rPr>
  </w:style>
  <w:style w:type="table" w:customStyle="1" w:styleId="9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58</Pages>
  <Words>19953</Words>
  <Characters>21794</Characters>
  <Lines>287</Lines>
  <Paragraphs>80</Paragraphs>
  <TotalTime>85</TotalTime>
  <ScaleCrop>false</ScaleCrop>
  <LinksUpToDate>false</LinksUpToDate>
  <CharactersWithSpaces>22187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2021-04-28T00:27:00Z</dcterms:created>
  <dc:creator>JM</dc:creator>
  <cp:lastModifiedBy>小不点</cp:lastModifiedBy>
  <cp:lastPrinted>2022-02-28T09:40:00Z</cp:lastPrinted>
  <dcterms:modified xsi:type="dcterms:W3CDTF">2025-03-04T06:20:08Z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BE56AFA4EF1A47C2BF631617289D5A84_13</vt:lpwstr>
  </property>
  <property fmtid="{D5CDD505-2E9C-101B-9397-08002B2CF9AE}" pid="4" name="commondata">
    <vt:lpwstr>eyJoZGlkIjoiNTgzMzFmYzEwMGEwYzNjNzhmY2ZhZTJiMTZhZDFkN2EifQ==</vt:lpwstr>
  </property>
  <property fmtid="{D5CDD505-2E9C-101B-9397-08002B2CF9AE}" pid="5" name="KSOTemplateDocerSaveRecord">
    <vt:lpwstr>eyJoZGlkIjoiZDQyODg3NzI4NDIwOGQzNjg0ZTYzODA3MWEyY2ExMjIiLCJ1c2VySWQiOiI5MTE1MjYzMDcifQ==</vt:lpwstr>
  </property>
</Properties>
</file>