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E5A25">
      <w:pPr>
        <w:ind w:firstLine="480"/>
      </w:pPr>
      <w:bookmarkStart w:id="0" w:name="_Toc26543"/>
      <w:bookmarkStart w:id="1" w:name="_Toc31119"/>
      <w:bookmarkStart w:id="2" w:name="_Toc24861"/>
      <w:bookmarkStart w:id="3" w:name="_Toc20490"/>
      <w:bookmarkStart w:id="4" w:name="_Toc223"/>
      <w:bookmarkStart w:id="5" w:name="_Toc28613"/>
      <w:bookmarkStart w:id="6" w:name="_Toc1178"/>
      <w:bookmarkStart w:id="7" w:name="_Toc22692"/>
      <w:bookmarkStart w:id="8" w:name="_Toc10587"/>
      <w:bookmarkStart w:id="9" w:name="_Toc14946"/>
    </w:p>
    <w:p w14:paraId="44E96DBC">
      <w:pPr>
        <w:ind w:firstLine="480"/>
      </w:pPr>
    </w:p>
    <w:p w14:paraId="4BC65528">
      <w:pPr>
        <w:ind w:firstLine="480"/>
      </w:pPr>
    </w:p>
    <w:p w14:paraId="6C7CAF45">
      <w:pPr>
        <w:ind w:firstLine="480"/>
      </w:pPr>
    </w:p>
    <w:p w14:paraId="7A6B42FA">
      <w:pPr>
        <w:ind w:firstLine="480"/>
      </w:pPr>
    </w:p>
    <w:p w14:paraId="372EAF91">
      <w:pPr>
        <w:spacing w:line="360" w:lineRule="auto"/>
        <w:ind w:firstLine="1687"/>
        <w:rPr>
          <w:b/>
          <w:sz w:val="84"/>
          <w:szCs w:val="84"/>
        </w:rPr>
      </w:pPr>
      <w:r>
        <w:rPr>
          <w:rFonts w:hint="eastAsia"/>
          <w:b/>
          <w:sz w:val="84"/>
          <w:szCs w:val="84"/>
        </w:rPr>
        <w:t>竞争性磋商文件</w:t>
      </w:r>
      <w:bookmarkEnd w:id="0"/>
      <w:bookmarkEnd w:id="1"/>
      <w:bookmarkEnd w:id="2"/>
      <w:bookmarkEnd w:id="3"/>
      <w:bookmarkEnd w:id="4"/>
      <w:bookmarkEnd w:id="5"/>
      <w:bookmarkEnd w:id="6"/>
      <w:bookmarkEnd w:id="7"/>
      <w:bookmarkEnd w:id="8"/>
      <w:bookmarkEnd w:id="9"/>
    </w:p>
    <w:p w14:paraId="075F1363">
      <w:pPr>
        <w:spacing w:line="360" w:lineRule="auto"/>
        <w:ind w:firstLine="672" w:firstLineChars="210"/>
        <w:rPr>
          <w:rFonts w:ascii="宋体" w:hAnsi="宋体"/>
          <w:sz w:val="32"/>
          <w:szCs w:val="32"/>
          <w:lang w:val="zh-CN"/>
        </w:rPr>
      </w:pPr>
    </w:p>
    <w:p w14:paraId="16DE987A">
      <w:pPr>
        <w:pStyle w:val="32"/>
        <w:ind w:left="480" w:firstLine="480"/>
        <w:rPr>
          <w:lang w:val="zh-CN"/>
        </w:rPr>
      </w:pPr>
    </w:p>
    <w:p w14:paraId="5747A01C">
      <w:pPr>
        <w:spacing w:line="360" w:lineRule="auto"/>
        <w:ind w:left="2520" w:leftChars="300" w:hanging="1800" w:hangingChars="500"/>
        <w:rPr>
          <w:rFonts w:ascii="宋体" w:hAnsi="宋体" w:cs="宋体"/>
          <w:color w:val="000000"/>
          <w:sz w:val="36"/>
          <w:szCs w:val="36"/>
        </w:rPr>
      </w:pPr>
      <w:r>
        <w:rPr>
          <w:rFonts w:hint="eastAsia" w:ascii="宋体" w:hAnsi="宋体" w:cs="宋体"/>
          <w:sz w:val="36"/>
          <w:szCs w:val="36"/>
          <w:lang w:val="zh-CN"/>
        </w:rPr>
        <w:t>项目名称：龙游县公证处公证派驻法院执行辅助人员</w:t>
      </w:r>
    </w:p>
    <w:p w14:paraId="111D81A3">
      <w:pPr>
        <w:tabs>
          <w:tab w:val="left" w:pos="1260"/>
        </w:tabs>
        <w:spacing w:line="360" w:lineRule="auto"/>
        <w:ind w:firstLine="720"/>
        <w:rPr>
          <w:rFonts w:ascii="宋体" w:hAnsi="宋体" w:cs="宋体"/>
          <w:bCs/>
          <w:color w:val="000000"/>
          <w:sz w:val="36"/>
          <w:szCs w:val="36"/>
        </w:rPr>
      </w:pPr>
      <w:r>
        <w:rPr>
          <w:rFonts w:hint="eastAsia" w:ascii="宋体" w:hAnsi="宋体" w:cs="宋体"/>
          <w:sz w:val="36"/>
          <w:szCs w:val="36"/>
          <w:lang w:val="zh-CN"/>
        </w:rPr>
        <w:t>项目编号：LYJY2024072</w:t>
      </w:r>
    </w:p>
    <w:p w14:paraId="3CF0FBA6">
      <w:pPr>
        <w:pStyle w:val="32"/>
        <w:ind w:left="480" w:firstLine="720"/>
        <w:rPr>
          <w:rFonts w:ascii="宋体" w:hAnsi="宋体" w:cs="宋体"/>
          <w:sz w:val="36"/>
          <w:szCs w:val="36"/>
        </w:rPr>
      </w:pPr>
    </w:p>
    <w:p w14:paraId="30C5AF49">
      <w:pPr>
        <w:pStyle w:val="32"/>
        <w:ind w:left="480" w:firstLine="720"/>
        <w:rPr>
          <w:rFonts w:ascii="宋体" w:hAnsi="宋体" w:cs="宋体"/>
          <w:sz w:val="36"/>
          <w:szCs w:val="36"/>
        </w:rPr>
      </w:pPr>
    </w:p>
    <w:p w14:paraId="084DAF8A">
      <w:pPr>
        <w:pStyle w:val="32"/>
        <w:ind w:left="480" w:firstLine="720"/>
        <w:rPr>
          <w:rFonts w:ascii="宋体" w:hAnsi="宋体" w:cs="宋体"/>
          <w:sz w:val="36"/>
          <w:szCs w:val="36"/>
        </w:rPr>
      </w:pPr>
    </w:p>
    <w:p w14:paraId="54897BE9">
      <w:pPr>
        <w:snapToGrid w:val="0"/>
        <w:spacing w:line="360" w:lineRule="auto"/>
        <w:ind w:left="2798" w:leftChars="266" w:hanging="2160" w:hangingChars="600"/>
        <w:rPr>
          <w:rFonts w:ascii="宋体" w:hAnsi="宋体" w:cs="宋体"/>
          <w:bCs/>
          <w:color w:val="000000"/>
          <w:spacing w:val="-6"/>
          <w:sz w:val="36"/>
          <w:szCs w:val="36"/>
          <w:lang w:val="zh-CN"/>
        </w:rPr>
      </w:pPr>
      <w:r>
        <w:rPr>
          <w:rFonts w:hint="eastAsia" w:ascii="宋体" w:hAnsi="宋体" w:cs="宋体"/>
          <w:bCs/>
          <w:color w:val="000000"/>
          <w:sz w:val="36"/>
          <w:szCs w:val="36"/>
          <w:lang w:val="zh-CN"/>
        </w:rPr>
        <w:t>采购单位：龙游县公证处</w:t>
      </w:r>
    </w:p>
    <w:p w14:paraId="2480C413">
      <w:pPr>
        <w:snapToGrid w:val="0"/>
        <w:spacing w:line="360" w:lineRule="auto"/>
        <w:ind w:firstLine="720"/>
        <w:rPr>
          <w:rFonts w:ascii="宋体" w:hAnsi="宋体" w:cs="宋体"/>
          <w:bCs/>
          <w:color w:val="000000"/>
          <w:sz w:val="36"/>
          <w:szCs w:val="36"/>
          <w:lang w:val="zh-CN"/>
        </w:rPr>
      </w:pPr>
      <w:r>
        <w:rPr>
          <w:rFonts w:hint="eastAsia" w:ascii="宋体" w:hAnsi="宋体" w:cs="宋体"/>
          <w:bCs/>
          <w:color w:val="000000"/>
          <w:sz w:val="36"/>
          <w:szCs w:val="36"/>
          <w:lang w:val="zh-CN"/>
        </w:rPr>
        <w:t>采购代理机构：龙游久圆工程管理有限公司</w:t>
      </w:r>
    </w:p>
    <w:p w14:paraId="500E55D5">
      <w:pPr>
        <w:spacing w:line="360" w:lineRule="auto"/>
        <w:ind w:firstLine="720"/>
        <w:jc w:val="center"/>
        <w:rPr>
          <w:rFonts w:ascii="宋体" w:hAnsi="宋体" w:cs="宋体"/>
          <w:bCs/>
          <w:color w:val="000000"/>
          <w:sz w:val="36"/>
          <w:szCs w:val="36"/>
          <w:lang w:val="zh-CN"/>
        </w:rPr>
      </w:pPr>
    </w:p>
    <w:p w14:paraId="10DCA390">
      <w:pPr>
        <w:ind w:firstLine="0" w:firstLineChars="0"/>
        <w:jc w:val="center"/>
        <w:rPr>
          <w:rFonts w:cs="宋体" w:asciiTheme="minorEastAsia" w:hAnsiTheme="minorEastAsia" w:eastAsiaTheme="minorEastAsia"/>
          <w:b/>
          <w:bCs/>
          <w:color w:val="000000"/>
          <w:sz w:val="32"/>
          <w:szCs w:val="32"/>
        </w:rPr>
      </w:pPr>
      <w:r>
        <w:rPr>
          <w:rFonts w:hint="eastAsia" w:ascii="宋体" w:hAnsi="宋体" w:cs="宋体"/>
          <w:bCs/>
          <w:color w:val="000000"/>
          <w:sz w:val="36"/>
          <w:szCs w:val="36"/>
          <w:lang w:val="zh-CN"/>
        </w:rPr>
        <w:t>202</w:t>
      </w:r>
      <w:r>
        <w:rPr>
          <w:rFonts w:hint="eastAsia" w:ascii="宋体" w:hAnsi="宋体" w:cs="宋体"/>
          <w:bCs/>
          <w:color w:val="000000"/>
          <w:sz w:val="36"/>
          <w:szCs w:val="36"/>
          <w:lang w:val="en-US" w:eastAsia="zh-CN"/>
        </w:rPr>
        <w:t>4</w:t>
      </w:r>
      <w:r>
        <w:rPr>
          <w:rFonts w:hint="eastAsia" w:ascii="宋体" w:hAnsi="宋体" w:cs="宋体"/>
          <w:bCs/>
          <w:color w:val="000000"/>
          <w:sz w:val="36"/>
          <w:szCs w:val="36"/>
          <w:lang w:val="zh-CN"/>
        </w:rPr>
        <w:t>年</w:t>
      </w:r>
      <w:r>
        <w:rPr>
          <w:rFonts w:hint="eastAsia" w:ascii="宋体" w:hAnsi="宋体" w:cs="宋体"/>
          <w:bCs/>
          <w:color w:val="000000"/>
          <w:sz w:val="36"/>
          <w:szCs w:val="36"/>
          <w:lang w:val="en-US" w:eastAsia="zh-CN"/>
        </w:rPr>
        <w:t>9</w:t>
      </w:r>
      <w:r>
        <w:rPr>
          <w:rFonts w:hint="eastAsia" w:ascii="宋体" w:hAnsi="宋体" w:cs="宋体"/>
          <w:bCs/>
          <w:color w:val="000000"/>
          <w:sz w:val="36"/>
          <w:szCs w:val="36"/>
          <w:lang w:val="zh-CN"/>
        </w:rPr>
        <w:t>月</w:t>
      </w:r>
    </w:p>
    <w:p w14:paraId="65631C20">
      <w:pPr>
        <w:widowControl/>
        <w:spacing w:line="240" w:lineRule="auto"/>
        <w:ind w:firstLine="0" w:firstLineChars="0"/>
        <w:jc w:val="center"/>
        <w:rPr>
          <w:rFonts w:asciiTheme="minorEastAsia" w:hAnsiTheme="minorEastAsia" w:eastAsiaTheme="minorEastAsia"/>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0"/>
          <w:cols w:space="425" w:num="1"/>
          <w:titlePg/>
          <w:docGrid w:type="lines" w:linePitch="326" w:charSpace="0"/>
        </w:sectPr>
      </w:pPr>
    </w:p>
    <w:p w14:paraId="74C02B03">
      <w:pPr>
        <w:widowControl/>
        <w:spacing w:line="240" w:lineRule="auto"/>
        <w:ind w:firstLine="0" w:firstLineChars="0"/>
        <w:jc w:val="center"/>
        <w:rPr>
          <w:rFonts w:asciiTheme="minorEastAsia" w:hAnsiTheme="minorEastAsia" w:eastAsiaTheme="minorEastAsia"/>
        </w:rPr>
      </w:pPr>
      <w:r>
        <w:rPr>
          <w:sz w:val="28"/>
          <w:szCs w:val="28"/>
        </w:rPr>
        <w:t>目录</w:t>
      </w:r>
    </w:p>
    <w:p w14:paraId="2CA1E1B9">
      <w:pPr>
        <w:pStyle w:val="25"/>
        <w:tabs>
          <w:tab w:val="right" w:leader="dot" w:pos="8306"/>
          <w:tab w:val="clear" w:pos="1470"/>
          <w:tab w:val="clear" w:pos="8296"/>
        </w:tabs>
      </w:pPr>
      <w:r>
        <w:fldChar w:fldCharType="begin"/>
      </w:r>
      <w:r>
        <w:instrText xml:space="preserve"> TOC \o "1-2" \h \z \u </w:instrText>
      </w:r>
      <w:r>
        <w:fldChar w:fldCharType="separate"/>
      </w:r>
      <w:r>
        <w:fldChar w:fldCharType="begin"/>
      </w:r>
      <w:r>
        <w:instrText xml:space="preserve"> HYPERLINK \l _Toc16900 </w:instrText>
      </w:r>
      <w:r>
        <w:fldChar w:fldCharType="separate"/>
      </w:r>
      <w:r>
        <w:t>第一章</w:t>
      </w:r>
      <w:r>
        <w:rPr>
          <w:rFonts w:hint="eastAsia"/>
        </w:rPr>
        <w:t xml:space="preserve">  竞争性磋商公告</w:t>
      </w:r>
      <w:r>
        <w:tab/>
      </w:r>
      <w:r>
        <w:fldChar w:fldCharType="begin"/>
      </w:r>
      <w:r>
        <w:instrText xml:space="preserve"> PAGEREF _Toc16900 \h </w:instrText>
      </w:r>
      <w:r>
        <w:fldChar w:fldCharType="separate"/>
      </w:r>
      <w:r>
        <w:t>1</w:t>
      </w:r>
      <w:r>
        <w:fldChar w:fldCharType="end"/>
      </w:r>
      <w:r>
        <w:fldChar w:fldCharType="end"/>
      </w:r>
    </w:p>
    <w:p w14:paraId="204EE311">
      <w:pPr>
        <w:pStyle w:val="29"/>
        <w:tabs>
          <w:tab w:val="right" w:leader="dot" w:pos="8306"/>
        </w:tabs>
      </w:pPr>
      <w:r>
        <w:fldChar w:fldCharType="begin"/>
      </w:r>
      <w:r>
        <w:instrText xml:space="preserve"> HYPERLINK \l _Toc23114 </w:instrText>
      </w:r>
      <w:r>
        <w:fldChar w:fldCharType="separate"/>
      </w:r>
      <w:r>
        <w:t>一、项目基本情况</w:t>
      </w:r>
      <w:r>
        <w:tab/>
      </w:r>
      <w:r>
        <w:fldChar w:fldCharType="begin"/>
      </w:r>
      <w:r>
        <w:instrText xml:space="preserve"> PAGEREF _Toc23114 \h </w:instrText>
      </w:r>
      <w:r>
        <w:fldChar w:fldCharType="separate"/>
      </w:r>
      <w:r>
        <w:t>1</w:t>
      </w:r>
      <w:r>
        <w:fldChar w:fldCharType="end"/>
      </w:r>
      <w:r>
        <w:fldChar w:fldCharType="end"/>
      </w:r>
    </w:p>
    <w:p w14:paraId="1062D58D">
      <w:pPr>
        <w:pStyle w:val="29"/>
        <w:tabs>
          <w:tab w:val="right" w:leader="dot" w:pos="8306"/>
        </w:tabs>
      </w:pPr>
      <w:r>
        <w:fldChar w:fldCharType="begin"/>
      </w:r>
      <w:r>
        <w:instrText xml:space="preserve"> HYPERLINK \l _Toc28502 </w:instrText>
      </w:r>
      <w:r>
        <w:fldChar w:fldCharType="separate"/>
      </w:r>
      <w:r>
        <w:rPr>
          <w:rFonts w:hint="eastAsia"/>
        </w:rPr>
        <w:t>二、申请人的资格要求</w:t>
      </w:r>
      <w:r>
        <w:tab/>
      </w:r>
      <w:r>
        <w:fldChar w:fldCharType="begin"/>
      </w:r>
      <w:r>
        <w:instrText xml:space="preserve"> PAGEREF _Toc28502 \h </w:instrText>
      </w:r>
      <w:r>
        <w:fldChar w:fldCharType="separate"/>
      </w:r>
      <w:r>
        <w:t>1</w:t>
      </w:r>
      <w:r>
        <w:fldChar w:fldCharType="end"/>
      </w:r>
      <w:r>
        <w:fldChar w:fldCharType="end"/>
      </w:r>
    </w:p>
    <w:p w14:paraId="0CCFCC09">
      <w:pPr>
        <w:pStyle w:val="29"/>
        <w:tabs>
          <w:tab w:val="right" w:leader="dot" w:pos="8306"/>
        </w:tabs>
      </w:pPr>
      <w:r>
        <w:fldChar w:fldCharType="begin"/>
      </w:r>
      <w:r>
        <w:instrText xml:space="preserve"> HYPERLINK \l _Toc16399 </w:instrText>
      </w:r>
      <w:r>
        <w:fldChar w:fldCharType="separate"/>
      </w:r>
      <w:r>
        <w:rPr>
          <w:rFonts w:hint="eastAsia"/>
        </w:rPr>
        <w:t>三、获取（下载）竞争性磋商文件</w:t>
      </w:r>
      <w:r>
        <w:tab/>
      </w:r>
      <w:r>
        <w:fldChar w:fldCharType="begin"/>
      </w:r>
      <w:r>
        <w:instrText xml:space="preserve"> PAGEREF _Toc16399 \h </w:instrText>
      </w:r>
      <w:r>
        <w:fldChar w:fldCharType="separate"/>
      </w:r>
      <w:r>
        <w:t>1</w:t>
      </w:r>
      <w:r>
        <w:fldChar w:fldCharType="end"/>
      </w:r>
      <w:r>
        <w:fldChar w:fldCharType="end"/>
      </w:r>
    </w:p>
    <w:p w14:paraId="1D7175BA">
      <w:pPr>
        <w:pStyle w:val="29"/>
        <w:tabs>
          <w:tab w:val="right" w:leader="dot" w:pos="8306"/>
        </w:tabs>
      </w:pPr>
      <w:r>
        <w:fldChar w:fldCharType="begin"/>
      </w:r>
      <w:r>
        <w:instrText xml:space="preserve"> HYPERLINK \l _Toc25085 </w:instrText>
      </w:r>
      <w:r>
        <w:fldChar w:fldCharType="separate"/>
      </w:r>
      <w:r>
        <w:rPr>
          <w:rFonts w:hint="eastAsia"/>
        </w:rPr>
        <w:t>四、响应文件提交（上传）</w:t>
      </w:r>
      <w:r>
        <w:tab/>
      </w:r>
      <w:r>
        <w:fldChar w:fldCharType="begin"/>
      </w:r>
      <w:r>
        <w:instrText xml:space="preserve"> PAGEREF _Toc25085 \h </w:instrText>
      </w:r>
      <w:r>
        <w:fldChar w:fldCharType="separate"/>
      </w:r>
      <w:r>
        <w:t>2</w:t>
      </w:r>
      <w:r>
        <w:fldChar w:fldCharType="end"/>
      </w:r>
      <w:r>
        <w:fldChar w:fldCharType="end"/>
      </w:r>
    </w:p>
    <w:p w14:paraId="2C7019DE">
      <w:pPr>
        <w:pStyle w:val="29"/>
        <w:tabs>
          <w:tab w:val="right" w:leader="dot" w:pos="8306"/>
        </w:tabs>
      </w:pPr>
      <w:r>
        <w:fldChar w:fldCharType="begin"/>
      </w:r>
      <w:r>
        <w:instrText xml:space="preserve"> HYPERLINK \l _Toc13529 </w:instrText>
      </w:r>
      <w:r>
        <w:fldChar w:fldCharType="separate"/>
      </w:r>
      <w:r>
        <w:rPr>
          <w:rFonts w:hint="eastAsia"/>
        </w:rPr>
        <w:t>五、开启投标文件</w:t>
      </w:r>
      <w:r>
        <w:tab/>
      </w:r>
      <w:r>
        <w:fldChar w:fldCharType="begin"/>
      </w:r>
      <w:r>
        <w:instrText xml:space="preserve"> PAGEREF _Toc13529 \h </w:instrText>
      </w:r>
      <w:r>
        <w:fldChar w:fldCharType="separate"/>
      </w:r>
      <w:r>
        <w:t>2</w:t>
      </w:r>
      <w:r>
        <w:fldChar w:fldCharType="end"/>
      </w:r>
      <w:r>
        <w:fldChar w:fldCharType="end"/>
      </w:r>
    </w:p>
    <w:p w14:paraId="1876E1B7">
      <w:pPr>
        <w:pStyle w:val="29"/>
        <w:tabs>
          <w:tab w:val="right" w:leader="dot" w:pos="8306"/>
        </w:tabs>
      </w:pPr>
      <w:r>
        <w:fldChar w:fldCharType="begin"/>
      </w:r>
      <w:r>
        <w:instrText xml:space="preserve"> HYPERLINK \l _Toc29568 </w:instrText>
      </w:r>
      <w:r>
        <w:fldChar w:fldCharType="separate"/>
      </w:r>
      <w:r>
        <w:rPr>
          <w:rFonts w:hint="eastAsia"/>
        </w:rPr>
        <w:t>六、公告期限</w:t>
      </w:r>
      <w:r>
        <w:tab/>
      </w:r>
      <w:r>
        <w:fldChar w:fldCharType="begin"/>
      </w:r>
      <w:r>
        <w:instrText xml:space="preserve"> PAGEREF _Toc29568 \h </w:instrText>
      </w:r>
      <w:r>
        <w:fldChar w:fldCharType="separate"/>
      </w:r>
      <w:r>
        <w:t>2</w:t>
      </w:r>
      <w:r>
        <w:fldChar w:fldCharType="end"/>
      </w:r>
      <w:r>
        <w:fldChar w:fldCharType="end"/>
      </w:r>
    </w:p>
    <w:p w14:paraId="5FF4F672">
      <w:pPr>
        <w:pStyle w:val="29"/>
        <w:tabs>
          <w:tab w:val="right" w:leader="dot" w:pos="8306"/>
        </w:tabs>
      </w:pPr>
      <w:r>
        <w:fldChar w:fldCharType="begin"/>
      </w:r>
      <w:r>
        <w:instrText xml:space="preserve"> HYPERLINK \l _Toc11847 </w:instrText>
      </w:r>
      <w:r>
        <w:fldChar w:fldCharType="separate"/>
      </w:r>
      <w:r>
        <w:rPr>
          <w:rFonts w:hint="eastAsia"/>
        </w:rPr>
        <w:t>七、其他补充事宜</w:t>
      </w:r>
      <w:r>
        <w:tab/>
      </w:r>
      <w:r>
        <w:fldChar w:fldCharType="begin"/>
      </w:r>
      <w:r>
        <w:instrText xml:space="preserve"> PAGEREF _Toc11847 \h </w:instrText>
      </w:r>
      <w:r>
        <w:fldChar w:fldCharType="separate"/>
      </w:r>
      <w:r>
        <w:t>2</w:t>
      </w:r>
      <w:r>
        <w:fldChar w:fldCharType="end"/>
      </w:r>
      <w:r>
        <w:fldChar w:fldCharType="end"/>
      </w:r>
    </w:p>
    <w:p w14:paraId="79F3B68F">
      <w:pPr>
        <w:pStyle w:val="29"/>
        <w:tabs>
          <w:tab w:val="right" w:leader="dot" w:pos="8306"/>
        </w:tabs>
      </w:pPr>
      <w:r>
        <w:fldChar w:fldCharType="begin"/>
      </w:r>
      <w:r>
        <w:instrText xml:space="preserve"> HYPERLINK \l _Toc1138 </w:instrText>
      </w:r>
      <w:r>
        <w:fldChar w:fldCharType="separate"/>
      </w:r>
      <w:r>
        <w:rPr>
          <w:rFonts w:hint="eastAsia"/>
        </w:rPr>
        <w:t>八、对本次采购提出询问、质疑、投诉，请按以下方式联系</w:t>
      </w:r>
      <w:r>
        <w:tab/>
      </w:r>
      <w:r>
        <w:fldChar w:fldCharType="begin"/>
      </w:r>
      <w:r>
        <w:instrText xml:space="preserve"> PAGEREF _Toc1138 \h </w:instrText>
      </w:r>
      <w:r>
        <w:fldChar w:fldCharType="separate"/>
      </w:r>
      <w:r>
        <w:t>3</w:t>
      </w:r>
      <w:r>
        <w:fldChar w:fldCharType="end"/>
      </w:r>
      <w:r>
        <w:fldChar w:fldCharType="end"/>
      </w:r>
    </w:p>
    <w:p w14:paraId="1C4F133D">
      <w:pPr>
        <w:pStyle w:val="25"/>
        <w:tabs>
          <w:tab w:val="right" w:leader="dot" w:pos="8306"/>
          <w:tab w:val="clear" w:pos="1470"/>
          <w:tab w:val="clear" w:pos="8296"/>
        </w:tabs>
      </w:pPr>
      <w:r>
        <w:fldChar w:fldCharType="begin"/>
      </w:r>
      <w:r>
        <w:instrText xml:space="preserve"> HYPERLINK \l _Toc28259 </w:instrText>
      </w:r>
      <w:r>
        <w:fldChar w:fldCharType="separate"/>
      </w:r>
      <w:r>
        <w:rPr>
          <w:rFonts w:hint="eastAsia"/>
        </w:rPr>
        <w:t>第二章  磋商供应商须知前附表</w:t>
      </w:r>
      <w:r>
        <w:tab/>
      </w:r>
      <w:r>
        <w:fldChar w:fldCharType="begin"/>
      </w:r>
      <w:r>
        <w:instrText xml:space="preserve"> PAGEREF _Toc28259 \h </w:instrText>
      </w:r>
      <w:r>
        <w:fldChar w:fldCharType="separate"/>
      </w:r>
      <w:r>
        <w:t>5</w:t>
      </w:r>
      <w:r>
        <w:fldChar w:fldCharType="end"/>
      </w:r>
      <w:r>
        <w:fldChar w:fldCharType="end"/>
      </w:r>
    </w:p>
    <w:p w14:paraId="744EB1D9">
      <w:pPr>
        <w:pStyle w:val="25"/>
        <w:tabs>
          <w:tab w:val="right" w:leader="dot" w:pos="8306"/>
          <w:tab w:val="clear" w:pos="1470"/>
          <w:tab w:val="clear" w:pos="8296"/>
        </w:tabs>
      </w:pPr>
      <w:r>
        <w:fldChar w:fldCharType="begin"/>
      </w:r>
      <w:r>
        <w:instrText xml:space="preserve"> HYPERLINK \l _Toc11112 </w:instrText>
      </w:r>
      <w:r>
        <w:fldChar w:fldCharType="separate"/>
      </w:r>
      <w:r>
        <w:rPr>
          <w:rFonts w:hint="eastAsia"/>
        </w:rPr>
        <w:t>第三</w:t>
      </w:r>
      <w:r>
        <w:t xml:space="preserve">章 </w:t>
      </w:r>
      <w:r>
        <w:rPr>
          <w:rFonts w:hint="eastAsia"/>
        </w:rPr>
        <w:t xml:space="preserve"> 投标人须知</w:t>
      </w:r>
      <w:r>
        <w:tab/>
      </w:r>
      <w:r>
        <w:fldChar w:fldCharType="begin"/>
      </w:r>
      <w:r>
        <w:instrText xml:space="preserve"> PAGEREF _Toc11112 \h </w:instrText>
      </w:r>
      <w:r>
        <w:fldChar w:fldCharType="separate"/>
      </w:r>
      <w:r>
        <w:t>8</w:t>
      </w:r>
      <w:r>
        <w:fldChar w:fldCharType="end"/>
      </w:r>
      <w:r>
        <w:fldChar w:fldCharType="end"/>
      </w:r>
    </w:p>
    <w:p w14:paraId="4F9A5086">
      <w:pPr>
        <w:pStyle w:val="29"/>
        <w:tabs>
          <w:tab w:val="right" w:leader="dot" w:pos="8306"/>
        </w:tabs>
      </w:pPr>
      <w:r>
        <w:fldChar w:fldCharType="begin"/>
      </w:r>
      <w:r>
        <w:instrText xml:space="preserve"> HYPERLINK \l _Toc829 </w:instrText>
      </w:r>
      <w:r>
        <w:fldChar w:fldCharType="separate"/>
      </w:r>
      <w:r>
        <w:rPr>
          <w:rFonts w:hint="eastAsia"/>
        </w:rPr>
        <w:t>一、总则</w:t>
      </w:r>
      <w:r>
        <w:tab/>
      </w:r>
      <w:r>
        <w:fldChar w:fldCharType="begin"/>
      </w:r>
      <w:r>
        <w:instrText xml:space="preserve"> PAGEREF _Toc829 \h </w:instrText>
      </w:r>
      <w:r>
        <w:fldChar w:fldCharType="separate"/>
      </w:r>
      <w:r>
        <w:t>8</w:t>
      </w:r>
      <w:r>
        <w:fldChar w:fldCharType="end"/>
      </w:r>
      <w:r>
        <w:fldChar w:fldCharType="end"/>
      </w:r>
    </w:p>
    <w:p w14:paraId="4B3845C3">
      <w:pPr>
        <w:pStyle w:val="29"/>
        <w:tabs>
          <w:tab w:val="right" w:leader="dot" w:pos="8306"/>
        </w:tabs>
      </w:pPr>
      <w:r>
        <w:fldChar w:fldCharType="begin"/>
      </w:r>
      <w:r>
        <w:instrText xml:space="preserve"> HYPERLINK \l _Toc4288 </w:instrText>
      </w:r>
      <w:r>
        <w:fldChar w:fldCharType="separate"/>
      </w:r>
      <w:r>
        <w:rPr>
          <w:rFonts w:hint="eastAsia"/>
        </w:rPr>
        <w:t>二、竞争性磋商文件</w:t>
      </w:r>
      <w:r>
        <w:tab/>
      </w:r>
      <w:r>
        <w:fldChar w:fldCharType="begin"/>
      </w:r>
      <w:r>
        <w:instrText xml:space="preserve"> PAGEREF _Toc4288 \h </w:instrText>
      </w:r>
      <w:r>
        <w:fldChar w:fldCharType="separate"/>
      </w:r>
      <w:r>
        <w:t>11</w:t>
      </w:r>
      <w:r>
        <w:fldChar w:fldCharType="end"/>
      </w:r>
      <w:r>
        <w:fldChar w:fldCharType="end"/>
      </w:r>
    </w:p>
    <w:p w14:paraId="7C7D17A9">
      <w:pPr>
        <w:pStyle w:val="29"/>
        <w:tabs>
          <w:tab w:val="right" w:leader="dot" w:pos="8306"/>
        </w:tabs>
      </w:pPr>
      <w:r>
        <w:fldChar w:fldCharType="begin"/>
      </w:r>
      <w:r>
        <w:instrText xml:space="preserve"> HYPERLINK \l _Toc9249 </w:instrText>
      </w:r>
      <w:r>
        <w:fldChar w:fldCharType="separate"/>
      </w:r>
      <w:r>
        <w:rPr>
          <w:rFonts w:hint="eastAsia"/>
        </w:rPr>
        <w:t>三、响应文件</w:t>
      </w:r>
      <w:r>
        <w:tab/>
      </w:r>
      <w:r>
        <w:fldChar w:fldCharType="begin"/>
      </w:r>
      <w:r>
        <w:instrText xml:space="preserve"> PAGEREF _Toc9249 \h </w:instrText>
      </w:r>
      <w:r>
        <w:fldChar w:fldCharType="separate"/>
      </w:r>
      <w:r>
        <w:t>12</w:t>
      </w:r>
      <w:r>
        <w:fldChar w:fldCharType="end"/>
      </w:r>
      <w:r>
        <w:fldChar w:fldCharType="end"/>
      </w:r>
    </w:p>
    <w:p w14:paraId="36D9D01C">
      <w:pPr>
        <w:pStyle w:val="29"/>
        <w:tabs>
          <w:tab w:val="right" w:leader="dot" w:pos="8306"/>
        </w:tabs>
      </w:pPr>
      <w:r>
        <w:fldChar w:fldCharType="begin"/>
      </w:r>
      <w:r>
        <w:instrText xml:space="preserve"> HYPERLINK \l _Toc1392 </w:instrText>
      </w:r>
      <w:r>
        <w:fldChar w:fldCharType="separate"/>
      </w:r>
      <w:r>
        <w:t>四</w:t>
      </w:r>
      <w:r>
        <w:rPr>
          <w:rFonts w:hint="eastAsia"/>
        </w:rPr>
        <w:t>、响应文件开启、磋商</w:t>
      </w:r>
      <w:r>
        <w:tab/>
      </w:r>
      <w:r>
        <w:fldChar w:fldCharType="begin"/>
      </w:r>
      <w:r>
        <w:instrText xml:space="preserve"> PAGEREF _Toc1392 \h </w:instrText>
      </w:r>
      <w:r>
        <w:fldChar w:fldCharType="separate"/>
      </w:r>
      <w:r>
        <w:t>14</w:t>
      </w:r>
      <w:r>
        <w:fldChar w:fldCharType="end"/>
      </w:r>
      <w:r>
        <w:fldChar w:fldCharType="end"/>
      </w:r>
    </w:p>
    <w:p w14:paraId="7C82E754">
      <w:pPr>
        <w:pStyle w:val="29"/>
        <w:tabs>
          <w:tab w:val="right" w:leader="dot" w:pos="8306"/>
        </w:tabs>
      </w:pPr>
      <w:r>
        <w:fldChar w:fldCharType="begin"/>
      </w:r>
      <w:r>
        <w:instrText xml:space="preserve"> HYPERLINK \l _Toc24990 </w:instrText>
      </w:r>
      <w:r>
        <w:fldChar w:fldCharType="separate"/>
      </w:r>
      <w:r>
        <w:rPr>
          <w:rFonts w:hint="eastAsia"/>
          <w:lang w:val="zh-CN"/>
        </w:rPr>
        <w:t>五、成交事项</w:t>
      </w:r>
      <w:r>
        <w:tab/>
      </w:r>
      <w:r>
        <w:fldChar w:fldCharType="begin"/>
      </w:r>
      <w:r>
        <w:instrText xml:space="preserve"> PAGEREF _Toc24990 \h </w:instrText>
      </w:r>
      <w:r>
        <w:fldChar w:fldCharType="separate"/>
      </w:r>
      <w:r>
        <w:t>14</w:t>
      </w:r>
      <w:r>
        <w:fldChar w:fldCharType="end"/>
      </w:r>
      <w:r>
        <w:fldChar w:fldCharType="end"/>
      </w:r>
    </w:p>
    <w:p w14:paraId="676FAA70">
      <w:pPr>
        <w:pStyle w:val="29"/>
        <w:tabs>
          <w:tab w:val="right" w:leader="dot" w:pos="8306"/>
        </w:tabs>
      </w:pPr>
      <w:r>
        <w:fldChar w:fldCharType="begin"/>
      </w:r>
      <w:r>
        <w:instrText xml:space="preserve"> HYPERLINK \l _Toc5491 </w:instrText>
      </w:r>
      <w:r>
        <w:fldChar w:fldCharType="separate"/>
      </w:r>
      <w:r>
        <w:rPr>
          <w:rFonts w:hint="eastAsia"/>
        </w:rPr>
        <w:t>六、合同事项</w:t>
      </w:r>
      <w:r>
        <w:tab/>
      </w:r>
      <w:r>
        <w:fldChar w:fldCharType="begin"/>
      </w:r>
      <w:r>
        <w:instrText xml:space="preserve"> PAGEREF _Toc5491 \h </w:instrText>
      </w:r>
      <w:r>
        <w:fldChar w:fldCharType="separate"/>
      </w:r>
      <w:r>
        <w:t>15</w:t>
      </w:r>
      <w:r>
        <w:fldChar w:fldCharType="end"/>
      </w:r>
      <w:r>
        <w:fldChar w:fldCharType="end"/>
      </w:r>
    </w:p>
    <w:p w14:paraId="5DBAFC6E">
      <w:pPr>
        <w:pStyle w:val="29"/>
        <w:tabs>
          <w:tab w:val="right" w:leader="dot" w:pos="8306"/>
        </w:tabs>
      </w:pPr>
      <w:r>
        <w:fldChar w:fldCharType="begin"/>
      </w:r>
      <w:r>
        <w:instrText xml:space="preserve"> HYPERLINK \l _Toc1732 </w:instrText>
      </w:r>
      <w:r>
        <w:fldChar w:fldCharType="separate"/>
      </w:r>
      <w:r>
        <w:rPr>
          <w:rFonts w:hint="eastAsia"/>
        </w:rPr>
        <w:t>七、质疑与投诉</w:t>
      </w:r>
      <w:r>
        <w:tab/>
      </w:r>
      <w:r>
        <w:fldChar w:fldCharType="begin"/>
      </w:r>
      <w:r>
        <w:instrText xml:space="preserve"> PAGEREF _Toc1732 \h </w:instrText>
      </w:r>
      <w:r>
        <w:fldChar w:fldCharType="separate"/>
      </w:r>
      <w:r>
        <w:t>16</w:t>
      </w:r>
      <w:r>
        <w:fldChar w:fldCharType="end"/>
      </w:r>
      <w:r>
        <w:fldChar w:fldCharType="end"/>
      </w:r>
    </w:p>
    <w:p w14:paraId="3B8289C8">
      <w:pPr>
        <w:pStyle w:val="29"/>
        <w:tabs>
          <w:tab w:val="right" w:leader="dot" w:pos="8306"/>
        </w:tabs>
      </w:pPr>
      <w:r>
        <w:fldChar w:fldCharType="begin"/>
      </w:r>
      <w:r>
        <w:instrText xml:space="preserve"> HYPERLINK \l _Toc6808 </w:instrText>
      </w:r>
      <w:r>
        <w:fldChar w:fldCharType="separate"/>
      </w:r>
      <w:r>
        <w:rPr>
          <w:rFonts w:hint="eastAsia"/>
        </w:rPr>
        <w:t>八、投标纪律要求</w:t>
      </w:r>
      <w:r>
        <w:tab/>
      </w:r>
      <w:r>
        <w:fldChar w:fldCharType="begin"/>
      </w:r>
      <w:r>
        <w:instrText xml:space="preserve"> PAGEREF _Toc6808 \h </w:instrText>
      </w:r>
      <w:r>
        <w:fldChar w:fldCharType="separate"/>
      </w:r>
      <w:r>
        <w:t>17</w:t>
      </w:r>
      <w:r>
        <w:fldChar w:fldCharType="end"/>
      </w:r>
      <w:r>
        <w:fldChar w:fldCharType="end"/>
      </w:r>
    </w:p>
    <w:p w14:paraId="5BB238F9">
      <w:pPr>
        <w:pStyle w:val="29"/>
        <w:tabs>
          <w:tab w:val="right" w:leader="dot" w:pos="8306"/>
        </w:tabs>
      </w:pPr>
      <w:r>
        <w:fldChar w:fldCharType="begin"/>
      </w:r>
      <w:r>
        <w:instrText xml:space="preserve"> HYPERLINK \l _Toc15670 </w:instrText>
      </w:r>
      <w:r>
        <w:fldChar w:fldCharType="separate"/>
      </w:r>
      <w:r>
        <w:rPr>
          <w:rFonts w:hint="eastAsia"/>
        </w:rPr>
        <w:t>九、落实政府采购政策需满足的要求</w:t>
      </w:r>
      <w:r>
        <w:tab/>
      </w:r>
      <w:r>
        <w:fldChar w:fldCharType="begin"/>
      </w:r>
      <w:r>
        <w:instrText xml:space="preserve"> PAGEREF _Toc15670 \h </w:instrText>
      </w:r>
      <w:r>
        <w:fldChar w:fldCharType="separate"/>
      </w:r>
      <w:r>
        <w:t>18</w:t>
      </w:r>
      <w:r>
        <w:fldChar w:fldCharType="end"/>
      </w:r>
      <w:r>
        <w:fldChar w:fldCharType="end"/>
      </w:r>
    </w:p>
    <w:p w14:paraId="4E7A7461">
      <w:pPr>
        <w:pStyle w:val="29"/>
        <w:tabs>
          <w:tab w:val="right" w:leader="dot" w:pos="8306"/>
        </w:tabs>
      </w:pPr>
      <w:r>
        <w:fldChar w:fldCharType="begin"/>
      </w:r>
      <w:r>
        <w:instrText xml:space="preserve"> HYPERLINK \l _Toc15031 </w:instrText>
      </w:r>
      <w:r>
        <w:fldChar w:fldCharType="separate"/>
      </w:r>
      <w:r>
        <w:rPr>
          <w:rFonts w:hint="eastAsia"/>
        </w:rPr>
        <w:t>十、其他</w:t>
      </w:r>
      <w:r>
        <w:tab/>
      </w:r>
      <w:r>
        <w:fldChar w:fldCharType="begin"/>
      </w:r>
      <w:r>
        <w:instrText xml:space="preserve"> PAGEREF _Toc15031 \h </w:instrText>
      </w:r>
      <w:r>
        <w:fldChar w:fldCharType="separate"/>
      </w:r>
      <w:r>
        <w:t>19</w:t>
      </w:r>
      <w:r>
        <w:fldChar w:fldCharType="end"/>
      </w:r>
      <w:r>
        <w:fldChar w:fldCharType="end"/>
      </w:r>
    </w:p>
    <w:p w14:paraId="1BA63BD9">
      <w:pPr>
        <w:pStyle w:val="25"/>
        <w:tabs>
          <w:tab w:val="right" w:leader="dot" w:pos="8306"/>
          <w:tab w:val="clear" w:pos="1470"/>
          <w:tab w:val="clear" w:pos="8296"/>
        </w:tabs>
      </w:pPr>
      <w:r>
        <w:fldChar w:fldCharType="begin"/>
      </w:r>
      <w:r>
        <w:instrText xml:space="preserve"> HYPERLINK \l _Toc21267 </w:instrText>
      </w:r>
      <w:r>
        <w:fldChar w:fldCharType="separate"/>
      </w:r>
      <w:r>
        <w:t>第四章</w:t>
      </w:r>
      <w:r>
        <w:rPr>
          <w:rFonts w:hint="eastAsia"/>
        </w:rPr>
        <w:t xml:space="preserve">  采购需求</w:t>
      </w:r>
      <w:r>
        <w:tab/>
      </w:r>
      <w:r>
        <w:fldChar w:fldCharType="begin"/>
      </w:r>
      <w:r>
        <w:instrText xml:space="preserve"> PAGEREF _Toc21267 \h </w:instrText>
      </w:r>
      <w:r>
        <w:fldChar w:fldCharType="separate"/>
      </w:r>
      <w:r>
        <w:t>20</w:t>
      </w:r>
      <w:r>
        <w:fldChar w:fldCharType="end"/>
      </w:r>
      <w:r>
        <w:fldChar w:fldCharType="end"/>
      </w:r>
    </w:p>
    <w:p w14:paraId="2E211DDB">
      <w:pPr>
        <w:pStyle w:val="29"/>
        <w:tabs>
          <w:tab w:val="right" w:leader="dot" w:pos="8306"/>
        </w:tabs>
      </w:pPr>
      <w:r>
        <w:fldChar w:fldCharType="begin"/>
      </w:r>
      <w:r>
        <w:instrText xml:space="preserve"> HYPERLINK \l _Toc21655 </w:instrText>
      </w:r>
      <w:r>
        <w:fldChar w:fldCharType="separate"/>
      </w:r>
      <w:r>
        <w:rPr>
          <w:rFonts w:hint="eastAsia"/>
        </w:rPr>
        <w:t>一、概述</w:t>
      </w:r>
      <w:r>
        <w:tab/>
      </w:r>
      <w:r>
        <w:fldChar w:fldCharType="begin"/>
      </w:r>
      <w:r>
        <w:instrText xml:space="preserve"> PAGEREF _Toc21655 \h </w:instrText>
      </w:r>
      <w:r>
        <w:fldChar w:fldCharType="separate"/>
      </w:r>
      <w:r>
        <w:t>20</w:t>
      </w:r>
      <w:r>
        <w:fldChar w:fldCharType="end"/>
      </w:r>
      <w:r>
        <w:fldChar w:fldCharType="end"/>
      </w:r>
    </w:p>
    <w:p w14:paraId="60C0FDE0">
      <w:pPr>
        <w:pStyle w:val="29"/>
        <w:tabs>
          <w:tab w:val="right" w:leader="dot" w:pos="8306"/>
        </w:tabs>
      </w:pPr>
      <w:r>
        <w:fldChar w:fldCharType="begin"/>
      </w:r>
      <w:r>
        <w:instrText xml:space="preserve"> HYPERLINK \l _Toc14516 </w:instrText>
      </w:r>
      <w:r>
        <w:fldChar w:fldCharType="separate"/>
      </w:r>
      <w:r>
        <w:rPr>
          <w:rFonts w:hint="eastAsia"/>
        </w:rPr>
        <w:t>二、项目情况</w:t>
      </w:r>
      <w:r>
        <w:tab/>
      </w:r>
      <w:r>
        <w:fldChar w:fldCharType="begin"/>
      </w:r>
      <w:r>
        <w:instrText xml:space="preserve"> PAGEREF _Toc14516 \h </w:instrText>
      </w:r>
      <w:r>
        <w:fldChar w:fldCharType="separate"/>
      </w:r>
      <w:r>
        <w:t>20</w:t>
      </w:r>
      <w:r>
        <w:fldChar w:fldCharType="end"/>
      </w:r>
      <w:r>
        <w:fldChar w:fldCharType="end"/>
      </w:r>
    </w:p>
    <w:p w14:paraId="67C3FD96">
      <w:pPr>
        <w:pStyle w:val="29"/>
        <w:tabs>
          <w:tab w:val="right" w:leader="dot" w:pos="8306"/>
        </w:tabs>
      </w:pPr>
      <w:r>
        <w:fldChar w:fldCharType="begin"/>
      </w:r>
      <w:r>
        <w:instrText xml:space="preserve"> HYPERLINK \l _Toc14608 </w:instrText>
      </w:r>
      <w:r>
        <w:fldChar w:fldCharType="separate"/>
      </w:r>
      <w:r>
        <w:rPr>
          <w:rFonts w:hint="eastAsia"/>
        </w:rPr>
        <w:t>三、人员要求</w:t>
      </w:r>
      <w:r>
        <w:tab/>
      </w:r>
      <w:r>
        <w:fldChar w:fldCharType="begin"/>
      </w:r>
      <w:r>
        <w:instrText xml:space="preserve"> PAGEREF _Toc14608 \h </w:instrText>
      </w:r>
      <w:r>
        <w:fldChar w:fldCharType="separate"/>
      </w:r>
      <w:r>
        <w:t>20</w:t>
      </w:r>
      <w:r>
        <w:fldChar w:fldCharType="end"/>
      </w:r>
      <w:r>
        <w:fldChar w:fldCharType="end"/>
      </w:r>
    </w:p>
    <w:p w14:paraId="1523254A">
      <w:pPr>
        <w:pStyle w:val="29"/>
        <w:tabs>
          <w:tab w:val="right" w:leader="dot" w:pos="8306"/>
        </w:tabs>
      </w:pPr>
      <w:r>
        <w:fldChar w:fldCharType="begin"/>
      </w:r>
      <w:r>
        <w:instrText xml:space="preserve"> HYPERLINK \l _Toc15829 </w:instrText>
      </w:r>
      <w:r>
        <w:fldChar w:fldCharType="separate"/>
      </w:r>
      <w:r>
        <w:rPr>
          <w:rFonts w:hint="eastAsia"/>
        </w:rPr>
        <w:t>四、服务内容</w:t>
      </w:r>
      <w:r>
        <w:tab/>
      </w:r>
      <w:r>
        <w:fldChar w:fldCharType="begin"/>
      </w:r>
      <w:r>
        <w:instrText xml:space="preserve"> PAGEREF _Toc15829 \h </w:instrText>
      </w:r>
      <w:r>
        <w:fldChar w:fldCharType="separate"/>
      </w:r>
      <w:r>
        <w:t>20</w:t>
      </w:r>
      <w:r>
        <w:fldChar w:fldCharType="end"/>
      </w:r>
      <w:r>
        <w:fldChar w:fldCharType="end"/>
      </w:r>
    </w:p>
    <w:p w14:paraId="45D70AA2">
      <w:pPr>
        <w:pStyle w:val="29"/>
        <w:tabs>
          <w:tab w:val="right" w:leader="dot" w:pos="8306"/>
        </w:tabs>
      </w:pPr>
      <w:r>
        <w:fldChar w:fldCharType="begin"/>
      </w:r>
      <w:r>
        <w:instrText xml:space="preserve"> HYPERLINK \l _Toc14891 </w:instrText>
      </w:r>
      <w:r>
        <w:fldChar w:fldCharType="separate"/>
      </w:r>
      <w:r>
        <w:rPr>
          <w:rFonts w:hint="eastAsia"/>
        </w:rPr>
        <w:t>五、队伍管理</w:t>
      </w:r>
      <w:r>
        <w:tab/>
      </w:r>
      <w:r>
        <w:fldChar w:fldCharType="begin"/>
      </w:r>
      <w:r>
        <w:instrText xml:space="preserve"> PAGEREF _Toc14891 \h </w:instrText>
      </w:r>
      <w:r>
        <w:fldChar w:fldCharType="separate"/>
      </w:r>
      <w:r>
        <w:t>20</w:t>
      </w:r>
      <w:r>
        <w:fldChar w:fldCharType="end"/>
      </w:r>
      <w:r>
        <w:fldChar w:fldCharType="end"/>
      </w:r>
    </w:p>
    <w:p w14:paraId="562B925D">
      <w:pPr>
        <w:pStyle w:val="25"/>
        <w:tabs>
          <w:tab w:val="right" w:leader="dot" w:pos="8306"/>
          <w:tab w:val="clear" w:pos="1470"/>
          <w:tab w:val="clear" w:pos="8296"/>
        </w:tabs>
      </w:pPr>
      <w:r>
        <w:fldChar w:fldCharType="begin"/>
      </w:r>
      <w:r>
        <w:instrText xml:space="preserve"> HYPERLINK \l _Toc4269 </w:instrText>
      </w:r>
      <w:r>
        <w:fldChar w:fldCharType="separate"/>
      </w:r>
      <w:r>
        <w:rPr>
          <w:rFonts w:hint="eastAsia"/>
        </w:rPr>
        <w:t>第五章  合同</w:t>
      </w:r>
      <w:r>
        <w:tab/>
      </w:r>
      <w:r>
        <w:fldChar w:fldCharType="begin"/>
      </w:r>
      <w:r>
        <w:instrText xml:space="preserve"> PAGEREF _Toc4269 \h </w:instrText>
      </w:r>
      <w:r>
        <w:fldChar w:fldCharType="separate"/>
      </w:r>
      <w:r>
        <w:t>21</w:t>
      </w:r>
      <w:r>
        <w:fldChar w:fldCharType="end"/>
      </w:r>
      <w:r>
        <w:fldChar w:fldCharType="end"/>
      </w:r>
    </w:p>
    <w:p w14:paraId="4F742E3C">
      <w:pPr>
        <w:pStyle w:val="29"/>
        <w:tabs>
          <w:tab w:val="right" w:leader="dot" w:pos="8306"/>
        </w:tabs>
      </w:pPr>
      <w:r>
        <w:fldChar w:fldCharType="begin"/>
      </w:r>
      <w:r>
        <w:instrText xml:space="preserve"> HYPERLINK \l _Toc10315 </w:instrText>
      </w:r>
      <w:r>
        <w:fldChar w:fldCharType="separate"/>
      </w:r>
      <w:r>
        <w:rPr>
          <w:rFonts w:hint="eastAsia"/>
        </w:rPr>
        <w:t>一、说明</w:t>
      </w:r>
      <w:r>
        <w:tab/>
      </w:r>
      <w:r>
        <w:fldChar w:fldCharType="begin"/>
      </w:r>
      <w:r>
        <w:instrText xml:space="preserve"> PAGEREF _Toc10315 \h </w:instrText>
      </w:r>
      <w:r>
        <w:fldChar w:fldCharType="separate"/>
      </w:r>
      <w:r>
        <w:t>21</w:t>
      </w:r>
      <w:r>
        <w:fldChar w:fldCharType="end"/>
      </w:r>
      <w:r>
        <w:fldChar w:fldCharType="end"/>
      </w:r>
    </w:p>
    <w:p w14:paraId="695000A3">
      <w:pPr>
        <w:pStyle w:val="29"/>
        <w:tabs>
          <w:tab w:val="right" w:leader="dot" w:pos="8306"/>
        </w:tabs>
      </w:pPr>
      <w:r>
        <w:fldChar w:fldCharType="begin"/>
      </w:r>
      <w:r>
        <w:instrText xml:space="preserve"> HYPERLINK \l _Toc22257 </w:instrText>
      </w:r>
      <w:r>
        <w:fldChar w:fldCharType="separate"/>
      </w:r>
      <w:r>
        <w:rPr>
          <w:rFonts w:hint="eastAsia"/>
        </w:rPr>
        <w:t>二、项目情况</w:t>
      </w:r>
      <w:r>
        <w:tab/>
      </w:r>
      <w:r>
        <w:fldChar w:fldCharType="begin"/>
      </w:r>
      <w:r>
        <w:instrText xml:space="preserve"> PAGEREF _Toc22257 \h </w:instrText>
      </w:r>
      <w:r>
        <w:fldChar w:fldCharType="separate"/>
      </w:r>
      <w:r>
        <w:t>21</w:t>
      </w:r>
      <w:r>
        <w:fldChar w:fldCharType="end"/>
      </w:r>
      <w:r>
        <w:fldChar w:fldCharType="end"/>
      </w:r>
    </w:p>
    <w:p w14:paraId="2A5B6EC6">
      <w:pPr>
        <w:pStyle w:val="29"/>
        <w:tabs>
          <w:tab w:val="right" w:leader="dot" w:pos="8306"/>
        </w:tabs>
      </w:pPr>
      <w:r>
        <w:fldChar w:fldCharType="begin"/>
      </w:r>
      <w:r>
        <w:instrText xml:space="preserve"> HYPERLINK \l _Toc21933 </w:instrText>
      </w:r>
      <w:r>
        <w:fldChar w:fldCharType="separate"/>
      </w:r>
      <w:r>
        <w:rPr>
          <w:rFonts w:hint="eastAsia"/>
          <w:lang w:val="zh-CN"/>
        </w:rPr>
        <w:t>三、服务内容</w:t>
      </w:r>
      <w:r>
        <w:tab/>
      </w:r>
      <w:r>
        <w:fldChar w:fldCharType="begin"/>
      </w:r>
      <w:r>
        <w:instrText xml:space="preserve"> PAGEREF _Toc21933 \h </w:instrText>
      </w:r>
      <w:r>
        <w:fldChar w:fldCharType="separate"/>
      </w:r>
      <w:r>
        <w:t>21</w:t>
      </w:r>
      <w:r>
        <w:fldChar w:fldCharType="end"/>
      </w:r>
      <w:r>
        <w:fldChar w:fldCharType="end"/>
      </w:r>
    </w:p>
    <w:p w14:paraId="34CEBFE7">
      <w:pPr>
        <w:pStyle w:val="29"/>
        <w:tabs>
          <w:tab w:val="right" w:leader="dot" w:pos="8306"/>
        </w:tabs>
      </w:pPr>
      <w:r>
        <w:fldChar w:fldCharType="begin"/>
      </w:r>
      <w:r>
        <w:instrText xml:space="preserve"> HYPERLINK \l _Toc14307 </w:instrText>
      </w:r>
      <w:r>
        <w:fldChar w:fldCharType="separate"/>
      </w:r>
      <w:r>
        <w:rPr>
          <w:rFonts w:hint="eastAsia"/>
        </w:rPr>
        <w:t>四、人员要求</w:t>
      </w:r>
      <w:r>
        <w:tab/>
      </w:r>
      <w:r>
        <w:fldChar w:fldCharType="begin"/>
      </w:r>
      <w:r>
        <w:instrText xml:space="preserve"> PAGEREF _Toc14307 \h </w:instrText>
      </w:r>
      <w:r>
        <w:fldChar w:fldCharType="separate"/>
      </w:r>
      <w:r>
        <w:t>21</w:t>
      </w:r>
      <w:r>
        <w:fldChar w:fldCharType="end"/>
      </w:r>
      <w:r>
        <w:fldChar w:fldCharType="end"/>
      </w:r>
    </w:p>
    <w:p w14:paraId="3A6AC5D3">
      <w:pPr>
        <w:pStyle w:val="29"/>
        <w:tabs>
          <w:tab w:val="right" w:leader="dot" w:pos="8306"/>
        </w:tabs>
      </w:pPr>
      <w:r>
        <w:fldChar w:fldCharType="begin"/>
      </w:r>
      <w:r>
        <w:instrText xml:space="preserve"> HYPERLINK \l _Toc15029 </w:instrText>
      </w:r>
      <w:r>
        <w:fldChar w:fldCharType="separate"/>
      </w:r>
      <w:r>
        <w:rPr>
          <w:rFonts w:hint="eastAsia"/>
        </w:rPr>
        <w:t>五、成交金额</w:t>
      </w:r>
      <w:r>
        <w:tab/>
      </w:r>
      <w:r>
        <w:fldChar w:fldCharType="begin"/>
      </w:r>
      <w:r>
        <w:instrText xml:space="preserve"> PAGEREF _Toc15029 \h </w:instrText>
      </w:r>
      <w:r>
        <w:fldChar w:fldCharType="separate"/>
      </w:r>
      <w:r>
        <w:t>22</w:t>
      </w:r>
      <w:r>
        <w:fldChar w:fldCharType="end"/>
      </w:r>
      <w:r>
        <w:fldChar w:fldCharType="end"/>
      </w:r>
    </w:p>
    <w:p w14:paraId="1882BC23">
      <w:pPr>
        <w:pStyle w:val="29"/>
        <w:tabs>
          <w:tab w:val="right" w:leader="dot" w:pos="8306"/>
        </w:tabs>
      </w:pPr>
      <w:r>
        <w:fldChar w:fldCharType="begin"/>
      </w:r>
      <w:r>
        <w:instrText xml:space="preserve"> HYPERLINK \l _Toc10196 </w:instrText>
      </w:r>
      <w:r>
        <w:fldChar w:fldCharType="separate"/>
      </w:r>
      <w:r>
        <w:rPr>
          <w:rFonts w:hint="eastAsia"/>
        </w:rPr>
        <w:t>六、履约保证金</w:t>
      </w:r>
      <w:r>
        <w:tab/>
      </w:r>
      <w:r>
        <w:fldChar w:fldCharType="begin"/>
      </w:r>
      <w:r>
        <w:instrText xml:space="preserve"> PAGEREF _Toc10196 \h </w:instrText>
      </w:r>
      <w:r>
        <w:fldChar w:fldCharType="separate"/>
      </w:r>
      <w:r>
        <w:t>22</w:t>
      </w:r>
      <w:r>
        <w:fldChar w:fldCharType="end"/>
      </w:r>
      <w:r>
        <w:fldChar w:fldCharType="end"/>
      </w:r>
    </w:p>
    <w:p w14:paraId="2C56E34F">
      <w:pPr>
        <w:pStyle w:val="29"/>
        <w:tabs>
          <w:tab w:val="right" w:leader="dot" w:pos="8306"/>
        </w:tabs>
      </w:pPr>
      <w:r>
        <w:fldChar w:fldCharType="begin"/>
      </w:r>
      <w:r>
        <w:instrText xml:space="preserve"> HYPERLINK \l _Toc27112 </w:instrText>
      </w:r>
      <w:r>
        <w:fldChar w:fldCharType="separate"/>
      </w:r>
      <w:r>
        <w:rPr>
          <w:rFonts w:hint="eastAsia"/>
        </w:rPr>
        <w:t>七、转包或分包</w:t>
      </w:r>
      <w:r>
        <w:tab/>
      </w:r>
      <w:r>
        <w:fldChar w:fldCharType="begin"/>
      </w:r>
      <w:r>
        <w:instrText xml:space="preserve"> PAGEREF _Toc27112 \h </w:instrText>
      </w:r>
      <w:r>
        <w:fldChar w:fldCharType="separate"/>
      </w:r>
      <w:r>
        <w:t>22</w:t>
      </w:r>
      <w:r>
        <w:fldChar w:fldCharType="end"/>
      </w:r>
      <w:r>
        <w:fldChar w:fldCharType="end"/>
      </w:r>
    </w:p>
    <w:p w14:paraId="4C91C885">
      <w:pPr>
        <w:pStyle w:val="29"/>
        <w:tabs>
          <w:tab w:val="right" w:leader="dot" w:pos="8306"/>
        </w:tabs>
      </w:pPr>
      <w:r>
        <w:fldChar w:fldCharType="begin"/>
      </w:r>
      <w:r>
        <w:instrText xml:space="preserve"> HYPERLINK \l _Toc2246 </w:instrText>
      </w:r>
      <w:r>
        <w:fldChar w:fldCharType="separate"/>
      </w:r>
      <w:r>
        <w:rPr>
          <w:rFonts w:hint="eastAsia"/>
        </w:rPr>
        <w:t>八、服务期</w:t>
      </w:r>
      <w:r>
        <w:tab/>
      </w:r>
      <w:r>
        <w:fldChar w:fldCharType="begin"/>
      </w:r>
      <w:r>
        <w:instrText xml:space="preserve"> PAGEREF _Toc2246 \h </w:instrText>
      </w:r>
      <w:r>
        <w:fldChar w:fldCharType="separate"/>
      </w:r>
      <w:r>
        <w:t>22</w:t>
      </w:r>
      <w:r>
        <w:fldChar w:fldCharType="end"/>
      </w:r>
      <w:r>
        <w:fldChar w:fldCharType="end"/>
      </w:r>
    </w:p>
    <w:p w14:paraId="2410F518">
      <w:pPr>
        <w:pStyle w:val="29"/>
        <w:tabs>
          <w:tab w:val="right" w:leader="dot" w:pos="8306"/>
        </w:tabs>
      </w:pPr>
      <w:r>
        <w:fldChar w:fldCharType="begin"/>
      </w:r>
      <w:r>
        <w:instrText xml:space="preserve"> HYPERLINK \l _Toc14474 </w:instrText>
      </w:r>
      <w:r>
        <w:fldChar w:fldCharType="separate"/>
      </w:r>
      <w:r>
        <w:rPr>
          <w:rFonts w:hint="eastAsia"/>
        </w:rPr>
        <w:t>九、款项支付</w:t>
      </w:r>
      <w:r>
        <w:tab/>
      </w:r>
      <w:r>
        <w:fldChar w:fldCharType="begin"/>
      </w:r>
      <w:r>
        <w:instrText xml:space="preserve"> PAGEREF _Toc14474 \h </w:instrText>
      </w:r>
      <w:r>
        <w:fldChar w:fldCharType="separate"/>
      </w:r>
      <w:r>
        <w:t>22</w:t>
      </w:r>
      <w:r>
        <w:fldChar w:fldCharType="end"/>
      </w:r>
      <w:r>
        <w:fldChar w:fldCharType="end"/>
      </w:r>
    </w:p>
    <w:p w14:paraId="7760109C">
      <w:pPr>
        <w:pStyle w:val="29"/>
        <w:tabs>
          <w:tab w:val="right" w:leader="dot" w:pos="8306"/>
        </w:tabs>
      </w:pPr>
      <w:r>
        <w:fldChar w:fldCharType="begin"/>
      </w:r>
      <w:r>
        <w:instrText xml:space="preserve"> HYPERLINK \l _Toc4371 </w:instrText>
      </w:r>
      <w:r>
        <w:fldChar w:fldCharType="separate"/>
      </w:r>
      <w:r>
        <w:rPr>
          <w:rFonts w:hint="eastAsia"/>
        </w:rPr>
        <w:t>十、税费</w:t>
      </w:r>
      <w:r>
        <w:tab/>
      </w:r>
      <w:r>
        <w:fldChar w:fldCharType="begin"/>
      </w:r>
      <w:r>
        <w:instrText xml:space="preserve"> PAGEREF _Toc4371 \h </w:instrText>
      </w:r>
      <w:r>
        <w:fldChar w:fldCharType="separate"/>
      </w:r>
      <w:r>
        <w:t>22</w:t>
      </w:r>
      <w:r>
        <w:fldChar w:fldCharType="end"/>
      </w:r>
      <w:r>
        <w:fldChar w:fldCharType="end"/>
      </w:r>
    </w:p>
    <w:p w14:paraId="76AC9063">
      <w:pPr>
        <w:pStyle w:val="29"/>
        <w:tabs>
          <w:tab w:val="right" w:leader="dot" w:pos="8306"/>
        </w:tabs>
      </w:pPr>
      <w:r>
        <w:fldChar w:fldCharType="begin"/>
      </w:r>
      <w:r>
        <w:instrText xml:space="preserve"> HYPERLINK \l _Toc12347 </w:instrText>
      </w:r>
      <w:r>
        <w:fldChar w:fldCharType="separate"/>
      </w:r>
      <w:r>
        <w:rPr>
          <w:rFonts w:hint="eastAsia"/>
        </w:rPr>
        <w:t>十一、合同修改与解除</w:t>
      </w:r>
      <w:r>
        <w:tab/>
      </w:r>
      <w:r>
        <w:fldChar w:fldCharType="begin"/>
      </w:r>
      <w:r>
        <w:instrText xml:space="preserve"> PAGEREF _Toc12347 \h </w:instrText>
      </w:r>
      <w:r>
        <w:fldChar w:fldCharType="separate"/>
      </w:r>
      <w:r>
        <w:t>22</w:t>
      </w:r>
      <w:r>
        <w:fldChar w:fldCharType="end"/>
      </w:r>
      <w:r>
        <w:fldChar w:fldCharType="end"/>
      </w:r>
    </w:p>
    <w:p w14:paraId="40DE3794">
      <w:pPr>
        <w:pStyle w:val="29"/>
        <w:tabs>
          <w:tab w:val="right" w:leader="dot" w:pos="8306"/>
        </w:tabs>
      </w:pPr>
      <w:r>
        <w:fldChar w:fldCharType="begin"/>
      </w:r>
      <w:r>
        <w:instrText xml:space="preserve"> HYPERLINK \l _Toc20400 </w:instrText>
      </w:r>
      <w:r>
        <w:fldChar w:fldCharType="separate"/>
      </w:r>
      <w:r>
        <w:rPr>
          <w:rFonts w:hint="eastAsia"/>
        </w:rPr>
        <w:t>十二、违约责任</w:t>
      </w:r>
      <w:r>
        <w:tab/>
      </w:r>
      <w:r>
        <w:fldChar w:fldCharType="begin"/>
      </w:r>
      <w:r>
        <w:instrText xml:space="preserve"> PAGEREF _Toc20400 \h </w:instrText>
      </w:r>
      <w:r>
        <w:fldChar w:fldCharType="separate"/>
      </w:r>
      <w:r>
        <w:t>23</w:t>
      </w:r>
      <w:r>
        <w:fldChar w:fldCharType="end"/>
      </w:r>
      <w:r>
        <w:fldChar w:fldCharType="end"/>
      </w:r>
    </w:p>
    <w:p w14:paraId="56E8EA11">
      <w:pPr>
        <w:pStyle w:val="29"/>
        <w:tabs>
          <w:tab w:val="right" w:leader="dot" w:pos="8306"/>
        </w:tabs>
      </w:pPr>
      <w:r>
        <w:fldChar w:fldCharType="begin"/>
      </w:r>
      <w:r>
        <w:instrText xml:space="preserve"> HYPERLINK \l _Toc11089 </w:instrText>
      </w:r>
      <w:r>
        <w:fldChar w:fldCharType="separate"/>
      </w:r>
      <w:r>
        <w:rPr>
          <w:rFonts w:hint="eastAsia"/>
        </w:rPr>
        <w:t>十三、不可抗力事件处理</w:t>
      </w:r>
      <w:r>
        <w:tab/>
      </w:r>
      <w:r>
        <w:fldChar w:fldCharType="begin"/>
      </w:r>
      <w:r>
        <w:instrText xml:space="preserve"> PAGEREF _Toc11089 \h </w:instrText>
      </w:r>
      <w:r>
        <w:fldChar w:fldCharType="separate"/>
      </w:r>
      <w:r>
        <w:t>23</w:t>
      </w:r>
      <w:r>
        <w:fldChar w:fldCharType="end"/>
      </w:r>
      <w:r>
        <w:fldChar w:fldCharType="end"/>
      </w:r>
    </w:p>
    <w:p w14:paraId="291693D6">
      <w:pPr>
        <w:pStyle w:val="29"/>
        <w:tabs>
          <w:tab w:val="right" w:leader="dot" w:pos="8306"/>
        </w:tabs>
      </w:pPr>
      <w:r>
        <w:fldChar w:fldCharType="begin"/>
      </w:r>
      <w:r>
        <w:instrText xml:space="preserve"> HYPERLINK \l _Toc25245 </w:instrText>
      </w:r>
      <w:r>
        <w:fldChar w:fldCharType="separate"/>
      </w:r>
      <w:r>
        <w:rPr>
          <w:rFonts w:hint="eastAsia"/>
        </w:rPr>
        <w:t>十四、诉讼</w:t>
      </w:r>
      <w:r>
        <w:tab/>
      </w:r>
      <w:r>
        <w:fldChar w:fldCharType="begin"/>
      </w:r>
      <w:r>
        <w:instrText xml:space="preserve"> PAGEREF _Toc25245 \h </w:instrText>
      </w:r>
      <w:r>
        <w:fldChar w:fldCharType="separate"/>
      </w:r>
      <w:r>
        <w:t>23</w:t>
      </w:r>
      <w:r>
        <w:fldChar w:fldCharType="end"/>
      </w:r>
      <w:r>
        <w:fldChar w:fldCharType="end"/>
      </w:r>
    </w:p>
    <w:p w14:paraId="202F60F6">
      <w:pPr>
        <w:pStyle w:val="29"/>
        <w:tabs>
          <w:tab w:val="right" w:leader="dot" w:pos="8306"/>
        </w:tabs>
      </w:pPr>
      <w:r>
        <w:fldChar w:fldCharType="begin"/>
      </w:r>
      <w:r>
        <w:instrText xml:space="preserve"> HYPERLINK \l _Toc13725 </w:instrText>
      </w:r>
      <w:r>
        <w:fldChar w:fldCharType="separate"/>
      </w:r>
      <w:r>
        <w:rPr>
          <w:rFonts w:hint="eastAsia"/>
        </w:rPr>
        <w:t>十五、合同生效及其他</w:t>
      </w:r>
      <w:r>
        <w:tab/>
      </w:r>
      <w:r>
        <w:fldChar w:fldCharType="begin"/>
      </w:r>
      <w:r>
        <w:instrText xml:space="preserve"> PAGEREF _Toc13725 \h </w:instrText>
      </w:r>
      <w:r>
        <w:fldChar w:fldCharType="separate"/>
      </w:r>
      <w:r>
        <w:t>23</w:t>
      </w:r>
      <w:r>
        <w:fldChar w:fldCharType="end"/>
      </w:r>
      <w:r>
        <w:fldChar w:fldCharType="end"/>
      </w:r>
    </w:p>
    <w:p w14:paraId="3FBDF21F">
      <w:pPr>
        <w:pStyle w:val="25"/>
        <w:tabs>
          <w:tab w:val="right" w:leader="dot" w:pos="8306"/>
          <w:tab w:val="clear" w:pos="1470"/>
          <w:tab w:val="clear" w:pos="8296"/>
        </w:tabs>
      </w:pPr>
      <w:r>
        <w:fldChar w:fldCharType="begin"/>
      </w:r>
      <w:r>
        <w:instrText xml:space="preserve"> HYPERLINK \l _Toc2981 </w:instrText>
      </w:r>
      <w:r>
        <w:fldChar w:fldCharType="separate"/>
      </w:r>
      <w:r>
        <w:t>第</w:t>
      </w:r>
      <w:r>
        <w:rPr>
          <w:rFonts w:hint="eastAsia"/>
        </w:rPr>
        <w:t>六</w:t>
      </w:r>
      <w:r>
        <w:t>章</w:t>
      </w:r>
      <w:r>
        <w:rPr>
          <w:rFonts w:hint="eastAsia"/>
        </w:rPr>
        <w:t xml:space="preserve">  评审办法和评分标准</w:t>
      </w:r>
      <w:r>
        <w:tab/>
      </w:r>
      <w:r>
        <w:fldChar w:fldCharType="begin"/>
      </w:r>
      <w:r>
        <w:instrText xml:space="preserve"> PAGEREF _Toc2981 \h </w:instrText>
      </w:r>
      <w:r>
        <w:fldChar w:fldCharType="separate"/>
      </w:r>
      <w:r>
        <w:t>25</w:t>
      </w:r>
      <w:r>
        <w:fldChar w:fldCharType="end"/>
      </w:r>
      <w:r>
        <w:fldChar w:fldCharType="end"/>
      </w:r>
    </w:p>
    <w:p w14:paraId="51EFFA5B">
      <w:pPr>
        <w:pStyle w:val="29"/>
        <w:tabs>
          <w:tab w:val="right" w:leader="dot" w:pos="8306"/>
        </w:tabs>
      </w:pPr>
      <w:r>
        <w:fldChar w:fldCharType="begin"/>
      </w:r>
      <w:r>
        <w:instrText xml:space="preserve"> HYPERLINK \l _Toc12132 </w:instrText>
      </w:r>
      <w:r>
        <w:fldChar w:fldCharType="separate"/>
      </w:r>
      <w:r>
        <w:t>一、总则</w:t>
      </w:r>
      <w:r>
        <w:tab/>
      </w:r>
      <w:r>
        <w:fldChar w:fldCharType="begin"/>
      </w:r>
      <w:r>
        <w:instrText xml:space="preserve"> PAGEREF _Toc12132 \h </w:instrText>
      </w:r>
      <w:r>
        <w:fldChar w:fldCharType="separate"/>
      </w:r>
      <w:r>
        <w:t>25</w:t>
      </w:r>
      <w:r>
        <w:fldChar w:fldCharType="end"/>
      </w:r>
      <w:r>
        <w:fldChar w:fldCharType="end"/>
      </w:r>
    </w:p>
    <w:p w14:paraId="5FA1FA55">
      <w:pPr>
        <w:pStyle w:val="29"/>
        <w:tabs>
          <w:tab w:val="right" w:leader="dot" w:pos="8306"/>
        </w:tabs>
      </w:pPr>
      <w:r>
        <w:fldChar w:fldCharType="begin"/>
      </w:r>
      <w:r>
        <w:instrText xml:space="preserve"> HYPERLINK \l _Toc22993 </w:instrText>
      </w:r>
      <w:r>
        <w:fldChar w:fldCharType="separate"/>
      </w:r>
      <w:r>
        <w:t>二、组建</w:t>
      </w:r>
      <w:r>
        <w:rPr>
          <w:rFonts w:hint="eastAsia"/>
        </w:rPr>
        <w:t>磋商小组</w:t>
      </w:r>
      <w:r>
        <w:tab/>
      </w:r>
      <w:r>
        <w:fldChar w:fldCharType="begin"/>
      </w:r>
      <w:r>
        <w:instrText xml:space="preserve"> PAGEREF _Toc22993 \h </w:instrText>
      </w:r>
      <w:r>
        <w:fldChar w:fldCharType="separate"/>
      </w:r>
      <w:r>
        <w:t>25</w:t>
      </w:r>
      <w:r>
        <w:fldChar w:fldCharType="end"/>
      </w:r>
      <w:r>
        <w:fldChar w:fldCharType="end"/>
      </w:r>
    </w:p>
    <w:p w14:paraId="01000E99">
      <w:pPr>
        <w:pStyle w:val="29"/>
        <w:tabs>
          <w:tab w:val="right" w:leader="dot" w:pos="8306"/>
        </w:tabs>
      </w:pPr>
      <w:r>
        <w:fldChar w:fldCharType="begin"/>
      </w:r>
      <w:r>
        <w:instrText xml:space="preserve"> HYPERLINK \l _Toc17409 </w:instrText>
      </w:r>
      <w:r>
        <w:fldChar w:fldCharType="separate"/>
      </w:r>
      <w:r>
        <w:t>三、评审原则</w:t>
      </w:r>
      <w:r>
        <w:tab/>
      </w:r>
      <w:r>
        <w:fldChar w:fldCharType="begin"/>
      </w:r>
      <w:r>
        <w:instrText xml:space="preserve"> PAGEREF _Toc17409 \h </w:instrText>
      </w:r>
      <w:r>
        <w:fldChar w:fldCharType="separate"/>
      </w:r>
      <w:r>
        <w:t>25</w:t>
      </w:r>
      <w:r>
        <w:fldChar w:fldCharType="end"/>
      </w:r>
      <w:r>
        <w:fldChar w:fldCharType="end"/>
      </w:r>
    </w:p>
    <w:p w14:paraId="5206D01D">
      <w:pPr>
        <w:pStyle w:val="29"/>
        <w:tabs>
          <w:tab w:val="right" w:leader="dot" w:pos="8306"/>
        </w:tabs>
      </w:pPr>
      <w:r>
        <w:fldChar w:fldCharType="begin"/>
      </w:r>
      <w:r>
        <w:instrText xml:space="preserve"> HYPERLINK \l _Toc2487 </w:instrText>
      </w:r>
      <w:r>
        <w:fldChar w:fldCharType="separate"/>
      </w:r>
      <w:r>
        <w:t>四、</w:t>
      </w:r>
      <w:r>
        <w:rPr>
          <w:rFonts w:hint="eastAsia"/>
        </w:rPr>
        <w:t>磋商小组</w:t>
      </w:r>
      <w:r>
        <w:t>履行下列职责</w:t>
      </w:r>
      <w:r>
        <w:tab/>
      </w:r>
      <w:r>
        <w:fldChar w:fldCharType="begin"/>
      </w:r>
      <w:r>
        <w:instrText xml:space="preserve"> PAGEREF _Toc2487 \h </w:instrText>
      </w:r>
      <w:r>
        <w:fldChar w:fldCharType="separate"/>
      </w:r>
      <w:r>
        <w:t>25</w:t>
      </w:r>
      <w:r>
        <w:fldChar w:fldCharType="end"/>
      </w:r>
      <w:r>
        <w:fldChar w:fldCharType="end"/>
      </w:r>
    </w:p>
    <w:p w14:paraId="4CFDA562">
      <w:pPr>
        <w:pStyle w:val="29"/>
        <w:tabs>
          <w:tab w:val="right" w:leader="dot" w:pos="8306"/>
        </w:tabs>
      </w:pPr>
      <w:r>
        <w:fldChar w:fldCharType="begin"/>
      </w:r>
      <w:r>
        <w:instrText xml:space="preserve"> HYPERLINK \l _Toc10675 </w:instrText>
      </w:r>
      <w:r>
        <w:fldChar w:fldCharType="separate"/>
      </w:r>
      <w:r>
        <w:t>五、评审工作纪律</w:t>
      </w:r>
      <w:r>
        <w:tab/>
      </w:r>
      <w:r>
        <w:fldChar w:fldCharType="begin"/>
      </w:r>
      <w:r>
        <w:instrText xml:space="preserve"> PAGEREF _Toc10675 \h </w:instrText>
      </w:r>
      <w:r>
        <w:fldChar w:fldCharType="separate"/>
      </w:r>
      <w:r>
        <w:t>26</w:t>
      </w:r>
      <w:r>
        <w:fldChar w:fldCharType="end"/>
      </w:r>
      <w:r>
        <w:fldChar w:fldCharType="end"/>
      </w:r>
    </w:p>
    <w:p w14:paraId="00BF1833">
      <w:pPr>
        <w:pStyle w:val="29"/>
        <w:tabs>
          <w:tab w:val="right" w:leader="dot" w:pos="8306"/>
        </w:tabs>
      </w:pPr>
      <w:r>
        <w:fldChar w:fldCharType="begin"/>
      </w:r>
      <w:r>
        <w:instrText xml:space="preserve"> HYPERLINK \l _Toc15514 </w:instrText>
      </w:r>
      <w:r>
        <w:fldChar w:fldCharType="separate"/>
      </w:r>
      <w:r>
        <w:t>六、评审程序</w:t>
      </w:r>
      <w:r>
        <w:tab/>
      </w:r>
      <w:r>
        <w:fldChar w:fldCharType="begin"/>
      </w:r>
      <w:r>
        <w:instrText xml:space="preserve"> PAGEREF _Toc15514 \h </w:instrText>
      </w:r>
      <w:r>
        <w:fldChar w:fldCharType="separate"/>
      </w:r>
      <w:r>
        <w:t>26</w:t>
      </w:r>
      <w:r>
        <w:fldChar w:fldCharType="end"/>
      </w:r>
      <w:r>
        <w:fldChar w:fldCharType="end"/>
      </w:r>
    </w:p>
    <w:p w14:paraId="510155B5">
      <w:pPr>
        <w:pStyle w:val="29"/>
        <w:tabs>
          <w:tab w:val="right" w:leader="dot" w:pos="8306"/>
        </w:tabs>
      </w:pPr>
      <w:r>
        <w:fldChar w:fldCharType="begin"/>
      </w:r>
      <w:r>
        <w:instrText xml:space="preserve"> HYPERLINK \l _Toc6335 </w:instrText>
      </w:r>
      <w:r>
        <w:fldChar w:fldCharType="separate"/>
      </w:r>
      <w:r>
        <w:t>七、澄清、说明或补正</w:t>
      </w:r>
      <w:r>
        <w:tab/>
      </w:r>
      <w:r>
        <w:fldChar w:fldCharType="begin"/>
      </w:r>
      <w:r>
        <w:instrText xml:space="preserve"> PAGEREF _Toc6335 \h </w:instrText>
      </w:r>
      <w:r>
        <w:fldChar w:fldCharType="separate"/>
      </w:r>
      <w:r>
        <w:t>27</w:t>
      </w:r>
      <w:r>
        <w:fldChar w:fldCharType="end"/>
      </w:r>
      <w:r>
        <w:fldChar w:fldCharType="end"/>
      </w:r>
    </w:p>
    <w:p w14:paraId="660C1EDB">
      <w:pPr>
        <w:pStyle w:val="29"/>
        <w:tabs>
          <w:tab w:val="right" w:leader="dot" w:pos="8306"/>
        </w:tabs>
      </w:pPr>
      <w:r>
        <w:fldChar w:fldCharType="begin"/>
      </w:r>
      <w:r>
        <w:instrText xml:space="preserve"> HYPERLINK \l _Toc15731 </w:instrText>
      </w:r>
      <w:r>
        <w:fldChar w:fldCharType="separate"/>
      </w:r>
      <w:r>
        <w:t>八、推荐成交候选人</w:t>
      </w:r>
      <w:r>
        <w:tab/>
      </w:r>
      <w:r>
        <w:fldChar w:fldCharType="begin"/>
      </w:r>
      <w:r>
        <w:instrText xml:space="preserve"> PAGEREF _Toc15731 \h </w:instrText>
      </w:r>
      <w:r>
        <w:fldChar w:fldCharType="separate"/>
      </w:r>
      <w:r>
        <w:t>28</w:t>
      </w:r>
      <w:r>
        <w:fldChar w:fldCharType="end"/>
      </w:r>
      <w:r>
        <w:fldChar w:fldCharType="end"/>
      </w:r>
    </w:p>
    <w:p w14:paraId="03C1E445">
      <w:pPr>
        <w:pStyle w:val="29"/>
        <w:tabs>
          <w:tab w:val="right" w:leader="dot" w:pos="8306"/>
        </w:tabs>
      </w:pPr>
      <w:r>
        <w:fldChar w:fldCharType="begin"/>
      </w:r>
      <w:r>
        <w:instrText xml:space="preserve"> HYPERLINK \l _Toc31970 </w:instrText>
      </w:r>
      <w:r>
        <w:fldChar w:fldCharType="separate"/>
      </w:r>
      <w:r>
        <w:t>九、评审报告</w:t>
      </w:r>
      <w:r>
        <w:tab/>
      </w:r>
      <w:r>
        <w:fldChar w:fldCharType="begin"/>
      </w:r>
      <w:r>
        <w:instrText xml:space="preserve"> PAGEREF _Toc31970 \h </w:instrText>
      </w:r>
      <w:r>
        <w:fldChar w:fldCharType="separate"/>
      </w:r>
      <w:r>
        <w:t>28</w:t>
      </w:r>
      <w:r>
        <w:fldChar w:fldCharType="end"/>
      </w:r>
      <w:r>
        <w:fldChar w:fldCharType="end"/>
      </w:r>
    </w:p>
    <w:p w14:paraId="7B06CE81">
      <w:pPr>
        <w:pStyle w:val="29"/>
        <w:tabs>
          <w:tab w:val="right" w:leader="dot" w:pos="8306"/>
        </w:tabs>
      </w:pPr>
      <w:r>
        <w:fldChar w:fldCharType="begin"/>
      </w:r>
      <w:r>
        <w:instrText xml:space="preserve"> HYPERLINK \l _Toc27425 </w:instrText>
      </w:r>
      <w:r>
        <w:fldChar w:fldCharType="separate"/>
      </w:r>
      <w:r>
        <w:t>十、评分细则及标准</w:t>
      </w:r>
      <w:r>
        <w:tab/>
      </w:r>
      <w:r>
        <w:fldChar w:fldCharType="begin"/>
      </w:r>
      <w:r>
        <w:instrText xml:space="preserve"> PAGEREF _Toc27425 \h </w:instrText>
      </w:r>
      <w:r>
        <w:fldChar w:fldCharType="separate"/>
      </w:r>
      <w:r>
        <w:t>28</w:t>
      </w:r>
      <w:r>
        <w:fldChar w:fldCharType="end"/>
      </w:r>
      <w:r>
        <w:fldChar w:fldCharType="end"/>
      </w:r>
    </w:p>
    <w:p w14:paraId="1B16FDE9">
      <w:pPr>
        <w:pStyle w:val="29"/>
        <w:tabs>
          <w:tab w:val="right" w:leader="dot" w:pos="8306"/>
        </w:tabs>
      </w:pPr>
      <w:r>
        <w:fldChar w:fldCharType="begin"/>
      </w:r>
      <w:r>
        <w:instrText xml:space="preserve"> HYPERLINK \l _Toc15150 </w:instrText>
      </w:r>
      <w:r>
        <w:fldChar w:fldCharType="separate"/>
      </w:r>
      <w:r>
        <w:t>十一、响应或成交无效情形</w:t>
      </w:r>
      <w:r>
        <w:tab/>
      </w:r>
      <w:r>
        <w:fldChar w:fldCharType="begin"/>
      </w:r>
      <w:r>
        <w:instrText xml:space="preserve"> PAGEREF _Toc15150 \h </w:instrText>
      </w:r>
      <w:r>
        <w:fldChar w:fldCharType="separate"/>
      </w:r>
      <w:r>
        <w:t>30</w:t>
      </w:r>
      <w:r>
        <w:fldChar w:fldCharType="end"/>
      </w:r>
      <w:r>
        <w:fldChar w:fldCharType="end"/>
      </w:r>
    </w:p>
    <w:p w14:paraId="17D804E8">
      <w:pPr>
        <w:pStyle w:val="29"/>
        <w:tabs>
          <w:tab w:val="right" w:leader="dot" w:pos="8306"/>
        </w:tabs>
      </w:pPr>
      <w:r>
        <w:fldChar w:fldCharType="begin"/>
      </w:r>
      <w:r>
        <w:instrText xml:space="preserve"> HYPERLINK \l _Toc22879 </w:instrText>
      </w:r>
      <w:r>
        <w:fldChar w:fldCharType="separate"/>
      </w:r>
      <w:r>
        <w:t>十二、串通磋商情形</w:t>
      </w:r>
      <w:r>
        <w:tab/>
      </w:r>
      <w:r>
        <w:fldChar w:fldCharType="begin"/>
      </w:r>
      <w:r>
        <w:instrText xml:space="preserve"> PAGEREF _Toc22879 \h </w:instrText>
      </w:r>
      <w:r>
        <w:fldChar w:fldCharType="separate"/>
      </w:r>
      <w:r>
        <w:t>30</w:t>
      </w:r>
      <w:r>
        <w:fldChar w:fldCharType="end"/>
      </w:r>
      <w:r>
        <w:fldChar w:fldCharType="end"/>
      </w:r>
    </w:p>
    <w:p w14:paraId="4E29E559">
      <w:pPr>
        <w:pStyle w:val="29"/>
        <w:tabs>
          <w:tab w:val="right" w:leader="dot" w:pos="8306"/>
        </w:tabs>
      </w:pPr>
      <w:r>
        <w:fldChar w:fldCharType="begin"/>
      </w:r>
      <w:r>
        <w:instrText xml:space="preserve"> HYPERLINK \l _Toc30642 </w:instrText>
      </w:r>
      <w:r>
        <w:fldChar w:fldCharType="separate"/>
      </w:r>
      <w:r>
        <w:t>十三、终止磋商采购活动情形</w:t>
      </w:r>
      <w:r>
        <w:tab/>
      </w:r>
      <w:r>
        <w:fldChar w:fldCharType="begin"/>
      </w:r>
      <w:r>
        <w:instrText xml:space="preserve"> PAGEREF _Toc30642 \h </w:instrText>
      </w:r>
      <w:r>
        <w:fldChar w:fldCharType="separate"/>
      </w:r>
      <w:r>
        <w:t>31</w:t>
      </w:r>
      <w:r>
        <w:fldChar w:fldCharType="end"/>
      </w:r>
      <w:r>
        <w:fldChar w:fldCharType="end"/>
      </w:r>
    </w:p>
    <w:p w14:paraId="26D1B14D">
      <w:pPr>
        <w:pStyle w:val="25"/>
        <w:tabs>
          <w:tab w:val="right" w:leader="dot" w:pos="8306"/>
          <w:tab w:val="clear" w:pos="1470"/>
          <w:tab w:val="clear" w:pos="8296"/>
        </w:tabs>
      </w:pPr>
      <w:r>
        <w:fldChar w:fldCharType="begin"/>
      </w:r>
      <w:r>
        <w:instrText xml:space="preserve"> HYPERLINK \l _Toc1588 </w:instrText>
      </w:r>
      <w:r>
        <w:fldChar w:fldCharType="separate"/>
      </w:r>
      <w:r>
        <w:t>第</w:t>
      </w:r>
      <w:r>
        <w:rPr>
          <w:rFonts w:hint="eastAsia"/>
        </w:rPr>
        <w:t>七</w:t>
      </w:r>
      <w:r>
        <w:t>章</w:t>
      </w:r>
      <w:r>
        <w:rPr>
          <w:rFonts w:hint="eastAsia"/>
        </w:rPr>
        <w:t xml:space="preserve">  </w:t>
      </w:r>
      <w:r>
        <w:rPr>
          <w:rFonts w:hint="eastAsia"/>
          <w:lang w:val="en-US" w:eastAsia="zh-CN"/>
        </w:rPr>
        <w:t>响应</w:t>
      </w:r>
      <w:r>
        <w:rPr>
          <w:rFonts w:hint="eastAsia"/>
        </w:rPr>
        <w:t>文件格式</w:t>
      </w:r>
      <w:r>
        <w:tab/>
      </w:r>
      <w:r>
        <w:fldChar w:fldCharType="begin"/>
      </w:r>
      <w:r>
        <w:instrText xml:space="preserve"> PAGEREF _Toc1588 \h </w:instrText>
      </w:r>
      <w:r>
        <w:fldChar w:fldCharType="separate"/>
      </w:r>
      <w:r>
        <w:t>32</w:t>
      </w:r>
      <w:r>
        <w:fldChar w:fldCharType="end"/>
      </w:r>
      <w:r>
        <w:fldChar w:fldCharType="end"/>
      </w:r>
    </w:p>
    <w:p w14:paraId="53A6B7B8">
      <w:pPr>
        <w:pStyle w:val="25"/>
        <w:tabs>
          <w:tab w:val="right" w:leader="dot" w:pos="8306"/>
          <w:tab w:val="clear" w:pos="1470"/>
          <w:tab w:val="clear" w:pos="8296"/>
        </w:tabs>
      </w:pPr>
      <w:r>
        <w:fldChar w:fldCharType="begin"/>
      </w:r>
      <w:r>
        <w:instrText xml:space="preserve"> HYPERLINK \l _Toc25006 </w:instrText>
      </w:r>
      <w:r>
        <w:fldChar w:fldCharType="separate"/>
      </w:r>
      <w:r>
        <w:rPr>
          <w:rFonts w:hint="eastAsia"/>
          <w:lang w:val="en-US" w:eastAsia="zh-CN"/>
        </w:rPr>
        <w:t>资格审查文件</w:t>
      </w:r>
      <w:r>
        <w:tab/>
      </w:r>
      <w:r>
        <w:fldChar w:fldCharType="begin"/>
      </w:r>
      <w:r>
        <w:instrText xml:space="preserve"> PAGEREF _Toc25006 \h </w:instrText>
      </w:r>
      <w:r>
        <w:fldChar w:fldCharType="separate"/>
      </w:r>
      <w:r>
        <w:t>32</w:t>
      </w:r>
      <w:r>
        <w:fldChar w:fldCharType="end"/>
      </w:r>
      <w:r>
        <w:fldChar w:fldCharType="end"/>
      </w:r>
    </w:p>
    <w:p w14:paraId="098A83E7">
      <w:pPr>
        <w:pStyle w:val="29"/>
        <w:tabs>
          <w:tab w:val="right" w:leader="dot" w:pos="8306"/>
        </w:tabs>
      </w:pPr>
      <w:r>
        <w:fldChar w:fldCharType="begin"/>
      </w:r>
      <w:r>
        <w:instrText xml:space="preserve"> HYPERLINK \l _Toc12268 </w:instrText>
      </w:r>
      <w:r>
        <w:fldChar w:fldCharType="separate"/>
      </w:r>
      <w:r>
        <w:t>目录</w:t>
      </w:r>
      <w:r>
        <w:tab/>
      </w:r>
      <w:r>
        <w:fldChar w:fldCharType="begin"/>
      </w:r>
      <w:r>
        <w:instrText xml:space="preserve"> PAGEREF _Toc12268 \h </w:instrText>
      </w:r>
      <w:r>
        <w:fldChar w:fldCharType="separate"/>
      </w:r>
      <w:r>
        <w:t>33</w:t>
      </w:r>
      <w:r>
        <w:fldChar w:fldCharType="end"/>
      </w:r>
      <w:r>
        <w:fldChar w:fldCharType="end"/>
      </w:r>
    </w:p>
    <w:p w14:paraId="73273AA4">
      <w:pPr>
        <w:pStyle w:val="29"/>
        <w:tabs>
          <w:tab w:val="right" w:leader="dot" w:pos="8306"/>
        </w:tabs>
      </w:pPr>
      <w:r>
        <w:fldChar w:fldCharType="begin"/>
      </w:r>
      <w:r>
        <w:instrText xml:space="preserve"> HYPERLINK \l _Toc546 </w:instrText>
      </w:r>
      <w:r>
        <w:fldChar w:fldCharType="separate"/>
      </w:r>
      <w:r>
        <w:rPr>
          <w:rFonts w:hint="eastAsia"/>
        </w:rPr>
        <w:t>供应商基本情况表</w:t>
      </w:r>
      <w:r>
        <w:tab/>
      </w:r>
      <w:r>
        <w:fldChar w:fldCharType="begin"/>
      </w:r>
      <w:r>
        <w:instrText xml:space="preserve"> PAGEREF _Toc546 \h </w:instrText>
      </w:r>
      <w:r>
        <w:fldChar w:fldCharType="separate"/>
      </w:r>
      <w:r>
        <w:t>34</w:t>
      </w:r>
      <w:r>
        <w:fldChar w:fldCharType="end"/>
      </w:r>
      <w:r>
        <w:fldChar w:fldCharType="end"/>
      </w:r>
    </w:p>
    <w:p w14:paraId="1F0EB577">
      <w:pPr>
        <w:pStyle w:val="29"/>
        <w:tabs>
          <w:tab w:val="right" w:leader="dot" w:pos="8306"/>
        </w:tabs>
      </w:pPr>
      <w:r>
        <w:fldChar w:fldCharType="begin"/>
      </w:r>
      <w:r>
        <w:instrText xml:space="preserve"> HYPERLINK \l _Toc30689 </w:instrText>
      </w:r>
      <w:r>
        <w:fldChar w:fldCharType="separate"/>
      </w:r>
      <w:r>
        <w:rPr>
          <w:rFonts w:hint="eastAsia"/>
        </w:rPr>
        <w:t>符合参加</w:t>
      </w:r>
      <w:r>
        <w:rPr>
          <w:rFonts w:hint="eastAsia"/>
          <w:lang w:val="en-US" w:eastAsia="zh-CN"/>
        </w:rPr>
        <w:t>政府</w:t>
      </w:r>
      <w:r>
        <w:rPr>
          <w:rFonts w:hint="eastAsia"/>
        </w:rPr>
        <w:t>采购活动应当具备的一般条件的承诺函</w:t>
      </w:r>
      <w:r>
        <w:tab/>
      </w:r>
      <w:r>
        <w:fldChar w:fldCharType="begin"/>
      </w:r>
      <w:r>
        <w:instrText xml:space="preserve"> PAGEREF _Toc30689 \h </w:instrText>
      </w:r>
      <w:r>
        <w:fldChar w:fldCharType="separate"/>
      </w:r>
      <w:r>
        <w:t>35</w:t>
      </w:r>
      <w:r>
        <w:fldChar w:fldCharType="end"/>
      </w:r>
      <w:r>
        <w:fldChar w:fldCharType="end"/>
      </w:r>
    </w:p>
    <w:p w14:paraId="2D6B357C">
      <w:pPr>
        <w:pStyle w:val="29"/>
        <w:tabs>
          <w:tab w:val="right" w:leader="dot" w:pos="8306"/>
        </w:tabs>
      </w:pPr>
      <w:r>
        <w:fldChar w:fldCharType="begin"/>
      </w:r>
      <w:r>
        <w:instrText xml:space="preserve"> HYPERLINK \l _Toc10220 </w:instrText>
      </w:r>
      <w:r>
        <w:fldChar w:fldCharType="separate"/>
      </w:r>
      <w:r>
        <w:rPr>
          <w:rFonts w:hint="eastAsia"/>
        </w:rPr>
        <w:t>中小企业声明函（服务）</w:t>
      </w:r>
      <w:r>
        <w:tab/>
      </w:r>
      <w:r>
        <w:fldChar w:fldCharType="begin"/>
      </w:r>
      <w:r>
        <w:instrText xml:space="preserve"> PAGEREF _Toc10220 \h </w:instrText>
      </w:r>
      <w:r>
        <w:fldChar w:fldCharType="separate"/>
      </w:r>
      <w:r>
        <w:t>36</w:t>
      </w:r>
      <w:r>
        <w:fldChar w:fldCharType="end"/>
      </w:r>
      <w:r>
        <w:fldChar w:fldCharType="end"/>
      </w:r>
    </w:p>
    <w:p w14:paraId="5B270C20">
      <w:pPr>
        <w:pStyle w:val="29"/>
        <w:tabs>
          <w:tab w:val="right" w:leader="dot" w:pos="8306"/>
        </w:tabs>
      </w:pPr>
      <w:r>
        <w:fldChar w:fldCharType="begin"/>
      </w:r>
      <w:r>
        <w:instrText xml:space="preserve"> HYPERLINK \l _Toc8358 </w:instrText>
      </w:r>
      <w:r>
        <w:fldChar w:fldCharType="separate"/>
      </w:r>
      <w:r>
        <w:rPr>
          <w:rFonts w:hint="eastAsia"/>
        </w:rPr>
        <w:t>监狱企业声明函</w:t>
      </w:r>
      <w:r>
        <w:tab/>
      </w:r>
      <w:r>
        <w:fldChar w:fldCharType="begin"/>
      </w:r>
      <w:r>
        <w:instrText xml:space="preserve"> PAGEREF _Toc8358 \h </w:instrText>
      </w:r>
      <w:r>
        <w:fldChar w:fldCharType="separate"/>
      </w:r>
      <w:r>
        <w:t>37</w:t>
      </w:r>
      <w:r>
        <w:fldChar w:fldCharType="end"/>
      </w:r>
      <w:r>
        <w:fldChar w:fldCharType="end"/>
      </w:r>
    </w:p>
    <w:p w14:paraId="75A01944">
      <w:pPr>
        <w:pStyle w:val="29"/>
        <w:tabs>
          <w:tab w:val="right" w:leader="dot" w:pos="8306"/>
        </w:tabs>
      </w:pPr>
      <w:r>
        <w:fldChar w:fldCharType="begin"/>
      </w:r>
      <w:r>
        <w:instrText xml:space="preserve"> HYPERLINK \l _Toc9691 </w:instrText>
      </w:r>
      <w:r>
        <w:fldChar w:fldCharType="separate"/>
      </w:r>
      <w:r>
        <w:rPr>
          <w:rFonts w:hint="eastAsia"/>
        </w:rPr>
        <w:t>残疾人福利性单位声明函</w:t>
      </w:r>
      <w:r>
        <w:tab/>
      </w:r>
      <w:r>
        <w:fldChar w:fldCharType="begin"/>
      </w:r>
      <w:r>
        <w:instrText xml:space="preserve"> PAGEREF _Toc9691 \h </w:instrText>
      </w:r>
      <w:r>
        <w:fldChar w:fldCharType="separate"/>
      </w:r>
      <w:r>
        <w:t>38</w:t>
      </w:r>
      <w:r>
        <w:fldChar w:fldCharType="end"/>
      </w:r>
      <w:r>
        <w:fldChar w:fldCharType="end"/>
      </w:r>
    </w:p>
    <w:p w14:paraId="3A83BF80">
      <w:pPr>
        <w:pStyle w:val="25"/>
        <w:tabs>
          <w:tab w:val="right" w:leader="dot" w:pos="8306"/>
          <w:tab w:val="clear" w:pos="1470"/>
          <w:tab w:val="clear" w:pos="8296"/>
        </w:tabs>
      </w:pPr>
      <w:r>
        <w:fldChar w:fldCharType="begin"/>
      </w:r>
      <w:r>
        <w:instrText xml:space="preserve"> HYPERLINK \l _Toc27204 </w:instrText>
      </w:r>
      <w:r>
        <w:fldChar w:fldCharType="separate"/>
      </w:r>
      <w:r>
        <w:rPr>
          <w:rFonts w:hint="eastAsia"/>
          <w:lang w:val="en-US" w:eastAsia="zh-CN"/>
        </w:rPr>
        <w:t>商务技术文件</w:t>
      </w:r>
      <w:r>
        <w:tab/>
      </w:r>
      <w:r>
        <w:fldChar w:fldCharType="begin"/>
      </w:r>
      <w:r>
        <w:instrText xml:space="preserve"> PAGEREF _Toc27204 \h </w:instrText>
      </w:r>
      <w:r>
        <w:fldChar w:fldCharType="separate"/>
      </w:r>
      <w:r>
        <w:t>39</w:t>
      </w:r>
      <w:r>
        <w:fldChar w:fldCharType="end"/>
      </w:r>
      <w:r>
        <w:fldChar w:fldCharType="end"/>
      </w:r>
    </w:p>
    <w:p w14:paraId="640A1275">
      <w:pPr>
        <w:pStyle w:val="29"/>
        <w:tabs>
          <w:tab w:val="right" w:leader="dot" w:pos="8306"/>
        </w:tabs>
      </w:pPr>
      <w:r>
        <w:fldChar w:fldCharType="begin"/>
      </w:r>
      <w:r>
        <w:instrText xml:space="preserve"> HYPERLINK \l _Toc31329 </w:instrText>
      </w:r>
      <w:r>
        <w:fldChar w:fldCharType="separate"/>
      </w:r>
      <w:r>
        <w:t>目录</w:t>
      </w:r>
      <w:r>
        <w:tab/>
      </w:r>
      <w:r>
        <w:fldChar w:fldCharType="begin"/>
      </w:r>
      <w:r>
        <w:instrText xml:space="preserve"> PAGEREF _Toc31329 \h </w:instrText>
      </w:r>
      <w:r>
        <w:fldChar w:fldCharType="separate"/>
      </w:r>
      <w:r>
        <w:t>40</w:t>
      </w:r>
      <w:r>
        <w:fldChar w:fldCharType="end"/>
      </w:r>
      <w:r>
        <w:fldChar w:fldCharType="end"/>
      </w:r>
    </w:p>
    <w:p w14:paraId="12A23A61">
      <w:pPr>
        <w:pStyle w:val="29"/>
        <w:tabs>
          <w:tab w:val="right" w:leader="dot" w:pos="8306"/>
        </w:tabs>
      </w:pPr>
      <w:r>
        <w:fldChar w:fldCharType="begin"/>
      </w:r>
      <w:r>
        <w:instrText xml:space="preserve"> HYPERLINK \l _Toc26030 </w:instrText>
      </w:r>
      <w:r>
        <w:fldChar w:fldCharType="separate"/>
      </w:r>
      <w:r>
        <w:t>客观分部分自评分表</w:t>
      </w:r>
      <w:r>
        <w:tab/>
      </w:r>
      <w:r>
        <w:fldChar w:fldCharType="begin"/>
      </w:r>
      <w:r>
        <w:instrText xml:space="preserve"> PAGEREF _Toc26030 \h </w:instrText>
      </w:r>
      <w:r>
        <w:fldChar w:fldCharType="separate"/>
      </w:r>
      <w:r>
        <w:t>41</w:t>
      </w:r>
      <w:r>
        <w:fldChar w:fldCharType="end"/>
      </w:r>
      <w:r>
        <w:fldChar w:fldCharType="end"/>
      </w:r>
    </w:p>
    <w:p w14:paraId="10022D0D">
      <w:pPr>
        <w:pStyle w:val="29"/>
        <w:tabs>
          <w:tab w:val="right" w:leader="dot" w:pos="8306"/>
        </w:tabs>
      </w:pPr>
      <w:r>
        <w:fldChar w:fldCharType="begin"/>
      </w:r>
      <w:r>
        <w:instrText xml:space="preserve"> HYPERLINK \l _Toc30154 </w:instrText>
      </w:r>
      <w:r>
        <w:fldChar w:fldCharType="separate"/>
      </w:r>
      <w:r>
        <w:rPr>
          <w:rFonts w:hint="eastAsia"/>
          <w:lang w:val="en-US" w:eastAsia="zh-CN"/>
        </w:rPr>
        <w:t>投标</w:t>
      </w:r>
      <w:r>
        <w:rPr>
          <w:rFonts w:hint="eastAsia"/>
        </w:rPr>
        <w:t>声明函</w:t>
      </w:r>
      <w:r>
        <w:tab/>
      </w:r>
      <w:r>
        <w:fldChar w:fldCharType="begin"/>
      </w:r>
      <w:r>
        <w:instrText xml:space="preserve"> PAGEREF _Toc30154 \h </w:instrText>
      </w:r>
      <w:r>
        <w:fldChar w:fldCharType="separate"/>
      </w:r>
      <w:r>
        <w:t>42</w:t>
      </w:r>
      <w:r>
        <w:fldChar w:fldCharType="end"/>
      </w:r>
      <w:r>
        <w:fldChar w:fldCharType="end"/>
      </w:r>
    </w:p>
    <w:p w14:paraId="1D2F52F2">
      <w:pPr>
        <w:pStyle w:val="29"/>
        <w:tabs>
          <w:tab w:val="right" w:leader="dot" w:pos="8306"/>
        </w:tabs>
      </w:pPr>
      <w:r>
        <w:fldChar w:fldCharType="begin"/>
      </w:r>
      <w:r>
        <w:instrText xml:space="preserve"> HYPERLINK \l _Toc8349 </w:instrText>
      </w:r>
      <w:r>
        <w:fldChar w:fldCharType="separate"/>
      </w:r>
      <w:r>
        <w:rPr>
          <w:rFonts w:hint="eastAsia"/>
        </w:rPr>
        <w:t>法定代表人授权书</w:t>
      </w:r>
      <w:r>
        <w:tab/>
      </w:r>
      <w:r>
        <w:fldChar w:fldCharType="begin"/>
      </w:r>
      <w:r>
        <w:instrText xml:space="preserve"> PAGEREF _Toc8349 \h </w:instrText>
      </w:r>
      <w:r>
        <w:fldChar w:fldCharType="separate"/>
      </w:r>
      <w:r>
        <w:t>44</w:t>
      </w:r>
      <w:r>
        <w:fldChar w:fldCharType="end"/>
      </w:r>
      <w:r>
        <w:fldChar w:fldCharType="end"/>
      </w:r>
    </w:p>
    <w:p w14:paraId="4916C5B8">
      <w:pPr>
        <w:pStyle w:val="29"/>
        <w:tabs>
          <w:tab w:val="right" w:leader="dot" w:pos="8306"/>
        </w:tabs>
      </w:pPr>
      <w:r>
        <w:fldChar w:fldCharType="begin"/>
      </w:r>
      <w:r>
        <w:instrText xml:space="preserve"> HYPERLINK \l _Toc23324 </w:instrText>
      </w:r>
      <w:r>
        <w:fldChar w:fldCharType="separate"/>
      </w:r>
      <w:r>
        <w:rPr>
          <w:rFonts w:hint="eastAsia"/>
          <w:lang w:val="zh-CN"/>
        </w:rPr>
        <w:t>投标人</w:t>
      </w:r>
      <w:r>
        <w:rPr>
          <w:rFonts w:hint="eastAsia"/>
        </w:rPr>
        <w:t>同类项目</w:t>
      </w:r>
      <w:r>
        <w:rPr>
          <w:rFonts w:hint="eastAsia"/>
          <w:lang w:val="zh-CN"/>
        </w:rPr>
        <w:t>业绩一览表</w:t>
      </w:r>
      <w:r>
        <w:tab/>
      </w:r>
      <w:r>
        <w:fldChar w:fldCharType="begin"/>
      </w:r>
      <w:r>
        <w:instrText xml:space="preserve"> PAGEREF _Toc23324 \h </w:instrText>
      </w:r>
      <w:r>
        <w:fldChar w:fldCharType="separate"/>
      </w:r>
      <w:r>
        <w:t>45</w:t>
      </w:r>
      <w:r>
        <w:fldChar w:fldCharType="end"/>
      </w:r>
      <w:r>
        <w:fldChar w:fldCharType="end"/>
      </w:r>
    </w:p>
    <w:p w14:paraId="55A8D7BD">
      <w:pPr>
        <w:pStyle w:val="29"/>
        <w:tabs>
          <w:tab w:val="right" w:leader="dot" w:pos="8306"/>
        </w:tabs>
      </w:pPr>
      <w:r>
        <w:fldChar w:fldCharType="begin"/>
      </w:r>
      <w:r>
        <w:instrText xml:space="preserve"> HYPERLINK \l _Toc21866 </w:instrText>
      </w:r>
      <w:r>
        <w:fldChar w:fldCharType="separate"/>
      </w:r>
      <w:r>
        <w:t>拟派本项目团队人员配备一览表</w:t>
      </w:r>
      <w:r>
        <w:tab/>
      </w:r>
      <w:r>
        <w:fldChar w:fldCharType="begin"/>
      </w:r>
      <w:r>
        <w:instrText xml:space="preserve"> PAGEREF _Toc21866 \h </w:instrText>
      </w:r>
      <w:r>
        <w:fldChar w:fldCharType="separate"/>
      </w:r>
      <w:r>
        <w:t>46</w:t>
      </w:r>
      <w:r>
        <w:fldChar w:fldCharType="end"/>
      </w:r>
      <w:r>
        <w:fldChar w:fldCharType="end"/>
      </w:r>
    </w:p>
    <w:p w14:paraId="34A3FC6E">
      <w:pPr>
        <w:pStyle w:val="25"/>
        <w:tabs>
          <w:tab w:val="right" w:leader="dot" w:pos="8306"/>
          <w:tab w:val="clear" w:pos="1470"/>
          <w:tab w:val="clear" w:pos="8296"/>
        </w:tabs>
      </w:pPr>
      <w:r>
        <w:fldChar w:fldCharType="begin"/>
      </w:r>
      <w:r>
        <w:instrText xml:space="preserve"> HYPERLINK \l _Toc6415 </w:instrText>
      </w:r>
      <w:r>
        <w:fldChar w:fldCharType="separate"/>
      </w:r>
      <w:r>
        <w:rPr>
          <w:rFonts w:hint="eastAsia"/>
          <w:lang w:val="en-US" w:eastAsia="zh-CN"/>
        </w:rPr>
        <w:t>报价文件</w:t>
      </w:r>
      <w:r>
        <w:tab/>
      </w:r>
      <w:r>
        <w:fldChar w:fldCharType="begin"/>
      </w:r>
      <w:r>
        <w:instrText xml:space="preserve"> PAGEREF _Toc6415 \h </w:instrText>
      </w:r>
      <w:r>
        <w:fldChar w:fldCharType="separate"/>
      </w:r>
      <w:r>
        <w:t>47</w:t>
      </w:r>
      <w:r>
        <w:fldChar w:fldCharType="end"/>
      </w:r>
      <w:r>
        <w:fldChar w:fldCharType="end"/>
      </w:r>
    </w:p>
    <w:p w14:paraId="0B39801A">
      <w:pPr>
        <w:pStyle w:val="29"/>
        <w:tabs>
          <w:tab w:val="right" w:leader="dot" w:pos="8306"/>
        </w:tabs>
      </w:pPr>
      <w:r>
        <w:fldChar w:fldCharType="begin"/>
      </w:r>
      <w:r>
        <w:instrText xml:space="preserve"> HYPERLINK \l _Toc26277 </w:instrText>
      </w:r>
      <w:r>
        <w:fldChar w:fldCharType="separate"/>
      </w:r>
      <w:r>
        <w:t>目录</w:t>
      </w:r>
      <w:r>
        <w:tab/>
      </w:r>
      <w:r>
        <w:fldChar w:fldCharType="begin"/>
      </w:r>
      <w:r>
        <w:instrText xml:space="preserve"> PAGEREF _Toc26277 \h </w:instrText>
      </w:r>
      <w:r>
        <w:fldChar w:fldCharType="separate"/>
      </w:r>
      <w:r>
        <w:t>48</w:t>
      </w:r>
      <w:r>
        <w:fldChar w:fldCharType="end"/>
      </w:r>
      <w:r>
        <w:fldChar w:fldCharType="end"/>
      </w:r>
    </w:p>
    <w:p w14:paraId="134D0A7F">
      <w:pPr>
        <w:pStyle w:val="29"/>
        <w:tabs>
          <w:tab w:val="right" w:leader="dot" w:pos="8306"/>
        </w:tabs>
      </w:pPr>
      <w:r>
        <w:fldChar w:fldCharType="begin"/>
      </w:r>
      <w:r>
        <w:instrText xml:space="preserve"> HYPERLINK \l _Toc25538 </w:instrText>
      </w:r>
      <w:r>
        <w:fldChar w:fldCharType="separate"/>
      </w:r>
      <w:r>
        <w:rPr>
          <w:rFonts w:hint="eastAsia"/>
        </w:rPr>
        <w:t>报价一览表</w:t>
      </w:r>
      <w:r>
        <w:tab/>
      </w:r>
      <w:r>
        <w:fldChar w:fldCharType="begin"/>
      </w:r>
      <w:r>
        <w:instrText xml:space="preserve"> PAGEREF _Toc25538 \h </w:instrText>
      </w:r>
      <w:r>
        <w:fldChar w:fldCharType="separate"/>
      </w:r>
      <w:r>
        <w:t>49</w:t>
      </w:r>
      <w:r>
        <w:fldChar w:fldCharType="end"/>
      </w:r>
      <w:r>
        <w:fldChar w:fldCharType="end"/>
      </w:r>
    </w:p>
    <w:p w14:paraId="69AC79B2">
      <w:pPr>
        <w:ind w:firstLine="480"/>
        <w:sectPr>
          <w:footerReference r:id="rId12" w:type="first"/>
          <w:footerReference r:id="rId11" w:type="default"/>
          <w:pgSz w:w="11906" w:h="16838"/>
          <w:pgMar w:top="1440" w:right="1800" w:bottom="1440" w:left="1800" w:header="851" w:footer="992" w:gutter="0"/>
          <w:pgNumType w:fmt="upperRoman" w:start="1"/>
          <w:cols w:space="425" w:num="1"/>
          <w:docGrid w:type="lines" w:linePitch="326" w:charSpace="0"/>
        </w:sectPr>
      </w:pPr>
      <w:r>
        <w:fldChar w:fldCharType="end"/>
      </w:r>
      <w:bookmarkStart w:id="10" w:name="_Toc3787"/>
      <w:bookmarkStart w:id="11" w:name="_Toc9543"/>
      <w:bookmarkStart w:id="12" w:name="_Toc9819"/>
      <w:bookmarkStart w:id="13" w:name="_Toc6619"/>
      <w:bookmarkStart w:id="14" w:name="_Toc10652"/>
      <w:bookmarkStart w:id="15" w:name="_Toc17465"/>
    </w:p>
    <w:p w14:paraId="36D8C135">
      <w:pPr>
        <w:pStyle w:val="9"/>
      </w:pPr>
      <w:bookmarkStart w:id="610" w:name="_GoBack"/>
      <w:bookmarkEnd w:id="610"/>
      <w:bookmarkStart w:id="16" w:name="_Toc16900"/>
      <w:bookmarkStart w:id="17" w:name="_Toc24269"/>
      <w:r>
        <w:t>第一章</w:t>
      </w:r>
      <w:r>
        <w:rPr>
          <w:rFonts w:hint="eastAsia"/>
        </w:rPr>
        <w:t xml:space="preserve">  竞争性磋商公告</w:t>
      </w:r>
      <w:bookmarkEnd w:id="10"/>
      <w:bookmarkEnd w:id="11"/>
      <w:bookmarkEnd w:id="12"/>
      <w:bookmarkEnd w:id="13"/>
      <w:bookmarkEnd w:id="14"/>
      <w:bookmarkEnd w:id="15"/>
      <w:bookmarkEnd w:id="16"/>
      <w:bookmarkEnd w:id="17"/>
    </w:p>
    <w:tbl>
      <w:tblPr>
        <w:tblStyle w:val="34"/>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14:paraId="10B593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14:paraId="00A05F96">
            <w:pPr>
              <w:ind w:firstLine="480"/>
            </w:pPr>
            <w:r>
              <w:t>项目概况</w:t>
            </w:r>
            <w:r>
              <w:rPr>
                <w:rFonts w:hint="eastAsia"/>
              </w:rPr>
              <w:t>：</w:t>
            </w:r>
            <w:r>
              <w:rPr>
                <w:rFonts w:hint="eastAsia"/>
                <w:u w:val="single"/>
                <w:lang w:eastAsia="zh-CN"/>
              </w:rPr>
              <w:t>龙游县公证处公证派驻法院执行辅助人员</w:t>
            </w:r>
            <w:r>
              <w:rPr>
                <w:rFonts w:hint="eastAsia"/>
                <w:u w:val="single"/>
              </w:rPr>
              <w:t xml:space="preserve"> </w:t>
            </w:r>
            <w:r>
              <w:rPr>
                <w:rFonts w:hint="eastAsia"/>
              </w:rPr>
              <w:t>招标项目的潜在投标人应在 浙江政府采购网（http：//zfcg.czt.zj.gov.cn/）获取（下载）招标文件，并于</w:t>
            </w:r>
            <w:r>
              <w:rPr>
                <w:rFonts w:hint="eastAsia"/>
                <w:lang w:eastAsia="zh-CN"/>
              </w:rPr>
              <w:t>2024年9月29日14:30时</w:t>
            </w:r>
            <w:r>
              <w:rPr>
                <w:rFonts w:hint="eastAsia"/>
              </w:rPr>
              <w:t>（北京时间）前递交（上传）投标文件。</w:t>
            </w:r>
          </w:p>
        </w:tc>
      </w:tr>
    </w:tbl>
    <w:p w14:paraId="3BE3B513">
      <w:pPr>
        <w:pStyle w:val="10"/>
      </w:pPr>
      <w:bookmarkStart w:id="18" w:name="_Toc22152"/>
      <w:bookmarkStart w:id="19" w:name="_Toc9612"/>
      <w:bookmarkStart w:id="20" w:name="_Toc16896"/>
      <w:bookmarkStart w:id="21" w:name="_Toc31256"/>
      <w:bookmarkStart w:id="22" w:name="_Toc30938"/>
      <w:bookmarkStart w:id="23" w:name="_Toc23114"/>
      <w:bookmarkStart w:id="24" w:name="_Toc6416"/>
      <w:bookmarkStart w:id="25" w:name="_Toc23505"/>
      <w:r>
        <w:t>一、项目基本情况</w:t>
      </w:r>
      <w:bookmarkEnd w:id="18"/>
      <w:bookmarkEnd w:id="19"/>
      <w:bookmarkEnd w:id="20"/>
      <w:bookmarkEnd w:id="21"/>
      <w:bookmarkEnd w:id="22"/>
      <w:bookmarkEnd w:id="23"/>
      <w:bookmarkEnd w:id="24"/>
      <w:bookmarkEnd w:id="25"/>
    </w:p>
    <w:p w14:paraId="62A90324">
      <w:pPr>
        <w:ind w:firstLine="480"/>
        <w:rPr>
          <w:rFonts w:hint="eastAsia" w:eastAsia="宋体"/>
          <w:lang w:eastAsia="zh-CN"/>
        </w:rPr>
      </w:pPr>
      <w:r>
        <w:rPr>
          <w:rFonts w:hint="eastAsia"/>
        </w:rPr>
        <w:t>1.</w:t>
      </w:r>
      <w:r>
        <w:t>项目编号</w:t>
      </w:r>
      <w:r>
        <w:rPr>
          <w:rFonts w:hint="eastAsia"/>
        </w:rPr>
        <w:t>：</w:t>
      </w:r>
      <w:r>
        <w:rPr>
          <w:rFonts w:hint="eastAsia"/>
          <w:lang w:eastAsia="zh-CN"/>
        </w:rPr>
        <w:t>LYJY2024072</w:t>
      </w:r>
    </w:p>
    <w:p w14:paraId="29F6A8CF">
      <w:pPr>
        <w:ind w:firstLine="480"/>
        <w:rPr>
          <w:rFonts w:hint="eastAsia" w:eastAsia="宋体"/>
          <w:lang w:eastAsia="zh-CN"/>
        </w:rPr>
      </w:pPr>
      <w:r>
        <w:rPr>
          <w:rFonts w:hint="eastAsia"/>
        </w:rPr>
        <w:t>2.项目名称：</w:t>
      </w:r>
      <w:r>
        <w:rPr>
          <w:rFonts w:hint="eastAsia"/>
          <w:lang w:eastAsia="zh-CN"/>
        </w:rPr>
        <w:t>龙游县公证处公证派驻法院执行辅助人员</w:t>
      </w:r>
    </w:p>
    <w:p w14:paraId="2D994AE9">
      <w:pPr>
        <w:ind w:firstLine="480"/>
      </w:pPr>
      <w:r>
        <w:rPr>
          <w:rFonts w:hint="eastAsia"/>
        </w:rPr>
        <w:t>3.</w:t>
      </w:r>
      <w:r>
        <w:t>采购方式</w:t>
      </w:r>
      <w:r>
        <w:rPr>
          <w:rFonts w:hint="eastAsia"/>
        </w:rPr>
        <w:t>：</w:t>
      </w:r>
      <w:r>
        <w:t>竞争性磋商</w:t>
      </w:r>
    </w:p>
    <w:p w14:paraId="138B7F52">
      <w:pPr>
        <w:ind w:firstLine="480"/>
        <w:rPr>
          <w:color w:val="FF0000"/>
        </w:rPr>
      </w:pPr>
      <w:r>
        <w:rPr>
          <w:rFonts w:hint="eastAsia"/>
        </w:rPr>
        <w:t>4.标的预算总金额（元）：520000</w:t>
      </w:r>
    </w:p>
    <w:p w14:paraId="5D9D07CE">
      <w:pPr>
        <w:ind w:firstLine="480"/>
      </w:pPr>
      <w:r>
        <w:rPr>
          <w:rFonts w:hint="eastAsia"/>
        </w:rPr>
        <w:t>5.采购需求：详见招标文件“第四章 采购需求”（包括但不限于标的的名称、数量、简要技术需求或服务要求等）</w:t>
      </w:r>
    </w:p>
    <w:p w14:paraId="73FC7601">
      <w:pPr>
        <w:ind w:firstLine="480"/>
      </w:pPr>
      <w:r>
        <w:rPr>
          <w:rFonts w:hint="eastAsia"/>
        </w:rPr>
        <w:t>6.允许联合体投标：否</w:t>
      </w:r>
    </w:p>
    <w:p w14:paraId="469D8BE6">
      <w:pPr>
        <w:ind w:firstLine="480"/>
      </w:pPr>
      <w:r>
        <w:rPr>
          <w:rFonts w:hint="eastAsia"/>
        </w:rPr>
        <w:t>7.服务期：1年。</w:t>
      </w:r>
    </w:p>
    <w:p w14:paraId="62154EAA">
      <w:pPr>
        <w:pStyle w:val="10"/>
      </w:pPr>
      <w:bookmarkStart w:id="26" w:name="_Toc16529"/>
      <w:bookmarkStart w:id="27" w:name="_Toc28502"/>
      <w:bookmarkStart w:id="28" w:name="_Toc1825"/>
      <w:bookmarkStart w:id="29" w:name="_Toc29501"/>
      <w:bookmarkStart w:id="30" w:name="_Toc4258"/>
      <w:bookmarkStart w:id="31" w:name="_Toc1965"/>
      <w:bookmarkStart w:id="32" w:name="_Toc28227"/>
      <w:bookmarkStart w:id="33" w:name="_Toc27812"/>
      <w:r>
        <w:rPr>
          <w:rFonts w:hint="eastAsia"/>
        </w:rPr>
        <w:t>二、申请人的资格要求</w:t>
      </w:r>
      <w:bookmarkEnd w:id="26"/>
      <w:bookmarkEnd w:id="27"/>
      <w:bookmarkEnd w:id="28"/>
      <w:bookmarkEnd w:id="29"/>
      <w:bookmarkEnd w:id="30"/>
      <w:bookmarkEnd w:id="31"/>
      <w:bookmarkEnd w:id="32"/>
      <w:bookmarkEnd w:id="33"/>
    </w:p>
    <w:p w14:paraId="64EBFFFB">
      <w:pPr>
        <w:ind w:firstLine="480"/>
      </w:pPr>
      <w:r>
        <w:rPr>
          <w:rFonts w:hint="eastAsia"/>
        </w:rPr>
        <w:t>1.满足《中华人民共和国政府采购法》第二十二条规定；未被“信用中国”（www.creditchina.gov.cn）、中国政府采购网（www.ccgp.gov.cn）列入失信被执行人、重大税收违法案件当事人名单、政府采购严重违法失信行为记录名单。</w:t>
      </w:r>
    </w:p>
    <w:p w14:paraId="05DE2CEE">
      <w:pPr>
        <w:ind w:firstLine="480"/>
      </w:pPr>
      <w:r>
        <w:rPr>
          <w:rFonts w:hint="eastAsia"/>
        </w:rPr>
        <w:t>2.落实政府采购政策需满足的资格要求：本项目专门面向中小企业/小微企业。</w:t>
      </w:r>
    </w:p>
    <w:p w14:paraId="62D2D7AE">
      <w:pPr>
        <w:ind w:firstLine="480"/>
        <w:rPr>
          <w:rFonts w:ascii="宋体" w:hAnsi="宋体"/>
          <w:szCs w:val="21"/>
        </w:rPr>
      </w:pPr>
      <w:r>
        <w:rPr>
          <w:rFonts w:hint="eastAsia"/>
        </w:rPr>
        <w:t>3.本项目的特定资格要求：</w:t>
      </w:r>
      <w:r>
        <w:rPr>
          <w:rFonts w:hint="eastAsia"/>
          <w:highlight w:val="none"/>
          <w:lang w:val="en-US" w:eastAsia="zh-CN"/>
        </w:rPr>
        <w:t>具有</w:t>
      </w:r>
      <w:r>
        <w:rPr>
          <w:rFonts w:hint="eastAsia"/>
        </w:rPr>
        <w:t>劳务派遣经营</w:t>
      </w:r>
      <w:r>
        <w:t>许可证。</w:t>
      </w:r>
    </w:p>
    <w:p w14:paraId="5AD9ECB3">
      <w:pPr>
        <w:pStyle w:val="10"/>
      </w:pPr>
      <w:bookmarkStart w:id="34" w:name="_Toc5606"/>
      <w:bookmarkStart w:id="35" w:name="_Toc132"/>
      <w:bookmarkStart w:id="36" w:name="_Toc29916"/>
      <w:bookmarkStart w:id="37" w:name="_Toc16399"/>
      <w:bookmarkStart w:id="38" w:name="_Toc6431"/>
      <w:bookmarkStart w:id="39" w:name="_Toc1724"/>
      <w:bookmarkStart w:id="40" w:name="_Toc32254"/>
      <w:bookmarkStart w:id="41" w:name="_Toc11144"/>
      <w:r>
        <w:rPr>
          <w:rFonts w:hint="eastAsia"/>
        </w:rPr>
        <w:t>三、获取（下载）竞争性磋商文件</w:t>
      </w:r>
      <w:bookmarkEnd w:id="34"/>
      <w:bookmarkEnd w:id="35"/>
      <w:bookmarkEnd w:id="36"/>
      <w:bookmarkEnd w:id="37"/>
      <w:bookmarkEnd w:id="38"/>
      <w:bookmarkEnd w:id="39"/>
      <w:bookmarkEnd w:id="40"/>
      <w:bookmarkEnd w:id="41"/>
    </w:p>
    <w:p w14:paraId="7B91E411">
      <w:pPr>
        <w:ind w:firstLine="480"/>
      </w:pPr>
      <w:r>
        <w:rPr>
          <w:rFonts w:hint="eastAsia"/>
        </w:rPr>
        <w:t>时间：/至投标截止时间，每天上午00:00至12:00，下午12:00至23:59（北京时间，线上获取法定节假日均可，线下获取文件法定节假日除外）</w:t>
      </w:r>
    </w:p>
    <w:p w14:paraId="193ECF8A">
      <w:pPr>
        <w:ind w:firstLine="480"/>
      </w:pPr>
      <w:r>
        <w:rPr>
          <w:rFonts w:hint="eastAsia"/>
        </w:rPr>
        <w:t>地点（网址）：浙江政府采购网（http：//zfcg.czt.zj.gov.cn/）</w:t>
      </w:r>
    </w:p>
    <w:p w14:paraId="2A10C7D2">
      <w:pPr>
        <w:ind w:firstLine="480"/>
      </w:pPr>
      <w:r>
        <w:rPr>
          <w:rFonts w:hint="eastAsia"/>
        </w:rPr>
        <w:t>方式：在线获取（免费）。本项目不提供纸质版采购文件，潜在供应商可通过“政府采购云平台”在线获取；供应商只有在“政府采购云平台”完成获取采购文件申请并下载了采购文件后才视作依法获取采购文件（法律法规所指的供应商获取采购文件时间，以供应商完成获取采购文件申请后下载采购文件的时间为准）。通过本公告下方“游客，浏览采购文件”下载的采购文件仅供浏览。</w:t>
      </w:r>
    </w:p>
    <w:p w14:paraId="0F71639F">
      <w:pPr>
        <w:ind w:firstLine="480"/>
        <w:rPr>
          <w:rFonts w:ascii="宋体" w:hAnsi="宋体"/>
          <w:szCs w:val="21"/>
        </w:rPr>
      </w:pPr>
      <w:r>
        <w:rPr>
          <w:rFonts w:hint="eastAsia"/>
        </w:rPr>
        <w:t>售价（元）：0</w:t>
      </w:r>
    </w:p>
    <w:p w14:paraId="3B8BF1AA">
      <w:pPr>
        <w:pStyle w:val="10"/>
      </w:pPr>
      <w:bookmarkStart w:id="42" w:name="_Toc22191"/>
      <w:bookmarkStart w:id="43" w:name="_Toc2709"/>
      <w:bookmarkStart w:id="44" w:name="_Toc28419"/>
      <w:bookmarkStart w:id="45" w:name="_Toc20569"/>
      <w:bookmarkStart w:id="46" w:name="_Toc14875"/>
      <w:bookmarkStart w:id="47" w:name="_Toc27996"/>
      <w:bookmarkStart w:id="48" w:name="_Toc25085"/>
      <w:bookmarkStart w:id="49" w:name="_Toc27886"/>
      <w:r>
        <w:rPr>
          <w:rFonts w:hint="eastAsia"/>
        </w:rPr>
        <w:t>四、响应文件提交（上传）</w:t>
      </w:r>
      <w:bookmarkEnd w:id="42"/>
      <w:bookmarkEnd w:id="43"/>
      <w:bookmarkEnd w:id="44"/>
      <w:bookmarkEnd w:id="45"/>
      <w:bookmarkEnd w:id="46"/>
      <w:bookmarkEnd w:id="47"/>
      <w:bookmarkEnd w:id="48"/>
      <w:bookmarkEnd w:id="49"/>
    </w:p>
    <w:p w14:paraId="26C4D307">
      <w:pPr>
        <w:ind w:firstLine="480"/>
      </w:pPr>
      <w:r>
        <w:rPr>
          <w:rFonts w:hint="eastAsia"/>
        </w:rPr>
        <w:t>提交投标文件截止时间：</w:t>
      </w:r>
      <w:r>
        <w:rPr>
          <w:rFonts w:hint="eastAsia"/>
          <w:lang w:eastAsia="zh-CN"/>
        </w:rPr>
        <w:t>2024年9月29日14:30时</w:t>
      </w:r>
      <w:r>
        <w:rPr>
          <w:rFonts w:hint="eastAsia"/>
        </w:rPr>
        <w:t>（北京时间）</w:t>
      </w:r>
    </w:p>
    <w:p w14:paraId="1749173F">
      <w:pPr>
        <w:ind w:firstLine="480"/>
        <w:rPr>
          <w:rFonts w:ascii="宋体" w:hAnsi="宋体"/>
          <w:szCs w:val="21"/>
        </w:rPr>
      </w:pPr>
      <w:r>
        <w:rPr>
          <w:rFonts w:hint="eastAsia"/>
        </w:rPr>
        <w:t>投标地点（网址）：政采云平台（</w:t>
      </w:r>
      <w:r>
        <w:fldChar w:fldCharType="begin"/>
      </w:r>
      <w:r>
        <w:instrText xml:space="preserve"> HYPERLINK "http://zfcg.czt.zj.gov.cn/" </w:instrText>
      </w:r>
      <w:r>
        <w:fldChar w:fldCharType="separate"/>
      </w:r>
      <w:r>
        <w:rPr>
          <w:rStyle w:val="36"/>
          <w:rFonts w:hint="eastAsia" w:ascii="宋体" w:hAnsi="宋体" w:cs="宋体"/>
          <w:szCs w:val="21"/>
        </w:rPr>
        <w:t>http：//zfcg.czt.zj.gov.cn/</w:t>
      </w:r>
      <w:r>
        <w:rPr>
          <w:rStyle w:val="36"/>
          <w:rFonts w:hint="eastAsia" w:ascii="宋体" w:hAnsi="宋体" w:cs="宋体"/>
          <w:szCs w:val="21"/>
        </w:rPr>
        <w:fldChar w:fldCharType="end"/>
      </w:r>
      <w:r>
        <w:rPr>
          <w:rFonts w:hint="eastAsia"/>
        </w:rPr>
        <w:t>）</w:t>
      </w:r>
    </w:p>
    <w:p w14:paraId="68686EA7">
      <w:pPr>
        <w:pStyle w:val="10"/>
      </w:pPr>
      <w:bookmarkStart w:id="50" w:name="_Toc3904"/>
      <w:bookmarkStart w:id="51" w:name="_Toc3420"/>
      <w:bookmarkStart w:id="52" w:name="_Toc26480"/>
      <w:bookmarkStart w:id="53" w:name="_Toc4979"/>
      <w:bookmarkStart w:id="54" w:name="_Toc13529"/>
      <w:bookmarkStart w:id="55" w:name="_Toc5705"/>
      <w:bookmarkStart w:id="56" w:name="_Toc7590"/>
      <w:bookmarkStart w:id="57" w:name="_Toc22546"/>
      <w:r>
        <w:rPr>
          <w:rFonts w:hint="eastAsia"/>
        </w:rPr>
        <w:t>五、开启投标文件</w:t>
      </w:r>
      <w:bookmarkEnd w:id="50"/>
      <w:bookmarkEnd w:id="51"/>
      <w:bookmarkEnd w:id="52"/>
      <w:bookmarkEnd w:id="53"/>
      <w:bookmarkEnd w:id="54"/>
      <w:bookmarkEnd w:id="55"/>
      <w:bookmarkEnd w:id="56"/>
      <w:bookmarkEnd w:id="57"/>
    </w:p>
    <w:p w14:paraId="49668257">
      <w:pPr>
        <w:ind w:firstLine="480"/>
      </w:pPr>
      <w:r>
        <w:rPr>
          <w:rFonts w:hint="eastAsia"/>
        </w:rPr>
        <w:t>开标时间：</w:t>
      </w:r>
      <w:r>
        <w:rPr>
          <w:rFonts w:hint="eastAsia"/>
          <w:lang w:eastAsia="zh-CN"/>
        </w:rPr>
        <w:t>2024年9月29日14:30时</w:t>
      </w:r>
      <w:r>
        <w:rPr>
          <w:rFonts w:hint="eastAsia"/>
        </w:rPr>
        <w:t>，投标文件开启时间到后30分钟内，供应商须登录“政采云”平台解密投标文件。</w:t>
      </w:r>
    </w:p>
    <w:p w14:paraId="178CD72E">
      <w:pPr>
        <w:ind w:firstLine="480"/>
      </w:pPr>
      <w:r>
        <w:rPr>
          <w:rFonts w:hint="eastAsia"/>
        </w:rPr>
        <w:t>开标地点：衢州市公共资源交易龙游县分中心</w:t>
      </w:r>
      <w:r>
        <w:t>1</w:t>
      </w:r>
      <w:r>
        <w:rPr>
          <w:rFonts w:hint="eastAsia"/>
        </w:rPr>
        <w:t>楼评标室</w:t>
      </w:r>
      <w:r>
        <w:rPr>
          <w:rFonts w:hint="eastAsia"/>
          <w:lang w:val="en-US" w:eastAsia="zh-CN"/>
        </w:rPr>
        <w:t>2</w:t>
      </w:r>
      <w:r>
        <w:rPr>
          <w:rFonts w:hint="eastAsia"/>
        </w:rPr>
        <w:t>（龙游县龙翔路378号，原香溢市场西侧）</w:t>
      </w:r>
    </w:p>
    <w:p w14:paraId="1E6D8618">
      <w:pPr>
        <w:ind w:firstLine="480"/>
      </w:pPr>
      <w:r>
        <w:rPr>
          <w:rFonts w:hint="eastAsia"/>
        </w:rPr>
        <w:t>电子备份文件提交：</w:t>
      </w:r>
    </w:p>
    <w:p w14:paraId="7A7E6A12">
      <w:pPr>
        <w:ind w:firstLine="480"/>
      </w:pPr>
      <w:r>
        <w:rPr>
          <w:rFonts w:hint="eastAsia"/>
        </w:rPr>
        <w:t>备份文件（经政采云电子交易客户端和CA驱动制作的后缀名为“.bfbs”的文件）在“电子加密投标文件”在线解密失败后启用，否则不予以启用。供应商自行确定是否提交。</w:t>
      </w:r>
    </w:p>
    <w:p w14:paraId="74B8D75D">
      <w:pPr>
        <w:ind w:firstLine="480"/>
        <w:rPr>
          <w:rFonts w:ascii="宋体" w:hAnsi="宋体"/>
          <w:szCs w:val="21"/>
        </w:rPr>
      </w:pPr>
      <w:r>
        <w:rPr>
          <w:rFonts w:hint="eastAsia"/>
        </w:rPr>
        <w:t>若提交，可在响应截止时间前（以收件箱显示时间为准，逾期邮件将被拒收）将备份文件发送至邮箱：549607085@qq.com，邮件内容写上供应商名称。备份文件压缩加密（未加密造成泄密的由供应商自行承担，建议密码由数字和字母组成且不低于8位数），供应商确认“电子加密投标文件”在线解密失败后，将压缩加密的备份文件的解密密码在解密规定时间（响应截止时间后30分钟内）发送至上述邮箱内，未在规定时间内发送造成的响应无效或文件无效、解压失败由供应商自行承担。</w:t>
      </w:r>
    </w:p>
    <w:p w14:paraId="7F0784FE">
      <w:pPr>
        <w:pStyle w:val="10"/>
      </w:pPr>
      <w:bookmarkStart w:id="58" w:name="_Toc8629"/>
      <w:bookmarkStart w:id="59" w:name="_Toc29568"/>
      <w:bookmarkStart w:id="60" w:name="_Toc25087"/>
      <w:bookmarkStart w:id="61" w:name="_Toc18188"/>
      <w:bookmarkStart w:id="62" w:name="_Toc7006"/>
      <w:bookmarkStart w:id="63" w:name="_Toc28372"/>
      <w:bookmarkStart w:id="64" w:name="_Toc30397"/>
      <w:bookmarkStart w:id="65" w:name="_Toc31679"/>
      <w:r>
        <w:rPr>
          <w:rFonts w:hint="eastAsia"/>
        </w:rPr>
        <w:t>六、公告期限</w:t>
      </w:r>
      <w:bookmarkEnd w:id="58"/>
      <w:bookmarkEnd w:id="59"/>
      <w:bookmarkEnd w:id="60"/>
      <w:bookmarkEnd w:id="61"/>
      <w:bookmarkEnd w:id="62"/>
      <w:bookmarkEnd w:id="63"/>
      <w:bookmarkEnd w:id="64"/>
      <w:bookmarkEnd w:id="65"/>
    </w:p>
    <w:p w14:paraId="5BB2EA7A">
      <w:pPr>
        <w:ind w:firstLine="480"/>
        <w:rPr>
          <w:rFonts w:ascii="宋体" w:hAnsi="宋体"/>
          <w:szCs w:val="21"/>
        </w:rPr>
      </w:pPr>
      <w:r>
        <w:rPr>
          <w:rFonts w:hint="eastAsia"/>
        </w:rPr>
        <w:t>自本公告发布之日起3个工作日。</w:t>
      </w:r>
    </w:p>
    <w:p w14:paraId="5DC07B12">
      <w:pPr>
        <w:pStyle w:val="10"/>
      </w:pPr>
      <w:bookmarkStart w:id="66" w:name="_Toc29350"/>
      <w:bookmarkStart w:id="67" w:name="_Toc23432"/>
      <w:bookmarkStart w:id="68" w:name="_Toc176"/>
      <w:bookmarkStart w:id="69" w:name="_Toc4396"/>
      <w:bookmarkStart w:id="70" w:name="_Toc3260"/>
      <w:bookmarkStart w:id="71" w:name="_Toc23102"/>
      <w:bookmarkStart w:id="72" w:name="_Toc11847"/>
      <w:bookmarkStart w:id="73" w:name="_Toc11345"/>
      <w:r>
        <w:rPr>
          <w:rFonts w:hint="eastAsia"/>
        </w:rPr>
        <w:t>七、其他补充事宜</w:t>
      </w:r>
      <w:bookmarkEnd w:id="66"/>
      <w:bookmarkEnd w:id="67"/>
      <w:bookmarkEnd w:id="68"/>
      <w:bookmarkEnd w:id="69"/>
      <w:bookmarkEnd w:id="70"/>
      <w:bookmarkEnd w:id="71"/>
      <w:bookmarkEnd w:id="72"/>
      <w:bookmarkEnd w:id="73"/>
    </w:p>
    <w:p w14:paraId="7715159A">
      <w:pPr>
        <w:ind w:firstLine="480"/>
      </w:pPr>
      <w: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930F6C0">
      <w:pPr>
        <w:ind w:firstLine="480"/>
      </w:pPr>
      <w:r>
        <w:t>2.根据《浙江省财政厅关于进一步促进政府采购公平竞争打造最优营商环境的通知》（浙财采监（2021）22号）文件关于</w:t>
      </w:r>
      <w:r>
        <w:rPr>
          <w:rFonts w:hint="eastAsia"/>
        </w:rPr>
        <w:t>“</w:t>
      </w:r>
      <w:r>
        <w:t>健全行政裁决机制</w:t>
      </w:r>
      <w:r>
        <w:rPr>
          <w:rFonts w:hint="eastAsia"/>
        </w:rPr>
        <w:t>”</w:t>
      </w:r>
      <w:r>
        <w:t>要求，鼓励供应商在线提起询问，路径为：政采云</w:t>
      </w:r>
      <w:r>
        <w:rPr>
          <w:rFonts w:hint="eastAsia"/>
        </w:rPr>
        <w:t>－</w:t>
      </w:r>
      <w:r>
        <w:t>项目采购</w:t>
      </w:r>
      <w:r>
        <w:rPr>
          <w:rFonts w:hint="eastAsia"/>
        </w:rPr>
        <w:t>－</w:t>
      </w:r>
      <w:r>
        <w:t>询问质疑投诉</w:t>
      </w:r>
      <w:r>
        <w:rPr>
          <w:rFonts w:hint="eastAsia"/>
        </w:rPr>
        <w:t>－</w:t>
      </w:r>
      <w:r>
        <w:t>询问列表:鼓励供应商在线提起质疑，路径为：政采云-项目采购-询问质疑投诉-质疑列表。质疑供应商对在线质疑答复不满意的，可在线提起投诉，路径为：浙江政府服务网-政府采购投诉处理-在线办理。</w:t>
      </w:r>
    </w:p>
    <w:p w14:paraId="6ADD02B8">
      <w:pPr>
        <w:ind w:firstLine="480"/>
      </w:pPr>
      <w:r>
        <w:rPr>
          <w:rFonts w:hint="eastAsia"/>
        </w:rPr>
        <w:t>3</w:t>
      </w:r>
      <w: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C3FA7B6">
      <w:pPr>
        <w:ind w:firstLine="480"/>
      </w:pPr>
      <w:r>
        <w:rPr>
          <w:rFonts w:hint="eastAsia"/>
        </w:rPr>
        <w:t>4</w:t>
      </w:r>
      <w:r>
        <w:t>.为支持和促进中小企业发展，有需要的</w:t>
      </w:r>
      <w:r>
        <w:rPr>
          <w:rFonts w:hint="eastAsia"/>
        </w:rPr>
        <w:t>成交供应商</w:t>
      </w:r>
      <w:r>
        <w:t>可根据需要申请办理政府采购合同贷款（以下简称</w:t>
      </w:r>
      <w:r>
        <w:rPr>
          <w:rFonts w:hint="eastAsia"/>
        </w:rPr>
        <w:t>“</w:t>
      </w:r>
      <w:r>
        <w:t>政采贷</w:t>
      </w:r>
      <w:r>
        <w:rPr>
          <w:rFonts w:hint="eastAsia"/>
        </w:rPr>
        <w:t>”</w:t>
      </w:r>
      <w:r>
        <w:t>），具体要求、条件和操作教程可通过政采云首页右上角－网站导航－金融服务查看，也可拨打政采云客服热线</w:t>
      </w:r>
      <w:r>
        <w:rPr>
          <w:rFonts w:hint="eastAsia"/>
          <w:lang w:eastAsia="zh-CN"/>
        </w:rPr>
        <w:t>95763</w:t>
      </w:r>
      <w:r>
        <w:t>咨询，或向各地已开通政采贷的银行咨询办理。</w:t>
      </w:r>
    </w:p>
    <w:p w14:paraId="56E0D1FB">
      <w:pPr>
        <w:ind w:firstLine="480"/>
      </w:pPr>
      <w:r>
        <w:rPr>
          <w:rFonts w:hint="eastAsia"/>
        </w:rPr>
        <w:t>5.</w:t>
      </w:r>
      <w:r>
        <w:t>公告未显示完全内容详见招标文件。</w:t>
      </w:r>
    </w:p>
    <w:p w14:paraId="0C7A4D6E">
      <w:pPr>
        <w:pStyle w:val="10"/>
      </w:pPr>
      <w:bookmarkStart w:id="74" w:name="_Toc5099"/>
      <w:bookmarkStart w:id="75" w:name="_Toc2602"/>
      <w:bookmarkStart w:id="76" w:name="_Toc32647"/>
      <w:bookmarkStart w:id="77" w:name="_Toc28875"/>
      <w:bookmarkStart w:id="78" w:name="_Toc1138"/>
      <w:bookmarkStart w:id="79" w:name="_Toc21744"/>
      <w:bookmarkStart w:id="80" w:name="_Toc5126"/>
      <w:bookmarkStart w:id="81" w:name="_Toc16319"/>
      <w:r>
        <w:rPr>
          <w:rFonts w:hint="eastAsia"/>
        </w:rPr>
        <w:t>八、对本次采购提出询问、质疑、投诉，请按以下方式联系</w:t>
      </w:r>
      <w:bookmarkEnd w:id="74"/>
      <w:bookmarkEnd w:id="75"/>
      <w:bookmarkEnd w:id="76"/>
      <w:bookmarkEnd w:id="77"/>
      <w:bookmarkEnd w:id="78"/>
      <w:bookmarkEnd w:id="79"/>
      <w:bookmarkEnd w:id="80"/>
      <w:bookmarkEnd w:id="81"/>
    </w:p>
    <w:p w14:paraId="71AF76D7">
      <w:pPr>
        <w:spacing w:line="288" w:lineRule="auto"/>
        <w:ind w:firstLine="480"/>
      </w:pPr>
      <w:r>
        <w:rPr>
          <w:rFonts w:hint="eastAsia"/>
        </w:rPr>
        <w:t>1.采购人信息</w:t>
      </w:r>
    </w:p>
    <w:p w14:paraId="7AA316F9">
      <w:pPr>
        <w:spacing w:line="288" w:lineRule="auto"/>
        <w:ind w:firstLine="480"/>
      </w:pPr>
      <w:r>
        <w:rPr>
          <w:rFonts w:hint="eastAsia"/>
        </w:rPr>
        <w:t>名    称：龙游县公证处</w:t>
      </w:r>
    </w:p>
    <w:p w14:paraId="714F0F26">
      <w:pPr>
        <w:spacing w:line="288" w:lineRule="auto"/>
        <w:ind w:firstLine="480"/>
      </w:pPr>
      <w:r>
        <w:rPr>
          <w:rFonts w:hint="eastAsia"/>
        </w:rPr>
        <w:t>地    址：龙游县太平西路121号</w:t>
      </w:r>
    </w:p>
    <w:p w14:paraId="44ECA9BA">
      <w:pPr>
        <w:spacing w:line="288" w:lineRule="auto"/>
        <w:ind w:firstLine="480"/>
      </w:pPr>
      <w:r>
        <w:rPr>
          <w:rFonts w:hint="eastAsia"/>
        </w:rPr>
        <w:t>项目联系人（询问）：张女士</w:t>
      </w:r>
    </w:p>
    <w:p w14:paraId="337522CD">
      <w:pPr>
        <w:spacing w:line="288" w:lineRule="auto"/>
        <w:ind w:firstLine="480"/>
      </w:pPr>
      <w:r>
        <w:rPr>
          <w:rFonts w:hint="eastAsia"/>
        </w:rPr>
        <w:t>项目联系方式（询问）：0570-7111083</w:t>
      </w:r>
    </w:p>
    <w:p w14:paraId="55D14E08">
      <w:pPr>
        <w:spacing w:line="288" w:lineRule="auto"/>
        <w:ind w:firstLine="480"/>
      </w:pPr>
      <w:r>
        <w:rPr>
          <w:rFonts w:hint="eastAsia"/>
        </w:rPr>
        <w:t>质疑联系人：张女士</w:t>
      </w:r>
    </w:p>
    <w:p w14:paraId="6FCD2CBF">
      <w:pPr>
        <w:spacing w:line="288" w:lineRule="auto"/>
        <w:ind w:firstLine="480"/>
      </w:pPr>
      <w:r>
        <w:rPr>
          <w:rFonts w:hint="eastAsia"/>
        </w:rPr>
        <w:t>质疑联系方式：0570-7111083</w:t>
      </w:r>
    </w:p>
    <w:p w14:paraId="17BE4229">
      <w:pPr>
        <w:spacing w:line="288" w:lineRule="auto"/>
        <w:ind w:firstLine="480"/>
      </w:pPr>
      <w:r>
        <w:rPr>
          <w:rFonts w:hint="eastAsia"/>
        </w:rPr>
        <w:t>2.采购代理机构信息</w:t>
      </w:r>
    </w:p>
    <w:p w14:paraId="1526A49D">
      <w:pPr>
        <w:spacing w:line="288" w:lineRule="auto"/>
        <w:ind w:firstLine="480"/>
      </w:pPr>
      <w:r>
        <w:rPr>
          <w:rFonts w:hint="eastAsia"/>
        </w:rPr>
        <w:t>名    称：龙游久圆工程管理有限公司</w:t>
      </w:r>
    </w:p>
    <w:p w14:paraId="1CC33241">
      <w:pPr>
        <w:spacing w:line="288" w:lineRule="auto"/>
        <w:ind w:firstLine="480"/>
      </w:pPr>
      <w:r>
        <w:rPr>
          <w:rFonts w:hint="eastAsia"/>
        </w:rPr>
        <w:t>地    址：龙游县东华街道永安路60号</w:t>
      </w:r>
    </w:p>
    <w:p w14:paraId="250E98FC">
      <w:pPr>
        <w:spacing w:line="288" w:lineRule="auto"/>
        <w:ind w:firstLine="480"/>
      </w:pPr>
      <w:r>
        <w:rPr>
          <w:rFonts w:hint="eastAsia"/>
        </w:rPr>
        <w:t>项目联系人（询问）：李女士</w:t>
      </w:r>
    </w:p>
    <w:p w14:paraId="4EF8A804">
      <w:pPr>
        <w:spacing w:line="288" w:lineRule="auto"/>
        <w:ind w:firstLine="480"/>
      </w:pPr>
      <w:r>
        <w:rPr>
          <w:rFonts w:hint="eastAsia"/>
        </w:rPr>
        <w:t>项目联系方式（询问）：0570-7032353</w:t>
      </w:r>
    </w:p>
    <w:p w14:paraId="188C534D">
      <w:pPr>
        <w:spacing w:line="288" w:lineRule="auto"/>
        <w:ind w:firstLine="480"/>
      </w:pPr>
      <w:r>
        <w:rPr>
          <w:rFonts w:hint="eastAsia"/>
        </w:rPr>
        <w:t>质疑联系人：李女士</w:t>
      </w:r>
    </w:p>
    <w:p w14:paraId="56235C9D">
      <w:pPr>
        <w:spacing w:line="288" w:lineRule="auto"/>
        <w:ind w:firstLine="480"/>
      </w:pPr>
      <w:r>
        <w:rPr>
          <w:rFonts w:hint="eastAsia"/>
        </w:rPr>
        <w:t>质疑联系方式：15968860235</w:t>
      </w:r>
    </w:p>
    <w:p w14:paraId="48C91A8F">
      <w:pPr>
        <w:spacing w:line="288" w:lineRule="auto"/>
        <w:ind w:firstLine="480"/>
      </w:pPr>
      <w:r>
        <w:rPr>
          <w:rFonts w:hint="eastAsia"/>
        </w:rPr>
        <w:t>3.同级政府采购监督管理部门</w:t>
      </w:r>
    </w:p>
    <w:p w14:paraId="56789104">
      <w:pPr>
        <w:spacing w:line="288" w:lineRule="auto"/>
        <w:ind w:firstLine="480"/>
      </w:pPr>
      <w:r>
        <w:rPr>
          <w:rFonts w:hint="eastAsia"/>
        </w:rPr>
        <w:t>名    称：龙游县财政局采监科</w:t>
      </w:r>
    </w:p>
    <w:p w14:paraId="6E509F85">
      <w:pPr>
        <w:spacing w:line="288" w:lineRule="auto"/>
        <w:ind w:firstLine="480"/>
      </w:pPr>
      <w:r>
        <w:rPr>
          <w:rFonts w:hint="eastAsia"/>
        </w:rPr>
        <w:t>地    址：龙游县莲湖路69号</w:t>
      </w:r>
    </w:p>
    <w:p w14:paraId="468D9A0A">
      <w:pPr>
        <w:spacing w:line="288" w:lineRule="auto"/>
        <w:ind w:firstLine="480"/>
      </w:pPr>
      <w:r>
        <w:rPr>
          <w:rFonts w:hint="eastAsia"/>
        </w:rPr>
        <w:t>联系人：严先生</w:t>
      </w:r>
    </w:p>
    <w:p w14:paraId="6F1C74C8">
      <w:pPr>
        <w:spacing w:line="288" w:lineRule="auto"/>
        <w:ind w:firstLine="480"/>
      </w:pPr>
      <w:r>
        <w:rPr>
          <w:rFonts w:hint="eastAsia"/>
        </w:rPr>
        <w:t>监督投诉电话：0570-7011687</w:t>
      </w:r>
    </w:p>
    <w:p w14:paraId="6B87B417">
      <w:pPr>
        <w:ind w:firstLine="480"/>
      </w:pPr>
    </w:p>
    <w:p w14:paraId="5EBC3070">
      <w:pPr>
        <w:ind w:firstLine="480"/>
      </w:pPr>
      <w:r>
        <w:rPr>
          <w:rFonts w:hint="eastAsia"/>
        </w:rPr>
        <w:t>若对项目采购电子交易系统操作有疑问，可登录政采云（https：//www.zcygov.cn/），点击右侧咨询小采，获取采小蜜智能服务管家帮助，或拨打政采云服务热线</w:t>
      </w:r>
      <w:r>
        <w:rPr>
          <w:rFonts w:hint="eastAsia"/>
          <w:lang w:eastAsia="zh-CN"/>
        </w:rPr>
        <w:t>95763</w:t>
      </w:r>
      <w:r>
        <w:rPr>
          <w:rFonts w:hint="eastAsia"/>
        </w:rPr>
        <w:t>获取热线服务帮助。</w:t>
      </w:r>
    </w:p>
    <w:p w14:paraId="00062871">
      <w:pPr>
        <w:ind w:firstLine="480"/>
      </w:pPr>
      <w:r>
        <w:rPr>
          <w:rFonts w:hint="eastAsia"/>
        </w:rPr>
        <w:t>CA问题联系电话（人工）：汇信CA 400-888-4636；天谷CA 400-087-8198。</w:t>
      </w:r>
    </w:p>
    <w:p w14:paraId="23A21195">
      <w:pPr>
        <w:widowControl/>
        <w:spacing w:line="240" w:lineRule="auto"/>
        <w:ind w:firstLine="0" w:firstLineChars="0"/>
        <w:jc w:val="left"/>
      </w:pPr>
      <w:r>
        <w:br w:type="page"/>
      </w:r>
    </w:p>
    <w:p w14:paraId="295EAC02">
      <w:pPr>
        <w:pStyle w:val="9"/>
      </w:pPr>
      <w:bookmarkStart w:id="82" w:name="_Toc19480"/>
      <w:bookmarkStart w:id="83" w:name="_Toc9074"/>
      <w:bookmarkStart w:id="84" w:name="_Toc32712"/>
      <w:bookmarkStart w:id="85" w:name="_Toc15173"/>
      <w:bookmarkStart w:id="86" w:name="_Toc1372"/>
      <w:bookmarkStart w:id="87" w:name="_Toc12082"/>
      <w:bookmarkStart w:id="88" w:name="_Toc28259"/>
      <w:bookmarkStart w:id="89" w:name="_Toc19077"/>
      <w:r>
        <w:rPr>
          <w:rFonts w:hint="eastAsia"/>
        </w:rPr>
        <w:t>第二章  磋商供应商须知前附表</w:t>
      </w:r>
      <w:bookmarkEnd w:id="82"/>
      <w:bookmarkEnd w:id="83"/>
      <w:bookmarkEnd w:id="84"/>
      <w:bookmarkEnd w:id="85"/>
      <w:bookmarkEnd w:id="86"/>
      <w:bookmarkEnd w:id="87"/>
      <w:bookmarkEnd w:id="88"/>
      <w:bookmarkEnd w:id="89"/>
    </w:p>
    <w:p w14:paraId="24972B01">
      <w:pPr>
        <w:ind w:firstLine="480"/>
      </w:pPr>
    </w:p>
    <w:tbl>
      <w:tblPr>
        <w:tblStyle w:val="33"/>
        <w:tblW w:w="897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6"/>
        <w:gridCol w:w="1660"/>
        <w:gridCol w:w="6532"/>
      </w:tblGrid>
      <w:tr w14:paraId="634703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18" w:hRule="atLeast"/>
          <w:tblHeader/>
          <w:jc w:val="center"/>
        </w:trPr>
        <w:tc>
          <w:tcPr>
            <w:tcW w:w="786" w:type="dxa"/>
            <w:vAlign w:val="center"/>
          </w:tcPr>
          <w:p w14:paraId="444E7D44">
            <w:pPr>
              <w:pStyle w:val="42"/>
            </w:pPr>
            <w:r>
              <w:rPr>
                <w:rFonts w:hint="eastAsia"/>
              </w:rPr>
              <w:t>序号</w:t>
            </w:r>
          </w:p>
        </w:tc>
        <w:tc>
          <w:tcPr>
            <w:tcW w:w="1660" w:type="dxa"/>
            <w:vAlign w:val="center"/>
          </w:tcPr>
          <w:p w14:paraId="0D429929">
            <w:pPr>
              <w:pStyle w:val="42"/>
            </w:pPr>
            <w:r>
              <w:rPr>
                <w:rFonts w:hint="eastAsia"/>
              </w:rPr>
              <w:t>项   目</w:t>
            </w:r>
          </w:p>
        </w:tc>
        <w:tc>
          <w:tcPr>
            <w:tcW w:w="6532" w:type="dxa"/>
            <w:vAlign w:val="center"/>
          </w:tcPr>
          <w:p w14:paraId="0FABD307">
            <w:pPr>
              <w:pStyle w:val="42"/>
            </w:pPr>
            <w:r>
              <w:rPr>
                <w:rFonts w:hint="eastAsia"/>
              </w:rPr>
              <w:t>内       容</w:t>
            </w:r>
          </w:p>
        </w:tc>
      </w:tr>
      <w:tr w14:paraId="0C88C8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786" w:type="dxa"/>
            <w:vAlign w:val="center"/>
          </w:tcPr>
          <w:p w14:paraId="26D28974">
            <w:pPr>
              <w:pStyle w:val="42"/>
              <w:jc w:val="center"/>
            </w:pPr>
            <w:r>
              <w:rPr>
                <w:rFonts w:hint="eastAsia"/>
              </w:rPr>
              <w:t>1</w:t>
            </w:r>
          </w:p>
        </w:tc>
        <w:tc>
          <w:tcPr>
            <w:tcW w:w="1660" w:type="dxa"/>
            <w:vAlign w:val="center"/>
          </w:tcPr>
          <w:p w14:paraId="6EB5A597">
            <w:pPr>
              <w:pStyle w:val="42"/>
            </w:pPr>
            <w:r>
              <w:t>采购人</w:t>
            </w:r>
          </w:p>
        </w:tc>
        <w:tc>
          <w:tcPr>
            <w:tcW w:w="6532" w:type="dxa"/>
            <w:vAlign w:val="center"/>
          </w:tcPr>
          <w:p w14:paraId="0AE1175E">
            <w:pPr>
              <w:pStyle w:val="42"/>
            </w:pPr>
            <w:r>
              <w:rPr>
                <w:rFonts w:hint="eastAsia"/>
              </w:rPr>
              <w:t>采购人：龙游县公证处</w:t>
            </w:r>
          </w:p>
          <w:p w14:paraId="011ADDED">
            <w:pPr>
              <w:pStyle w:val="42"/>
            </w:pPr>
            <w:r>
              <w:rPr>
                <w:rFonts w:hint="eastAsia"/>
              </w:rPr>
              <w:t>地址：龙游县太平西路121号</w:t>
            </w:r>
          </w:p>
          <w:p w14:paraId="1600FC66">
            <w:pPr>
              <w:pStyle w:val="42"/>
            </w:pPr>
            <w:r>
              <w:rPr>
                <w:rFonts w:hint="eastAsia"/>
              </w:rPr>
              <w:t>联系人：</w:t>
            </w:r>
            <w:r>
              <w:rPr>
                <w:rFonts w:hint="eastAsia"/>
                <w:lang w:val="en-US"/>
              </w:rPr>
              <w:t>张女士</w:t>
            </w:r>
          </w:p>
          <w:p w14:paraId="2895A15C">
            <w:pPr>
              <w:spacing w:line="288" w:lineRule="auto"/>
              <w:ind w:firstLine="0" w:firstLineChars="0"/>
            </w:pPr>
            <w:r>
              <w:rPr>
                <w:rFonts w:hint="eastAsia"/>
              </w:rPr>
              <w:t>电话：0570-7111083</w:t>
            </w:r>
          </w:p>
        </w:tc>
      </w:tr>
      <w:tr w14:paraId="53A508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41" w:hRule="atLeast"/>
          <w:jc w:val="center"/>
        </w:trPr>
        <w:tc>
          <w:tcPr>
            <w:tcW w:w="786" w:type="dxa"/>
            <w:vAlign w:val="center"/>
          </w:tcPr>
          <w:p w14:paraId="73BEB52A">
            <w:pPr>
              <w:pStyle w:val="42"/>
              <w:jc w:val="center"/>
            </w:pPr>
            <w:r>
              <w:rPr>
                <w:rFonts w:hint="eastAsia"/>
              </w:rPr>
              <w:t>2</w:t>
            </w:r>
          </w:p>
        </w:tc>
        <w:tc>
          <w:tcPr>
            <w:tcW w:w="1660" w:type="dxa"/>
            <w:vAlign w:val="center"/>
          </w:tcPr>
          <w:p w14:paraId="521E3292">
            <w:pPr>
              <w:pStyle w:val="42"/>
            </w:pPr>
            <w:r>
              <w:rPr>
                <w:rFonts w:hint="eastAsia"/>
              </w:rPr>
              <w:t>采购代理机构</w:t>
            </w:r>
          </w:p>
        </w:tc>
        <w:tc>
          <w:tcPr>
            <w:tcW w:w="6532" w:type="dxa"/>
            <w:vAlign w:val="center"/>
          </w:tcPr>
          <w:p w14:paraId="77EA192F">
            <w:pPr>
              <w:pStyle w:val="42"/>
            </w:pPr>
            <w:r>
              <w:rPr>
                <w:rFonts w:hint="eastAsia"/>
              </w:rPr>
              <w:t>代理机构：龙游久圆工程管理有限公司</w:t>
            </w:r>
          </w:p>
          <w:p w14:paraId="2E8D0295">
            <w:pPr>
              <w:pStyle w:val="42"/>
            </w:pPr>
            <w:r>
              <w:rPr>
                <w:rFonts w:hint="eastAsia"/>
              </w:rPr>
              <w:t>地址：龙游县东华街道永安路60号</w:t>
            </w:r>
          </w:p>
          <w:p w14:paraId="2ECCBEF1">
            <w:pPr>
              <w:pStyle w:val="42"/>
            </w:pPr>
            <w:r>
              <w:rPr>
                <w:rFonts w:hint="eastAsia"/>
              </w:rPr>
              <w:t>联系人：李</w:t>
            </w:r>
            <w:r>
              <w:rPr>
                <w:rFonts w:hint="eastAsia"/>
                <w:lang w:val="en-US"/>
              </w:rPr>
              <w:t>女士</w:t>
            </w:r>
          </w:p>
          <w:p w14:paraId="2093A970">
            <w:pPr>
              <w:pStyle w:val="42"/>
            </w:pPr>
            <w:r>
              <w:rPr>
                <w:rFonts w:hint="eastAsia"/>
              </w:rPr>
              <w:t>电话：15968860235</w:t>
            </w:r>
          </w:p>
          <w:p w14:paraId="72E3CC02">
            <w:pPr>
              <w:pStyle w:val="42"/>
            </w:pPr>
            <w:r>
              <w:rPr>
                <w:rFonts w:hint="eastAsia"/>
              </w:rPr>
              <w:t>电子邮箱：549607085@qq.com</w:t>
            </w:r>
          </w:p>
        </w:tc>
      </w:tr>
      <w:tr w14:paraId="316C44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786" w:type="dxa"/>
            <w:vAlign w:val="center"/>
          </w:tcPr>
          <w:p w14:paraId="5450F03D">
            <w:pPr>
              <w:pStyle w:val="42"/>
              <w:jc w:val="center"/>
            </w:pPr>
            <w:r>
              <w:rPr>
                <w:rFonts w:hint="eastAsia"/>
              </w:rPr>
              <w:t>3</w:t>
            </w:r>
          </w:p>
        </w:tc>
        <w:tc>
          <w:tcPr>
            <w:tcW w:w="1660" w:type="dxa"/>
            <w:vAlign w:val="center"/>
          </w:tcPr>
          <w:p w14:paraId="23FA66A9">
            <w:pPr>
              <w:pStyle w:val="42"/>
            </w:pPr>
            <w:r>
              <w:t>采购活动流程</w:t>
            </w:r>
          </w:p>
        </w:tc>
        <w:tc>
          <w:tcPr>
            <w:tcW w:w="6532" w:type="dxa"/>
            <w:vAlign w:val="center"/>
          </w:tcPr>
          <w:p w14:paraId="5729EA99">
            <w:pPr>
              <w:pStyle w:val="42"/>
            </w:pPr>
            <w:r>
              <w:t>电子招标、投标、开标、评标的全流程电子化</w:t>
            </w:r>
          </w:p>
        </w:tc>
      </w:tr>
      <w:tr w14:paraId="121B2C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786" w:type="dxa"/>
            <w:vAlign w:val="center"/>
          </w:tcPr>
          <w:p w14:paraId="01DEC6FF">
            <w:pPr>
              <w:pStyle w:val="42"/>
              <w:jc w:val="center"/>
            </w:pPr>
            <w:r>
              <w:rPr>
                <w:rFonts w:hint="eastAsia"/>
              </w:rPr>
              <w:t>4</w:t>
            </w:r>
          </w:p>
        </w:tc>
        <w:tc>
          <w:tcPr>
            <w:tcW w:w="1660" w:type="dxa"/>
            <w:vAlign w:val="center"/>
          </w:tcPr>
          <w:p w14:paraId="5839A318">
            <w:pPr>
              <w:pStyle w:val="42"/>
            </w:pPr>
            <w:r>
              <w:rPr>
                <w:rFonts w:hint="eastAsia"/>
              </w:rPr>
              <w:t>答疑会</w:t>
            </w:r>
          </w:p>
        </w:tc>
        <w:tc>
          <w:tcPr>
            <w:tcW w:w="6532" w:type="dxa"/>
            <w:vAlign w:val="center"/>
          </w:tcPr>
          <w:p w14:paraId="0FA36E22">
            <w:pPr>
              <w:pStyle w:val="42"/>
            </w:pPr>
            <w:r>
              <w:rPr>
                <w:rFonts w:hint="eastAsia"/>
              </w:rPr>
              <w:t>不召开</w:t>
            </w:r>
          </w:p>
        </w:tc>
      </w:tr>
      <w:tr w14:paraId="1E70CC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786" w:type="dxa"/>
            <w:vAlign w:val="center"/>
          </w:tcPr>
          <w:p w14:paraId="3A063987">
            <w:pPr>
              <w:pStyle w:val="42"/>
              <w:jc w:val="center"/>
            </w:pPr>
            <w:r>
              <w:rPr>
                <w:rFonts w:hint="eastAsia"/>
              </w:rPr>
              <w:t>5</w:t>
            </w:r>
          </w:p>
        </w:tc>
        <w:tc>
          <w:tcPr>
            <w:tcW w:w="1660" w:type="dxa"/>
            <w:vAlign w:val="center"/>
          </w:tcPr>
          <w:p w14:paraId="191D54F9">
            <w:pPr>
              <w:pStyle w:val="42"/>
            </w:pPr>
            <w:r>
              <w:rPr>
                <w:rFonts w:hint="eastAsia"/>
              </w:rPr>
              <w:t>评标办法</w:t>
            </w:r>
          </w:p>
        </w:tc>
        <w:tc>
          <w:tcPr>
            <w:tcW w:w="6532" w:type="dxa"/>
            <w:vAlign w:val="center"/>
          </w:tcPr>
          <w:p w14:paraId="3251F7CC">
            <w:pPr>
              <w:pStyle w:val="42"/>
            </w:pPr>
            <w:r>
              <w:rPr>
                <w:rFonts w:hint="eastAsia"/>
              </w:rPr>
              <w:t>综合评分法</w:t>
            </w:r>
          </w:p>
        </w:tc>
      </w:tr>
      <w:tr w14:paraId="579B25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786" w:type="dxa"/>
            <w:vAlign w:val="center"/>
          </w:tcPr>
          <w:p w14:paraId="07D7E297">
            <w:pPr>
              <w:pStyle w:val="42"/>
              <w:jc w:val="center"/>
            </w:pPr>
            <w:r>
              <w:rPr>
                <w:rFonts w:hint="eastAsia"/>
              </w:rPr>
              <w:t>6</w:t>
            </w:r>
          </w:p>
        </w:tc>
        <w:tc>
          <w:tcPr>
            <w:tcW w:w="1660" w:type="dxa"/>
            <w:vAlign w:val="center"/>
          </w:tcPr>
          <w:p w14:paraId="0D15B09C">
            <w:pPr>
              <w:pStyle w:val="42"/>
            </w:pPr>
            <w:r>
              <w:rPr>
                <w:rFonts w:hint="eastAsia"/>
              </w:rPr>
              <w:t>磋商小组</w:t>
            </w:r>
            <w:r>
              <w:t>人员</w:t>
            </w:r>
          </w:p>
        </w:tc>
        <w:tc>
          <w:tcPr>
            <w:tcW w:w="6532" w:type="dxa"/>
            <w:vAlign w:val="center"/>
          </w:tcPr>
          <w:p w14:paraId="7598816D">
            <w:pPr>
              <w:pStyle w:val="42"/>
            </w:pPr>
            <w:r>
              <w:t>共</w:t>
            </w:r>
            <w:r>
              <w:rPr>
                <w:rFonts w:hint="eastAsia"/>
                <w:lang w:val="en-US"/>
              </w:rPr>
              <w:t>3</w:t>
            </w:r>
            <w:r>
              <w:rPr>
                <w:rFonts w:hint="eastAsia"/>
              </w:rPr>
              <w:t>人组成</w:t>
            </w:r>
          </w:p>
        </w:tc>
      </w:tr>
      <w:tr w14:paraId="587B63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786" w:type="dxa"/>
            <w:vAlign w:val="center"/>
          </w:tcPr>
          <w:p w14:paraId="2350EF7F">
            <w:pPr>
              <w:pStyle w:val="42"/>
              <w:jc w:val="center"/>
            </w:pPr>
            <w:r>
              <w:rPr>
                <w:rFonts w:hint="eastAsia"/>
              </w:rPr>
              <w:t>7</w:t>
            </w:r>
          </w:p>
        </w:tc>
        <w:tc>
          <w:tcPr>
            <w:tcW w:w="1660" w:type="dxa"/>
            <w:vAlign w:val="center"/>
          </w:tcPr>
          <w:p w14:paraId="4F18BF3D">
            <w:pPr>
              <w:pStyle w:val="42"/>
            </w:pPr>
            <w:r>
              <w:rPr>
                <w:rFonts w:hint="eastAsia"/>
              </w:rPr>
              <w:t>磋商有效期</w:t>
            </w:r>
          </w:p>
        </w:tc>
        <w:tc>
          <w:tcPr>
            <w:tcW w:w="6532" w:type="dxa"/>
            <w:vAlign w:val="center"/>
          </w:tcPr>
          <w:p w14:paraId="09EE9E12">
            <w:pPr>
              <w:pStyle w:val="42"/>
            </w:pPr>
            <w:r>
              <w:rPr>
                <w:rFonts w:hint="eastAsia"/>
              </w:rPr>
              <w:t>自开启响应文件之日起90个日历天</w:t>
            </w:r>
          </w:p>
        </w:tc>
      </w:tr>
      <w:tr w14:paraId="65676D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786" w:type="dxa"/>
            <w:vAlign w:val="center"/>
          </w:tcPr>
          <w:p w14:paraId="42F33BC9">
            <w:pPr>
              <w:pStyle w:val="42"/>
              <w:jc w:val="center"/>
            </w:pPr>
            <w:r>
              <w:rPr>
                <w:rFonts w:hint="eastAsia"/>
              </w:rPr>
              <w:t>8</w:t>
            </w:r>
          </w:p>
        </w:tc>
        <w:tc>
          <w:tcPr>
            <w:tcW w:w="1660" w:type="dxa"/>
            <w:vAlign w:val="center"/>
          </w:tcPr>
          <w:p w14:paraId="76AFF57E">
            <w:pPr>
              <w:pStyle w:val="42"/>
            </w:pPr>
            <w:r>
              <w:rPr>
                <w:rFonts w:hint="eastAsia"/>
              </w:rPr>
              <w:t>分包情况</w:t>
            </w:r>
          </w:p>
        </w:tc>
        <w:tc>
          <w:tcPr>
            <w:tcW w:w="6532" w:type="dxa"/>
            <w:vAlign w:val="center"/>
          </w:tcPr>
          <w:p w14:paraId="21E94CF9">
            <w:pPr>
              <w:pStyle w:val="42"/>
            </w:pPr>
            <w:r>
              <w:rPr>
                <w:rFonts w:hint="eastAsia"/>
              </w:rPr>
              <w:t>不允许</w:t>
            </w:r>
          </w:p>
        </w:tc>
      </w:tr>
      <w:tr w14:paraId="754F9F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786" w:type="dxa"/>
            <w:vAlign w:val="center"/>
          </w:tcPr>
          <w:p w14:paraId="6DD5CF77">
            <w:pPr>
              <w:pStyle w:val="42"/>
              <w:jc w:val="center"/>
            </w:pPr>
            <w:r>
              <w:rPr>
                <w:rFonts w:hint="eastAsia"/>
              </w:rPr>
              <w:t>9</w:t>
            </w:r>
          </w:p>
        </w:tc>
        <w:tc>
          <w:tcPr>
            <w:tcW w:w="1660" w:type="dxa"/>
            <w:vAlign w:val="center"/>
          </w:tcPr>
          <w:p w14:paraId="180F1BCB">
            <w:pPr>
              <w:pStyle w:val="42"/>
            </w:pPr>
            <w:r>
              <w:t>磋商保证金</w:t>
            </w:r>
          </w:p>
        </w:tc>
        <w:tc>
          <w:tcPr>
            <w:tcW w:w="6532" w:type="dxa"/>
            <w:vAlign w:val="center"/>
          </w:tcPr>
          <w:p w14:paraId="5A007F61">
            <w:pPr>
              <w:pStyle w:val="42"/>
            </w:pPr>
            <w:r>
              <w:t>不收取</w:t>
            </w:r>
          </w:p>
        </w:tc>
      </w:tr>
      <w:tr w14:paraId="367FA1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786" w:type="dxa"/>
            <w:vAlign w:val="center"/>
          </w:tcPr>
          <w:p w14:paraId="53C690C3">
            <w:pPr>
              <w:pStyle w:val="42"/>
              <w:jc w:val="center"/>
            </w:pPr>
            <w:r>
              <w:rPr>
                <w:rFonts w:hint="eastAsia"/>
              </w:rPr>
              <w:t>10</w:t>
            </w:r>
          </w:p>
        </w:tc>
        <w:tc>
          <w:tcPr>
            <w:tcW w:w="1660" w:type="dxa"/>
            <w:vAlign w:val="center"/>
          </w:tcPr>
          <w:p w14:paraId="7730ACBD">
            <w:pPr>
              <w:pStyle w:val="42"/>
            </w:pPr>
            <w:r>
              <w:rPr>
                <w:rFonts w:hint="eastAsia"/>
              </w:rPr>
              <w:t>踏勘现场</w:t>
            </w:r>
          </w:p>
        </w:tc>
        <w:tc>
          <w:tcPr>
            <w:tcW w:w="6532" w:type="dxa"/>
            <w:vAlign w:val="center"/>
          </w:tcPr>
          <w:p w14:paraId="502B2C86">
            <w:pPr>
              <w:pStyle w:val="42"/>
            </w:pPr>
            <w:r>
              <w:rPr>
                <w:rFonts w:hint="eastAsia"/>
              </w:rPr>
              <w:t>采购人不组织现场踏勘。</w:t>
            </w:r>
          </w:p>
        </w:tc>
      </w:tr>
      <w:tr w14:paraId="37169B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786" w:type="dxa"/>
            <w:vAlign w:val="center"/>
          </w:tcPr>
          <w:p w14:paraId="100ECDF5">
            <w:pPr>
              <w:pStyle w:val="42"/>
              <w:jc w:val="center"/>
            </w:pPr>
            <w:r>
              <w:rPr>
                <w:rFonts w:hint="eastAsia"/>
              </w:rPr>
              <w:t>11</w:t>
            </w:r>
          </w:p>
        </w:tc>
        <w:tc>
          <w:tcPr>
            <w:tcW w:w="1660" w:type="dxa"/>
            <w:vAlign w:val="center"/>
          </w:tcPr>
          <w:p w14:paraId="5D56F686">
            <w:pPr>
              <w:pStyle w:val="42"/>
            </w:pPr>
            <w:r>
              <w:t>构成竞争性磋商文件的其他材料</w:t>
            </w:r>
          </w:p>
        </w:tc>
        <w:tc>
          <w:tcPr>
            <w:tcW w:w="6532" w:type="dxa"/>
            <w:vAlign w:val="center"/>
          </w:tcPr>
          <w:p w14:paraId="6DABBC14">
            <w:pPr>
              <w:pStyle w:val="42"/>
            </w:pPr>
            <w:r>
              <w:t>补充、更正公告</w:t>
            </w:r>
          </w:p>
        </w:tc>
      </w:tr>
      <w:tr w14:paraId="759A87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786" w:type="dxa"/>
            <w:vAlign w:val="center"/>
          </w:tcPr>
          <w:p w14:paraId="7DD0A96C">
            <w:pPr>
              <w:pStyle w:val="42"/>
              <w:jc w:val="center"/>
            </w:pPr>
            <w:r>
              <w:rPr>
                <w:rFonts w:hint="eastAsia"/>
              </w:rPr>
              <w:t>12</w:t>
            </w:r>
          </w:p>
        </w:tc>
        <w:tc>
          <w:tcPr>
            <w:tcW w:w="1660" w:type="dxa"/>
            <w:vAlign w:val="center"/>
          </w:tcPr>
          <w:p w14:paraId="52AB64A5">
            <w:pPr>
              <w:pStyle w:val="42"/>
            </w:pPr>
            <w:r>
              <w:rPr>
                <w:rFonts w:hint="eastAsia"/>
              </w:rPr>
              <w:t>资格审查方式</w:t>
            </w:r>
          </w:p>
        </w:tc>
        <w:tc>
          <w:tcPr>
            <w:tcW w:w="6532" w:type="dxa"/>
            <w:vAlign w:val="center"/>
          </w:tcPr>
          <w:p w14:paraId="18A9B9DC">
            <w:pPr>
              <w:pStyle w:val="42"/>
            </w:pPr>
            <w:r>
              <w:rPr>
                <w:rFonts w:hint="eastAsia"/>
              </w:rPr>
              <w:t>资格审查是指在磋商小组根据采购文件的规定对投标供应商的资格性、符合性要求进行的审查，资格审查不合格的投标供应商，其投标作无效标处理。</w:t>
            </w:r>
          </w:p>
        </w:tc>
      </w:tr>
      <w:tr w14:paraId="46AC31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41" w:hRule="atLeast"/>
          <w:jc w:val="center"/>
        </w:trPr>
        <w:tc>
          <w:tcPr>
            <w:tcW w:w="786" w:type="dxa"/>
            <w:vAlign w:val="center"/>
          </w:tcPr>
          <w:p w14:paraId="778614F6">
            <w:pPr>
              <w:pStyle w:val="42"/>
              <w:jc w:val="center"/>
            </w:pPr>
            <w:r>
              <w:rPr>
                <w:rFonts w:hint="eastAsia"/>
              </w:rPr>
              <w:t>13</w:t>
            </w:r>
          </w:p>
        </w:tc>
        <w:tc>
          <w:tcPr>
            <w:tcW w:w="1660" w:type="dxa"/>
            <w:vAlign w:val="center"/>
          </w:tcPr>
          <w:p w14:paraId="2A3DDFA5">
            <w:pPr>
              <w:pStyle w:val="42"/>
            </w:pPr>
            <w:r>
              <w:t>询问与答复</w:t>
            </w:r>
          </w:p>
        </w:tc>
        <w:tc>
          <w:tcPr>
            <w:tcW w:w="6532" w:type="dxa"/>
            <w:vAlign w:val="center"/>
          </w:tcPr>
          <w:p w14:paraId="1F401A46">
            <w:pPr>
              <w:pStyle w:val="42"/>
            </w:pPr>
            <w:r>
              <w:t>潜在供应商对竞争性磋商公告</w:t>
            </w:r>
            <w:r>
              <w:rPr>
                <w:rFonts w:hint="eastAsia"/>
              </w:rPr>
              <w:t>、</w:t>
            </w:r>
            <w:r>
              <w:t>竞争性磋商文件有疑问的</w:t>
            </w:r>
            <w:r>
              <w:rPr>
                <w:rFonts w:hint="eastAsia"/>
              </w:rPr>
              <w:t>，在202</w:t>
            </w:r>
            <w:r>
              <w:rPr>
                <w:rFonts w:hint="eastAsia"/>
                <w:lang w:val="en-US"/>
              </w:rPr>
              <w:t>3</w:t>
            </w:r>
            <w:r>
              <w:rPr>
                <w:rFonts w:hint="eastAsia"/>
              </w:rPr>
              <w:t>年</w:t>
            </w:r>
            <w:r>
              <w:rPr>
                <w:rFonts w:hint="eastAsia"/>
                <w:lang w:val="en-US" w:eastAsia="zh-CN"/>
              </w:rPr>
              <w:t>9</w:t>
            </w:r>
            <w:r>
              <w:rPr>
                <w:rFonts w:hint="eastAsia"/>
              </w:rPr>
              <w:t>月</w:t>
            </w:r>
            <w:r>
              <w:rPr>
                <w:rFonts w:hint="eastAsia"/>
                <w:lang w:val="en-US" w:eastAsia="zh-CN"/>
              </w:rPr>
              <w:t>25</w:t>
            </w:r>
            <w:r>
              <w:rPr>
                <w:rFonts w:hint="eastAsia"/>
              </w:rPr>
              <w:t>日</w:t>
            </w:r>
            <w:r>
              <w:rPr>
                <w:lang w:val="en-US"/>
              </w:rPr>
              <w:t>12:00</w:t>
            </w:r>
            <w:r>
              <w:rPr>
                <w:rFonts w:hint="eastAsia"/>
              </w:rPr>
              <w:t>时前以书面形式向采购人和采购代理机构提出询问，逾期提出不予受理。如需修改或补充的，采购代理机构以补充公告形式于20</w:t>
            </w:r>
            <w:r>
              <w:rPr>
                <w:rFonts w:hint="eastAsia"/>
                <w:lang w:val="en-US"/>
              </w:rPr>
              <w:t>23</w:t>
            </w:r>
            <w:r>
              <w:rPr>
                <w:rFonts w:hint="eastAsia"/>
              </w:rPr>
              <w:t>年</w:t>
            </w:r>
            <w:r>
              <w:rPr>
                <w:rFonts w:hint="eastAsia"/>
                <w:lang w:val="en-US" w:eastAsia="zh-CN"/>
              </w:rPr>
              <w:t>9</w:t>
            </w:r>
            <w:r>
              <w:rPr>
                <w:rFonts w:hint="eastAsia"/>
              </w:rPr>
              <w:t>月</w:t>
            </w:r>
            <w:r>
              <w:rPr>
                <w:rFonts w:hint="eastAsia"/>
                <w:lang w:val="en-US" w:eastAsia="zh-CN"/>
              </w:rPr>
              <w:t>25</w:t>
            </w:r>
            <w:r>
              <w:rPr>
                <w:rFonts w:hint="eastAsia"/>
              </w:rPr>
              <w:t>日</w:t>
            </w:r>
            <w:r>
              <w:rPr>
                <w:rFonts w:hint="eastAsia"/>
                <w:lang w:val="en-US"/>
              </w:rPr>
              <w:t>17:00</w:t>
            </w:r>
            <w:r>
              <w:rPr>
                <w:rFonts w:hint="eastAsia"/>
              </w:rPr>
              <w:t>时在浙江政府采购网公告。</w:t>
            </w:r>
          </w:p>
        </w:tc>
      </w:tr>
      <w:tr w14:paraId="14DC6E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786" w:type="dxa"/>
            <w:vAlign w:val="center"/>
          </w:tcPr>
          <w:p w14:paraId="4B75B7D1">
            <w:pPr>
              <w:pStyle w:val="42"/>
              <w:jc w:val="center"/>
            </w:pPr>
            <w:r>
              <w:rPr>
                <w:rFonts w:hint="eastAsia"/>
              </w:rPr>
              <w:t>14</w:t>
            </w:r>
          </w:p>
        </w:tc>
        <w:tc>
          <w:tcPr>
            <w:tcW w:w="1660" w:type="dxa"/>
            <w:vAlign w:val="center"/>
          </w:tcPr>
          <w:p w14:paraId="479F8C46">
            <w:pPr>
              <w:pStyle w:val="42"/>
            </w:pPr>
            <w:r>
              <w:t>最高限价（元）</w:t>
            </w:r>
          </w:p>
        </w:tc>
        <w:tc>
          <w:tcPr>
            <w:tcW w:w="6532" w:type="dxa"/>
            <w:vAlign w:val="center"/>
          </w:tcPr>
          <w:p w14:paraId="244F5512">
            <w:pPr>
              <w:pStyle w:val="42"/>
              <w:rPr>
                <w:lang w:val="en-US"/>
              </w:rPr>
            </w:pPr>
            <w:r>
              <w:rPr>
                <w:rFonts w:hint="eastAsia"/>
                <w:lang w:val="en-US"/>
              </w:rPr>
              <w:t>520000</w:t>
            </w:r>
          </w:p>
        </w:tc>
      </w:tr>
      <w:tr w14:paraId="251CDC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786" w:type="dxa"/>
            <w:vAlign w:val="center"/>
          </w:tcPr>
          <w:p w14:paraId="7C16D7C1">
            <w:pPr>
              <w:pStyle w:val="42"/>
              <w:jc w:val="center"/>
            </w:pPr>
            <w:r>
              <w:t>15</w:t>
            </w:r>
          </w:p>
        </w:tc>
        <w:tc>
          <w:tcPr>
            <w:tcW w:w="1660" w:type="dxa"/>
            <w:vAlign w:val="center"/>
          </w:tcPr>
          <w:p w14:paraId="03600B92">
            <w:pPr>
              <w:pStyle w:val="42"/>
            </w:pPr>
            <w:r>
              <w:t>磋商报价范围</w:t>
            </w:r>
          </w:p>
        </w:tc>
        <w:tc>
          <w:tcPr>
            <w:tcW w:w="6532" w:type="dxa"/>
            <w:vAlign w:val="center"/>
          </w:tcPr>
          <w:p w14:paraId="7F11F940">
            <w:pPr>
              <w:pStyle w:val="42"/>
            </w:pPr>
            <w:r>
              <w:t>是指投标人在依法履行合同义务后采购人应支付服务价格，</w:t>
            </w:r>
            <w:r>
              <w:rPr>
                <w:rFonts w:hint="eastAsia"/>
                <w:lang w:val="en-GB"/>
              </w:rPr>
              <w:t>报价</w:t>
            </w:r>
            <w:r>
              <w:rPr>
                <w:rFonts w:hint="eastAsia"/>
              </w:rPr>
              <w:t>包括员工工资：含基本工资、岗位补贴、加班补贴、福利费、含社会保险、人身意外保险、医疗互助费用、餐费补贴、项目管理费</w:t>
            </w:r>
            <w:r>
              <w:rPr>
                <w:rFonts w:hint="eastAsia"/>
                <w:lang w:val="en-US"/>
              </w:rPr>
              <w:t>、税费、服装、利润、雇主责任险、交通险及完成合</w:t>
            </w:r>
            <w:r>
              <w:rPr>
                <w:rFonts w:hint="eastAsia"/>
              </w:rPr>
              <w:t>同所需的一切本身和不可或缺的其它开支、政策性文件规定及所有风险、责任等各项费用、</w:t>
            </w:r>
            <w:r>
              <w:rPr>
                <w:rFonts w:hint="eastAsia"/>
                <w:lang w:val="en-US"/>
              </w:rPr>
              <w:t>代理费</w:t>
            </w:r>
            <w:r>
              <w:rPr>
                <w:rFonts w:hint="eastAsia"/>
              </w:rPr>
              <w:t>及合同实施过程中的应预见和不可预见费用等，报价单中不得漏填项目如有漏项，视同已包含在其总项目中，合同总价不</w:t>
            </w:r>
            <w:r>
              <w:rPr>
                <w:rFonts w:hint="eastAsia"/>
                <w:lang w:val="en-US"/>
              </w:rPr>
              <w:t>作</w:t>
            </w:r>
            <w:r>
              <w:rPr>
                <w:rFonts w:hint="eastAsia"/>
              </w:rPr>
              <w:t>调整。</w:t>
            </w:r>
          </w:p>
        </w:tc>
      </w:tr>
      <w:tr w14:paraId="0D39D9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786" w:type="dxa"/>
            <w:vAlign w:val="center"/>
          </w:tcPr>
          <w:p w14:paraId="6B7C5E71">
            <w:pPr>
              <w:pStyle w:val="42"/>
              <w:jc w:val="center"/>
            </w:pPr>
            <w:r>
              <w:t>16</w:t>
            </w:r>
          </w:p>
        </w:tc>
        <w:tc>
          <w:tcPr>
            <w:tcW w:w="1660" w:type="dxa"/>
            <w:vAlign w:val="center"/>
          </w:tcPr>
          <w:p w14:paraId="0D603407">
            <w:pPr>
              <w:pStyle w:val="42"/>
            </w:pPr>
            <w:r>
              <w:t>磋商报价次数</w:t>
            </w:r>
          </w:p>
        </w:tc>
        <w:tc>
          <w:tcPr>
            <w:tcW w:w="6532" w:type="dxa"/>
            <w:vAlign w:val="center"/>
          </w:tcPr>
          <w:p w14:paraId="633CAD53">
            <w:pPr>
              <w:pStyle w:val="42"/>
            </w:pPr>
            <w:r>
              <w:t>磋商次数由</w:t>
            </w:r>
            <w:r>
              <w:rPr>
                <w:rFonts w:hint="eastAsia"/>
              </w:rPr>
              <w:t>磋商小组</w:t>
            </w:r>
            <w:r>
              <w:t>根据磋商情况决定。有一轮及以上报价的，当前报价不得高于对该项目之前的报价，且不得高于采购预算。否则，</w:t>
            </w:r>
            <w:r>
              <w:rPr>
                <w:rFonts w:hint="eastAsia"/>
              </w:rPr>
              <w:t>磋商小组</w:t>
            </w:r>
            <w:r>
              <w:t>按无效报价处理。</w:t>
            </w:r>
          </w:p>
        </w:tc>
      </w:tr>
      <w:tr w14:paraId="42CFB4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49" w:hRule="atLeast"/>
          <w:jc w:val="center"/>
        </w:trPr>
        <w:tc>
          <w:tcPr>
            <w:tcW w:w="786" w:type="dxa"/>
            <w:vAlign w:val="center"/>
          </w:tcPr>
          <w:p w14:paraId="23895E58">
            <w:pPr>
              <w:pStyle w:val="42"/>
              <w:jc w:val="center"/>
            </w:pPr>
            <w:r>
              <w:rPr>
                <w:rFonts w:hint="eastAsia"/>
              </w:rPr>
              <w:t>17</w:t>
            </w:r>
          </w:p>
        </w:tc>
        <w:tc>
          <w:tcPr>
            <w:tcW w:w="1660" w:type="dxa"/>
            <w:vAlign w:val="center"/>
          </w:tcPr>
          <w:p w14:paraId="6C646797">
            <w:pPr>
              <w:pStyle w:val="42"/>
            </w:pPr>
            <w:r>
              <w:t>响应文件形式</w:t>
            </w:r>
            <w:r>
              <w:rPr>
                <w:rFonts w:hint="eastAsia"/>
              </w:rPr>
              <w:t>、</w:t>
            </w:r>
            <w:r>
              <w:t>制作</w:t>
            </w:r>
          </w:p>
        </w:tc>
        <w:tc>
          <w:tcPr>
            <w:tcW w:w="6532" w:type="dxa"/>
            <w:vAlign w:val="center"/>
          </w:tcPr>
          <w:p w14:paraId="16D7F59C">
            <w:pPr>
              <w:pStyle w:val="42"/>
            </w:pPr>
            <w:r>
              <w:rPr>
                <w:rFonts w:hint="eastAsia"/>
              </w:rPr>
              <w:t>1.形式：电子响应文件</w:t>
            </w:r>
          </w:p>
          <w:p w14:paraId="632A3A6C">
            <w:pPr>
              <w:pStyle w:val="42"/>
            </w:pPr>
            <w:r>
              <w:rPr>
                <w:rFonts w:hint="eastAsia"/>
              </w:rPr>
              <w:t>2.制作：</w:t>
            </w:r>
          </w:p>
          <w:p w14:paraId="4D418DE3">
            <w:pPr>
              <w:pStyle w:val="42"/>
            </w:pPr>
            <w:r>
              <w:rPr>
                <w:rFonts w:hint="eastAsia"/>
              </w:rPr>
              <w:t>2.1政采云电子交易客户端：通过浙江政府采购网（网址：</w:t>
            </w:r>
          </w:p>
          <w:p w14:paraId="22F8848B">
            <w:pPr>
              <w:pStyle w:val="42"/>
            </w:pPr>
            <w:r>
              <w:rPr>
                <w:rFonts w:hint="eastAsia"/>
                <w:lang w:val="en-US"/>
              </w:rPr>
              <w:t>https:</w:t>
            </w:r>
            <w:r>
              <w:t>//zfcg.czt.zj.gov.cn/bidClientTemplate/2021-01-07/12975.html</w:t>
            </w:r>
            <w:r>
              <w:rPr>
                <w:rFonts w:hint="eastAsia"/>
              </w:rPr>
              <w:t>）-下载专区下载并安装。</w:t>
            </w:r>
          </w:p>
          <w:p w14:paraId="1F6E91AE">
            <w:pPr>
              <w:pStyle w:val="42"/>
            </w:pPr>
            <w:r>
              <w:rPr>
                <w:rFonts w:hint="eastAsia"/>
              </w:rPr>
              <w:t>2.2响应文件制作：按照本竞争性磋商文件和政采云平台的要求，通过政采云电子交易客户端制作并加密响应文件。制作响应文件，具体详情请查看《【浙江省】供应商-政府采购项目电子交易操作视频》网址：</w:t>
            </w:r>
            <w:r>
              <w:t>https</w:t>
            </w:r>
            <w:r>
              <w:rPr>
                <w:rFonts w:hint="eastAsia"/>
              </w:rPr>
              <w:t>：</w:t>
            </w:r>
            <w:r>
              <w:t>//service.zcygov.cn/#/</w:t>
            </w:r>
            <w:r>
              <w:rPr>
                <w:rFonts w:hint="eastAsia"/>
              </w:rPr>
              <w:t>；电子投标具体流程文档网址：</w:t>
            </w:r>
            <w:r>
              <w:t>https</w:t>
            </w:r>
            <w:r>
              <w:rPr>
                <w:rFonts w:hint="eastAsia"/>
              </w:rPr>
              <w:t>：</w:t>
            </w:r>
            <w:r>
              <w:t>//service.zcygov.cn/#/</w:t>
            </w:r>
          </w:p>
          <w:p w14:paraId="50626F40">
            <w:pPr>
              <w:pStyle w:val="42"/>
            </w:pPr>
            <w:r>
              <w:rPr>
                <w:rFonts w:hint="eastAsia"/>
              </w:rPr>
              <w:t>2.3签章：CA电子签章</w:t>
            </w:r>
          </w:p>
          <w:p w14:paraId="1C8CC221">
            <w:pPr>
              <w:pStyle w:val="42"/>
            </w:pPr>
            <w:r>
              <w:rPr>
                <w:rFonts w:hint="eastAsia"/>
              </w:rPr>
              <w:t>3.幅面规格：采用A4纸规格（图页除外）</w:t>
            </w:r>
          </w:p>
        </w:tc>
      </w:tr>
      <w:tr w14:paraId="116C38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786" w:type="dxa"/>
            <w:vAlign w:val="center"/>
          </w:tcPr>
          <w:p w14:paraId="10BD1275">
            <w:pPr>
              <w:pStyle w:val="42"/>
              <w:jc w:val="center"/>
            </w:pPr>
            <w:r>
              <w:rPr>
                <w:rFonts w:hint="eastAsia"/>
              </w:rPr>
              <w:t>18</w:t>
            </w:r>
          </w:p>
        </w:tc>
        <w:tc>
          <w:tcPr>
            <w:tcW w:w="1660" w:type="dxa"/>
            <w:vAlign w:val="center"/>
          </w:tcPr>
          <w:p w14:paraId="45E1D417">
            <w:pPr>
              <w:pStyle w:val="42"/>
            </w:pPr>
            <w:r>
              <w:t>提交响应文件</w:t>
            </w:r>
          </w:p>
        </w:tc>
        <w:tc>
          <w:tcPr>
            <w:tcW w:w="6532" w:type="dxa"/>
            <w:vAlign w:val="center"/>
          </w:tcPr>
          <w:p w14:paraId="1E6D8BF9">
            <w:pPr>
              <w:pStyle w:val="42"/>
            </w:pPr>
            <w:r>
              <w:t>1.截止时间：</w:t>
            </w:r>
            <w:r>
              <w:rPr>
                <w:rFonts w:hint="eastAsia"/>
                <w:lang w:eastAsia="zh-CN"/>
              </w:rPr>
              <w:t>2024年9月29日14:30时</w:t>
            </w:r>
            <w:r>
              <w:t>（北京时间）前完成响应文件的上传提交。响应截止时间前未完成上传的，视为撤回响应文件。</w:t>
            </w:r>
          </w:p>
          <w:p w14:paraId="7AD467A3">
            <w:pPr>
              <w:pStyle w:val="42"/>
            </w:pPr>
            <w:r>
              <w:t>2.地址：政采云平台。</w:t>
            </w:r>
          </w:p>
        </w:tc>
      </w:tr>
      <w:tr w14:paraId="2A6BEC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93" w:hRule="atLeast"/>
          <w:jc w:val="center"/>
        </w:trPr>
        <w:tc>
          <w:tcPr>
            <w:tcW w:w="786" w:type="dxa"/>
            <w:vAlign w:val="center"/>
          </w:tcPr>
          <w:p w14:paraId="5C8AE80A">
            <w:pPr>
              <w:pStyle w:val="42"/>
              <w:jc w:val="center"/>
            </w:pPr>
            <w:r>
              <w:rPr>
                <w:rFonts w:hint="eastAsia"/>
              </w:rPr>
              <w:t>19</w:t>
            </w:r>
          </w:p>
        </w:tc>
        <w:tc>
          <w:tcPr>
            <w:tcW w:w="1660" w:type="dxa"/>
            <w:vAlign w:val="center"/>
          </w:tcPr>
          <w:p w14:paraId="087CBF6E">
            <w:pPr>
              <w:pStyle w:val="42"/>
            </w:pPr>
            <w:r>
              <w:t>提交备份响应文件</w:t>
            </w:r>
          </w:p>
        </w:tc>
        <w:tc>
          <w:tcPr>
            <w:tcW w:w="6532" w:type="dxa"/>
            <w:vAlign w:val="center"/>
          </w:tcPr>
          <w:p w14:paraId="7469D299">
            <w:pPr>
              <w:pStyle w:val="42"/>
            </w:pPr>
            <w:r>
              <w:t>供应商可以在响应截止时间前将备份响应文件（经政采云电子交易客户端和CA驱动制作出的后缀名为</w:t>
            </w:r>
            <w:r>
              <w:rPr>
                <w:rFonts w:hint="eastAsia"/>
              </w:rPr>
              <w:t>“</w:t>
            </w:r>
            <w:r>
              <w:t>BFBS</w:t>
            </w:r>
            <w:r>
              <w:rPr>
                <w:rFonts w:hint="eastAsia"/>
              </w:rPr>
              <w:t>”</w:t>
            </w:r>
            <w:r>
              <w:t>的加密备份投标文件）发送至邮箱：</w:t>
            </w:r>
            <w:r>
              <w:rPr>
                <w:rFonts w:hint="eastAsia"/>
              </w:rPr>
              <w:t>549607085</w:t>
            </w:r>
            <w:r>
              <w:t>@qq.com，邮件内容写上单位名称，逾期发送或发错后缀名的备份响应文件将被视为无效；备份响应文件的提交不作强制要求，若因供应商未提供备份响应文件而造成响应无效等一切后果和风险由供应商自行承担。</w:t>
            </w:r>
          </w:p>
        </w:tc>
      </w:tr>
      <w:tr w14:paraId="221D41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93" w:hRule="atLeast"/>
          <w:jc w:val="center"/>
        </w:trPr>
        <w:tc>
          <w:tcPr>
            <w:tcW w:w="786" w:type="dxa"/>
            <w:vAlign w:val="center"/>
          </w:tcPr>
          <w:p w14:paraId="360FECC0">
            <w:pPr>
              <w:pStyle w:val="42"/>
              <w:jc w:val="center"/>
            </w:pPr>
            <w:r>
              <w:rPr>
                <w:rFonts w:hint="eastAsia"/>
              </w:rPr>
              <w:t>20</w:t>
            </w:r>
          </w:p>
        </w:tc>
        <w:tc>
          <w:tcPr>
            <w:tcW w:w="1660" w:type="dxa"/>
            <w:vAlign w:val="center"/>
          </w:tcPr>
          <w:p w14:paraId="0E6C4FE3">
            <w:pPr>
              <w:pStyle w:val="42"/>
            </w:pPr>
            <w:r>
              <w:rPr>
                <w:rFonts w:hint="eastAsia"/>
              </w:rPr>
              <w:t>开标时间和地址</w:t>
            </w:r>
          </w:p>
        </w:tc>
        <w:tc>
          <w:tcPr>
            <w:tcW w:w="6532" w:type="dxa"/>
            <w:vAlign w:val="center"/>
          </w:tcPr>
          <w:p w14:paraId="13BA73DC">
            <w:pPr>
              <w:pStyle w:val="42"/>
            </w:pPr>
            <w:r>
              <w:rPr>
                <w:rFonts w:hint="eastAsia"/>
              </w:rPr>
              <w:t>1.时间：</w:t>
            </w:r>
            <w:r>
              <w:rPr>
                <w:rFonts w:hint="eastAsia"/>
                <w:lang w:eastAsia="zh-CN"/>
              </w:rPr>
              <w:t>2024年9月29日14:30时</w:t>
            </w:r>
            <w:r>
              <w:rPr>
                <w:rFonts w:hint="eastAsia"/>
              </w:rPr>
              <w:t>（北京时间）</w:t>
            </w:r>
          </w:p>
          <w:p w14:paraId="61C2D671">
            <w:pPr>
              <w:pStyle w:val="42"/>
            </w:pPr>
            <w:r>
              <w:rPr>
                <w:rFonts w:hint="eastAsia"/>
              </w:rPr>
              <w:t>2.地址：政采云平台</w:t>
            </w:r>
          </w:p>
          <w:p w14:paraId="08F301F3">
            <w:pPr>
              <w:pStyle w:val="42"/>
            </w:pPr>
            <w:r>
              <w:rPr>
                <w:rFonts w:hint="eastAsia"/>
              </w:rPr>
              <w:t>3.注意事项：本项目不要求供应商到开标现场开标，供应商应由法定代表人或委托代理人准时在线参加。随时关注磋商进度，如在磋商过程中有电子询标，应在规定时间内对电子询标函进行澄清、答复。否则视同认可磋商结果，不得对磋商过程及磋商结果提出质疑。</w:t>
            </w:r>
          </w:p>
        </w:tc>
      </w:tr>
      <w:tr w14:paraId="6227BE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786" w:type="dxa"/>
            <w:vAlign w:val="center"/>
          </w:tcPr>
          <w:p w14:paraId="5D2835AC">
            <w:pPr>
              <w:pStyle w:val="42"/>
              <w:jc w:val="center"/>
            </w:pPr>
            <w:r>
              <w:rPr>
                <w:rFonts w:hint="eastAsia"/>
              </w:rPr>
              <w:t>21</w:t>
            </w:r>
          </w:p>
        </w:tc>
        <w:tc>
          <w:tcPr>
            <w:tcW w:w="1660" w:type="dxa"/>
            <w:vAlign w:val="center"/>
          </w:tcPr>
          <w:p w14:paraId="6B92296E">
            <w:pPr>
              <w:pStyle w:val="42"/>
            </w:pPr>
            <w:r>
              <w:t>响应文件的效力</w:t>
            </w:r>
          </w:p>
        </w:tc>
        <w:tc>
          <w:tcPr>
            <w:tcW w:w="6532" w:type="dxa"/>
            <w:vAlign w:val="center"/>
          </w:tcPr>
          <w:p w14:paraId="304E4C9A">
            <w:pPr>
              <w:pStyle w:val="42"/>
            </w:pPr>
            <w:r>
              <w:t>响应文件的启用顺序</w:t>
            </w:r>
            <w:r>
              <w:rPr>
                <w:rFonts w:hint="eastAsia"/>
              </w:rPr>
              <w:t>：</w:t>
            </w:r>
            <w:r>
              <w:t>首先是响应文件</w:t>
            </w:r>
            <w:r>
              <w:rPr>
                <w:rFonts w:hint="eastAsia"/>
              </w:rPr>
              <w:t>，</w:t>
            </w:r>
            <w:r>
              <w:t>其次是备份响应文件</w:t>
            </w:r>
            <w:r>
              <w:rPr>
                <w:rFonts w:hint="eastAsia"/>
              </w:rPr>
              <w:t>。因网络或者其他非供应商自身问题造成响应文件无法正常解密，才能启用备份响应文件。备份响应文件一旦启用，则响应文件失效，不予启用。</w:t>
            </w:r>
          </w:p>
        </w:tc>
      </w:tr>
      <w:tr w14:paraId="72FE2A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786" w:type="dxa"/>
            <w:vAlign w:val="center"/>
          </w:tcPr>
          <w:p w14:paraId="1EB60C6C">
            <w:pPr>
              <w:pStyle w:val="42"/>
              <w:jc w:val="center"/>
            </w:pPr>
            <w:r>
              <w:rPr>
                <w:rFonts w:hint="eastAsia"/>
              </w:rPr>
              <w:t>22</w:t>
            </w:r>
          </w:p>
        </w:tc>
        <w:tc>
          <w:tcPr>
            <w:tcW w:w="1660" w:type="dxa"/>
            <w:vAlign w:val="center"/>
          </w:tcPr>
          <w:p w14:paraId="19FDA160">
            <w:pPr>
              <w:pStyle w:val="42"/>
            </w:pPr>
            <w:r>
              <w:t>成交原则</w:t>
            </w:r>
          </w:p>
        </w:tc>
        <w:tc>
          <w:tcPr>
            <w:tcW w:w="6532" w:type="dxa"/>
            <w:vAlign w:val="center"/>
          </w:tcPr>
          <w:p w14:paraId="0FDF4B28">
            <w:pPr>
              <w:pStyle w:val="42"/>
            </w:pPr>
            <w:r>
              <w:t>从评审报告提出的成交候选供应商中</w:t>
            </w:r>
            <w:r>
              <w:rPr>
                <w:rFonts w:hint="eastAsia"/>
              </w:rPr>
              <w:t>，</w:t>
            </w:r>
            <w:r>
              <w:t>按照综合得分由高到低的原则确定</w:t>
            </w:r>
            <w:r>
              <w:rPr>
                <w:rFonts w:hint="eastAsia"/>
              </w:rPr>
              <w:t>1个成交供应商</w:t>
            </w:r>
          </w:p>
        </w:tc>
      </w:tr>
      <w:tr w14:paraId="3ABFDF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786" w:type="dxa"/>
            <w:vAlign w:val="center"/>
          </w:tcPr>
          <w:p w14:paraId="5878FE7B">
            <w:pPr>
              <w:pStyle w:val="42"/>
              <w:jc w:val="center"/>
            </w:pPr>
            <w:r>
              <w:rPr>
                <w:rFonts w:hint="eastAsia"/>
              </w:rPr>
              <w:t>23</w:t>
            </w:r>
          </w:p>
        </w:tc>
        <w:tc>
          <w:tcPr>
            <w:tcW w:w="1660" w:type="dxa"/>
            <w:vAlign w:val="center"/>
          </w:tcPr>
          <w:p w14:paraId="3126ED92">
            <w:pPr>
              <w:pStyle w:val="42"/>
            </w:pPr>
            <w:r>
              <w:rPr>
                <w:rFonts w:hint="eastAsia"/>
              </w:rPr>
              <w:t>成交结果公告</w:t>
            </w:r>
          </w:p>
        </w:tc>
        <w:tc>
          <w:tcPr>
            <w:tcW w:w="6532" w:type="dxa"/>
            <w:vAlign w:val="center"/>
          </w:tcPr>
          <w:p w14:paraId="334046E7">
            <w:pPr>
              <w:pStyle w:val="42"/>
            </w:pPr>
            <w:r>
              <w:t>在浙江政府采购网公告</w:t>
            </w:r>
            <w:r>
              <w:rPr>
                <w:rFonts w:hint="eastAsia"/>
              </w:rPr>
              <w:t>，</w:t>
            </w:r>
            <w:r>
              <w:t>公告期限为</w:t>
            </w:r>
            <w:r>
              <w:rPr>
                <w:rFonts w:hint="eastAsia"/>
              </w:rPr>
              <w:t>1个工作日</w:t>
            </w:r>
          </w:p>
        </w:tc>
      </w:tr>
      <w:tr w14:paraId="234371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86" w:type="dxa"/>
            <w:vAlign w:val="center"/>
          </w:tcPr>
          <w:p w14:paraId="64FD3649">
            <w:pPr>
              <w:pStyle w:val="42"/>
              <w:jc w:val="center"/>
            </w:pPr>
            <w:r>
              <w:rPr>
                <w:rFonts w:hint="eastAsia"/>
              </w:rPr>
              <w:t>24</w:t>
            </w:r>
          </w:p>
        </w:tc>
        <w:tc>
          <w:tcPr>
            <w:tcW w:w="1660" w:type="dxa"/>
            <w:vAlign w:val="center"/>
          </w:tcPr>
          <w:p w14:paraId="42DBA258">
            <w:pPr>
              <w:pStyle w:val="42"/>
            </w:pPr>
            <w:r>
              <w:rPr>
                <w:rFonts w:hint="eastAsia"/>
              </w:rPr>
              <w:t>履约保证金</w:t>
            </w:r>
          </w:p>
        </w:tc>
        <w:tc>
          <w:tcPr>
            <w:tcW w:w="6532" w:type="dxa"/>
            <w:vAlign w:val="center"/>
          </w:tcPr>
          <w:p w14:paraId="64B77AF7">
            <w:pPr>
              <w:pStyle w:val="42"/>
            </w:pPr>
            <w:r>
              <w:rPr>
                <w:rFonts w:hint="eastAsia"/>
                <w:color w:val="000000" w:themeColor="text1"/>
                <w:lang w:val="en-US"/>
                <w14:textFill>
                  <w14:solidFill>
                    <w14:schemeClr w14:val="tx1"/>
                  </w14:solidFill>
                </w14:textFill>
              </w:rPr>
              <w:t>本项目无履约保证金</w:t>
            </w:r>
            <w:r>
              <w:rPr>
                <w:rFonts w:hint="eastAsia"/>
                <w:lang w:val="en-US"/>
              </w:rPr>
              <w:t>。</w:t>
            </w:r>
          </w:p>
        </w:tc>
      </w:tr>
      <w:tr w14:paraId="7FFC63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786" w:type="dxa"/>
            <w:vAlign w:val="center"/>
          </w:tcPr>
          <w:p w14:paraId="1A3DFB05">
            <w:pPr>
              <w:pStyle w:val="42"/>
              <w:jc w:val="center"/>
            </w:pPr>
            <w:r>
              <w:rPr>
                <w:rFonts w:hint="eastAsia"/>
              </w:rPr>
              <w:t>25</w:t>
            </w:r>
          </w:p>
        </w:tc>
        <w:tc>
          <w:tcPr>
            <w:tcW w:w="1660" w:type="dxa"/>
            <w:vAlign w:val="center"/>
          </w:tcPr>
          <w:p w14:paraId="1D2B1A13">
            <w:pPr>
              <w:pStyle w:val="42"/>
            </w:pPr>
            <w:r>
              <w:t>签订合同时间</w:t>
            </w:r>
          </w:p>
        </w:tc>
        <w:tc>
          <w:tcPr>
            <w:tcW w:w="6532" w:type="dxa"/>
            <w:vAlign w:val="center"/>
          </w:tcPr>
          <w:p w14:paraId="08CC515F">
            <w:pPr>
              <w:pStyle w:val="42"/>
            </w:pPr>
            <w:r>
              <w:t>成交通知书发出之日起</w:t>
            </w:r>
            <w:r>
              <w:rPr>
                <w:rFonts w:hint="eastAsia"/>
              </w:rPr>
              <w:t>3</w:t>
            </w:r>
            <w:r>
              <w:rPr>
                <w:rFonts w:hint="eastAsia"/>
                <w:lang w:val="en-US"/>
              </w:rPr>
              <w:t>个工作日</w:t>
            </w:r>
            <w:r>
              <w:rPr>
                <w:rFonts w:hint="eastAsia"/>
              </w:rPr>
              <w:t>内签订政府采购合同</w:t>
            </w:r>
          </w:p>
        </w:tc>
      </w:tr>
      <w:tr w14:paraId="0BCCC8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3" w:hRule="atLeast"/>
          <w:jc w:val="center"/>
        </w:trPr>
        <w:tc>
          <w:tcPr>
            <w:tcW w:w="786" w:type="dxa"/>
            <w:vAlign w:val="center"/>
          </w:tcPr>
          <w:p w14:paraId="363175B6">
            <w:pPr>
              <w:pStyle w:val="42"/>
              <w:jc w:val="center"/>
            </w:pPr>
            <w:r>
              <w:rPr>
                <w:rFonts w:hint="eastAsia"/>
              </w:rPr>
              <w:t>26</w:t>
            </w:r>
          </w:p>
        </w:tc>
        <w:tc>
          <w:tcPr>
            <w:tcW w:w="1660" w:type="dxa"/>
            <w:vAlign w:val="center"/>
          </w:tcPr>
          <w:p w14:paraId="5D567A14">
            <w:pPr>
              <w:pStyle w:val="42"/>
            </w:pPr>
            <w:r>
              <w:rPr>
                <w:rFonts w:hint="eastAsia"/>
              </w:rPr>
              <w:t>公告发布媒体</w:t>
            </w:r>
          </w:p>
        </w:tc>
        <w:tc>
          <w:tcPr>
            <w:tcW w:w="6532" w:type="dxa"/>
            <w:vAlign w:val="center"/>
          </w:tcPr>
          <w:p w14:paraId="41E6D659">
            <w:pPr>
              <w:pStyle w:val="42"/>
            </w:pPr>
            <w:r>
              <w:rPr>
                <w:rFonts w:hint="eastAsia"/>
              </w:rPr>
              <w:t>浙江政府采购网</w:t>
            </w:r>
            <w:r>
              <w:t>（http</w:t>
            </w:r>
            <w:r>
              <w:rPr>
                <w:rFonts w:hint="eastAsia"/>
              </w:rPr>
              <w:t>：</w:t>
            </w:r>
            <w:r>
              <w:t>//zfcg.czt.zj.gov.cn）</w:t>
            </w:r>
          </w:p>
        </w:tc>
      </w:tr>
      <w:tr w14:paraId="646546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26" w:hRule="atLeast"/>
          <w:jc w:val="center"/>
        </w:trPr>
        <w:tc>
          <w:tcPr>
            <w:tcW w:w="786" w:type="dxa"/>
            <w:vAlign w:val="center"/>
          </w:tcPr>
          <w:p w14:paraId="1FD8AE44">
            <w:pPr>
              <w:pStyle w:val="42"/>
              <w:jc w:val="center"/>
            </w:pPr>
            <w:r>
              <w:rPr>
                <w:rFonts w:hint="eastAsia"/>
              </w:rPr>
              <w:t>27</w:t>
            </w:r>
          </w:p>
        </w:tc>
        <w:tc>
          <w:tcPr>
            <w:tcW w:w="1660" w:type="dxa"/>
            <w:vAlign w:val="center"/>
          </w:tcPr>
          <w:p w14:paraId="7DC60815">
            <w:pPr>
              <w:pStyle w:val="42"/>
            </w:pPr>
            <w:r>
              <w:rPr>
                <w:rFonts w:hint="eastAsia"/>
              </w:rPr>
              <w:t>其他补充事宜</w:t>
            </w:r>
          </w:p>
        </w:tc>
        <w:tc>
          <w:tcPr>
            <w:tcW w:w="6532" w:type="dxa"/>
            <w:vAlign w:val="center"/>
          </w:tcPr>
          <w:p w14:paraId="19E037D7">
            <w:pPr>
              <w:pStyle w:val="42"/>
            </w:pPr>
            <w:r>
              <w:t>1.响应文件解密时供应商须打开</w:t>
            </w:r>
            <w:r>
              <w:rPr>
                <w:rFonts w:hint="eastAsia"/>
              </w:rPr>
              <w:t>“</w:t>
            </w:r>
            <w:r>
              <w:t>政采云电子投标客户端</w:t>
            </w:r>
            <w:r>
              <w:rPr>
                <w:rFonts w:hint="eastAsia"/>
              </w:rPr>
              <w:t>”</w:t>
            </w:r>
            <w:r>
              <w:t>进行解密，使用解密的CA和加密的CA必须是同一把，在开始解密后30分钟内完成响应文件解密。若因供应商自身原因造成响应文件无法解密读取的，取消磋商资格。</w:t>
            </w:r>
          </w:p>
          <w:p w14:paraId="1E0081AC">
            <w:pPr>
              <w:pStyle w:val="42"/>
            </w:pPr>
            <w:r>
              <w:t>2.CA证书办理：CA驱动和申领流程，登录浙江政府采购网-下载专区-政采云电子交易客户端版块（网址：http</w:t>
            </w:r>
            <w:r>
              <w:rPr>
                <w:rFonts w:hint="eastAsia"/>
              </w:rPr>
              <w:t>：</w:t>
            </w:r>
            <w:r>
              <w:t>//zfcg.czt.zj.gov.cn/bidClientTemplate/2019-05-27/12945.html）。潜在供应商应在响应文件提交截止前完成CA数字证书办理，完成CA证书办理预计7天左右，建议潜在供应商抓紧时间办理。因未注册入库、未办理CA数字证书等原因造成无法参加本次采购活动或投标失败等后果由潜在供应商自行承担。</w:t>
            </w:r>
          </w:p>
          <w:p w14:paraId="2533963E">
            <w:pPr>
              <w:pStyle w:val="42"/>
            </w:pPr>
            <w:r>
              <w:t>3.本项目采购活动全流程实行电子化，在使用系统进行投标的过程中遇到涉及平台使用的任何问题，致电政采云平台技术支持咨询（电话95763）。</w:t>
            </w:r>
          </w:p>
        </w:tc>
      </w:tr>
      <w:tr w14:paraId="655CFD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786" w:type="dxa"/>
            <w:vAlign w:val="center"/>
          </w:tcPr>
          <w:p w14:paraId="639AE4E7">
            <w:pPr>
              <w:pStyle w:val="42"/>
              <w:jc w:val="center"/>
            </w:pPr>
            <w:r>
              <w:rPr>
                <w:rFonts w:hint="eastAsia"/>
              </w:rPr>
              <w:t>28</w:t>
            </w:r>
          </w:p>
        </w:tc>
        <w:tc>
          <w:tcPr>
            <w:tcW w:w="1660" w:type="dxa"/>
            <w:vAlign w:val="center"/>
          </w:tcPr>
          <w:p w14:paraId="52E53E26">
            <w:pPr>
              <w:pStyle w:val="42"/>
            </w:pPr>
            <w:r>
              <w:rPr>
                <w:rFonts w:hint="eastAsia"/>
              </w:rPr>
              <w:t>解释权</w:t>
            </w:r>
          </w:p>
        </w:tc>
        <w:tc>
          <w:tcPr>
            <w:tcW w:w="6532" w:type="dxa"/>
            <w:vAlign w:val="center"/>
          </w:tcPr>
          <w:p w14:paraId="3AE59BDD">
            <w:pPr>
              <w:pStyle w:val="42"/>
            </w:pPr>
            <w:r>
              <w:rPr>
                <w:rFonts w:hint="eastAsia"/>
              </w:rPr>
              <w:t>本招标文件的解释权属于采购人</w:t>
            </w:r>
          </w:p>
        </w:tc>
      </w:tr>
      <w:tr w14:paraId="5D8876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14" w:hRule="atLeast"/>
          <w:jc w:val="center"/>
        </w:trPr>
        <w:tc>
          <w:tcPr>
            <w:tcW w:w="786" w:type="dxa"/>
            <w:vAlign w:val="center"/>
          </w:tcPr>
          <w:p w14:paraId="675B3874">
            <w:pPr>
              <w:pStyle w:val="42"/>
              <w:jc w:val="center"/>
            </w:pPr>
            <w:r>
              <w:rPr>
                <w:rFonts w:hint="eastAsia"/>
              </w:rPr>
              <w:t>29</w:t>
            </w:r>
          </w:p>
        </w:tc>
        <w:tc>
          <w:tcPr>
            <w:tcW w:w="1660" w:type="dxa"/>
            <w:vAlign w:val="center"/>
          </w:tcPr>
          <w:p w14:paraId="10816608">
            <w:pPr>
              <w:pStyle w:val="42"/>
            </w:pPr>
            <w:r>
              <w:rPr>
                <w:rFonts w:hint="eastAsia"/>
              </w:rPr>
              <w:t>备注</w:t>
            </w:r>
          </w:p>
        </w:tc>
        <w:tc>
          <w:tcPr>
            <w:tcW w:w="6532" w:type="dxa"/>
            <w:vAlign w:val="center"/>
          </w:tcPr>
          <w:p w14:paraId="30BDB743">
            <w:pPr>
              <w:pStyle w:val="42"/>
            </w:pPr>
            <w:r>
              <w:rPr>
                <w:rFonts w:hint="eastAsia"/>
              </w:rPr>
              <w:t>成交供应商应在中标公告发出后领取成交通知书前提供与电子投标文件内容一致的纸质投标文件一正二副，装订成册，采用胶订或线订，不得采用活页夹等可随时拆换的方式装订。（胶订或线订以外装订形式视为活页装订），邮寄至招标代理机构。</w:t>
            </w:r>
          </w:p>
          <w:p w14:paraId="53D9C7F5">
            <w:pPr>
              <w:pStyle w:val="42"/>
            </w:pPr>
            <w:r>
              <w:rPr>
                <w:rFonts w:hint="eastAsia"/>
              </w:rPr>
              <w:t>邮寄地址：衢州市龙游县东华街道永安路60号，接收人：李女士，电话：15968860235）</w:t>
            </w:r>
          </w:p>
        </w:tc>
      </w:tr>
    </w:tbl>
    <w:p w14:paraId="6B27D172">
      <w:pPr>
        <w:ind w:firstLine="480"/>
      </w:pPr>
    </w:p>
    <w:p w14:paraId="628AE1C9">
      <w:pPr>
        <w:ind w:firstLine="480"/>
      </w:pPr>
      <w:r>
        <w:br w:type="page"/>
      </w:r>
    </w:p>
    <w:p w14:paraId="53ED796D">
      <w:pPr>
        <w:pStyle w:val="9"/>
      </w:pPr>
      <w:bookmarkStart w:id="90" w:name="_Toc2761"/>
      <w:bookmarkStart w:id="91" w:name="_Toc11112"/>
      <w:bookmarkStart w:id="92" w:name="_Toc28771"/>
      <w:bookmarkStart w:id="93" w:name="_Toc20580"/>
      <w:bookmarkStart w:id="94" w:name="_Toc1148"/>
      <w:bookmarkStart w:id="95" w:name="_Toc29815"/>
      <w:bookmarkStart w:id="96" w:name="_Toc3667"/>
      <w:bookmarkStart w:id="97" w:name="_Toc18568"/>
      <w:r>
        <w:rPr>
          <w:rFonts w:hint="eastAsia"/>
        </w:rPr>
        <w:t>第三</w:t>
      </w:r>
      <w:r>
        <w:t xml:space="preserve">章 </w:t>
      </w:r>
      <w:r>
        <w:rPr>
          <w:rFonts w:hint="eastAsia"/>
        </w:rPr>
        <w:t xml:space="preserve"> 投标人须知</w:t>
      </w:r>
      <w:bookmarkEnd w:id="90"/>
      <w:bookmarkEnd w:id="91"/>
      <w:bookmarkEnd w:id="92"/>
      <w:bookmarkEnd w:id="93"/>
      <w:bookmarkEnd w:id="94"/>
      <w:bookmarkEnd w:id="95"/>
      <w:bookmarkEnd w:id="96"/>
      <w:bookmarkEnd w:id="97"/>
    </w:p>
    <w:p w14:paraId="6B057977">
      <w:pPr>
        <w:pStyle w:val="10"/>
      </w:pPr>
      <w:bookmarkStart w:id="98" w:name="_Toc17098"/>
      <w:bookmarkStart w:id="99" w:name="_Toc24419"/>
      <w:bookmarkStart w:id="100" w:name="_Toc2431"/>
      <w:bookmarkStart w:id="101" w:name="_Toc15985"/>
      <w:bookmarkStart w:id="102" w:name="_Toc16257"/>
      <w:bookmarkStart w:id="103" w:name="_Toc391298955"/>
      <w:bookmarkStart w:id="104" w:name="_Toc22382"/>
      <w:bookmarkStart w:id="105" w:name="_Toc15313"/>
      <w:bookmarkStart w:id="106" w:name="_Toc15292"/>
      <w:bookmarkStart w:id="107" w:name="_Toc25730"/>
      <w:bookmarkStart w:id="108" w:name="_Toc13238"/>
      <w:bookmarkStart w:id="109" w:name="_Toc30649"/>
      <w:bookmarkStart w:id="110" w:name="_Toc18083"/>
      <w:bookmarkStart w:id="111" w:name="_Toc11674"/>
      <w:bookmarkStart w:id="112" w:name="_Toc7852"/>
      <w:bookmarkStart w:id="113" w:name="_Toc24478"/>
      <w:bookmarkStart w:id="114" w:name="_Toc19715"/>
      <w:bookmarkStart w:id="115" w:name="_Toc31559"/>
      <w:bookmarkStart w:id="116" w:name="_Toc22312"/>
      <w:bookmarkStart w:id="117" w:name="_Toc25996"/>
      <w:bookmarkStart w:id="118" w:name="_Toc22729"/>
      <w:bookmarkStart w:id="119" w:name="_Toc7425"/>
      <w:bookmarkStart w:id="120" w:name="_Toc11310"/>
      <w:bookmarkStart w:id="121" w:name="_Toc17365"/>
      <w:bookmarkStart w:id="122" w:name="_Toc4981"/>
      <w:bookmarkStart w:id="123" w:name="_Toc14696"/>
      <w:bookmarkStart w:id="124" w:name="_Toc17243"/>
      <w:bookmarkStart w:id="125" w:name="_Toc4681"/>
      <w:bookmarkStart w:id="126" w:name="_Toc829"/>
      <w:bookmarkStart w:id="127" w:name="_Toc3699"/>
      <w:r>
        <w:rPr>
          <w:rFonts w:hint="eastAsia"/>
        </w:rPr>
        <w:t>一、</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Pr>
          <w:rFonts w:hint="eastAsia"/>
        </w:rPr>
        <w:t>总则</w:t>
      </w:r>
      <w:bookmarkEnd w:id="120"/>
      <w:bookmarkEnd w:id="121"/>
      <w:bookmarkEnd w:id="122"/>
      <w:bookmarkEnd w:id="123"/>
      <w:bookmarkEnd w:id="124"/>
      <w:bookmarkEnd w:id="125"/>
      <w:bookmarkEnd w:id="126"/>
      <w:bookmarkEnd w:id="127"/>
    </w:p>
    <w:p w14:paraId="1E36618E">
      <w:pPr>
        <w:ind w:firstLine="480"/>
      </w:pPr>
      <w:r>
        <w:rPr>
          <w:rFonts w:hint="eastAsia"/>
        </w:rPr>
        <w:t>1.编制依据</w:t>
      </w:r>
    </w:p>
    <w:p w14:paraId="1986548C">
      <w:pPr>
        <w:ind w:firstLine="480"/>
      </w:pPr>
      <w:r>
        <w:rPr>
          <w:rFonts w:hint="eastAsia"/>
        </w:rPr>
        <w:t>根据《中华人民共和国政府采购法》《中华人民共和国政府采购法实施条例》《政府采购货物和服务招标投标管理办法》（财政部令第87号）等有关政府采购管理的规定，编制本招标文件。</w:t>
      </w:r>
    </w:p>
    <w:p w14:paraId="63F8DA11">
      <w:pPr>
        <w:ind w:firstLine="480"/>
      </w:pPr>
      <w:r>
        <w:rPr>
          <w:rFonts w:hint="eastAsia"/>
        </w:rPr>
        <w:t>2.定义</w:t>
      </w:r>
    </w:p>
    <w:p w14:paraId="4DA89350">
      <w:pPr>
        <w:ind w:firstLine="480"/>
        <w:rPr>
          <w:lang w:val="zh-CN"/>
        </w:rPr>
      </w:pPr>
      <w:r>
        <w:rPr>
          <w:rFonts w:hint="eastAsia"/>
        </w:rPr>
        <w:t>2.1“</w:t>
      </w:r>
      <w:r>
        <w:rPr>
          <w:rFonts w:hint="eastAsia"/>
          <w:lang w:val="zh-CN"/>
        </w:rPr>
        <w:t>采购人”系指“</w:t>
      </w:r>
      <w:r>
        <w:rPr>
          <w:rFonts w:hint="eastAsia"/>
        </w:rPr>
        <w:t>龙游县公证处</w:t>
      </w:r>
      <w:r>
        <w:rPr>
          <w:rFonts w:hint="eastAsia"/>
          <w:lang w:val="zh-CN"/>
        </w:rPr>
        <w:t>”。</w:t>
      </w:r>
    </w:p>
    <w:p w14:paraId="5D75E166">
      <w:pPr>
        <w:ind w:firstLine="480"/>
      </w:pPr>
      <w:r>
        <w:rPr>
          <w:rFonts w:hint="eastAsia"/>
        </w:rPr>
        <w:t>2.2“</w:t>
      </w:r>
      <w:r>
        <w:rPr>
          <w:rFonts w:hint="eastAsia"/>
          <w:lang w:val="zh-CN"/>
        </w:rPr>
        <w:t>投标人</w:t>
      </w:r>
      <w:r>
        <w:rPr>
          <w:rFonts w:hint="eastAsia"/>
        </w:rPr>
        <w:t>”系指向</w:t>
      </w:r>
      <w:r>
        <w:rPr>
          <w:rFonts w:hint="eastAsia"/>
          <w:lang w:val="zh-CN"/>
        </w:rPr>
        <w:t>采购人</w:t>
      </w:r>
      <w:r>
        <w:rPr>
          <w:rFonts w:hint="eastAsia"/>
        </w:rPr>
        <w:t>提交</w:t>
      </w:r>
      <w:r>
        <w:rPr>
          <w:rFonts w:hint="eastAsia"/>
          <w:lang w:val="zh-CN"/>
        </w:rPr>
        <w:t>磋商响应</w:t>
      </w:r>
      <w:r>
        <w:rPr>
          <w:rFonts w:hint="eastAsia"/>
        </w:rPr>
        <w:t>文件的供应商。</w:t>
      </w:r>
    </w:p>
    <w:p w14:paraId="1AF1EF42">
      <w:pPr>
        <w:ind w:firstLine="480"/>
      </w:pPr>
      <w:r>
        <w:rPr>
          <w:rFonts w:hint="eastAsia"/>
        </w:rPr>
        <w:t>2.3</w:t>
      </w:r>
      <w:r>
        <w:rPr>
          <w:rFonts w:hint="eastAsia"/>
          <w:lang w:val="zh-CN"/>
        </w:rPr>
        <w:t>“采购代理机构”系指“</w:t>
      </w:r>
      <w:r>
        <w:rPr>
          <w:rFonts w:hint="eastAsia"/>
        </w:rPr>
        <w:t>龙游久圆工程管理有限公司</w:t>
      </w:r>
      <w:r>
        <w:rPr>
          <w:rFonts w:hint="eastAsia"/>
          <w:lang w:val="zh-CN"/>
        </w:rPr>
        <w:t>”。</w:t>
      </w:r>
    </w:p>
    <w:p w14:paraId="57C31957">
      <w:pPr>
        <w:ind w:firstLine="480"/>
        <w:rPr>
          <w:lang w:val="zh-CN"/>
        </w:rPr>
      </w:pPr>
      <w:r>
        <w:rPr>
          <w:rFonts w:hint="eastAsia"/>
        </w:rPr>
        <w:t>2.4</w:t>
      </w:r>
      <w:r>
        <w:rPr>
          <w:rFonts w:hint="eastAsia"/>
          <w:lang w:val="zh-CN"/>
        </w:rPr>
        <w:t>“服务”系指按本磋商响应文件规定，成交供应商须承担的</w:t>
      </w:r>
      <w:r>
        <w:rPr>
          <w:rFonts w:hint="eastAsia"/>
          <w:lang w:eastAsia="zh-CN"/>
        </w:rPr>
        <w:t>龙游县公证处公证派驻法院执行辅助人员</w:t>
      </w:r>
      <w:r>
        <w:rPr>
          <w:rFonts w:hint="eastAsia"/>
          <w:lang w:val="zh-CN"/>
        </w:rPr>
        <w:t>工作。</w:t>
      </w:r>
    </w:p>
    <w:p w14:paraId="0969F4B9">
      <w:pPr>
        <w:ind w:firstLine="480"/>
      </w:pPr>
      <w:r>
        <w:rPr>
          <w:rFonts w:hint="eastAsia"/>
          <w:lang w:val="zh-CN"/>
        </w:rPr>
        <w:t>“</w:t>
      </w:r>
      <w:r>
        <w:rPr>
          <w:rFonts w:hint="eastAsia"/>
        </w:rPr>
        <w:t>▲</w:t>
      </w:r>
      <w:r>
        <w:rPr>
          <w:rFonts w:hint="eastAsia"/>
          <w:lang w:val="zh-CN"/>
        </w:rPr>
        <w:t>”系指按本磋商响应文件要求投标人必须实质性响应的条款，有任何一项缺失或非实质性响应即刻取消其磋商资格。</w:t>
      </w:r>
      <w:r>
        <w:rPr>
          <w:rFonts w:hint="eastAsia"/>
        </w:rPr>
        <w:t>供应商自行承担其参加磋商所涉及的一切费用。</w:t>
      </w:r>
    </w:p>
    <w:p w14:paraId="6E8F7448">
      <w:pPr>
        <w:ind w:firstLine="480"/>
      </w:pPr>
      <w:r>
        <w:t>3.采购方式</w:t>
      </w:r>
    </w:p>
    <w:p w14:paraId="02DB5874">
      <w:pPr>
        <w:ind w:firstLine="480"/>
      </w:pPr>
      <w:r>
        <w:t>3.1采购组织形式分散采购委托代理。</w:t>
      </w:r>
    </w:p>
    <w:p w14:paraId="0CB68E2F">
      <w:pPr>
        <w:ind w:firstLine="480"/>
      </w:pPr>
      <w:r>
        <w:t>3.2采取竞争性磋商。</w:t>
      </w:r>
    </w:p>
    <w:p w14:paraId="270CAD43">
      <w:pPr>
        <w:ind w:firstLine="480"/>
      </w:pPr>
      <w:r>
        <w:t>4.▲合格的供应商</w:t>
      </w:r>
    </w:p>
    <w:p w14:paraId="20BBF964">
      <w:pPr>
        <w:ind w:firstLine="480"/>
      </w:pPr>
      <w:r>
        <w:t>合格的供应商应具备以下条件：</w:t>
      </w:r>
    </w:p>
    <w:p w14:paraId="40D9BBF6">
      <w:pPr>
        <w:ind w:firstLine="480"/>
      </w:pPr>
      <w:r>
        <w:t>4.1具备法律法规和本采购文件规定的资格条件；</w:t>
      </w:r>
    </w:p>
    <w:p w14:paraId="39CEA6B9">
      <w:pPr>
        <w:ind w:firstLine="480"/>
      </w:pPr>
      <w:r>
        <w:t>4.</w:t>
      </w:r>
      <w:r>
        <w:rPr>
          <w:rFonts w:hint="eastAsia"/>
        </w:rPr>
        <w:t>2</w:t>
      </w:r>
      <w:r>
        <w:t>不属于限制参加本项目采购活动的投标人；</w:t>
      </w:r>
    </w:p>
    <w:p w14:paraId="3AF0AA45">
      <w:pPr>
        <w:ind w:firstLine="480"/>
      </w:pPr>
      <w:r>
        <w:rPr>
          <w:rFonts w:hint="eastAsia"/>
        </w:rPr>
        <w:t>4.3</w:t>
      </w:r>
      <w:r>
        <w:t>按照规定获取了磋商文件，属于实质性参加政府采购活动的供应商。</w:t>
      </w:r>
    </w:p>
    <w:p w14:paraId="234EB5A6">
      <w:pPr>
        <w:ind w:firstLine="480"/>
      </w:pPr>
      <w:r>
        <w:t>5.回避制度</w:t>
      </w:r>
    </w:p>
    <w:p w14:paraId="5DCCCD0E">
      <w:pPr>
        <w:ind w:firstLine="480"/>
      </w:pPr>
      <w:r>
        <w:t>5.1单位负责人为同一人或者存在直接控股、管理关系的不同供应商，不得参加同一合同项下的政府采购活动。</w:t>
      </w:r>
    </w:p>
    <w:p w14:paraId="4502F905">
      <w:pPr>
        <w:ind w:firstLine="480"/>
      </w:pPr>
      <w:r>
        <w:t>5.2政府采购活动中，采购人员及相关人员与供应商有下列利害关系之一的，应当回避：</w:t>
      </w:r>
    </w:p>
    <w:p w14:paraId="4AC23736">
      <w:pPr>
        <w:ind w:firstLine="480"/>
      </w:pPr>
      <w:r>
        <w:t>5.2.1参加采购活动前3年内与供应商存在劳动关系；</w:t>
      </w:r>
    </w:p>
    <w:p w14:paraId="2DE9F38F">
      <w:pPr>
        <w:ind w:firstLine="480"/>
      </w:pPr>
      <w:r>
        <w:t>5.2.2参加采购活动前3年内担任供应商的董事、监事；</w:t>
      </w:r>
    </w:p>
    <w:p w14:paraId="64F9B645">
      <w:pPr>
        <w:ind w:firstLine="480"/>
      </w:pPr>
      <w:r>
        <w:t>5.2.3参加采购活动前3年内是供应商的控股股东或者实际控制人；</w:t>
      </w:r>
    </w:p>
    <w:p w14:paraId="12A2B067">
      <w:pPr>
        <w:ind w:firstLine="480"/>
      </w:pPr>
      <w:r>
        <w:t>5.2.4与供应商的法定代表人或者负责人有夫妻、直系血亲、三代以内旁系血亲或者近姻亲关系；</w:t>
      </w:r>
    </w:p>
    <w:p w14:paraId="730DF761">
      <w:pPr>
        <w:ind w:firstLine="480"/>
      </w:pPr>
      <w:r>
        <w:t>5.2.5存在共同直接或间接投资设立子公司、联营企业和合营企业情况；</w:t>
      </w:r>
    </w:p>
    <w:p w14:paraId="6DFC0050">
      <w:pPr>
        <w:ind w:firstLine="480"/>
      </w:pPr>
      <w:r>
        <w:t>5.2.6与供应商有其他可能影响政府采购活动公平、公正进行的关系。</w:t>
      </w:r>
    </w:p>
    <w:p w14:paraId="7A8476C0">
      <w:pPr>
        <w:ind w:firstLine="480"/>
      </w:pPr>
      <w:r>
        <w:t>5.3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w:t>
      </w:r>
      <w:r>
        <w:rPr>
          <w:rFonts w:hint="eastAsia"/>
        </w:rPr>
        <w:t>磋商小组</w:t>
      </w:r>
      <w:r>
        <w:t>成员。</w:t>
      </w:r>
    </w:p>
    <w:p w14:paraId="5C2237A8">
      <w:pPr>
        <w:ind w:firstLine="480"/>
      </w:pPr>
      <w:r>
        <w:t>5.4供应商认为采购人员及相关人员与其他供应商有利害关系的，可以向采购代理机构书面提出回避申请，并说明理由。采购代理机构将及时询问被申请回避人员，有利害关系的被申请回避人员应当回避。</w:t>
      </w:r>
    </w:p>
    <w:p w14:paraId="76D626DA">
      <w:pPr>
        <w:ind w:firstLine="480"/>
      </w:pPr>
      <w:r>
        <w:t>5.5为证明供应商拥有的业绩、荣誉、知识产权、项目案例等而在响应文件中提供的证明材料必须为供应商自身所有。不同法人、其他组织的资料与供应商无关。</w:t>
      </w:r>
    </w:p>
    <w:p w14:paraId="336E8E9F">
      <w:pPr>
        <w:ind w:firstLine="480"/>
      </w:pPr>
      <w:r>
        <w:t>6.资格审查</w:t>
      </w:r>
    </w:p>
    <w:p w14:paraId="6E826165">
      <w:pPr>
        <w:ind w:firstLine="480"/>
      </w:pPr>
      <w:r>
        <w:t>本次采取资格</w:t>
      </w:r>
      <w:r>
        <w:rPr>
          <w:rFonts w:hint="eastAsia"/>
        </w:rPr>
        <w:t>预</w:t>
      </w:r>
      <w:r>
        <w:t>审，代理机构不保证所有报名或依法获取磋商文件并报名的供应商都符合合格供应商资格要求。</w:t>
      </w:r>
    </w:p>
    <w:p w14:paraId="7048729F">
      <w:pPr>
        <w:ind w:firstLine="480"/>
      </w:pPr>
      <w:r>
        <w:t>7.语言文字</w:t>
      </w:r>
    </w:p>
    <w:p w14:paraId="67671F3E">
      <w:pPr>
        <w:ind w:firstLine="480"/>
      </w:pPr>
      <w:r>
        <w:t>7.1响应文件以及供应商与采购人就有关磋商事宜的所有来往函电，均应以中文汉语书写。除签名、盖章、专用名称等特殊情形外，以中文汉语以外的文字表述的响应文件视同未提供。</w:t>
      </w:r>
    </w:p>
    <w:p w14:paraId="435FD40A">
      <w:pPr>
        <w:ind w:firstLine="480"/>
      </w:pPr>
      <w:r>
        <w:t>7.2外文专用术语应附有中文注释。招响应文件及相关往来文件中有外文资料的（如质疑函、进口产品厂商授权书等），资料提供方应当将其翻译为中文，注明翻译人员姓名、工作单位、联系方式等信息，并对译文的完整性、客观性、真实性负责。</w:t>
      </w:r>
    </w:p>
    <w:p w14:paraId="0E4234F0">
      <w:pPr>
        <w:ind w:firstLine="480"/>
      </w:pPr>
      <w:r>
        <w:t>8.计量单位</w:t>
      </w:r>
    </w:p>
    <w:p w14:paraId="0E3A94FA">
      <w:pPr>
        <w:ind w:firstLine="480"/>
      </w:pPr>
      <w:r>
        <w:t>除磋商文件中另有规定外，计量均应采用中华人民共和国法定计量单位；所有报价一律使用人民币，货币单位为</w:t>
      </w:r>
      <w:r>
        <w:rPr>
          <w:rFonts w:hint="eastAsia"/>
        </w:rPr>
        <w:t>“</w:t>
      </w:r>
      <w:r>
        <w:t>元</w:t>
      </w:r>
      <w:r>
        <w:rPr>
          <w:rFonts w:hint="eastAsia"/>
        </w:rPr>
        <w:t>”</w:t>
      </w:r>
      <w:r>
        <w:t>。</w:t>
      </w:r>
    </w:p>
    <w:p w14:paraId="2751BA1D">
      <w:pPr>
        <w:ind w:firstLine="480"/>
      </w:pPr>
      <w:r>
        <w:t>9.保密</w:t>
      </w:r>
    </w:p>
    <w:p w14:paraId="5C8AEA31">
      <w:pPr>
        <w:ind w:firstLine="480"/>
      </w:pPr>
      <w:r>
        <w:t>参与磋商活动的当事人应对磋商文件和响应文件中的商业和技术等秘密保密，违者应对由此造成的后果承担法律责任。</w:t>
      </w:r>
    </w:p>
    <w:p w14:paraId="1A35BC44">
      <w:pPr>
        <w:ind w:firstLine="480"/>
      </w:pPr>
      <w:r>
        <w:t>10.磋商费用</w:t>
      </w:r>
    </w:p>
    <w:p w14:paraId="341CC5F4">
      <w:pPr>
        <w:ind w:firstLine="480"/>
      </w:pPr>
      <w:r>
        <w:t>不论磋商的结果如何，供应商均自行承担所有与参加本次磋商有关的费用。</w:t>
      </w:r>
    </w:p>
    <w:p w14:paraId="198C8650">
      <w:pPr>
        <w:ind w:firstLine="480"/>
        <w:sectPr>
          <w:footerReference r:id="rId14" w:type="first"/>
          <w:footerReference r:id="rId13" w:type="default"/>
          <w:pgSz w:w="11906" w:h="16838"/>
          <w:pgMar w:top="1440" w:right="1800" w:bottom="1440" w:left="1800" w:header="1020" w:footer="992" w:gutter="0"/>
          <w:pgNumType w:start="1"/>
          <w:cols w:space="425" w:num="1"/>
          <w:titlePg/>
          <w:docGrid w:type="lines" w:linePitch="326" w:charSpace="0"/>
        </w:sectPr>
      </w:pPr>
    </w:p>
    <w:p w14:paraId="4F1790A4">
      <w:pPr>
        <w:ind w:firstLine="480"/>
      </w:pPr>
      <w:r>
        <w:t>11.磋商有效期</w:t>
      </w:r>
    </w:p>
    <w:p w14:paraId="5E4A758E">
      <w:pPr>
        <w:ind w:firstLine="480"/>
      </w:pPr>
      <w:r>
        <w:t>11.1在供应商须知前附表规定的磋商有效期内，响应文件以及其补充、承诺等部分均保持有效。</w:t>
      </w:r>
    </w:p>
    <w:p w14:paraId="5D4AED1E">
      <w:pPr>
        <w:ind w:firstLine="480"/>
      </w:pPr>
      <w:r>
        <w:t>11.2在磋商文件规定的响应文件有效期满之前，如果出现特殊情况，采购人或者采购代理机构可在磋商有效期内要求供应商延长有效期，要求与答复均以书面通知为准并作为磋商文件和响应文件的组成部分。</w:t>
      </w:r>
    </w:p>
    <w:p w14:paraId="5F7E9684">
      <w:pPr>
        <w:ind w:firstLine="480"/>
      </w:pPr>
      <w:r>
        <w:t>12.分包与转包</w:t>
      </w:r>
    </w:p>
    <w:p w14:paraId="59499177">
      <w:pPr>
        <w:ind w:firstLine="480"/>
      </w:pPr>
      <w:r>
        <w:t>本项目不允许分包和转包。</w:t>
      </w:r>
    </w:p>
    <w:p w14:paraId="5DBDEE85">
      <w:pPr>
        <w:ind w:firstLine="480"/>
      </w:pPr>
      <w:r>
        <w:t>13.现场勘察</w:t>
      </w:r>
    </w:p>
    <w:p w14:paraId="4845090F">
      <w:pPr>
        <w:ind w:firstLine="480"/>
      </w:pPr>
      <w:r>
        <w:t>供应商自行现场勘察以获取有关编制响应文件和签署合同所涉及现场的资料，但需经采购人允许方可为勘察目的进入采购人的项目现场。不得因现场勘察而使采购人承担有关的责任和蒙受损失，供应商应承担现场勘察的责任和风险以及承担现场勘察所发生的费用。</w:t>
      </w:r>
    </w:p>
    <w:p w14:paraId="10E7CF43">
      <w:pPr>
        <w:ind w:firstLine="480"/>
      </w:pPr>
      <w:r>
        <w:t>14.知识产权</w:t>
      </w:r>
    </w:p>
    <w:p w14:paraId="014B66D8">
      <w:pPr>
        <w:ind w:firstLine="480"/>
      </w:pPr>
      <w:r>
        <w:t>14.1供应商应保证在本项目中使用的任何产品和服务（包括部分使用），不会产生因第双方提出侵犯其专利权、商标权或其它知识产权而引起的法律和经济纠纷，如因专利权、商标权或其它知识产权而引起法律和经济纠纷，由供应商承担所有相关责任。</w:t>
      </w:r>
    </w:p>
    <w:p w14:paraId="73B70375">
      <w:pPr>
        <w:ind w:firstLine="480"/>
      </w:pPr>
      <w:r>
        <w:t>14.2除非磋商文件特别规定，采购人享有本项目实施过程中产生的知识成果及知识产权。</w:t>
      </w:r>
    </w:p>
    <w:p w14:paraId="36281D9E">
      <w:pPr>
        <w:ind w:firstLine="480"/>
      </w:pPr>
      <w:r>
        <w:t>14.3供应商将在采购项目实施过程中采用自有或者第</w:t>
      </w:r>
      <w:r>
        <w:rPr>
          <w:rFonts w:hint="eastAsia"/>
        </w:rPr>
        <w:t>三</w:t>
      </w:r>
      <w:r>
        <w:t>方知识成果的，应当在响应文件中载明，并提供相关知识产权证明文件。</w:t>
      </w:r>
    </w:p>
    <w:p w14:paraId="1485DA34">
      <w:pPr>
        <w:ind w:firstLine="480"/>
      </w:pPr>
      <w:r>
        <w:t>14.4如采用投标人所不拥有的知识产权，则在投标报价中必须包括合法获取该知识产权的相关费用。</w:t>
      </w:r>
    </w:p>
    <w:p w14:paraId="2F12B383">
      <w:pPr>
        <w:ind w:firstLine="480"/>
      </w:pPr>
      <w:r>
        <w:t>15.特别说明</w:t>
      </w:r>
    </w:p>
    <w:p w14:paraId="214171D5">
      <w:pPr>
        <w:ind w:firstLine="480"/>
      </w:pPr>
      <w:r>
        <w:t>15.1供应商应仔细阅读磋商文件的所有内容，按照磋商文件的要求提交响应文件，并对所提供的全部资料的真实性承担法律责任。</w:t>
      </w:r>
    </w:p>
    <w:p w14:paraId="3B39AF2F">
      <w:pPr>
        <w:ind w:firstLine="480"/>
      </w:pPr>
      <w:r>
        <w:t>15.2经营者提供商品或者服务有欺诈行为的，依照《中华人民共和国消费者权益保护法（2013年修正）》有关规定处理。</w:t>
      </w:r>
    </w:p>
    <w:p w14:paraId="2929813D">
      <w:pPr>
        <w:ind w:firstLine="480"/>
      </w:pPr>
      <w:r>
        <w:t>15.3供应商已明知采购期间或之后企业将发生兼并改制，或提供的产品将停产、淘汰，或必须有偿使用指定的第三方中间件和插件的，及其他应当告知采购人可能影响采购项目实施或损害采购人利益的信息，必须在响应文件中予以特别说明，否则，采购人可以拒绝其响应文件。</w:t>
      </w:r>
    </w:p>
    <w:p w14:paraId="02D583B4">
      <w:pPr>
        <w:ind w:firstLine="480"/>
      </w:pPr>
      <w:r>
        <w:t>16.采购代理费用</w:t>
      </w:r>
    </w:p>
    <w:p w14:paraId="7DCC4C21">
      <w:pPr>
        <w:ind w:firstLine="480"/>
        <w:rPr>
          <w:rFonts w:ascii="宋体" w:hAnsi="宋体" w:cs="宋体"/>
        </w:rPr>
      </w:pPr>
      <w:r>
        <w:rPr>
          <w:rFonts w:hint="eastAsia" w:ascii="宋体" w:hAnsi="宋体" w:cs="宋体"/>
        </w:rPr>
        <w:t>16.1本项目代理费</w:t>
      </w:r>
      <w:r>
        <w:rPr>
          <w:rFonts w:hint="eastAsia" w:ascii="宋体" w:hAnsi="宋体" w:cs="宋体"/>
          <w:lang w:val="en-US" w:eastAsia="zh-CN"/>
        </w:rPr>
        <w:t>4200元</w:t>
      </w:r>
      <w:r>
        <w:rPr>
          <w:rFonts w:hint="eastAsia" w:ascii="宋体" w:hAnsi="宋体" w:cs="宋体"/>
        </w:rPr>
        <w:t>，由成交供应商在领取成交通知书前一次性支付给采购代理机构。</w:t>
      </w:r>
    </w:p>
    <w:p w14:paraId="3E112B56">
      <w:pPr>
        <w:ind w:firstLine="480"/>
        <w:rPr>
          <w:rFonts w:ascii="宋体" w:hAnsi="宋体" w:cs="宋体"/>
        </w:rPr>
      </w:pPr>
      <w:r>
        <w:rPr>
          <w:rFonts w:hint="eastAsia" w:ascii="宋体" w:hAnsi="宋体" w:cs="宋体"/>
        </w:rPr>
        <w:t>16.2</w:t>
      </w:r>
      <w:r>
        <w:rPr>
          <w:rFonts w:hint="eastAsia" w:ascii="宋体" w:hAnsi="宋体" w:cs="宋体"/>
          <w:color w:val="000000" w:themeColor="text1"/>
          <w14:textFill>
            <w14:solidFill>
              <w14:schemeClr w14:val="tx1"/>
            </w14:solidFill>
          </w14:textFill>
        </w:rPr>
        <w:t>评审费（按实结算），</w:t>
      </w:r>
      <w:r>
        <w:rPr>
          <w:rFonts w:hint="eastAsia" w:ascii="宋体" w:hAnsi="宋体" w:cs="宋体"/>
        </w:rPr>
        <w:t>由采购人支付。</w:t>
      </w:r>
    </w:p>
    <w:p w14:paraId="2A50C65A">
      <w:pPr>
        <w:ind w:firstLine="480"/>
      </w:pPr>
      <w:r>
        <w:rPr>
          <w:rFonts w:hint="eastAsia" w:ascii="宋体" w:hAnsi="宋体" w:cs="宋体"/>
        </w:rPr>
        <w:t>16.3若出现终止采购情形的，经双方协商，采购代理服务费由采购人支付。</w:t>
      </w:r>
    </w:p>
    <w:p w14:paraId="511DBEA2">
      <w:pPr>
        <w:pStyle w:val="10"/>
      </w:pPr>
      <w:bookmarkStart w:id="128" w:name="_Toc1391"/>
      <w:bookmarkStart w:id="129" w:name="_Toc29806"/>
      <w:bookmarkStart w:id="130" w:name="_Toc17087"/>
      <w:bookmarkStart w:id="131" w:name="_Toc391298956"/>
      <w:bookmarkStart w:id="132" w:name="_Toc8831"/>
      <w:bookmarkStart w:id="133" w:name="_Toc9386"/>
      <w:bookmarkStart w:id="134" w:name="_Toc23284"/>
      <w:bookmarkStart w:id="135" w:name="_Toc4221"/>
      <w:bookmarkStart w:id="136" w:name="_Toc28012"/>
      <w:bookmarkStart w:id="137" w:name="_Toc4162"/>
      <w:bookmarkStart w:id="138" w:name="_Toc17563"/>
      <w:bookmarkStart w:id="139" w:name="_Toc26432"/>
      <w:bookmarkStart w:id="140" w:name="_Toc18163"/>
      <w:bookmarkStart w:id="141" w:name="_Toc9348"/>
      <w:bookmarkStart w:id="142" w:name="_Toc1600"/>
      <w:bookmarkStart w:id="143" w:name="_Toc26565"/>
      <w:bookmarkStart w:id="144" w:name="_Toc28973"/>
      <w:bookmarkStart w:id="145" w:name="_Toc14398"/>
      <w:bookmarkStart w:id="146" w:name="_Toc7878"/>
      <w:bookmarkStart w:id="147" w:name="_Toc3017"/>
      <w:bookmarkStart w:id="148" w:name="_Toc1767"/>
      <w:bookmarkStart w:id="149" w:name="_Toc25527"/>
      <w:bookmarkStart w:id="150" w:name="_Toc18943"/>
      <w:bookmarkStart w:id="151" w:name="_Toc4288"/>
      <w:bookmarkStart w:id="152" w:name="_Toc11300"/>
      <w:bookmarkStart w:id="153" w:name="_Toc4956"/>
      <w:bookmarkStart w:id="154" w:name="_Toc7104"/>
      <w:bookmarkStart w:id="155" w:name="_Toc16021"/>
      <w:bookmarkStart w:id="156" w:name="_Toc24650"/>
      <w:bookmarkStart w:id="157" w:name="_Toc31258"/>
      <w:r>
        <w:rPr>
          <w:rFonts w:hint="eastAsia"/>
        </w:rPr>
        <w:t>二、竞争性磋商文件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24628580">
      <w:pPr>
        <w:ind w:firstLine="480"/>
      </w:pPr>
      <w:r>
        <w:rPr>
          <w:rFonts w:hint="eastAsia"/>
        </w:rPr>
        <w:t>17.竞争性磋商文件的组成</w:t>
      </w:r>
    </w:p>
    <w:p w14:paraId="0C71BB1E">
      <w:pPr>
        <w:ind w:firstLine="480"/>
      </w:pPr>
      <w:r>
        <w:rPr>
          <w:rFonts w:hint="eastAsia"/>
        </w:rPr>
        <w:t>17.1竞争性磋商文件用于阐明所需采购磋商程序和合同主要条款。竞争性磋商文件由下述部分组成：</w:t>
      </w:r>
    </w:p>
    <w:p w14:paraId="294C800C">
      <w:pPr>
        <w:ind w:firstLine="480"/>
      </w:pPr>
      <w:r>
        <w:rPr>
          <w:rFonts w:hint="eastAsia"/>
        </w:rPr>
        <w:t>（1）磋商公告</w:t>
      </w:r>
    </w:p>
    <w:p w14:paraId="7533DC0F">
      <w:pPr>
        <w:ind w:firstLine="480"/>
      </w:pPr>
      <w:r>
        <w:rPr>
          <w:rFonts w:hint="eastAsia"/>
        </w:rPr>
        <w:t xml:space="preserve">（2）磋商供应商须知前附表 </w:t>
      </w:r>
    </w:p>
    <w:p w14:paraId="52FE0D66">
      <w:pPr>
        <w:ind w:firstLine="480"/>
      </w:pPr>
      <w:r>
        <w:rPr>
          <w:rFonts w:hint="eastAsia"/>
        </w:rPr>
        <w:t>（3）投标人须知</w:t>
      </w:r>
    </w:p>
    <w:p w14:paraId="137AE5BF">
      <w:pPr>
        <w:ind w:firstLine="480"/>
      </w:pPr>
      <w:r>
        <w:rPr>
          <w:rFonts w:hint="eastAsia"/>
        </w:rPr>
        <w:t>（4）采购需求</w:t>
      </w:r>
    </w:p>
    <w:p w14:paraId="53A9E1C3">
      <w:pPr>
        <w:ind w:firstLine="480"/>
      </w:pPr>
      <w:bookmarkStart w:id="158" w:name="_Toc430488851"/>
      <w:bookmarkStart w:id="159" w:name="_Toc430488644"/>
      <w:bookmarkStart w:id="160" w:name="_Toc415567497"/>
      <w:bookmarkStart w:id="161" w:name="_Toc430489119"/>
      <w:bookmarkStart w:id="162" w:name="_Toc430490612"/>
      <w:bookmarkStart w:id="163" w:name="_Toc430492126"/>
      <w:bookmarkStart w:id="164" w:name="_Toc430422413"/>
      <w:r>
        <w:rPr>
          <w:rFonts w:hint="eastAsia"/>
        </w:rPr>
        <w:t>（5）合同</w:t>
      </w:r>
    </w:p>
    <w:p w14:paraId="50267089">
      <w:pPr>
        <w:ind w:firstLine="480"/>
      </w:pPr>
      <w:r>
        <w:rPr>
          <w:rFonts w:hint="eastAsia"/>
        </w:rPr>
        <w:t>（6）评审办法和评分标准</w:t>
      </w:r>
    </w:p>
    <w:p w14:paraId="6D5229F0">
      <w:pPr>
        <w:ind w:firstLine="480"/>
      </w:pPr>
      <w:r>
        <w:rPr>
          <w:rFonts w:hint="eastAsia"/>
        </w:rPr>
        <w:t>（7）竞争性磋商响应文件格式</w:t>
      </w:r>
      <w:bookmarkEnd w:id="158"/>
      <w:bookmarkEnd w:id="159"/>
      <w:bookmarkEnd w:id="160"/>
      <w:bookmarkEnd w:id="161"/>
      <w:bookmarkEnd w:id="162"/>
      <w:bookmarkEnd w:id="163"/>
      <w:bookmarkEnd w:id="164"/>
    </w:p>
    <w:p w14:paraId="7E228880">
      <w:pPr>
        <w:ind w:firstLine="480"/>
      </w:pPr>
      <w:r>
        <w:rPr>
          <w:rFonts w:hint="eastAsia"/>
        </w:rPr>
        <w:t>18.竞争性磋商文件的澄清与修改</w:t>
      </w:r>
    </w:p>
    <w:p w14:paraId="11B0FDB4">
      <w:pPr>
        <w:ind w:firstLine="480"/>
      </w:pPr>
      <w:r>
        <w:rPr>
          <w:rFonts w:hint="eastAsia"/>
        </w:rPr>
        <w:t>18.1在提交投标文件截止时间前，采购人、采购代理机构可以对招标文件进行澄清或者修改。</w:t>
      </w:r>
    </w:p>
    <w:p w14:paraId="1ABE7E0C">
      <w:pPr>
        <w:ind w:firstLine="480"/>
      </w:pPr>
      <w:r>
        <w:rPr>
          <w:rFonts w:hint="eastAsia"/>
        </w:rPr>
        <w:t>18.2采购人、采购代理机构可以对已发出的招标文件进行澄清或者修改，将澄清或者修改的内容通知依法获取了招标文件的投标人，同时在浙江政府采购网发布更正公告。</w:t>
      </w:r>
    </w:p>
    <w:p w14:paraId="2E9860FA">
      <w:pPr>
        <w:ind w:firstLine="480"/>
      </w:pPr>
      <w:r>
        <w:rPr>
          <w:rFonts w:hint="eastAsia"/>
        </w:rPr>
        <w:t>18.3投标人在招标文件规定的询疑截止时间前未对招标文件提出疑问的，采购人、采购代理机构将视其对招标文件无异议。采购人、采购代理机构有权对逾期收到疑问将不予受理、答复。</w:t>
      </w:r>
    </w:p>
    <w:p w14:paraId="2B2F26BD">
      <w:pPr>
        <w:ind w:firstLine="480"/>
      </w:pPr>
      <w:r>
        <w:rPr>
          <w:rFonts w:hint="eastAsia"/>
        </w:rPr>
        <w:t>18.4澄清、修改补充文件发布后，原则上不改变招标文件规定的投标截止时间及开标时间。投标人如认为澄清、修改补充文件内容影响投标文件编制，须延长投标截止时间的，否则，采购人、采购代理机构视投标人完全接受并有足够的时间编制投标文件且按规定时间进行投标。</w:t>
      </w:r>
    </w:p>
    <w:p w14:paraId="2AD2B2B4">
      <w:pPr>
        <w:ind w:firstLine="480"/>
        <w:rPr>
          <w:rFonts w:ascii="宋体" w:hAnsi="宋体"/>
          <w:szCs w:val="21"/>
        </w:rPr>
      </w:pPr>
      <w:r>
        <w:rPr>
          <w:rFonts w:hint="eastAsia"/>
        </w:rPr>
        <w:t>18.5招标文件的澄清、修改内容作为招标文件的组成部分。当招标文件与澄清、修改的就同一内容的表述不一致时，以最后发出的文件为准。</w:t>
      </w:r>
    </w:p>
    <w:p w14:paraId="381AACFC">
      <w:pPr>
        <w:pStyle w:val="10"/>
      </w:pPr>
      <w:bookmarkStart w:id="165" w:name="_Toc6273"/>
      <w:bookmarkStart w:id="166" w:name="_Toc10669"/>
      <w:bookmarkStart w:id="167" w:name="_Toc1729"/>
      <w:bookmarkStart w:id="168" w:name="_Toc11669"/>
      <w:bookmarkStart w:id="169" w:name="_Toc23975"/>
      <w:bookmarkStart w:id="170" w:name="_Toc6457"/>
      <w:bookmarkStart w:id="171" w:name="_Toc1828"/>
      <w:bookmarkStart w:id="172" w:name="_Toc391298957"/>
      <w:bookmarkStart w:id="173" w:name="_Toc14650"/>
      <w:bookmarkStart w:id="174" w:name="_Toc11093"/>
      <w:bookmarkStart w:id="175" w:name="_Toc7126"/>
      <w:bookmarkStart w:id="176" w:name="_Toc1202"/>
      <w:bookmarkStart w:id="177" w:name="_Toc11692"/>
      <w:bookmarkStart w:id="178" w:name="_Toc8860"/>
      <w:bookmarkStart w:id="179" w:name="_Toc23135"/>
      <w:bookmarkStart w:id="180" w:name="_Toc31748"/>
      <w:bookmarkStart w:id="181" w:name="_Toc18702"/>
      <w:bookmarkStart w:id="182" w:name="_Toc24622"/>
      <w:bookmarkStart w:id="183" w:name="_Toc6079"/>
      <w:bookmarkStart w:id="184" w:name="_Toc26027"/>
      <w:bookmarkStart w:id="185" w:name="_Toc26603"/>
      <w:bookmarkStart w:id="186" w:name="_Toc10810"/>
      <w:bookmarkStart w:id="187" w:name="_Toc9249"/>
      <w:bookmarkStart w:id="188" w:name="_Toc31805"/>
      <w:bookmarkStart w:id="189" w:name="_Toc1811"/>
      <w:bookmarkStart w:id="190" w:name="_Toc16244"/>
      <w:bookmarkStart w:id="191" w:name="_Toc14801"/>
      <w:bookmarkStart w:id="192" w:name="_Toc23796"/>
      <w:bookmarkStart w:id="193" w:name="_Toc15542"/>
      <w:bookmarkStart w:id="194" w:name="_Toc12861"/>
      <w:r>
        <w:rPr>
          <w:rFonts w:hint="eastAsia"/>
        </w:rPr>
        <w:t>三、</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Pr>
          <w:rFonts w:hint="eastAsia"/>
        </w:rPr>
        <w:t>响应文件</w:t>
      </w:r>
      <w:bookmarkEnd w:id="187"/>
      <w:bookmarkEnd w:id="188"/>
      <w:bookmarkEnd w:id="189"/>
      <w:bookmarkEnd w:id="190"/>
      <w:bookmarkEnd w:id="191"/>
      <w:bookmarkEnd w:id="192"/>
      <w:bookmarkEnd w:id="193"/>
      <w:bookmarkEnd w:id="194"/>
    </w:p>
    <w:p w14:paraId="13A9A4C8">
      <w:pPr>
        <w:ind w:firstLine="480"/>
        <w:rPr>
          <w:color w:val="auto"/>
          <w:highlight w:val="none"/>
        </w:rPr>
      </w:pPr>
      <w:r>
        <w:rPr>
          <w:color w:val="auto"/>
          <w:highlight w:val="none"/>
        </w:rPr>
        <w:t>19.响</w:t>
      </w:r>
      <w:r>
        <w:rPr>
          <w:rFonts w:hint="eastAsia"/>
          <w:color w:val="auto"/>
          <w:highlight w:val="none"/>
        </w:rPr>
        <w:t>应文件的组成</w:t>
      </w:r>
    </w:p>
    <w:p w14:paraId="7CC23BD4">
      <w:pPr>
        <w:ind w:firstLine="480"/>
        <w:rPr>
          <w:color w:val="auto"/>
          <w:highlight w:val="none"/>
        </w:rPr>
      </w:pPr>
      <w:r>
        <w:rPr>
          <w:color w:val="auto"/>
          <w:highlight w:val="none"/>
        </w:rPr>
        <w:t>19.1供应商应按照磋商文件的要求以及格式编制响应文件并</w:t>
      </w:r>
      <w:r>
        <w:rPr>
          <w:rFonts w:hint="eastAsia"/>
          <w:color w:val="auto"/>
          <w:highlight w:val="none"/>
        </w:rPr>
        <w:t>做出</w:t>
      </w:r>
      <w:r>
        <w:rPr>
          <w:color w:val="auto"/>
          <w:highlight w:val="none"/>
        </w:rPr>
        <w:t>实质性响应，保证其合法性、真实性、准确性和完整性。</w:t>
      </w:r>
    </w:p>
    <w:p w14:paraId="68B3BB7C">
      <w:pPr>
        <w:ind w:firstLine="480"/>
        <w:rPr>
          <w:color w:val="auto"/>
          <w:highlight w:val="none"/>
        </w:rPr>
      </w:pPr>
      <w:r>
        <w:rPr>
          <w:color w:val="auto"/>
          <w:highlight w:val="none"/>
        </w:rPr>
        <w:t>19.2响应文件由【资格审查文件】【商务技术文件】</w:t>
      </w:r>
      <w:r>
        <w:rPr>
          <w:rFonts w:hint="eastAsia"/>
          <w:color w:val="auto"/>
          <w:highlight w:val="none"/>
          <w:lang w:eastAsia="zh-CN"/>
        </w:rPr>
        <w:t>【</w:t>
      </w:r>
      <w:r>
        <w:rPr>
          <w:rFonts w:hint="eastAsia"/>
          <w:color w:val="auto"/>
          <w:highlight w:val="none"/>
          <w:lang w:val="en-US" w:eastAsia="zh-CN"/>
        </w:rPr>
        <w:t>报价文件</w:t>
      </w:r>
      <w:r>
        <w:rPr>
          <w:rFonts w:hint="eastAsia"/>
          <w:color w:val="auto"/>
          <w:highlight w:val="none"/>
          <w:lang w:eastAsia="zh-CN"/>
        </w:rPr>
        <w:t>】</w:t>
      </w:r>
      <w:r>
        <w:rPr>
          <w:rFonts w:hint="eastAsia"/>
          <w:color w:val="auto"/>
          <w:highlight w:val="none"/>
          <w:lang w:val="en-US" w:eastAsia="zh-CN"/>
        </w:rPr>
        <w:t>三</w:t>
      </w:r>
      <w:r>
        <w:rPr>
          <w:color w:val="auto"/>
          <w:highlight w:val="none"/>
        </w:rPr>
        <w:t>部分内容组成，其中</w:t>
      </w:r>
    </w:p>
    <w:p w14:paraId="657998F2">
      <w:pPr>
        <w:ind w:firstLine="480"/>
        <w:rPr>
          <w:rFonts w:hint="eastAsia" w:eastAsia="宋体"/>
          <w:color w:val="000000" w:themeColor="text1"/>
          <w:lang w:eastAsia="zh-CN"/>
          <w14:textFill>
            <w14:solidFill>
              <w14:schemeClr w14:val="tx1"/>
            </w14:solidFill>
          </w14:textFill>
        </w:rPr>
      </w:pPr>
      <w:r>
        <w:rPr>
          <w:color w:val="auto"/>
          <w:highlight w:val="none"/>
        </w:rPr>
        <w:t>19.2.1资格审查文件</w:t>
      </w:r>
      <w:r>
        <w:rPr>
          <w:rFonts w:hint="default" w:ascii="Plantagenet Cherokee" w:hAnsi="Plantagenet Cherokee" w:cs="Plantagenet Cherokee"/>
          <w:b/>
          <w:bCs w:val="0"/>
          <w:color w:val="auto"/>
          <w:lang w:eastAsia="zh-CN"/>
        </w:rPr>
        <w:t>包括但不限于下列内容：</w:t>
      </w:r>
    </w:p>
    <w:p w14:paraId="2BFE9F19">
      <w:pPr>
        <w:bidi w:val="0"/>
      </w:pPr>
      <w:r>
        <w:rPr>
          <w:rFonts w:hint="eastAsia"/>
        </w:rPr>
        <w:t>（</w:t>
      </w:r>
      <w:r>
        <w:t>1</w:t>
      </w:r>
      <w:r>
        <w:rPr>
          <w:rFonts w:hint="eastAsia"/>
        </w:rPr>
        <w:t>）▲投标人基本情况表（附件</w:t>
      </w:r>
      <w:r>
        <w:t>1</w:t>
      </w:r>
      <w:r>
        <w:rPr>
          <w:rFonts w:hint="eastAsia"/>
        </w:rPr>
        <w:t>）</w:t>
      </w:r>
    </w:p>
    <w:p w14:paraId="13C6B684">
      <w:pPr>
        <w:bidi w:val="0"/>
        <w:rPr>
          <w:rFonts w:hint="default" w:eastAsia="宋体"/>
          <w:lang w:val="en-US" w:eastAsia="zh-CN"/>
        </w:rPr>
      </w:pPr>
      <w:r>
        <w:rPr>
          <w:rFonts w:hint="eastAsia"/>
        </w:rPr>
        <w:t>（</w:t>
      </w:r>
      <w:r>
        <w:t>2</w:t>
      </w:r>
      <w:r>
        <w:rPr>
          <w:rFonts w:hint="eastAsia"/>
        </w:rPr>
        <w:t>）▲</w:t>
      </w:r>
      <w:r>
        <w:rPr>
          <w:rFonts w:hint="default"/>
        </w:rPr>
        <w:t>提供有效《营业执照》或者《事业单位法人证书》扫描件</w:t>
      </w:r>
      <w:r>
        <w:rPr>
          <w:rFonts w:hint="eastAsia"/>
          <w:lang w:val="en-US" w:eastAsia="zh-CN"/>
        </w:rPr>
        <w:t>并加盖公章</w:t>
      </w:r>
    </w:p>
    <w:p w14:paraId="0552D482">
      <w:pPr>
        <w:bidi w:val="0"/>
        <w:rPr>
          <w:rFonts w:hint="default" w:ascii="Plantagenet Cherokee" w:hAnsi="Plantagenet Cherokee" w:eastAsia="宋体" w:cs="Plantagenet Cherokee"/>
          <w:color w:val="auto"/>
          <w:szCs w:val="22"/>
          <w:lang w:val="en-US" w:eastAsia="zh-CN"/>
        </w:rPr>
      </w:pPr>
      <w:r>
        <w:rPr>
          <w:rFonts w:hint="eastAsia"/>
          <w:lang w:eastAsia="zh-CN"/>
        </w:rPr>
        <w:t>（</w:t>
      </w:r>
      <w:r>
        <w:rPr>
          <w:rFonts w:hint="eastAsia"/>
          <w:lang w:val="en-US" w:eastAsia="zh-CN"/>
        </w:rPr>
        <w:t>3）</w:t>
      </w:r>
      <w:r>
        <w:rPr>
          <w:rFonts w:hint="default"/>
        </w:rPr>
        <w:t>▲法定资格要求：提供符合参加企业采购活动应当具备的一般条件承诺函（附件2）</w:t>
      </w:r>
    </w:p>
    <w:p w14:paraId="2EA4319A">
      <w:pPr>
        <w:bidi w:val="0"/>
        <w:rPr>
          <w:rFonts w:hint="eastAsia"/>
        </w:rPr>
      </w:pPr>
      <w:r>
        <w:rPr>
          <w:rFonts w:hint="eastAsia"/>
        </w:rPr>
        <w:t>（</w:t>
      </w:r>
      <w:r>
        <w:rPr>
          <w:rFonts w:hint="eastAsia"/>
          <w:lang w:val="en-US" w:eastAsia="zh-CN"/>
        </w:rPr>
        <w:t>4</w:t>
      </w:r>
      <w:r>
        <w:rPr>
          <w:rFonts w:hint="eastAsia"/>
        </w:rPr>
        <w:t>）</w:t>
      </w:r>
      <w:r>
        <w:rPr>
          <w:rFonts w:hint="default"/>
        </w:rPr>
        <w:t>▲</w:t>
      </w:r>
      <w:r>
        <w:rPr>
          <w:rFonts w:hint="eastAsia"/>
        </w:rPr>
        <w:t>落实政府采购政策需满足的资格要求：</w:t>
      </w:r>
      <w:r>
        <w:rPr>
          <w:rFonts w:hint="eastAsia"/>
          <w:lang w:val="en-US" w:eastAsia="zh-CN"/>
        </w:rPr>
        <w:t>提供《</w:t>
      </w:r>
      <w:r>
        <w:rPr>
          <w:rFonts w:hint="eastAsia"/>
        </w:rPr>
        <w:t>中小企业声明函</w:t>
      </w:r>
      <w:r>
        <w:rPr>
          <w:rFonts w:hint="eastAsia"/>
          <w:lang w:eastAsia="zh-CN"/>
        </w:rPr>
        <w:t>（</w:t>
      </w:r>
      <w:r>
        <w:rPr>
          <w:rFonts w:hint="eastAsia"/>
          <w:lang w:val="en-US" w:eastAsia="zh-CN"/>
        </w:rPr>
        <w:t>服务）》</w:t>
      </w:r>
      <w:r>
        <w:rPr>
          <w:rFonts w:hint="default"/>
        </w:rPr>
        <w:t>（附件</w:t>
      </w:r>
      <w:r>
        <w:rPr>
          <w:rFonts w:hint="eastAsia"/>
          <w:lang w:val="en-US" w:eastAsia="zh-CN"/>
        </w:rPr>
        <w:t>3</w:t>
      </w:r>
      <w:r>
        <w:rPr>
          <w:rFonts w:hint="default"/>
        </w:rPr>
        <w:t>）</w:t>
      </w:r>
      <w:r>
        <w:rPr>
          <w:rFonts w:hint="eastAsia"/>
          <w:lang w:val="en-US" w:eastAsia="zh-CN"/>
        </w:rPr>
        <w:t>或《</w:t>
      </w:r>
      <w:r>
        <w:rPr>
          <w:rFonts w:hint="eastAsia"/>
        </w:rPr>
        <w:t>监狱企业声明函</w:t>
      </w:r>
      <w:r>
        <w:rPr>
          <w:rFonts w:hint="eastAsia"/>
          <w:lang w:eastAsia="zh-CN"/>
        </w:rPr>
        <w:t>》</w:t>
      </w:r>
      <w:r>
        <w:rPr>
          <w:rFonts w:hint="default"/>
        </w:rPr>
        <w:t>（附件</w:t>
      </w:r>
      <w:r>
        <w:rPr>
          <w:rFonts w:hint="eastAsia"/>
          <w:lang w:val="en-US" w:eastAsia="zh-CN"/>
        </w:rPr>
        <w:t>4</w:t>
      </w:r>
      <w:r>
        <w:rPr>
          <w:rFonts w:hint="default"/>
        </w:rPr>
        <w:t>）</w:t>
      </w:r>
      <w:r>
        <w:rPr>
          <w:rFonts w:hint="eastAsia"/>
          <w:lang w:val="en-US" w:eastAsia="zh-CN"/>
        </w:rPr>
        <w:t>或</w:t>
      </w:r>
      <w:r>
        <w:rPr>
          <w:rFonts w:hint="eastAsia"/>
          <w:lang w:eastAsia="zh-CN"/>
        </w:rPr>
        <w:t>《</w:t>
      </w:r>
      <w:r>
        <w:rPr>
          <w:rFonts w:hint="eastAsia"/>
        </w:rPr>
        <w:t>残疾人福利性单位声明函</w:t>
      </w:r>
      <w:r>
        <w:rPr>
          <w:rFonts w:hint="eastAsia"/>
          <w:lang w:eastAsia="zh-CN"/>
        </w:rPr>
        <w:t>》</w:t>
      </w:r>
      <w:r>
        <w:rPr>
          <w:rFonts w:hint="default"/>
        </w:rPr>
        <w:t>（附件</w:t>
      </w:r>
      <w:r>
        <w:rPr>
          <w:rFonts w:hint="eastAsia"/>
          <w:lang w:val="en-US" w:eastAsia="zh-CN"/>
        </w:rPr>
        <w:t>5</w:t>
      </w:r>
      <w:r>
        <w:rPr>
          <w:rFonts w:hint="default"/>
        </w:rPr>
        <w:t>）</w:t>
      </w:r>
    </w:p>
    <w:p w14:paraId="0287761B">
      <w:pPr>
        <w:ind w:firstLine="480"/>
        <w:rPr>
          <w:rFonts w:hint="eastAsia" w:eastAsia="宋体"/>
          <w:color w:val="auto"/>
          <w:highlight w:val="none"/>
          <w:lang w:eastAsia="zh-CN"/>
        </w:rPr>
      </w:pPr>
      <w:r>
        <w:rPr>
          <w:rFonts w:hint="eastAsia"/>
          <w:lang w:eastAsia="zh-CN"/>
        </w:rPr>
        <w:t>（</w:t>
      </w:r>
      <w:r>
        <w:rPr>
          <w:rFonts w:hint="eastAsia"/>
          <w:lang w:val="en-US" w:eastAsia="zh-CN"/>
        </w:rPr>
        <w:t>5）</w:t>
      </w:r>
      <w:r>
        <w:rPr>
          <w:rFonts w:hint="default"/>
        </w:rPr>
        <w:t>▲</w:t>
      </w:r>
      <w:r>
        <w:rPr>
          <w:rFonts w:hint="eastAsia"/>
        </w:rPr>
        <w:t>本项目的特定资格要求：</w:t>
      </w:r>
      <w:r>
        <w:rPr>
          <w:rFonts w:hint="eastAsia"/>
          <w:highlight w:val="none"/>
          <w:lang w:val="en-US" w:eastAsia="zh-CN"/>
        </w:rPr>
        <w:t>具有</w:t>
      </w:r>
      <w:r>
        <w:rPr>
          <w:rFonts w:hint="eastAsia"/>
        </w:rPr>
        <w:t>劳务派遣经营</w:t>
      </w:r>
      <w:r>
        <w:t>许可证</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提供相关有效证书扫描件并加盖公章</w:t>
      </w:r>
      <w:r>
        <w:rPr>
          <w:rFonts w:hint="eastAsia"/>
          <w:color w:val="000000" w:themeColor="text1"/>
          <w:lang w:eastAsia="zh-CN"/>
          <w14:textFill>
            <w14:solidFill>
              <w14:schemeClr w14:val="tx1"/>
            </w14:solidFill>
          </w14:textFill>
        </w:rPr>
        <w:t>）</w:t>
      </w:r>
    </w:p>
    <w:p w14:paraId="35852AAA">
      <w:pPr>
        <w:ind w:firstLine="480"/>
        <w:rPr>
          <w:color w:val="auto"/>
          <w:highlight w:val="none"/>
        </w:rPr>
      </w:pPr>
      <w:r>
        <w:rPr>
          <w:rFonts w:hint="eastAsia"/>
          <w:color w:val="auto"/>
          <w:highlight w:val="none"/>
        </w:rPr>
        <w:t>19.2.2商务技术文件</w:t>
      </w:r>
    </w:p>
    <w:p w14:paraId="332B0E7C">
      <w:pPr>
        <w:bidi w:val="0"/>
      </w:pPr>
      <w:r>
        <w:rPr>
          <w:rFonts w:hint="eastAsia"/>
        </w:rPr>
        <w:t>（</w:t>
      </w:r>
      <w:r>
        <w:rPr>
          <w:rFonts w:hint="eastAsia"/>
          <w:lang w:val="en-US" w:eastAsia="zh-CN"/>
        </w:rPr>
        <w:t>1</w:t>
      </w:r>
      <w:r>
        <w:rPr>
          <w:rFonts w:hint="eastAsia"/>
        </w:rPr>
        <w:t>）</w:t>
      </w:r>
      <w:r>
        <w:t>▲</w:t>
      </w:r>
      <w:r>
        <w:rPr>
          <w:rFonts w:hint="eastAsia"/>
        </w:rPr>
        <w:t>投标声明函（</w:t>
      </w:r>
      <w:r>
        <w:t>附件</w:t>
      </w:r>
      <w:r>
        <w:rPr>
          <w:rFonts w:hint="eastAsia"/>
          <w:lang w:val="en-US" w:eastAsia="zh-CN"/>
        </w:rPr>
        <w:t>6</w:t>
      </w:r>
      <w:r>
        <w:rPr>
          <w:rFonts w:hint="eastAsia"/>
        </w:rPr>
        <w:t>）</w:t>
      </w:r>
    </w:p>
    <w:p w14:paraId="22E738C3">
      <w:pPr>
        <w:bidi w:val="0"/>
      </w:pPr>
      <w:r>
        <w:rPr>
          <w:rFonts w:hint="eastAsia"/>
        </w:rPr>
        <w:t>（</w:t>
      </w:r>
      <w:r>
        <w:rPr>
          <w:rFonts w:hint="eastAsia"/>
          <w:lang w:val="en-US" w:eastAsia="zh-CN"/>
        </w:rPr>
        <w:t>2</w:t>
      </w:r>
      <w:r>
        <w:rPr>
          <w:rFonts w:hint="eastAsia"/>
        </w:rPr>
        <w:t>）</w:t>
      </w:r>
      <w:r>
        <w:t>▲授权</w:t>
      </w:r>
      <w:r>
        <w:rPr>
          <w:rFonts w:hint="eastAsia"/>
        </w:rPr>
        <w:t>委托</w:t>
      </w:r>
      <w:r>
        <w:t>书</w:t>
      </w:r>
      <w:r>
        <w:rPr>
          <w:rFonts w:hint="eastAsia"/>
        </w:rPr>
        <w:t>（附件</w:t>
      </w:r>
      <w:r>
        <w:rPr>
          <w:rFonts w:hint="eastAsia"/>
          <w:lang w:val="en-US" w:eastAsia="zh-CN"/>
        </w:rPr>
        <w:t>7</w:t>
      </w:r>
      <w:r>
        <w:rPr>
          <w:rFonts w:hint="eastAsia"/>
        </w:rPr>
        <w:t>）</w:t>
      </w:r>
    </w:p>
    <w:p w14:paraId="6EBEEF15">
      <w:pPr>
        <w:bidi w:val="0"/>
      </w:pPr>
      <w:r>
        <w:rPr>
          <w:rFonts w:hint="eastAsia"/>
        </w:rPr>
        <w:t>（</w:t>
      </w:r>
      <w:r>
        <w:rPr>
          <w:rFonts w:hint="eastAsia"/>
          <w:lang w:val="en-US" w:eastAsia="zh-CN"/>
        </w:rPr>
        <w:t>3</w:t>
      </w:r>
      <w:r>
        <w:rPr>
          <w:rFonts w:hint="eastAsia"/>
        </w:rPr>
        <w:t>）同类项目业绩一览表</w:t>
      </w:r>
      <w:r>
        <w:rPr>
          <w:rFonts w:hint="eastAsia"/>
          <w:lang w:eastAsia="zh-CN"/>
        </w:rPr>
        <w:t>；</w:t>
      </w:r>
      <w:r>
        <w:rPr>
          <w:rFonts w:hint="eastAsia"/>
        </w:rPr>
        <w:t>（附件</w:t>
      </w:r>
      <w:r>
        <w:rPr>
          <w:rFonts w:hint="eastAsia"/>
          <w:lang w:val="en-US" w:eastAsia="zh-CN"/>
        </w:rPr>
        <w:t>8</w:t>
      </w:r>
      <w:r>
        <w:rPr>
          <w:rFonts w:hint="eastAsia"/>
        </w:rPr>
        <w:t>）</w:t>
      </w:r>
    </w:p>
    <w:p w14:paraId="412CAAC5">
      <w:pPr>
        <w:bidi w:val="0"/>
        <w:rPr>
          <w:rFonts w:hint="eastAsia"/>
          <w:lang w:eastAsia="zh-CN"/>
        </w:rPr>
      </w:pPr>
      <w:r>
        <w:rPr>
          <w:rFonts w:hint="eastAsia"/>
        </w:rPr>
        <w:t>（</w:t>
      </w:r>
      <w:r>
        <w:rPr>
          <w:rFonts w:hint="eastAsia"/>
          <w:lang w:val="en-US" w:eastAsia="zh-CN"/>
        </w:rPr>
        <w:t>4</w:t>
      </w:r>
      <w:r>
        <w:rPr>
          <w:rFonts w:hint="eastAsia"/>
        </w:rPr>
        <w:t>）认证证书</w:t>
      </w:r>
      <w:r>
        <w:rPr>
          <w:rFonts w:hint="eastAsia"/>
          <w:lang w:eastAsia="zh-CN"/>
        </w:rPr>
        <w:t>；（</w:t>
      </w:r>
      <w:r>
        <w:rPr>
          <w:rFonts w:hint="eastAsia"/>
          <w:lang w:val="en-US" w:eastAsia="zh-CN"/>
        </w:rPr>
        <w:t>格式自拟</w:t>
      </w:r>
      <w:r>
        <w:rPr>
          <w:rFonts w:hint="eastAsia"/>
          <w:lang w:eastAsia="zh-CN"/>
        </w:rPr>
        <w:t>）</w:t>
      </w:r>
    </w:p>
    <w:p w14:paraId="2EF74619">
      <w:pPr>
        <w:bidi w:val="0"/>
      </w:pPr>
      <w:r>
        <w:rPr>
          <w:rFonts w:hint="eastAsia"/>
        </w:rPr>
        <w:t>（</w:t>
      </w:r>
      <w:r>
        <w:rPr>
          <w:rFonts w:hint="eastAsia"/>
          <w:lang w:val="en-US" w:eastAsia="zh-CN"/>
        </w:rPr>
        <w:t>5</w:t>
      </w:r>
      <w:r>
        <w:rPr>
          <w:rFonts w:hint="eastAsia"/>
        </w:rPr>
        <w:t>）</w:t>
      </w:r>
      <w:r>
        <w:t>拟派本项目团队人员配备一览表</w:t>
      </w:r>
      <w:r>
        <w:rPr>
          <w:rFonts w:hint="eastAsia"/>
        </w:rPr>
        <w:t>（附件</w:t>
      </w:r>
      <w:r>
        <w:rPr>
          <w:rFonts w:hint="eastAsia"/>
          <w:lang w:val="en-US" w:eastAsia="zh-CN"/>
        </w:rPr>
        <w:t>9</w:t>
      </w:r>
      <w:r>
        <w:rPr>
          <w:rFonts w:hint="eastAsia"/>
        </w:rPr>
        <w:t>）</w:t>
      </w:r>
    </w:p>
    <w:p w14:paraId="1F64D69B">
      <w:pPr>
        <w:bidi w:val="0"/>
      </w:pPr>
      <w:r>
        <w:rPr>
          <w:rFonts w:hint="eastAsia"/>
        </w:rPr>
        <w:t>（</w:t>
      </w:r>
      <w:r>
        <w:rPr>
          <w:rFonts w:hint="eastAsia"/>
          <w:lang w:val="en-US" w:eastAsia="zh-CN"/>
        </w:rPr>
        <w:t>6</w:t>
      </w:r>
      <w:r>
        <w:rPr>
          <w:rFonts w:hint="eastAsia"/>
        </w:rPr>
        <w:t>）项目综合管理服务方案</w:t>
      </w:r>
      <w:r>
        <w:rPr>
          <w:rFonts w:hint="eastAsia"/>
          <w:lang w:eastAsia="zh-CN"/>
        </w:rPr>
        <w:t>；（</w:t>
      </w:r>
      <w:r>
        <w:rPr>
          <w:rFonts w:hint="eastAsia"/>
          <w:lang w:val="en-US" w:eastAsia="zh-CN"/>
        </w:rPr>
        <w:t>格式自拟</w:t>
      </w:r>
      <w:r>
        <w:rPr>
          <w:rFonts w:hint="eastAsia"/>
          <w:lang w:eastAsia="zh-CN"/>
        </w:rPr>
        <w:t>）</w:t>
      </w:r>
    </w:p>
    <w:p w14:paraId="31819104">
      <w:pPr>
        <w:bidi w:val="0"/>
      </w:pPr>
      <w:r>
        <w:rPr>
          <w:rFonts w:hint="eastAsia"/>
        </w:rPr>
        <w:t>（</w:t>
      </w:r>
      <w:r>
        <w:rPr>
          <w:rFonts w:hint="eastAsia"/>
          <w:lang w:val="en-US" w:eastAsia="zh-CN"/>
        </w:rPr>
        <w:t>7</w:t>
      </w:r>
      <w:r>
        <w:rPr>
          <w:rFonts w:hint="eastAsia"/>
        </w:rPr>
        <w:t>）项目理解</w:t>
      </w:r>
      <w:r>
        <w:rPr>
          <w:rFonts w:hint="eastAsia"/>
          <w:lang w:eastAsia="zh-CN"/>
        </w:rPr>
        <w:t>；（</w:t>
      </w:r>
      <w:r>
        <w:rPr>
          <w:rFonts w:hint="eastAsia"/>
          <w:lang w:val="en-US" w:eastAsia="zh-CN"/>
        </w:rPr>
        <w:t>格式自拟</w:t>
      </w:r>
      <w:r>
        <w:rPr>
          <w:rFonts w:hint="eastAsia"/>
          <w:lang w:eastAsia="zh-CN"/>
        </w:rPr>
        <w:t>）</w:t>
      </w:r>
    </w:p>
    <w:p w14:paraId="5B2794E2">
      <w:pPr>
        <w:bidi w:val="0"/>
      </w:pPr>
      <w:r>
        <w:rPr>
          <w:rFonts w:hint="eastAsia"/>
        </w:rPr>
        <w:t>（</w:t>
      </w:r>
      <w:r>
        <w:rPr>
          <w:rFonts w:hint="eastAsia"/>
          <w:lang w:val="en-US" w:eastAsia="zh-CN"/>
        </w:rPr>
        <w:t>8</w:t>
      </w:r>
      <w:r>
        <w:rPr>
          <w:rFonts w:hint="eastAsia"/>
        </w:rPr>
        <w:t>）服务计划</w:t>
      </w:r>
      <w:r>
        <w:rPr>
          <w:rFonts w:hint="eastAsia"/>
          <w:lang w:eastAsia="zh-CN"/>
        </w:rPr>
        <w:t>；（</w:t>
      </w:r>
      <w:r>
        <w:rPr>
          <w:rFonts w:hint="eastAsia"/>
          <w:lang w:val="en-US" w:eastAsia="zh-CN"/>
        </w:rPr>
        <w:t>格式自拟</w:t>
      </w:r>
      <w:r>
        <w:rPr>
          <w:rFonts w:hint="eastAsia"/>
          <w:lang w:eastAsia="zh-CN"/>
        </w:rPr>
        <w:t>）</w:t>
      </w:r>
    </w:p>
    <w:p w14:paraId="278434A1">
      <w:pPr>
        <w:bidi w:val="0"/>
        <w:rPr>
          <w:rFonts w:hint="eastAsia"/>
          <w:lang w:eastAsia="zh-CN"/>
        </w:rPr>
      </w:pPr>
      <w:r>
        <w:rPr>
          <w:rFonts w:hint="eastAsia"/>
        </w:rPr>
        <w:t>（</w:t>
      </w:r>
      <w:r>
        <w:rPr>
          <w:rFonts w:hint="eastAsia"/>
          <w:lang w:val="en-US" w:eastAsia="zh-CN"/>
        </w:rPr>
        <w:t>9</w:t>
      </w:r>
      <w:r>
        <w:rPr>
          <w:rFonts w:hint="eastAsia"/>
        </w:rPr>
        <w:t>）内部管理</w:t>
      </w:r>
      <w:r>
        <w:rPr>
          <w:rFonts w:hint="eastAsia"/>
          <w:lang w:eastAsia="zh-CN"/>
        </w:rPr>
        <w:t>；（</w:t>
      </w:r>
      <w:r>
        <w:rPr>
          <w:rFonts w:hint="eastAsia"/>
          <w:lang w:val="en-US" w:eastAsia="zh-CN"/>
        </w:rPr>
        <w:t>格式自拟</w:t>
      </w:r>
      <w:r>
        <w:rPr>
          <w:rFonts w:hint="eastAsia"/>
          <w:lang w:eastAsia="zh-CN"/>
        </w:rPr>
        <w:t>）</w:t>
      </w:r>
    </w:p>
    <w:p w14:paraId="493509EB">
      <w:pPr>
        <w:bidi w:val="0"/>
        <w:rPr>
          <w:rFonts w:hint="eastAsia"/>
          <w:lang w:eastAsia="zh-CN"/>
        </w:rPr>
      </w:pPr>
      <w:r>
        <w:rPr>
          <w:rFonts w:hint="eastAsia"/>
          <w:lang w:eastAsia="zh-CN"/>
        </w:rPr>
        <w:t>（</w:t>
      </w:r>
      <w:r>
        <w:rPr>
          <w:rFonts w:hint="eastAsia"/>
          <w:lang w:val="en-US" w:eastAsia="zh-CN"/>
        </w:rPr>
        <w:t>10</w:t>
      </w:r>
      <w:r>
        <w:rPr>
          <w:rFonts w:hint="eastAsia"/>
          <w:lang w:eastAsia="zh-CN"/>
        </w:rPr>
        <w:t>）应急预案；（</w:t>
      </w:r>
      <w:r>
        <w:rPr>
          <w:rFonts w:hint="eastAsia"/>
          <w:lang w:val="en-US" w:eastAsia="zh-CN"/>
        </w:rPr>
        <w:t>格式自拟</w:t>
      </w:r>
      <w:r>
        <w:rPr>
          <w:rFonts w:hint="eastAsia"/>
          <w:lang w:eastAsia="zh-CN"/>
        </w:rPr>
        <w:t>）</w:t>
      </w:r>
    </w:p>
    <w:p w14:paraId="17700B34">
      <w:pPr>
        <w:bidi w:val="0"/>
        <w:rPr>
          <w:rFonts w:hint="eastAsia"/>
          <w:lang w:eastAsia="zh-CN"/>
        </w:rPr>
      </w:pPr>
      <w:r>
        <w:rPr>
          <w:rFonts w:hint="eastAsia"/>
          <w:lang w:eastAsia="zh-CN"/>
        </w:rPr>
        <w:t>（</w:t>
      </w:r>
      <w:r>
        <w:rPr>
          <w:rFonts w:hint="eastAsia"/>
          <w:lang w:val="en-US" w:eastAsia="zh-CN"/>
        </w:rPr>
        <w:t>11</w:t>
      </w:r>
      <w:r>
        <w:rPr>
          <w:rFonts w:hint="eastAsia"/>
          <w:lang w:eastAsia="zh-CN"/>
        </w:rPr>
        <w:t>）合理化建议；（</w:t>
      </w:r>
      <w:r>
        <w:rPr>
          <w:rFonts w:hint="eastAsia"/>
          <w:lang w:val="en-US" w:eastAsia="zh-CN"/>
        </w:rPr>
        <w:t>格式自拟</w:t>
      </w:r>
      <w:r>
        <w:rPr>
          <w:rFonts w:hint="eastAsia"/>
          <w:lang w:eastAsia="zh-CN"/>
        </w:rPr>
        <w:t>）</w:t>
      </w:r>
    </w:p>
    <w:p w14:paraId="08A6A14E">
      <w:pPr>
        <w:bidi w:val="0"/>
        <w:rPr>
          <w:rFonts w:hint="eastAsia"/>
        </w:rPr>
      </w:pPr>
      <w:r>
        <w:rPr>
          <w:rFonts w:hint="eastAsia"/>
          <w:lang w:eastAsia="zh-CN"/>
        </w:rPr>
        <w:t>（</w:t>
      </w:r>
      <w:r>
        <w:rPr>
          <w:rFonts w:hint="eastAsia"/>
          <w:lang w:val="en-US" w:eastAsia="zh-CN"/>
        </w:rPr>
        <w:t>12</w:t>
      </w:r>
      <w:r>
        <w:rPr>
          <w:rFonts w:hint="eastAsia"/>
          <w:lang w:eastAsia="zh-CN"/>
        </w:rPr>
        <w:t>）服务质量承诺；（</w:t>
      </w:r>
      <w:r>
        <w:rPr>
          <w:rFonts w:hint="eastAsia"/>
          <w:lang w:val="en-US" w:eastAsia="zh-CN"/>
        </w:rPr>
        <w:t>格式自拟</w:t>
      </w:r>
      <w:r>
        <w:rPr>
          <w:rFonts w:hint="eastAsia"/>
          <w:lang w:eastAsia="zh-CN"/>
        </w:rPr>
        <w:t>）</w:t>
      </w:r>
    </w:p>
    <w:p w14:paraId="60E55023">
      <w:pPr>
        <w:bidi w:val="0"/>
      </w:pPr>
      <w:r>
        <w:rPr>
          <w:rFonts w:hint="eastAsia"/>
          <w:lang w:eastAsia="zh-CN"/>
        </w:rPr>
        <w:t>（</w:t>
      </w:r>
      <w:r>
        <w:rPr>
          <w:rFonts w:hint="eastAsia"/>
          <w:lang w:val="en-US" w:eastAsia="zh-CN"/>
        </w:rPr>
        <w:t>13</w:t>
      </w:r>
      <w:r>
        <w:rPr>
          <w:rFonts w:hint="eastAsia"/>
          <w:lang w:eastAsia="zh-CN"/>
        </w:rPr>
        <w:t>）</w:t>
      </w:r>
      <w:r>
        <w:t>供应商承诺给予采购人的各种优惠条件（如有，优惠条件事项不能包括采购项目本身所包括涉及的采购事项。供应商不能以</w:t>
      </w:r>
      <w:r>
        <w:rPr>
          <w:rFonts w:hint="eastAsia"/>
        </w:rPr>
        <w:t>“</w:t>
      </w:r>
      <w:r>
        <w:t>赠送、赠予</w:t>
      </w:r>
      <w:r>
        <w:rPr>
          <w:rFonts w:hint="eastAsia"/>
        </w:rPr>
        <w:t>”</w:t>
      </w:r>
      <w:r>
        <w:t>等任何名</w:t>
      </w:r>
      <w:r>
        <w:rPr>
          <w:rFonts w:hint="eastAsia"/>
        </w:rPr>
        <w:t>义提供货物和服务以规避磋商文件的约束。否则，供应商提供的响应文件将作为响应无效处理，即使成交也将取消成交资格）。</w:t>
      </w:r>
    </w:p>
    <w:p w14:paraId="681E0CCF">
      <w:pPr>
        <w:bidi w:val="0"/>
        <w:rPr>
          <w:color w:val="auto"/>
          <w:highlight w:val="none"/>
        </w:rPr>
      </w:pPr>
      <w:r>
        <w:rPr>
          <w:rFonts w:hint="eastAsia"/>
        </w:rPr>
        <w:t>（</w:t>
      </w:r>
      <w:r>
        <w:rPr>
          <w:rFonts w:hint="eastAsia"/>
          <w:lang w:val="en-US" w:eastAsia="zh-CN"/>
        </w:rPr>
        <w:t>14</w:t>
      </w:r>
      <w:r>
        <w:rPr>
          <w:rFonts w:hint="eastAsia"/>
        </w:rPr>
        <w:t>）未尽事宜请各供应商按评分细则制作技术部分</w:t>
      </w:r>
      <w:r>
        <w:rPr>
          <w:rFonts w:hint="eastAsia"/>
          <w:lang w:eastAsia="zh-CN"/>
        </w:rPr>
        <w:t>；</w:t>
      </w:r>
      <w:r>
        <w:rPr>
          <w:rFonts w:hint="eastAsia"/>
        </w:rPr>
        <w:t>（格式自拟）</w:t>
      </w:r>
    </w:p>
    <w:p w14:paraId="309E8024">
      <w:pPr>
        <w:ind w:firstLine="480"/>
        <w:rPr>
          <w:color w:val="auto"/>
          <w:highlight w:val="none"/>
        </w:rPr>
      </w:pPr>
      <w:r>
        <w:rPr>
          <w:rFonts w:hint="eastAsia"/>
          <w:color w:val="auto"/>
          <w:highlight w:val="none"/>
        </w:rPr>
        <w:t>19.2.3</w:t>
      </w:r>
      <w:r>
        <w:rPr>
          <w:rFonts w:hint="eastAsia"/>
          <w:color w:val="auto"/>
          <w:highlight w:val="none"/>
          <w:lang w:val="en-US" w:eastAsia="zh-CN"/>
        </w:rPr>
        <w:t>报价</w:t>
      </w:r>
      <w:r>
        <w:rPr>
          <w:rFonts w:hint="eastAsia"/>
          <w:color w:val="auto"/>
          <w:highlight w:val="none"/>
        </w:rPr>
        <w:t>文件，包括但不限于下列内容：</w:t>
      </w:r>
    </w:p>
    <w:p w14:paraId="67479EAC">
      <w:pPr>
        <w:ind w:firstLine="480"/>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color w:val="auto"/>
          <w:highlight w:val="none"/>
        </w:rPr>
        <w:t>▲</w:t>
      </w:r>
      <w:r>
        <w:rPr>
          <w:rFonts w:hint="eastAsia"/>
          <w:color w:val="auto"/>
          <w:highlight w:val="none"/>
        </w:rPr>
        <w:t>报价一览表（附件1</w:t>
      </w:r>
      <w:r>
        <w:rPr>
          <w:rFonts w:hint="eastAsia"/>
          <w:color w:val="auto"/>
          <w:highlight w:val="none"/>
          <w:lang w:val="en-US" w:eastAsia="zh-CN"/>
        </w:rPr>
        <w:t>0</w:t>
      </w:r>
      <w:r>
        <w:rPr>
          <w:rFonts w:hint="eastAsia"/>
          <w:color w:val="auto"/>
          <w:highlight w:val="none"/>
        </w:rPr>
        <w:t>）</w:t>
      </w:r>
    </w:p>
    <w:p w14:paraId="3C5369D6">
      <w:pPr>
        <w:ind w:firstLine="480"/>
        <w:rPr>
          <w:color w:val="auto"/>
          <w:highlight w:val="none"/>
        </w:rPr>
      </w:pPr>
      <w:r>
        <w:rPr>
          <w:rFonts w:hint="eastAsia"/>
          <w:color w:val="auto"/>
          <w:highlight w:val="none"/>
        </w:rPr>
        <w:t>以上文件组成投标文件。投标方应对磋商文件做出实质性响应，该项内容将作为投标的重要指标。一旦开标后，经审核确定投标资格和技术能力不能响应磋商文件要求，则投标方即刻被废标或被拒绝进入商务报价阶段。</w:t>
      </w:r>
    </w:p>
    <w:p w14:paraId="5D446FB1">
      <w:pPr>
        <w:ind w:firstLine="480"/>
        <w:rPr>
          <w:color w:val="auto"/>
          <w:highlight w:val="none"/>
        </w:rPr>
      </w:pPr>
      <w:r>
        <w:rPr>
          <w:color w:val="auto"/>
          <w:highlight w:val="none"/>
        </w:rPr>
        <w:t>20.磋商报价</w:t>
      </w:r>
    </w:p>
    <w:p w14:paraId="57EC3221">
      <w:pPr>
        <w:ind w:firstLine="480"/>
        <w:rPr>
          <w:color w:val="auto"/>
          <w:highlight w:val="none"/>
        </w:rPr>
      </w:pPr>
      <w:r>
        <w:rPr>
          <w:color w:val="auto"/>
          <w:highlight w:val="none"/>
        </w:rPr>
        <w:t>20.1最高限价：详见供应商须知前附表，磋商报价高于最高限价的为无效报价。</w:t>
      </w:r>
    </w:p>
    <w:p w14:paraId="79C0E856">
      <w:pPr>
        <w:ind w:firstLine="480"/>
        <w:rPr>
          <w:color w:val="auto"/>
          <w:highlight w:val="none"/>
        </w:rPr>
      </w:pPr>
      <w:r>
        <w:rPr>
          <w:color w:val="auto"/>
          <w:highlight w:val="none"/>
        </w:rPr>
        <w:t>20.2磋商报价范围：见供应商须知前附表。</w:t>
      </w:r>
    </w:p>
    <w:p w14:paraId="1D71F49C">
      <w:pPr>
        <w:ind w:firstLine="480"/>
        <w:rPr>
          <w:color w:val="auto"/>
          <w:highlight w:val="none"/>
        </w:rPr>
      </w:pPr>
      <w:r>
        <w:rPr>
          <w:color w:val="auto"/>
          <w:highlight w:val="none"/>
        </w:rPr>
        <w:t>20.3磋商报价次数：见供应商须知前附表。</w:t>
      </w:r>
    </w:p>
    <w:p w14:paraId="0164D61C">
      <w:pPr>
        <w:ind w:firstLine="480"/>
        <w:rPr>
          <w:color w:val="auto"/>
          <w:highlight w:val="none"/>
        </w:rPr>
      </w:pPr>
      <w:r>
        <w:rPr>
          <w:color w:val="auto"/>
          <w:highlight w:val="none"/>
        </w:rPr>
        <w:t>20.4磋商最后报价只允许有一个报价，有选择的或有条件的报价均不予接受。</w:t>
      </w:r>
    </w:p>
    <w:p w14:paraId="46C7D9F5">
      <w:pPr>
        <w:ind w:firstLine="480"/>
        <w:rPr>
          <w:color w:val="auto"/>
          <w:highlight w:val="none"/>
        </w:rPr>
      </w:pPr>
      <w:r>
        <w:rPr>
          <w:color w:val="auto"/>
          <w:highlight w:val="none"/>
        </w:rPr>
        <w:t>21.响应文件格式</w:t>
      </w:r>
    </w:p>
    <w:p w14:paraId="33676B54">
      <w:pPr>
        <w:ind w:firstLine="480"/>
        <w:rPr>
          <w:color w:val="auto"/>
          <w:highlight w:val="none"/>
        </w:rPr>
      </w:pPr>
      <w:r>
        <w:rPr>
          <w:color w:val="auto"/>
          <w:highlight w:val="none"/>
        </w:rPr>
        <w:t>21.1磋商文件提供固定格式的，供应商须按照固定格式制作响应文件，详见本磋商文件第</w:t>
      </w:r>
      <w:r>
        <w:rPr>
          <w:rFonts w:hint="eastAsia"/>
          <w:color w:val="auto"/>
          <w:highlight w:val="none"/>
        </w:rPr>
        <w:t>七</w:t>
      </w:r>
      <w:r>
        <w:rPr>
          <w:color w:val="auto"/>
          <w:highlight w:val="none"/>
        </w:rPr>
        <w:t>章。</w:t>
      </w:r>
    </w:p>
    <w:p w14:paraId="28552D44">
      <w:pPr>
        <w:ind w:firstLine="480"/>
        <w:rPr>
          <w:color w:val="auto"/>
          <w:highlight w:val="none"/>
        </w:rPr>
      </w:pPr>
      <w:r>
        <w:rPr>
          <w:color w:val="auto"/>
          <w:highlight w:val="none"/>
        </w:rPr>
        <w:t>21.2磋商文件没有格式要求的由供应商自行编写。</w:t>
      </w:r>
    </w:p>
    <w:p w14:paraId="395FA97D">
      <w:pPr>
        <w:ind w:firstLine="480"/>
        <w:rPr>
          <w:color w:val="auto"/>
          <w:highlight w:val="none"/>
        </w:rPr>
      </w:pPr>
      <w:r>
        <w:rPr>
          <w:color w:val="auto"/>
          <w:highlight w:val="none"/>
        </w:rPr>
        <w:t>22.响应文件制作、加密和提交</w:t>
      </w:r>
    </w:p>
    <w:p w14:paraId="70A9EC83">
      <w:pPr>
        <w:ind w:firstLine="480"/>
        <w:rPr>
          <w:color w:val="auto"/>
          <w:highlight w:val="none"/>
        </w:rPr>
      </w:pPr>
      <w:r>
        <w:rPr>
          <w:color w:val="auto"/>
          <w:highlight w:val="none"/>
        </w:rPr>
        <w:t>22.1▲制作、加密和提交：按供应商须知前附表要求。</w:t>
      </w:r>
    </w:p>
    <w:p w14:paraId="627A4E4E">
      <w:pPr>
        <w:ind w:firstLine="480"/>
        <w:rPr>
          <w:color w:val="auto"/>
          <w:highlight w:val="none"/>
        </w:rPr>
      </w:pPr>
      <w:r>
        <w:rPr>
          <w:color w:val="auto"/>
          <w:highlight w:val="none"/>
        </w:rPr>
        <w:t>22.2▲签章：磋商文件注明需签字盖章部位、资格商务证明材料扫描件，以及任何行间插字、涂改或增删位置和澄清说明函等均须采用CA电子签章。</w:t>
      </w:r>
    </w:p>
    <w:p w14:paraId="5C3EC79A">
      <w:pPr>
        <w:ind w:firstLine="480"/>
        <w:rPr>
          <w:color w:val="auto"/>
          <w:highlight w:val="none"/>
        </w:rPr>
      </w:pPr>
      <w:r>
        <w:rPr>
          <w:color w:val="auto"/>
          <w:highlight w:val="none"/>
        </w:rPr>
        <w:t>23.备份响应文件制作、密封和提交</w:t>
      </w:r>
    </w:p>
    <w:p w14:paraId="4643CCB6">
      <w:pPr>
        <w:ind w:firstLine="480"/>
        <w:rPr>
          <w:color w:val="auto"/>
          <w:highlight w:val="none"/>
        </w:rPr>
      </w:pPr>
      <w:r>
        <w:rPr>
          <w:color w:val="auto"/>
          <w:highlight w:val="none"/>
        </w:rPr>
        <w:t>制作、密封和提交详见供应商须知前附表。</w:t>
      </w:r>
    </w:p>
    <w:p w14:paraId="69895A4B">
      <w:pPr>
        <w:ind w:firstLine="480"/>
        <w:rPr>
          <w:color w:val="auto"/>
          <w:highlight w:val="none"/>
        </w:rPr>
      </w:pPr>
      <w:r>
        <w:rPr>
          <w:color w:val="auto"/>
          <w:highlight w:val="none"/>
        </w:rPr>
        <w:t>24.修改与撤回</w:t>
      </w:r>
    </w:p>
    <w:p w14:paraId="3D402BE8">
      <w:pPr>
        <w:ind w:firstLine="480"/>
        <w:rPr>
          <w:color w:val="auto"/>
          <w:highlight w:val="none"/>
        </w:rPr>
      </w:pPr>
      <w:r>
        <w:rPr>
          <w:color w:val="auto"/>
          <w:highlight w:val="none"/>
        </w:rPr>
        <w:t>24.1在响应截止时间前供应商可以对已提交响应文件进行补充、修改或撤回，补充或者修改响应文件的，应当先行撤回原文件，补充、修改后重新传输递交。响应截止时间前未完成传输的，视为撤回响应文件。响应截止时间后递交的响应文件，政采云平台拒收。</w:t>
      </w:r>
    </w:p>
    <w:p w14:paraId="79D646F8">
      <w:pPr>
        <w:ind w:firstLine="480"/>
        <w:rPr>
          <w:color w:val="auto"/>
          <w:highlight w:val="none"/>
        </w:rPr>
      </w:pPr>
      <w:r>
        <w:rPr>
          <w:color w:val="auto"/>
          <w:highlight w:val="none"/>
        </w:rPr>
        <w:t>24.2响应截止时间后，供应商不得撤回、修改响应文件。</w:t>
      </w:r>
    </w:p>
    <w:p w14:paraId="015555ED">
      <w:pPr>
        <w:ind w:firstLine="480"/>
        <w:rPr>
          <w:rFonts w:ascii="宋体" w:hAnsi="宋体" w:cs="宋体"/>
          <w:color w:val="000000"/>
          <w:szCs w:val="21"/>
        </w:rPr>
      </w:pPr>
      <w:r>
        <w:rPr>
          <w:color w:val="auto"/>
          <w:highlight w:val="none"/>
        </w:rPr>
        <w:t>24.3修改后重新提交的响应文件应当符合上述第22条、第23条规定。</w:t>
      </w:r>
    </w:p>
    <w:p w14:paraId="64C02992">
      <w:pPr>
        <w:pStyle w:val="10"/>
      </w:pPr>
      <w:bookmarkStart w:id="195" w:name="_Toc1392"/>
      <w:bookmarkStart w:id="196" w:name="_Toc20200"/>
      <w:bookmarkStart w:id="197" w:name="_Toc11645"/>
      <w:bookmarkStart w:id="198" w:name="_Toc7748"/>
      <w:bookmarkStart w:id="199" w:name="_Toc2635"/>
      <w:bookmarkStart w:id="200" w:name="_Toc11294"/>
      <w:bookmarkStart w:id="201" w:name="_Toc32361"/>
      <w:bookmarkStart w:id="202" w:name="_Toc8634"/>
      <w:r>
        <w:t>四</w:t>
      </w:r>
      <w:r>
        <w:rPr>
          <w:rFonts w:hint="eastAsia"/>
        </w:rPr>
        <w:t>、响应文件开启、磋商</w:t>
      </w:r>
      <w:bookmarkEnd w:id="195"/>
      <w:bookmarkEnd w:id="196"/>
      <w:bookmarkEnd w:id="197"/>
      <w:bookmarkEnd w:id="198"/>
      <w:bookmarkEnd w:id="199"/>
      <w:bookmarkEnd w:id="200"/>
      <w:bookmarkEnd w:id="201"/>
      <w:bookmarkEnd w:id="202"/>
    </w:p>
    <w:p w14:paraId="7E7348B6">
      <w:pPr>
        <w:ind w:firstLine="480"/>
      </w:pPr>
      <w:r>
        <w:rPr>
          <w:rFonts w:hint="eastAsia"/>
        </w:rPr>
        <w:t>25.开标时间及地点</w:t>
      </w:r>
    </w:p>
    <w:p w14:paraId="79E6C6B1">
      <w:pPr>
        <w:ind w:firstLine="480"/>
      </w:pPr>
      <w:r>
        <w:rPr>
          <w:rFonts w:hint="eastAsia"/>
        </w:rPr>
        <w:t>采购组织机构按照投标人须知前附表规定的开标时间及地点进行公开开标。</w:t>
      </w:r>
    </w:p>
    <w:p w14:paraId="246B55D5">
      <w:pPr>
        <w:ind w:firstLine="480"/>
      </w:pPr>
      <w:r>
        <w:rPr>
          <w:rFonts w:hint="eastAsia"/>
        </w:rPr>
        <w:t>26.开评标程序</w:t>
      </w:r>
    </w:p>
    <w:p w14:paraId="4A15BFEA">
      <w:pPr>
        <w:ind w:firstLine="480"/>
      </w:pPr>
      <w:r>
        <w:rPr>
          <w:rFonts w:hint="eastAsia"/>
        </w:rPr>
        <w:t>26.1本项目原则上采用政采云电子招投标开标及评审程序。若投标人的投标文件因非自身原因在规定时间内无法解密或解密失败，工作人员将开启该投标人提交的备份投标文件，以完成开标。</w:t>
      </w:r>
    </w:p>
    <w:p w14:paraId="7479603B">
      <w:pPr>
        <w:ind w:firstLine="480"/>
      </w:pPr>
      <w:r>
        <w:rPr>
          <w:rFonts w:hint="eastAsia"/>
        </w:rPr>
        <w:t>26.2电子投标开标及评审程序</w:t>
      </w:r>
    </w:p>
    <w:p w14:paraId="06B77C95">
      <w:pPr>
        <w:ind w:firstLine="480"/>
      </w:pPr>
      <w:r>
        <w:rPr>
          <w:rFonts w:hint="eastAsia"/>
        </w:rPr>
        <w:t>（1）开启投标文件，投标截止时间后，投标人登录政采云平台，用“项目采购-开标评标”功能对电子投标文件进行在线解密。</w:t>
      </w:r>
    </w:p>
    <w:p w14:paraId="3F875E8D">
      <w:pPr>
        <w:ind w:firstLine="480"/>
      </w:pPr>
      <w:r>
        <w:rPr>
          <w:rFonts w:hint="eastAsia"/>
        </w:rPr>
        <w:t>（2）由评标委员会对投标人资格进行审查和商务部分评审。</w:t>
      </w:r>
    </w:p>
    <w:p w14:paraId="62AA77D1">
      <w:pPr>
        <w:ind w:firstLine="480"/>
      </w:pPr>
      <w:r>
        <w:rPr>
          <w:rFonts w:hint="eastAsia"/>
        </w:rPr>
        <w:t>（3）在系统上公开资格审查和商务评审结果。</w:t>
      </w:r>
    </w:p>
    <w:p w14:paraId="42E596C5">
      <w:pPr>
        <w:ind w:firstLine="480"/>
      </w:pPr>
      <w:r>
        <w:rPr>
          <w:rFonts w:hint="eastAsia"/>
        </w:rPr>
        <w:t>（4）磋商小组</w:t>
      </w:r>
      <w:r>
        <w:t>按照磋商方法与各供应商就服务质量、技术要求等进行磋商，磋商结束后供应商在规定时间内提交最</w:t>
      </w:r>
      <w:r>
        <w:rPr>
          <w:rFonts w:hint="eastAsia"/>
        </w:rPr>
        <w:t>后报价，最后报价是供应商响应文件的有效组成部分，提交最后报价的供应商可以为2家（实际</w:t>
      </w:r>
      <w:r>
        <w:t>以政采云系统操作方法为准）</w:t>
      </w:r>
      <w:r>
        <w:rPr>
          <w:rFonts w:hint="eastAsia"/>
        </w:rPr>
        <w:t>。</w:t>
      </w:r>
    </w:p>
    <w:p w14:paraId="6CF60CC9">
      <w:pPr>
        <w:ind w:firstLine="480"/>
      </w:pPr>
      <w:r>
        <w:rPr>
          <w:rFonts w:hint="eastAsia"/>
        </w:rPr>
        <w:t>（5）由评标委员会对报价文件进行评审。</w:t>
      </w:r>
    </w:p>
    <w:p w14:paraId="4D8C6F46">
      <w:pPr>
        <w:ind w:firstLine="480"/>
      </w:pPr>
      <w:r>
        <w:rPr>
          <w:rFonts w:hint="eastAsia"/>
        </w:rPr>
        <w:t>（6）在系统上公布评审结果。</w:t>
      </w:r>
    </w:p>
    <w:p w14:paraId="49D5E27A">
      <w:pPr>
        <w:ind w:firstLine="480"/>
      </w:pPr>
      <w:r>
        <w:rPr>
          <w:rFonts w:hint="eastAsia"/>
        </w:rPr>
        <w:t>注：政采云公司如对电子化开标及评审程序有调整的，按调整后的程序操作。</w:t>
      </w:r>
    </w:p>
    <w:p w14:paraId="661D2902">
      <w:pPr>
        <w:ind w:firstLine="480"/>
      </w:pPr>
      <w:r>
        <w:rPr>
          <w:rFonts w:hint="eastAsia"/>
        </w:rPr>
        <w:t>26.3开标会议结束。</w:t>
      </w:r>
    </w:p>
    <w:p w14:paraId="391EBDF0">
      <w:pPr>
        <w:ind w:firstLine="480"/>
        <w:rPr>
          <w:rFonts w:ascii="宋体" w:hAnsi="宋体" w:cs="宋体"/>
          <w:szCs w:val="21"/>
        </w:rPr>
      </w:pPr>
      <w:r>
        <w:rPr>
          <w:rFonts w:hint="eastAsia"/>
        </w:rPr>
        <w:t>27.评标委员会的组建及其评审、评标工作按照有关法律制度和本文件第六章的规定进行。</w:t>
      </w:r>
    </w:p>
    <w:p w14:paraId="28DC2A0E">
      <w:pPr>
        <w:pStyle w:val="10"/>
      </w:pPr>
      <w:bookmarkStart w:id="203" w:name="_Toc8659"/>
      <w:bookmarkStart w:id="204" w:name="_Toc18327"/>
      <w:bookmarkStart w:id="205" w:name="_Toc13658"/>
      <w:bookmarkStart w:id="206" w:name="_Toc22776"/>
      <w:bookmarkStart w:id="207" w:name="_Toc28808"/>
      <w:bookmarkStart w:id="208" w:name="_Toc5384"/>
      <w:bookmarkStart w:id="209" w:name="_Toc15320"/>
      <w:bookmarkStart w:id="210" w:name="_Toc9789"/>
      <w:bookmarkStart w:id="211" w:name="_Toc18925"/>
      <w:bookmarkStart w:id="212" w:name="_Toc24840"/>
      <w:bookmarkStart w:id="213" w:name="_Toc19539"/>
      <w:bookmarkStart w:id="214" w:name="_Toc26039"/>
      <w:bookmarkStart w:id="215" w:name="_Toc31543"/>
      <w:bookmarkStart w:id="216" w:name="_Toc3405"/>
      <w:bookmarkStart w:id="217" w:name="_Toc27613"/>
      <w:bookmarkStart w:id="218" w:name="_Toc13532"/>
      <w:bookmarkStart w:id="219" w:name="_Toc22198"/>
      <w:bookmarkStart w:id="220" w:name="_Toc27100"/>
      <w:bookmarkStart w:id="221" w:name="_Toc24990"/>
      <w:bookmarkStart w:id="222" w:name="_Toc6054"/>
      <w:bookmarkStart w:id="223" w:name="_Toc18938"/>
      <w:r>
        <w:rPr>
          <w:rFonts w:hint="eastAsia"/>
          <w:lang w:val="zh-CN"/>
        </w:rPr>
        <w:t>五、</w:t>
      </w:r>
      <w:bookmarkEnd w:id="203"/>
      <w:bookmarkEnd w:id="204"/>
      <w:bookmarkEnd w:id="205"/>
      <w:bookmarkEnd w:id="206"/>
      <w:bookmarkEnd w:id="207"/>
      <w:bookmarkEnd w:id="208"/>
      <w:bookmarkEnd w:id="209"/>
      <w:bookmarkEnd w:id="210"/>
      <w:bookmarkEnd w:id="211"/>
      <w:bookmarkEnd w:id="212"/>
      <w:bookmarkEnd w:id="213"/>
      <w:bookmarkEnd w:id="214"/>
      <w:bookmarkEnd w:id="215"/>
      <w:r>
        <w:rPr>
          <w:rFonts w:hint="eastAsia"/>
          <w:lang w:val="zh-CN"/>
        </w:rPr>
        <w:t>成交事项</w:t>
      </w:r>
      <w:bookmarkEnd w:id="216"/>
      <w:bookmarkEnd w:id="217"/>
      <w:bookmarkEnd w:id="218"/>
      <w:bookmarkEnd w:id="219"/>
      <w:bookmarkEnd w:id="220"/>
      <w:bookmarkEnd w:id="221"/>
      <w:bookmarkEnd w:id="222"/>
      <w:bookmarkEnd w:id="223"/>
    </w:p>
    <w:p w14:paraId="36237B6F">
      <w:pPr>
        <w:ind w:firstLine="480"/>
      </w:pPr>
      <w:r>
        <w:rPr>
          <w:rFonts w:hint="eastAsia"/>
        </w:rPr>
        <w:t>28.确定成交供应商</w:t>
      </w:r>
    </w:p>
    <w:p w14:paraId="36870BFC">
      <w:pPr>
        <w:ind w:firstLine="480"/>
      </w:pPr>
      <w:r>
        <w:rPr>
          <w:rFonts w:hint="eastAsia"/>
        </w:rPr>
        <w:t>28.1采购代理机构自评审结束后2个工作日内将评标报告及有关资料送交采购人。</w:t>
      </w:r>
    </w:p>
    <w:p w14:paraId="6973C1BF">
      <w:pPr>
        <w:ind w:firstLine="480"/>
      </w:pPr>
      <w:r>
        <w:rPr>
          <w:rFonts w:hint="eastAsia"/>
        </w:rPr>
        <w:t>28.2采购人应当在收到评审报告及有关资料后5个工作日内，</w:t>
      </w:r>
      <w:r>
        <w:t>从评审报告提出的成交候选供应商中，按照得分由高到低排序的确定1家成交供应商。采购人逾期未确定成交供应商且不提出异议的，视为确定评审报告提出的排序第一的供应商为成交供应商</w:t>
      </w:r>
      <w:r>
        <w:rPr>
          <w:rFonts w:hint="eastAsia"/>
        </w:rPr>
        <w:t>。</w:t>
      </w:r>
    </w:p>
    <w:p w14:paraId="722FFCDE">
      <w:pPr>
        <w:ind w:firstLine="480"/>
      </w:pPr>
      <w:r>
        <w:rPr>
          <w:rFonts w:hint="eastAsia"/>
        </w:rPr>
        <w:t>28.3</w:t>
      </w:r>
      <w:r>
        <w:t>采购人确定成交供应商过程中，发现成交候选供应商有下列情形之一的，应当不予确定其为成交供应商：</w:t>
      </w:r>
    </w:p>
    <w:p w14:paraId="778C704B">
      <w:pPr>
        <w:ind w:firstLine="480"/>
      </w:pPr>
      <w:r>
        <w:rPr>
          <w:rFonts w:hint="eastAsia"/>
        </w:rPr>
        <w:t>（</w:t>
      </w:r>
      <w:r>
        <w:t>1</w:t>
      </w:r>
      <w:r>
        <w:rPr>
          <w:rFonts w:hint="eastAsia"/>
        </w:rPr>
        <w:t>）</w:t>
      </w:r>
      <w:r>
        <w:t>发现成交候选供应商存在禁止参加本项目采购活动的违法行为的；</w:t>
      </w:r>
    </w:p>
    <w:p w14:paraId="0DF426DB">
      <w:pPr>
        <w:ind w:firstLine="480"/>
      </w:pPr>
      <w:r>
        <w:rPr>
          <w:rFonts w:hint="eastAsia"/>
        </w:rPr>
        <w:t>（</w:t>
      </w:r>
      <w:r>
        <w:t>2</w:t>
      </w:r>
      <w:r>
        <w:rPr>
          <w:rFonts w:hint="eastAsia"/>
        </w:rPr>
        <w:t>）</w:t>
      </w:r>
      <w:r>
        <w:t>成交候选供应商因不可抗力，不能继续参加政府采购活动的；</w:t>
      </w:r>
    </w:p>
    <w:p w14:paraId="70E56B73">
      <w:pPr>
        <w:ind w:firstLine="480"/>
      </w:pPr>
      <w:r>
        <w:rPr>
          <w:rFonts w:hint="eastAsia"/>
        </w:rPr>
        <w:t>（</w:t>
      </w:r>
      <w:r>
        <w:t>3</w:t>
      </w:r>
      <w:r>
        <w:rPr>
          <w:rFonts w:hint="eastAsia"/>
        </w:rPr>
        <w:t>）</w:t>
      </w:r>
      <w:r>
        <w:t>成交候选供应商提供虚假材料的；</w:t>
      </w:r>
    </w:p>
    <w:p w14:paraId="12E70FFC">
      <w:pPr>
        <w:ind w:firstLine="480"/>
      </w:pPr>
      <w:r>
        <w:rPr>
          <w:rFonts w:hint="eastAsia"/>
        </w:rPr>
        <w:t>（</w:t>
      </w:r>
      <w:r>
        <w:t>4</w:t>
      </w:r>
      <w:r>
        <w:rPr>
          <w:rFonts w:hint="eastAsia"/>
        </w:rPr>
        <w:t>）</w:t>
      </w:r>
      <w:r>
        <w:t>成交候选供应商恶意串通的。</w:t>
      </w:r>
    </w:p>
    <w:p w14:paraId="19D432CD">
      <w:pPr>
        <w:ind w:firstLine="480"/>
      </w:pPr>
      <w:r>
        <w:t>成交候选供应商有本条情形之一的，采购人可以确定后一位成交候选供应商为成交供应商，但须符合法定家数。无法确定成交供应商的，应当重新组织采购</w:t>
      </w:r>
      <w:r>
        <w:rPr>
          <w:rFonts w:hint="eastAsia"/>
        </w:rPr>
        <w:t>。</w:t>
      </w:r>
    </w:p>
    <w:p w14:paraId="20D169DE">
      <w:pPr>
        <w:ind w:firstLine="480"/>
      </w:pPr>
      <w:r>
        <w:rPr>
          <w:rFonts w:hint="eastAsia"/>
        </w:rPr>
        <w:t>29.成交通知书</w:t>
      </w:r>
    </w:p>
    <w:p w14:paraId="1C29D318">
      <w:pPr>
        <w:ind w:firstLine="480"/>
      </w:pPr>
      <w:r>
        <w:rPr>
          <w:rFonts w:hint="eastAsia"/>
        </w:rPr>
        <w:t>29.1采购代理机构应当自成交供应商确定之日起2个工作日内，发出成交通知书，</w:t>
      </w:r>
      <w:r>
        <w:t>并在供应商须知前附表指定的媒体上公告成交结果</w:t>
      </w:r>
      <w:r>
        <w:rPr>
          <w:rFonts w:hint="eastAsia"/>
        </w:rPr>
        <w:t>。</w:t>
      </w:r>
    </w:p>
    <w:p w14:paraId="14F05F8F">
      <w:pPr>
        <w:ind w:firstLine="480"/>
      </w:pPr>
      <w:r>
        <w:rPr>
          <w:rFonts w:hint="eastAsia"/>
        </w:rPr>
        <w:t>29.2成交通知书发出后，成交供应商须于2个工作日内到采购代理机构领取成交通知书，拒绝领取成交通知书的，将视为放弃中标，取消其中标资格。采购人不得违法改变中标结果，成交供应商无正当理由不得放弃中标，否则将承担相应的法律责任。</w:t>
      </w:r>
    </w:p>
    <w:p w14:paraId="360FDE5D">
      <w:pPr>
        <w:ind w:firstLine="480"/>
      </w:pPr>
      <w:r>
        <w:rPr>
          <w:rFonts w:hint="eastAsia"/>
        </w:rPr>
        <w:t>29.3成交供应商的投标文件本应作为投标无效处理或者有政府采购法律法规、规章规定的中标无效情形的，经查实，取消其中标资格，收回发出的成交通知书（成交供应商应当缴回），</w:t>
      </w:r>
      <w:r>
        <w:t>由排名之后的成交候选供应商替补，或者重新开展采购活动。</w:t>
      </w:r>
    </w:p>
    <w:p w14:paraId="1C6E200D">
      <w:pPr>
        <w:ind w:firstLine="480"/>
        <w:rPr>
          <w:rFonts w:ascii="宋体" w:hAnsi="宋体" w:cs="宋体"/>
          <w:szCs w:val="21"/>
        </w:rPr>
      </w:pPr>
      <w:r>
        <w:rPr>
          <w:rFonts w:hint="eastAsia"/>
        </w:rPr>
        <w:t>29.4成交通知书为签订采购合同的依据之一，是合同的有效组成部分。</w:t>
      </w:r>
    </w:p>
    <w:p w14:paraId="35D0BFBF">
      <w:pPr>
        <w:pStyle w:val="10"/>
      </w:pPr>
      <w:bookmarkStart w:id="224" w:name="_Toc32620"/>
      <w:bookmarkStart w:id="225" w:name="_Toc3135"/>
      <w:bookmarkStart w:id="226" w:name="_Toc11752"/>
      <w:bookmarkStart w:id="227" w:name="_Toc18103"/>
      <w:bookmarkStart w:id="228" w:name="_Toc2742"/>
      <w:bookmarkStart w:id="229" w:name="_Toc3812"/>
      <w:bookmarkStart w:id="230" w:name="_Toc5727"/>
      <w:bookmarkStart w:id="231" w:name="_Toc3174"/>
      <w:bookmarkStart w:id="232" w:name="_Toc6938"/>
      <w:bookmarkStart w:id="233" w:name="_Toc10296"/>
      <w:bookmarkStart w:id="234" w:name="_Toc7411"/>
      <w:bookmarkStart w:id="235" w:name="_Toc15745"/>
      <w:bookmarkStart w:id="236" w:name="_Toc23386"/>
      <w:bookmarkStart w:id="237" w:name="_Toc22377"/>
      <w:bookmarkStart w:id="238" w:name="_Toc5491"/>
      <w:bookmarkStart w:id="239" w:name="_Toc9099"/>
      <w:bookmarkStart w:id="240" w:name="_Toc17868"/>
      <w:bookmarkStart w:id="241" w:name="_Toc3249"/>
      <w:bookmarkStart w:id="242" w:name="_Toc15405"/>
      <w:bookmarkStart w:id="243" w:name="_Toc2789"/>
      <w:bookmarkStart w:id="244" w:name="_Toc14855"/>
      <w:r>
        <w:rPr>
          <w:rFonts w:hint="eastAsia"/>
        </w:rPr>
        <w:t>六、</w:t>
      </w:r>
      <w:bookmarkEnd w:id="224"/>
      <w:bookmarkEnd w:id="225"/>
      <w:bookmarkEnd w:id="226"/>
      <w:bookmarkEnd w:id="227"/>
      <w:bookmarkEnd w:id="228"/>
      <w:bookmarkEnd w:id="229"/>
      <w:bookmarkEnd w:id="230"/>
      <w:bookmarkEnd w:id="231"/>
      <w:bookmarkEnd w:id="232"/>
      <w:bookmarkEnd w:id="233"/>
      <w:bookmarkEnd w:id="234"/>
      <w:bookmarkEnd w:id="235"/>
      <w:bookmarkEnd w:id="236"/>
      <w:r>
        <w:rPr>
          <w:rFonts w:hint="eastAsia"/>
        </w:rPr>
        <w:t>合同事项</w:t>
      </w:r>
      <w:bookmarkEnd w:id="237"/>
      <w:bookmarkEnd w:id="238"/>
      <w:bookmarkEnd w:id="239"/>
      <w:bookmarkEnd w:id="240"/>
      <w:bookmarkEnd w:id="241"/>
      <w:bookmarkEnd w:id="242"/>
      <w:bookmarkEnd w:id="243"/>
      <w:bookmarkEnd w:id="244"/>
    </w:p>
    <w:p w14:paraId="5C9E0C0A">
      <w:pPr>
        <w:ind w:firstLine="480"/>
      </w:pPr>
      <w:r>
        <w:t>30</w:t>
      </w:r>
      <w:r>
        <w:rPr>
          <w:rFonts w:hint="eastAsia"/>
        </w:rPr>
        <w:t>.</w:t>
      </w:r>
      <w:r>
        <w:t>履约保证金</w:t>
      </w:r>
    </w:p>
    <w:p w14:paraId="09BF0757">
      <w:pPr>
        <w:ind w:firstLine="480"/>
      </w:pPr>
      <w:r>
        <w:t>30.1成交供应商应在本项目合同签订前按供应商须知前附表规定交纳足额履约保证金（不交纳除外）。</w:t>
      </w:r>
    </w:p>
    <w:p w14:paraId="5B7F5565">
      <w:pPr>
        <w:ind w:firstLine="480"/>
      </w:pPr>
      <w:r>
        <w:t>30.2如成交供应商未按规定交纳履约保证金，且又无正当理由的，将视为放弃成交。</w:t>
      </w:r>
    </w:p>
    <w:p w14:paraId="21735A54">
      <w:pPr>
        <w:ind w:firstLine="480"/>
      </w:pPr>
      <w:r>
        <w:rPr>
          <w:rFonts w:hint="eastAsia"/>
        </w:rPr>
        <w:t>31.合同签订</w:t>
      </w:r>
    </w:p>
    <w:p w14:paraId="0AB8625E">
      <w:pPr>
        <w:ind w:firstLine="480"/>
      </w:pPr>
      <w:r>
        <w:rPr>
          <w:rFonts w:hint="eastAsia"/>
        </w:rPr>
        <w:t>31.1成交供应商须按照投标人须知前附表规定的时间、地点与采购人签订采购合同。由于成交供应商的原因逾期未与采购人签订采购合同的，将视为放弃中标，取消其中标资格并将按相关规定进行处理。</w:t>
      </w:r>
    </w:p>
    <w:p w14:paraId="3ACACA00">
      <w:pPr>
        <w:ind w:firstLine="480"/>
      </w:pPr>
      <w:r>
        <w:rPr>
          <w:rFonts w:hint="eastAsia"/>
        </w:rPr>
        <w:t>31.2成交通知书、招标文件、澄清文件及成交供应商的投标文件等均为签订合同的依据。</w:t>
      </w:r>
    </w:p>
    <w:p w14:paraId="3334B4E1">
      <w:pPr>
        <w:ind w:firstLine="480"/>
      </w:pPr>
      <w:r>
        <w:rPr>
          <w:rFonts w:hint="eastAsia"/>
        </w:rPr>
        <w:t>31.3采购人不得向成交供应商提出任何不合理的要求，作为签订合同的条件，不得与成交供应商私下签订背离合同实质性内容的任何协议，所签订的合同不得对招标文件和成交供应商投标文件确定的事项进行修改。</w:t>
      </w:r>
    </w:p>
    <w:p w14:paraId="48AFF22E">
      <w:pPr>
        <w:ind w:firstLine="480"/>
      </w:pPr>
      <w:r>
        <w:rPr>
          <w:rFonts w:hint="eastAsia"/>
        </w:rPr>
        <w:t>31.4</w:t>
      </w:r>
      <w:r>
        <w:t>成交供应商因自身原因放弃成交或因不可抗力不能履行合同的或者违反法律法规、磋商文件规定的，在符合法律法规规定下采购人可以与排位在成交供应商之后的成交候选人签订政府采购合同，或者重新组织采购。</w:t>
      </w:r>
    </w:p>
    <w:p w14:paraId="39C2E543">
      <w:pPr>
        <w:ind w:firstLine="480"/>
      </w:pPr>
      <w:r>
        <w:rPr>
          <w:rFonts w:hint="eastAsia"/>
        </w:rPr>
        <w:t>32.补充合同</w:t>
      </w:r>
    </w:p>
    <w:p w14:paraId="513A1CFF">
      <w:pPr>
        <w:ind w:firstLine="480"/>
      </w:pPr>
      <w:r>
        <w:rPr>
          <w:rFonts w:hint="eastAsia"/>
        </w:rPr>
        <w:t>采购合同履行中，采购人需要追加与合同标的相同的货物或者服务的，在不改变合同其他条款的前提下，可以与成交供应商签订补充合同，但所有补充合同的采购金额不得超过原合同采购金额的10%，该补充合同应当在原采购合同履行过程中，不得在原采购合同履行结束后，且采购货物、工程和服务的名称、价格、履行方式、验收标准等必须与原采购合同一致。</w:t>
      </w:r>
    </w:p>
    <w:p w14:paraId="737ED268">
      <w:pPr>
        <w:ind w:firstLine="480"/>
      </w:pPr>
      <w:r>
        <w:rPr>
          <w:rFonts w:hint="eastAsia"/>
        </w:rPr>
        <w:t>33.合同公告</w:t>
      </w:r>
    </w:p>
    <w:p w14:paraId="43AA3E3E">
      <w:pPr>
        <w:ind w:firstLine="480"/>
      </w:pPr>
      <w:r>
        <w:rPr>
          <w:rFonts w:hint="eastAsia"/>
        </w:rPr>
        <w:t>采购人应当自采购合同签订（双方当事人均已签字盖章）之日起2个工作日内，将采购合同在政府采购网公告，但采购合同中涉及国家秘密、商业秘密的内容除外。</w:t>
      </w:r>
    </w:p>
    <w:p w14:paraId="0470DFD8">
      <w:pPr>
        <w:ind w:firstLine="480"/>
      </w:pPr>
      <w:r>
        <w:rPr>
          <w:rFonts w:hint="eastAsia"/>
        </w:rPr>
        <w:t>34.合同备案</w:t>
      </w:r>
    </w:p>
    <w:p w14:paraId="5642DE0B">
      <w:pPr>
        <w:ind w:firstLine="480"/>
      </w:pPr>
      <w:r>
        <w:rPr>
          <w:rFonts w:hint="eastAsia"/>
        </w:rPr>
        <w:t>34.1成交供应商与采购人签订合同后，合同双方应严格执行合同条款，履行合同规定的义务，保证合同的顺利完成。</w:t>
      </w:r>
    </w:p>
    <w:p w14:paraId="24A0B442">
      <w:pPr>
        <w:ind w:firstLine="480"/>
      </w:pPr>
      <w:r>
        <w:rPr>
          <w:rFonts w:hint="eastAsia"/>
        </w:rPr>
        <w:t>34.2在合同履行过程中，如发生合同纠纷，合同双方应按照《民法典》的有关规定进行处理。</w:t>
      </w:r>
    </w:p>
    <w:p w14:paraId="365D3AEB">
      <w:pPr>
        <w:pStyle w:val="10"/>
      </w:pPr>
      <w:bookmarkStart w:id="245" w:name="_Toc1528"/>
      <w:bookmarkStart w:id="246" w:name="_Toc6377"/>
      <w:bookmarkStart w:id="247" w:name="_Toc19293"/>
      <w:bookmarkStart w:id="248" w:name="_Toc17192"/>
      <w:bookmarkStart w:id="249" w:name="_Toc25660"/>
      <w:bookmarkStart w:id="250" w:name="_Toc20271"/>
      <w:bookmarkStart w:id="251" w:name="_Toc13561"/>
      <w:bookmarkStart w:id="252" w:name="_Toc28121"/>
      <w:bookmarkStart w:id="253" w:name="_Toc22060"/>
      <w:bookmarkStart w:id="254" w:name="_Toc11181"/>
      <w:bookmarkStart w:id="255" w:name="_Toc19713"/>
      <w:bookmarkStart w:id="256" w:name="_Toc15767"/>
      <w:bookmarkStart w:id="257" w:name="_Toc15246"/>
      <w:bookmarkStart w:id="258" w:name="_Toc24605"/>
      <w:bookmarkStart w:id="259" w:name="_Toc613"/>
      <w:bookmarkStart w:id="260" w:name="_Toc3657"/>
      <w:bookmarkStart w:id="261" w:name="_Toc9892"/>
      <w:bookmarkStart w:id="262" w:name="_Toc22547"/>
      <w:bookmarkStart w:id="263" w:name="_Toc1732"/>
      <w:bookmarkStart w:id="264" w:name="_Toc7476"/>
      <w:bookmarkStart w:id="265" w:name="_Toc18228"/>
      <w:r>
        <w:rPr>
          <w:rFonts w:hint="eastAsia"/>
        </w:rPr>
        <w:t>七、</w:t>
      </w:r>
      <w:bookmarkEnd w:id="245"/>
      <w:bookmarkEnd w:id="246"/>
      <w:bookmarkEnd w:id="247"/>
      <w:bookmarkEnd w:id="248"/>
      <w:bookmarkEnd w:id="249"/>
      <w:bookmarkEnd w:id="250"/>
      <w:bookmarkEnd w:id="251"/>
      <w:bookmarkEnd w:id="252"/>
      <w:bookmarkEnd w:id="253"/>
      <w:bookmarkEnd w:id="254"/>
      <w:bookmarkEnd w:id="255"/>
      <w:bookmarkEnd w:id="256"/>
      <w:bookmarkEnd w:id="257"/>
      <w:r>
        <w:rPr>
          <w:rFonts w:hint="eastAsia"/>
        </w:rPr>
        <w:t>质疑与投诉</w:t>
      </w:r>
      <w:bookmarkEnd w:id="258"/>
      <w:bookmarkEnd w:id="259"/>
      <w:bookmarkEnd w:id="260"/>
      <w:bookmarkEnd w:id="261"/>
      <w:bookmarkEnd w:id="262"/>
      <w:bookmarkEnd w:id="263"/>
      <w:bookmarkEnd w:id="264"/>
      <w:bookmarkEnd w:id="265"/>
    </w:p>
    <w:p w14:paraId="7FA7FEE7">
      <w:pPr>
        <w:ind w:firstLine="480"/>
      </w:pPr>
      <w:r>
        <w:rPr>
          <w:rFonts w:hint="eastAsia"/>
        </w:rPr>
        <w:t>35.质疑提出</w:t>
      </w:r>
    </w:p>
    <w:p w14:paraId="385ECDFD">
      <w:pPr>
        <w:ind w:firstLine="480"/>
      </w:pPr>
      <w:r>
        <w:rPr>
          <w:rFonts w:hint="eastAsia"/>
        </w:rPr>
        <w:t>35.1符合《中华人民共和国政府采购法》《中华人民共和国政府采购法实施条例》《政府采购质疑和投诉办法》（财政部令第94号）等有关法律法规规定。</w:t>
      </w:r>
    </w:p>
    <w:p w14:paraId="121E46DB">
      <w:pPr>
        <w:ind w:firstLine="480"/>
      </w:pPr>
      <w:r>
        <w:rPr>
          <w:rFonts w:hint="eastAsia"/>
        </w:rPr>
        <w:t>35.2提交的质疑函应符合财政部《政府采购供应商质疑函范本》要求。</w:t>
      </w:r>
    </w:p>
    <w:p w14:paraId="305504D8">
      <w:pPr>
        <w:ind w:firstLine="480"/>
      </w:pPr>
      <w:r>
        <w:rPr>
          <w:rFonts w:hint="eastAsia"/>
        </w:rPr>
        <w:t>35.3投标人认为采购文件、采购过程和中标结果使自己的权益受到损害的，可以在知道或者应知其权益受到损害之日起7个工作日内，以书面形式向采购人、采购代理机构提出质疑。投标人在法定质疑期内一次性提出针对同一采购程序环节的质疑。</w:t>
      </w:r>
    </w:p>
    <w:p w14:paraId="2CD55F28">
      <w:pPr>
        <w:ind w:firstLine="480"/>
      </w:pPr>
      <w:r>
        <w:rPr>
          <w:rFonts w:hint="eastAsia"/>
        </w:rPr>
        <w:t>35.4潜在投标人已依法获取采购文件，可以对该文件提出质疑。采购人拒绝受理未提交投标文件的投标人对采购过程和中标结果提出质疑。</w:t>
      </w:r>
    </w:p>
    <w:p w14:paraId="2A824E51">
      <w:pPr>
        <w:ind w:firstLine="480"/>
      </w:pPr>
      <w:r>
        <w:rPr>
          <w:rFonts w:hint="eastAsia"/>
        </w:rPr>
        <w:t>35.5质疑提出起算日期</w:t>
      </w:r>
    </w:p>
    <w:p w14:paraId="5B472D6C">
      <w:pPr>
        <w:ind w:firstLine="480"/>
      </w:pPr>
      <w:r>
        <w:rPr>
          <w:rFonts w:hint="eastAsia"/>
        </w:rPr>
        <w:t>（1）对采购文件提出质疑的，自供应商获取招标文件之日起或者公告届满之日起开始计算，且应当在开标时间前24小时前提出，否则，被质疑人可不予受理。</w:t>
      </w:r>
    </w:p>
    <w:p w14:paraId="49D283C9">
      <w:pPr>
        <w:ind w:firstLine="480"/>
      </w:pPr>
      <w:r>
        <w:rPr>
          <w:rFonts w:hint="eastAsia"/>
        </w:rPr>
        <w:t>（2）对采购过程提出质疑的，质疑期限自各采购程序环节结束之日起计算。</w:t>
      </w:r>
    </w:p>
    <w:p w14:paraId="5324A6AA">
      <w:pPr>
        <w:ind w:firstLine="480"/>
      </w:pPr>
      <w:r>
        <w:rPr>
          <w:rFonts w:hint="eastAsia"/>
        </w:rPr>
        <w:t>（3）对采购结果提出质疑的，质疑期限自采购结果公告（包括公示、预公告、结果变更公告等）之日起计算。</w:t>
      </w:r>
    </w:p>
    <w:p w14:paraId="3AEFF74B">
      <w:pPr>
        <w:ind w:firstLine="480"/>
      </w:pPr>
      <w:r>
        <w:rPr>
          <w:rFonts w:hint="eastAsia"/>
        </w:rPr>
        <w:t>（4）投标人逾期提出质疑的，采购人或采购代理机构均不予受理和答复。</w:t>
      </w:r>
    </w:p>
    <w:p w14:paraId="6F322212">
      <w:pPr>
        <w:ind w:firstLine="480"/>
      </w:pPr>
      <w:r>
        <w:rPr>
          <w:rFonts w:hint="eastAsia"/>
        </w:rPr>
        <w:t>36.质疑答复</w:t>
      </w:r>
    </w:p>
    <w:p w14:paraId="52198295">
      <w:pPr>
        <w:ind w:firstLine="480"/>
      </w:pPr>
      <w:r>
        <w:rPr>
          <w:rFonts w:hint="eastAsia"/>
        </w:rPr>
        <w:t>采购人应当在收到投标人的书面质疑后7个工作日内作出答复，并以书面形式通知质疑供应商和其他与质疑处理结果有利害关系的采购当事人，但答复的内容不得涉及商业秘密。</w:t>
      </w:r>
    </w:p>
    <w:p w14:paraId="7C6C55A5">
      <w:pPr>
        <w:ind w:firstLine="480"/>
      </w:pPr>
      <w:r>
        <w:rPr>
          <w:rFonts w:hint="eastAsia"/>
        </w:rPr>
        <w:t>37.投诉</w:t>
      </w:r>
    </w:p>
    <w:p w14:paraId="339A49E1">
      <w:pPr>
        <w:ind w:firstLine="480"/>
      </w:pPr>
      <w:r>
        <w:rPr>
          <w:rFonts w:hint="eastAsia"/>
        </w:rPr>
        <w:t>37.1质疑供应商对采购人未在规定时间内作出答复的，可以在答复期满后15个工作日内向龙游县财政局投诉。若对质疑答复不满意的，应当自答复的次日起15个工作日内向龙游县财政局投诉。</w:t>
      </w:r>
    </w:p>
    <w:p w14:paraId="1FD8B517">
      <w:pPr>
        <w:ind w:firstLine="480"/>
        <w:rPr>
          <w:rFonts w:ascii="宋体" w:hAnsi="宋体" w:cs="宋体"/>
          <w:szCs w:val="21"/>
        </w:rPr>
      </w:pPr>
      <w:r>
        <w:rPr>
          <w:rFonts w:hint="eastAsia"/>
        </w:rPr>
        <w:t>37.2供应商提交的投诉书应符合财政部《政府采购供应商投诉书范本》要求。</w:t>
      </w:r>
    </w:p>
    <w:p w14:paraId="0A4AD438">
      <w:pPr>
        <w:pStyle w:val="10"/>
      </w:pPr>
      <w:bookmarkStart w:id="266" w:name="_Toc15929"/>
      <w:bookmarkStart w:id="267" w:name="_Toc25612"/>
      <w:bookmarkStart w:id="268" w:name="_Toc9643"/>
      <w:bookmarkStart w:id="269" w:name="_Toc15353"/>
      <w:bookmarkStart w:id="270" w:name="_Toc3101"/>
      <w:bookmarkStart w:id="271" w:name="_Toc27803"/>
      <w:bookmarkStart w:id="272" w:name="_Toc11384"/>
      <w:bookmarkStart w:id="273" w:name="_Toc17403"/>
      <w:bookmarkStart w:id="274" w:name="_Toc12178"/>
      <w:bookmarkStart w:id="275" w:name="_Toc32460"/>
      <w:bookmarkStart w:id="276" w:name="_Toc13845"/>
      <w:bookmarkStart w:id="277" w:name="_Toc19656"/>
      <w:bookmarkStart w:id="278" w:name="_Toc10636"/>
      <w:bookmarkStart w:id="279" w:name="_Toc19308"/>
      <w:bookmarkStart w:id="280" w:name="_Toc32052"/>
      <w:bookmarkStart w:id="281" w:name="_Toc22578"/>
      <w:bookmarkStart w:id="282" w:name="_Toc30126"/>
      <w:bookmarkStart w:id="283" w:name="_Toc6808"/>
      <w:bookmarkStart w:id="284" w:name="_Toc25731"/>
      <w:bookmarkStart w:id="285" w:name="_Toc14781"/>
      <w:r>
        <w:rPr>
          <w:rFonts w:hint="eastAsia"/>
        </w:rPr>
        <w:t>八、</w:t>
      </w:r>
      <w:bookmarkEnd w:id="266"/>
      <w:bookmarkEnd w:id="267"/>
      <w:bookmarkEnd w:id="268"/>
      <w:bookmarkEnd w:id="269"/>
      <w:bookmarkEnd w:id="270"/>
      <w:bookmarkEnd w:id="271"/>
      <w:bookmarkEnd w:id="272"/>
      <w:bookmarkEnd w:id="273"/>
      <w:bookmarkEnd w:id="274"/>
      <w:bookmarkEnd w:id="275"/>
      <w:bookmarkEnd w:id="276"/>
      <w:bookmarkEnd w:id="277"/>
      <w:r>
        <w:rPr>
          <w:rFonts w:hint="eastAsia"/>
        </w:rPr>
        <w:t>投标纪律要求</w:t>
      </w:r>
      <w:bookmarkEnd w:id="278"/>
      <w:bookmarkEnd w:id="279"/>
      <w:bookmarkEnd w:id="280"/>
      <w:bookmarkEnd w:id="281"/>
      <w:bookmarkEnd w:id="282"/>
      <w:bookmarkEnd w:id="283"/>
      <w:bookmarkEnd w:id="284"/>
      <w:bookmarkEnd w:id="285"/>
    </w:p>
    <w:p w14:paraId="4C0D7EFE">
      <w:pPr>
        <w:ind w:firstLine="480"/>
      </w:pPr>
      <w:r>
        <w:rPr>
          <w:rFonts w:hint="eastAsia"/>
        </w:rPr>
        <w:t>38.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r>
        <w:t>同时将取消中标资格或者认定中标无效</w:t>
      </w:r>
      <w:r>
        <w:rPr>
          <w:rFonts w:hint="eastAsia"/>
        </w:rPr>
        <w:t>：</w:t>
      </w:r>
    </w:p>
    <w:p w14:paraId="3C241EAF">
      <w:pPr>
        <w:ind w:firstLine="480"/>
      </w:pPr>
      <w:r>
        <w:t>38.1提供虚假材料谋取中标；</w:t>
      </w:r>
    </w:p>
    <w:p w14:paraId="30907943">
      <w:pPr>
        <w:ind w:firstLine="480"/>
      </w:pPr>
      <w:r>
        <w:t>38.2采取不正当手段诋毁、排挤其他供应商；</w:t>
      </w:r>
    </w:p>
    <w:p w14:paraId="169657C1">
      <w:pPr>
        <w:ind w:firstLine="480"/>
      </w:pPr>
      <w:r>
        <w:t>38.3与采购人、其他供应商恶意串通；</w:t>
      </w:r>
    </w:p>
    <w:p w14:paraId="7D27A8F9">
      <w:pPr>
        <w:ind w:firstLine="480"/>
      </w:pPr>
      <w:r>
        <w:t>38.4向采购人、磋商小组成员行贿或者提供其他不正当利益；</w:t>
      </w:r>
    </w:p>
    <w:p w14:paraId="7DF34414">
      <w:pPr>
        <w:ind w:firstLine="480"/>
      </w:pPr>
      <w:r>
        <w:t>38.5在招标过程中与采购人进行协商谈判；</w:t>
      </w:r>
    </w:p>
    <w:p w14:paraId="45B37B7A">
      <w:pPr>
        <w:ind w:firstLine="480"/>
      </w:pPr>
      <w:r>
        <w:t>38.6成交供应商无正当理由拖延或者不与采购人采购合同；</w:t>
      </w:r>
    </w:p>
    <w:p w14:paraId="5349C8FA">
      <w:pPr>
        <w:ind w:firstLine="480"/>
      </w:pPr>
      <w:r>
        <w:t>38.7未按照采购文件确定的事项签订采购合同；</w:t>
      </w:r>
    </w:p>
    <w:p w14:paraId="7D269636">
      <w:pPr>
        <w:ind w:firstLine="480"/>
      </w:pPr>
      <w:r>
        <w:t>38.8将采购合同转包或者违规分包；</w:t>
      </w:r>
    </w:p>
    <w:p w14:paraId="45327EEC">
      <w:pPr>
        <w:ind w:firstLine="480"/>
      </w:pPr>
      <w:r>
        <w:t>38.9提供假冒伪劣产品；</w:t>
      </w:r>
    </w:p>
    <w:p w14:paraId="08D6FC1D">
      <w:pPr>
        <w:ind w:firstLine="480"/>
      </w:pPr>
      <w:r>
        <w:t>38.10擅自变更、中止或者终止采购合同；</w:t>
      </w:r>
    </w:p>
    <w:p w14:paraId="28B65D35">
      <w:pPr>
        <w:ind w:firstLine="480"/>
      </w:pPr>
      <w:r>
        <w:t>38.11拒绝有关部门的监督检查或者向监督检查部门提供虚假情况；</w:t>
      </w:r>
    </w:p>
    <w:p w14:paraId="177321F1">
      <w:pPr>
        <w:ind w:firstLine="480"/>
        <w:rPr>
          <w:rFonts w:ascii="宋体" w:hAnsi="宋体" w:cs="宋体"/>
          <w:szCs w:val="21"/>
        </w:rPr>
      </w:pPr>
      <w:r>
        <w:t>38.12法律法规规定的其他情形。</w:t>
      </w:r>
    </w:p>
    <w:p w14:paraId="13DCF820">
      <w:pPr>
        <w:pStyle w:val="10"/>
      </w:pPr>
      <w:bookmarkStart w:id="286" w:name="_Toc25579"/>
      <w:bookmarkStart w:id="287" w:name="_Toc26123"/>
      <w:bookmarkStart w:id="288" w:name="_Toc15086"/>
      <w:bookmarkStart w:id="289" w:name="_Toc3432"/>
      <w:bookmarkStart w:id="290" w:name="_Toc15670"/>
      <w:bookmarkStart w:id="291" w:name="_Toc4020"/>
      <w:bookmarkStart w:id="292" w:name="_Toc29437"/>
      <w:bookmarkStart w:id="293" w:name="_Toc1082"/>
      <w:r>
        <w:rPr>
          <w:rFonts w:hint="eastAsia"/>
        </w:rPr>
        <w:t>九、落实政府采购政策需满足的要求</w:t>
      </w:r>
      <w:bookmarkEnd w:id="286"/>
      <w:bookmarkEnd w:id="287"/>
      <w:bookmarkEnd w:id="288"/>
      <w:bookmarkEnd w:id="289"/>
      <w:bookmarkEnd w:id="290"/>
      <w:bookmarkEnd w:id="291"/>
      <w:bookmarkEnd w:id="292"/>
      <w:bookmarkEnd w:id="293"/>
    </w:p>
    <w:p w14:paraId="7B7F60BD">
      <w:pPr>
        <w:ind w:firstLine="480"/>
      </w:pPr>
      <w:r>
        <w:rPr>
          <w:rFonts w:hint="eastAsia"/>
        </w:rPr>
        <w:t>39.小微企业</w:t>
      </w:r>
    </w:p>
    <w:p w14:paraId="2611FE13">
      <w:pPr>
        <w:ind w:firstLine="480"/>
      </w:pPr>
      <w:r>
        <w:rPr>
          <w:rFonts w:hint="eastAsia"/>
        </w:rPr>
        <w:t>根据财政工信部《关于印发（政府采购促进中小企业发展管理办法）的通知》财库（2020）46号的相关规定。本项目属于专门面向中小企业/小微企业。</w:t>
      </w:r>
    </w:p>
    <w:p w14:paraId="0B4A088B">
      <w:pPr>
        <w:ind w:firstLine="480"/>
      </w:pPr>
      <w:r>
        <w:t>39.1</w:t>
      </w:r>
      <w:r>
        <w:rPr>
          <w:rFonts w:hint="eastAsia"/>
        </w:rPr>
        <w:t>小型微型企业划型标准</w:t>
      </w:r>
    </w:p>
    <w:p w14:paraId="3A9543C6">
      <w:pPr>
        <w:ind w:firstLine="480"/>
      </w:pPr>
      <w:r>
        <w:rPr>
          <w:rFonts w:hint="eastAsia"/>
        </w:rPr>
        <w:t>1.在中华人民共和国境内依法设立，依据《关于印发中小企业划型标准规定的通知》（工信部联企业〔2011〕300号）确定的小型企业和微型企业，但与中型或大企业的负责人为同一人，或者与中型、大企业存在直接控股、管理关系的除外。</w:t>
      </w:r>
    </w:p>
    <w:p w14:paraId="2C4DCACD">
      <w:pPr>
        <w:ind w:firstLine="480"/>
      </w:pPr>
      <w:r>
        <w:rPr>
          <w:rFonts w:hint="eastAsia"/>
        </w:rPr>
        <w:t>符合中小企业划分标准的个体工商户，在政府采购活动中视同小型企业和微型企业。</w:t>
      </w:r>
    </w:p>
    <w:p w14:paraId="33C9B30D">
      <w:pPr>
        <w:ind w:firstLine="480"/>
      </w:pPr>
      <w:r>
        <w:rPr>
          <w:rFonts w:hint="eastAsia"/>
        </w:rPr>
        <w:t>39.2所属行业：其他未列明行业。从业人员300人以下的为中小微型企业。其中，从业人员100人及以上的为中型企业；从业人员10人及以上的为小型企业；从业人员10人以下的为微型企业。</w:t>
      </w:r>
    </w:p>
    <w:p w14:paraId="00767E28">
      <w:pPr>
        <w:ind w:firstLine="480"/>
      </w:pPr>
      <w:r>
        <w:rPr>
          <w:rFonts w:hint="eastAsia"/>
        </w:rPr>
        <w:t>39.3中型、小型和微型企业参加政府采购活动的须提供《中小企业声明函》（格式见附件），否则不得享受相关中小企业扶持政策。</w:t>
      </w:r>
    </w:p>
    <w:p w14:paraId="50FE96BE">
      <w:pPr>
        <w:ind w:firstLine="480"/>
      </w:pPr>
      <w:r>
        <w:rPr>
          <w:rFonts w:hint="eastAsia"/>
        </w:rPr>
        <w:t>（1）在货物采购项目中，货物应当由中小企业制造，不对其中涉及的服务的承接商作出要求。即货物由中小企业生产且使用该中小企业商号或注册商标，供货商提供的货物既有中小企业制造货物，也有大型企业制造货物，不享受本办法规定的中小企业扶持；</w:t>
      </w:r>
    </w:p>
    <w:p w14:paraId="39442BCD">
      <w:pPr>
        <w:ind w:firstLine="480"/>
      </w:pPr>
      <w:r>
        <w:rPr>
          <w:rFonts w:hint="eastAsia"/>
        </w:rPr>
        <w:t>（2）在工程项目采购中，工程应当由中小企业承建，不对其中涉及的货物的制造商和服务的承接商作出要求。</w:t>
      </w:r>
    </w:p>
    <w:p w14:paraId="6E8B4943">
      <w:pPr>
        <w:ind w:firstLine="480"/>
      </w:pPr>
      <w:r>
        <w:rPr>
          <w:rFonts w:hint="eastAsia"/>
        </w:rPr>
        <w:t>（3）在服务项目采购中，服务的承接商应当为中小企业，不对其中涉及的货物的制造商作出要求。</w:t>
      </w:r>
    </w:p>
    <w:p w14:paraId="114B4022">
      <w:pPr>
        <w:ind w:firstLine="480"/>
      </w:pPr>
      <w:r>
        <w:rPr>
          <w:rFonts w:hint="eastAsia"/>
        </w:rPr>
        <w:t>39.4不可享受本办法规定的中小企业扶持政策的情形</w:t>
      </w:r>
    </w:p>
    <w:p w14:paraId="2D7931BF">
      <w:pPr>
        <w:ind w:firstLine="480"/>
      </w:pPr>
      <w:r>
        <w:rPr>
          <w:rFonts w:hint="eastAsia"/>
        </w:rPr>
        <w:t>（1）未提供《中小企业声明函》，或者提供的《中小企业声明函》不符合相关规定。</w:t>
      </w:r>
    </w:p>
    <w:p w14:paraId="62ADA668">
      <w:pPr>
        <w:ind w:firstLine="480"/>
      </w:pPr>
      <w:r>
        <w:rPr>
          <w:rFonts w:hint="eastAsia"/>
        </w:rPr>
        <w:t>（2）监狱企业、残疾人福利性单位属于小型微型企业的，不重复享受小微企业优惠政策。</w:t>
      </w:r>
    </w:p>
    <w:p w14:paraId="38C4FD57">
      <w:pPr>
        <w:ind w:firstLine="480"/>
      </w:pPr>
      <w:r>
        <w:rPr>
          <w:rFonts w:hint="eastAsia"/>
        </w:rPr>
        <w:t>（3）事业单位和社会团体不属于企业，不享受小微企业扶持政策。</w:t>
      </w:r>
    </w:p>
    <w:p w14:paraId="7B722998">
      <w:pPr>
        <w:ind w:firstLine="480"/>
      </w:pPr>
      <w:r>
        <w:rPr>
          <w:rFonts w:hint="eastAsia"/>
        </w:rPr>
        <w:t>40.监狱企业</w:t>
      </w:r>
    </w:p>
    <w:p w14:paraId="4666029B">
      <w:pPr>
        <w:ind w:firstLine="480"/>
      </w:pPr>
      <w:r>
        <w:rPr>
          <w:rFonts w:hint="eastAsia"/>
        </w:rPr>
        <w:t>根据财政部、司法部《关于政府采购支持监狱企业发展有关问题的通知》（财库[2014]68号）的规定，监狱企业视同小微企业。</w:t>
      </w:r>
    </w:p>
    <w:p w14:paraId="044EEFEC">
      <w:pPr>
        <w:ind w:firstLine="480"/>
      </w:pPr>
      <w:r>
        <w:rPr>
          <w:rFonts w:hint="eastAsia"/>
        </w:rPr>
        <w:t>监狱企业应当提供《监狱企业声明函》及由省级以上监狱管理局、戒毒管理局（含新疆生产建设兵团）出具的属于监狱企业证明文件的，否则不予认可。</w:t>
      </w:r>
    </w:p>
    <w:p w14:paraId="4D041554">
      <w:pPr>
        <w:ind w:firstLine="480"/>
      </w:pPr>
      <w:r>
        <w:rPr>
          <w:rFonts w:hint="eastAsia"/>
        </w:rPr>
        <w:t>41.残疾人福利性单位</w:t>
      </w:r>
    </w:p>
    <w:p w14:paraId="68BA6C51">
      <w:pPr>
        <w:ind w:firstLine="480"/>
      </w:pPr>
      <w:r>
        <w:rPr>
          <w:rFonts w:hint="eastAsia"/>
        </w:rPr>
        <w:t>根据财政部、民政部、中国残疾人联合会《关于促进残疾人就业政府采购政策的通知》（财库〔2017〕141号）规定，残疾人福利性单位视同小型微型企业。</w:t>
      </w:r>
    </w:p>
    <w:p w14:paraId="6F0EE81C">
      <w:pPr>
        <w:ind w:firstLine="480"/>
        <w:rPr>
          <w:rFonts w:ascii="宋体" w:hAnsi="宋体" w:cs="宋体"/>
          <w:color w:val="000000"/>
          <w:szCs w:val="21"/>
        </w:rPr>
      </w:pPr>
      <w:r>
        <w:rPr>
          <w:rFonts w:hint="eastAsia"/>
        </w:rPr>
        <w:t>残疾人福利性单位应当提供《残疾人福利性单位声明函》，否则不予认可。</w:t>
      </w:r>
    </w:p>
    <w:p w14:paraId="049688A6">
      <w:pPr>
        <w:pStyle w:val="10"/>
      </w:pPr>
      <w:bookmarkStart w:id="294" w:name="_Toc24213"/>
      <w:bookmarkStart w:id="295" w:name="_Toc18234"/>
      <w:bookmarkStart w:id="296" w:name="_Toc22501"/>
      <w:bookmarkStart w:id="297" w:name="_Toc9723"/>
      <w:bookmarkStart w:id="298" w:name="_Toc13414"/>
      <w:bookmarkStart w:id="299" w:name="_Toc8615"/>
      <w:bookmarkStart w:id="300" w:name="_Toc23835"/>
      <w:bookmarkStart w:id="301" w:name="_Toc18464"/>
      <w:bookmarkStart w:id="302" w:name="_Toc15031"/>
      <w:bookmarkStart w:id="303" w:name="_Toc24773"/>
      <w:bookmarkStart w:id="304" w:name="_Toc11568"/>
      <w:bookmarkStart w:id="305" w:name="_Toc25686"/>
      <w:bookmarkStart w:id="306" w:name="_Toc31762"/>
      <w:bookmarkStart w:id="307" w:name="_Toc4949"/>
      <w:bookmarkStart w:id="308" w:name="_Toc16029"/>
      <w:bookmarkStart w:id="309" w:name="_Toc28565"/>
      <w:bookmarkStart w:id="310" w:name="_Toc21327"/>
      <w:bookmarkStart w:id="311" w:name="_Toc9702"/>
      <w:bookmarkStart w:id="312" w:name="_Toc26529"/>
      <w:bookmarkStart w:id="313" w:name="_Toc4721"/>
      <w:bookmarkStart w:id="314" w:name="_Toc5894"/>
      <w:r>
        <w:rPr>
          <w:rFonts w:hint="eastAsia"/>
        </w:rPr>
        <w:t>十、其他</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5482A0BD">
      <w:pPr>
        <w:ind w:firstLine="480"/>
      </w:pPr>
      <w:r>
        <w:rPr>
          <w:rFonts w:hint="eastAsia"/>
        </w:rPr>
        <w:t>42.解释权：本招标文件是依据《政府采购法》及有关规定编制的，解释权属采购人。</w:t>
      </w:r>
    </w:p>
    <w:p w14:paraId="5E1E241C">
      <w:pPr>
        <w:ind w:firstLine="480"/>
      </w:pPr>
      <w:r>
        <w:rPr>
          <w:rFonts w:hint="eastAsia"/>
        </w:rPr>
        <w:t>43.联系方式：所有与招标有关的函电请按下面联系，其他任何方式或信息来源均无效。</w:t>
      </w:r>
    </w:p>
    <w:p w14:paraId="4A95C8DF">
      <w:pPr>
        <w:ind w:firstLine="480"/>
      </w:pPr>
      <w:r>
        <w:rPr>
          <w:rFonts w:hint="eastAsia"/>
        </w:rPr>
        <w:t>通讯地址：龙游久圆工程管理有限公司（龙游县东华街道永安路60号）</w:t>
      </w:r>
    </w:p>
    <w:p w14:paraId="2EDD9C63">
      <w:pPr>
        <w:ind w:firstLine="480"/>
      </w:pPr>
      <w:r>
        <w:rPr>
          <w:rFonts w:hint="eastAsia"/>
        </w:rPr>
        <w:t>项目联系人：李女士</w:t>
      </w:r>
    </w:p>
    <w:p w14:paraId="2F8254C3">
      <w:pPr>
        <w:ind w:firstLine="480"/>
      </w:pPr>
      <w:r>
        <w:rPr>
          <w:rFonts w:hint="eastAsia"/>
        </w:rPr>
        <w:t>答疑咨询电话：</w:t>
      </w:r>
      <w:r>
        <w:t>0570-7032353</w:t>
      </w:r>
    </w:p>
    <w:p w14:paraId="4D9D13D7">
      <w:pPr>
        <w:ind w:firstLine="480"/>
        <w:rPr>
          <w:rFonts w:ascii="宋体" w:hAnsi="宋体" w:cs="宋体"/>
        </w:rPr>
      </w:pPr>
      <w:r>
        <w:rPr>
          <w:rFonts w:hint="eastAsia"/>
        </w:rPr>
        <w:t>公告网址：</w:t>
      </w:r>
      <w:r>
        <w:t>www.zjzfcg.gov.cn（浙江省政府采购网）</w:t>
      </w:r>
    </w:p>
    <w:p w14:paraId="2F078CCF">
      <w:pPr>
        <w:widowControl/>
        <w:ind w:firstLine="0" w:firstLineChars="0"/>
        <w:jc w:val="left"/>
        <w:rPr>
          <w:rFonts w:ascii="宋体" w:hAnsi="宋体" w:cs="Arial"/>
        </w:rPr>
      </w:pPr>
    </w:p>
    <w:p w14:paraId="4635C8D6">
      <w:pPr>
        <w:pStyle w:val="10"/>
        <w:sectPr>
          <w:footerReference r:id="rId16" w:type="first"/>
          <w:footerReference r:id="rId15" w:type="default"/>
          <w:pgSz w:w="11906" w:h="16838"/>
          <w:pgMar w:top="1440" w:right="1800" w:bottom="1440" w:left="1800" w:header="851" w:footer="992" w:gutter="0"/>
          <w:cols w:space="425" w:num="1"/>
          <w:docGrid w:type="lines" w:linePitch="326" w:charSpace="0"/>
        </w:sectPr>
      </w:pPr>
    </w:p>
    <w:p w14:paraId="65C166F1">
      <w:pPr>
        <w:pStyle w:val="9"/>
      </w:pPr>
      <w:bookmarkStart w:id="315" w:name="_Toc11031"/>
      <w:bookmarkStart w:id="316" w:name="_Toc21267"/>
      <w:bookmarkStart w:id="317" w:name="_Toc1571"/>
      <w:bookmarkStart w:id="318" w:name="_Toc1491"/>
      <w:bookmarkStart w:id="319" w:name="_Toc14470"/>
      <w:bookmarkStart w:id="320" w:name="_Toc9221"/>
      <w:bookmarkStart w:id="321" w:name="_Toc8522"/>
      <w:bookmarkStart w:id="322" w:name="_Toc13003"/>
      <w:r>
        <w:t>第四章</w:t>
      </w:r>
      <w:r>
        <w:rPr>
          <w:rFonts w:hint="eastAsia"/>
        </w:rPr>
        <w:t xml:space="preserve">  采购需求</w:t>
      </w:r>
      <w:bookmarkEnd w:id="315"/>
      <w:bookmarkEnd w:id="316"/>
      <w:bookmarkEnd w:id="317"/>
      <w:bookmarkEnd w:id="318"/>
      <w:bookmarkEnd w:id="319"/>
      <w:bookmarkEnd w:id="320"/>
      <w:bookmarkEnd w:id="321"/>
    </w:p>
    <w:bookmarkEnd w:id="322"/>
    <w:p w14:paraId="251F3459">
      <w:pPr>
        <w:pStyle w:val="10"/>
      </w:pPr>
      <w:bookmarkStart w:id="323" w:name="_Toc21655"/>
      <w:r>
        <w:rPr>
          <w:rFonts w:hint="eastAsia"/>
        </w:rPr>
        <w:t>一、概述</w:t>
      </w:r>
      <w:bookmarkEnd w:id="323"/>
    </w:p>
    <w:p w14:paraId="6E756B81">
      <w:pPr>
        <w:ind w:firstLine="480"/>
      </w:pPr>
      <w:r>
        <w:rPr>
          <w:rFonts w:hint="eastAsia"/>
        </w:rPr>
        <w:t>1</w:t>
      </w:r>
      <w:r>
        <w:t>.投标</w:t>
      </w:r>
      <w:r>
        <w:rPr>
          <w:rFonts w:hint="eastAsia"/>
        </w:rPr>
        <w:t>供应商</w:t>
      </w:r>
      <w:r>
        <w:t>必须完成采购内容和合同（基本要求、价格和服务）规定义务，不允许只对部分内容进行报价。</w:t>
      </w:r>
    </w:p>
    <w:p w14:paraId="6FBAA5BE">
      <w:pPr>
        <w:ind w:firstLine="480"/>
      </w:pPr>
      <w:r>
        <w:rPr>
          <w:rFonts w:hint="eastAsia"/>
        </w:rPr>
        <w:t>2</w:t>
      </w:r>
      <w:r>
        <w:t>.本次项目服务的标准、规范，应符合国家有关条例及规范。</w:t>
      </w:r>
    </w:p>
    <w:p w14:paraId="5374322F">
      <w:pPr>
        <w:ind w:firstLine="480"/>
        <w:rPr>
          <w:rFonts w:hint="eastAsia"/>
        </w:rPr>
      </w:pPr>
      <w:r>
        <w:rPr>
          <w:rFonts w:hint="eastAsia"/>
        </w:rPr>
        <w:t>3</w:t>
      </w:r>
      <w:r>
        <w:t>.在投标之前，投标</w:t>
      </w:r>
      <w:r>
        <w:rPr>
          <w:rFonts w:hint="eastAsia"/>
        </w:rPr>
        <w:t>供应商</w:t>
      </w:r>
      <w:r>
        <w:t>须仔细阅读招标文件，如发现有任何疑问、冲突或问题，投标供应商须在答疑截止时间前以书面形式向采购机构提出。逾期采购机构不再作答复，有关风险及责任由投标供应商自行承担。</w:t>
      </w:r>
    </w:p>
    <w:p w14:paraId="5971FCA5">
      <w:pPr>
        <w:pStyle w:val="10"/>
      </w:pPr>
      <w:bookmarkStart w:id="324" w:name="_Toc14516"/>
      <w:r>
        <w:rPr>
          <w:rFonts w:hint="eastAsia"/>
        </w:rPr>
        <w:t>二、项目情况</w:t>
      </w:r>
      <w:bookmarkEnd w:id="324"/>
    </w:p>
    <w:p w14:paraId="5DFF341A">
      <w:pPr>
        <w:ind w:firstLine="480"/>
      </w:pPr>
      <w:r>
        <w:rPr>
          <w:szCs w:val="21"/>
        </w:rPr>
        <w:t>项目背景：</w:t>
      </w:r>
      <w:r>
        <w:rPr>
          <w:rFonts w:hint="eastAsia"/>
          <w:szCs w:val="21"/>
        </w:rPr>
        <w:t>龙游县公证处</w:t>
      </w:r>
      <w:r>
        <w:t>因工作需要，需辅助人员6人。</w:t>
      </w:r>
    </w:p>
    <w:p w14:paraId="321E6483">
      <w:pPr>
        <w:ind w:firstLine="480"/>
        <w:rPr>
          <w:rFonts w:hint="eastAsia"/>
        </w:rPr>
      </w:pPr>
      <w:r>
        <w:rPr>
          <w:szCs w:val="21"/>
        </w:rPr>
        <w:t>劳务派遣服务期：</w:t>
      </w:r>
      <w:r>
        <w:rPr>
          <w:rFonts w:hint="eastAsia"/>
          <w:szCs w:val="21"/>
        </w:rPr>
        <w:t>1</w:t>
      </w:r>
      <w:r>
        <w:rPr>
          <w:szCs w:val="21"/>
        </w:rPr>
        <w:t>年。</w:t>
      </w:r>
      <w:r>
        <w:rPr>
          <w:rFonts w:hint="eastAsia"/>
          <w:szCs w:val="21"/>
        </w:rPr>
        <w:t>服务期内，如因上级政策（或管理要求）变化等原因造成本合同终止的，采购人可单方面解除合同，成交供应商须无条件接受，同时成交供应商不得因此向采购人提出赔偿要求。</w:t>
      </w:r>
    </w:p>
    <w:p w14:paraId="6D325301">
      <w:pPr>
        <w:pStyle w:val="10"/>
      </w:pPr>
      <w:bookmarkStart w:id="325" w:name="_Toc14608"/>
      <w:r>
        <w:rPr>
          <w:rFonts w:hint="eastAsia"/>
        </w:rPr>
        <w:t>三、人员要求</w:t>
      </w:r>
      <w:bookmarkEnd w:id="325"/>
    </w:p>
    <w:p w14:paraId="146B6D42">
      <w:pPr>
        <w:ind w:firstLine="480"/>
      </w:pPr>
      <w:r>
        <w:rPr>
          <w:rFonts w:hint="eastAsia"/>
        </w:rPr>
        <w:t>1</w:t>
      </w:r>
      <w:r>
        <w:t>.</w:t>
      </w:r>
      <w:r>
        <w:rPr>
          <w:rFonts w:hint="eastAsia"/>
        </w:rPr>
        <w:t>年龄在35周岁以下，文化程度要求在本科及以上，身体健康，无违法记录。</w:t>
      </w:r>
    </w:p>
    <w:p w14:paraId="70F487C5">
      <w:pPr>
        <w:ind w:firstLine="480"/>
        <w:rPr>
          <w:rFonts w:hint="eastAsia" w:ascii="Arial" w:hAnsi="Arial" w:cs="Arial"/>
          <w:b/>
          <w:bCs/>
        </w:rPr>
      </w:pPr>
      <w:r>
        <w:rPr>
          <w:rFonts w:hint="eastAsia" w:ascii="Arial" w:hAnsi="Arial" w:cs="Arial"/>
          <w:szCs w:val="21"/>
        </w:rPr>
        <w:t>2</w:t>
      </w:r>
      <w:r>
        <w:rPr>
          <w:rFonts w:ascii="Arial" w:hAnsi="Arial" w:cs="Arial"/>
          <w:szCs w:val="21"/>
        </w:rPr>
        <w:t>.在合同期内，招标人可随时根据实际工作需要增补或减少所需警务辅助人员，</w:t>
      </w:r>
      <w:r>
        <w:rPr>
          <w:rFonts w:hint="eastAsia" w:ascii="Arial" w:hAnsi="Arial" w:cs="Arial"/>
          <w:szCs w:val="21"/>
        </w:rPr>
        <w:t>成交</w:t>
      </w:r>
      <w:r>
        <w:rPr>
          <w:rFonts w:ascii="Arial" w:hAnsi="Arial" w:cs="Arial"/>
          <w:szCs w:val="21"/>
        </w:rPr>
        <w:t>供应商须无条件配合，并做好相关人员的增补或清退等工作。</w:t>
      </w:r>
    </w:p>
    <w:p w14:paraId="223CF0DA">
      <w:pPr>
        <w:ind w:firstLine="480"/>
      </w:pPr>
      <w:r>
        <w:rPr>
          <w:rFonts w:hint="eastAsia"/>
        </w:rPr>
        <w:t>3</w:t>
      </w:r>
      <w:r>
        <w:t>.</w:t>
      </w:r>
      <w:r>
        <w:rPr>
          <w:rFonts w:hint="eastAsia"/>
        </w:rPr>
        <w:t>保证执法辅助人员年收入在5.8万元及以上，并为其缴纳社保和意外伤害险。</w:t>
      </w:r>
    </w:p>
    <w:p w14:paraId="1F0D6172">
      <w:pPr>
        <w:pStyle w:val="10"/>
      </w:pPr>
      <w:bookmarkStart w:id="326" w:name="_Toc15829"/>
      <w:r>
        <w:rPr>
          <w:rFonts w:hint="eastAsia"/>
        </w:rPr>
        <w:t>四、服务内容</w:t>
      </w:r>
      <w:bookmarkEnd w:id="326"/>
    </w:p>
    <w:p w14:paraId="30BDBBDA">
      <w:pPr>
        <w:ind w:firstLine="480"/>
      </w:pPr>
      <w:r>
        <w:rPr>
          <w:rFonts w:hint="eastAsia"/>
        </w:rPr>
        <w:t>主要是执法辅助服务，协助执法人员完成执法工作任务，要求服从命令听指挥，严格执行各项规章制度，做到廉洁奉公，纪律严明，同时要完成单位交办的相关工作任务。</w:t>
      </w:r>
    </w:p>
    <w:p w14:paraId="2BE2F409">
      <w:pPr>
        <w:ind w:firstLine="480"/>
        <w:rPr>
          <w:rFonts w:hint="eastAsia"/>
        </w:rPr>
      </w:pPr>
      <w:r>
        <w:rPr>
          <w:rFonts w:hint="eastAsia"/>
        </w:rPr>
        <w:t>采购人安排的所有执法辅助工作。</w:t>
      </w:r>
    </w:p>
    <w:p w14:paraId="28D44E19">
      <w:pPr>
        <w:pStyle w:val="10"/>
      </w:pPr>
      <w:bookmarkStart w:id="327" w:name="_Toc14891"/>
      <w:r>
        <w:rPr>
          <w:rFonts w:hint="eastAsia"/>
        </w:rPr>
        <w:t>五、队伍管理</w:t>
      </w:r>
      <w:bookmarkEnd w:id="327"/>
    </w:p>
    <w:p w14:paraId="73C71E58">
      <w:pPr>
        <w:ind w:firstLine="480"/>
        <w:rPr>
          <w:rFonts w:ascii="宋体" w:hAnsi="宋体" w:cs="宋体"/>
          <w:sz w:val="30"/>
          <w:szCs w:val="30"/>
        </w:rPr>
      </w:pPr>
      <w:r>
        <w:rPr>
          <w:rFonts w:hint="eastAsia"/>
        </w:rPr>
        <w:t>要加强业务培训和法律法规的培训教育，使执法辅助人员逐步提高业务素质和工作能力，完全能胜任执法辅助工作的需要。</w:t>
      </w:r>
    </w:p>
    <w:p w14:paraId="2A746BA6">
      <w:pPr>
        <w:pStyle w:val="17"/>
        <w:ind w:firstLine="480"/>
      </w:pPr>
    </w:p>
    <w:p w14:paraId="65D3D761">
      <w:pPr>
        <w:pStyle w:val="41"/>
        <w:rPr>
          <w:rFonts w:hint="default"/>
        </w:rPr>
        <w:sectPr>
          <w:footerReference r:id="rId18" w:type="first"/>
          <w:footerReference r:id="rId17" w:type="default"/>
          <w:pgSz w:w="11906" w:h="16838"/>
          <w:pgMar w:top="1440" w:right="1800" w:bottom="1440" w:left="1800" w:header="1020" w:footer="992" w:gutter="0"/>
          <w:cols w:space="425" w:num="1"/>
          <w:titlePg/>
          <w:docGrid w:type="lines" w:linePitch="326" w:charSpace="0"/>
        </w:sectPr>
      </w:pPr>
    </w:p>
    <w:p w14:paraId="27557B19">
      <w:pPr>
        <w:pStyle w:val="9"/>
      </w:pPr>
      <w:bookmarkStart w:id="328" w:name="_Toc18682"/>
      <w:bookmarkStart w:id="329" w:name="_Toc26720"/>
      <w:bookmarkStart w:id="330" w:name="_Toc21110"/>
      <w:bookmarkStart w:id="331" w:name="_Toc4269"/>
      <w:bookmarkStart w:id="332" w:name="_Toc12313"/>
      <w:bookmarkStart w:id="333" w:name="_Toc26221"/>
      <w:bookmarkStart w:id="334" w:name="_Toc8721"/>
      <w:bookmarkStart w:id="335" w:name="_Toc28185"/>
      <w:r>
        <w:rPr>
          <w:rFonts w:hint="eastAsia"/>
        </w:rPr>
        <w:t>第五章  合同</w:t>
      </w:r>
      <w:bookmarkEnd w:id="328"/>
      <w:bookmarkEnd w:id="329"/>
      <w:bookmarkEnd w:id="330"/>
      <w:bookmarkEnd w:id="331"/>
      <w:bookmarkEnd w:id="332"/>
      <w:bookmarkEnd w:id="333"/>
      <w:bookmarkEnd w:id="334"/>
    </w:p>
    <w:p w14:paraId="3D9B0021">
      <w:pPr>
        <w:ind w:firstLine="0" w:firstLineChars="0"/>
        <w:jc w:val="center"/>
      </w:pPr>
      <w:r>
        <w:rPr>
          <w:rFonts w:hint="eastAsia"/>
        </w:rPr>
        <w:t>浙江省政府采购合同指引</w:t>
      </w:r>
    </w:p>
    <w:p w14:paraId="6A206374">
      <w:pPr>
        <w:spacing w:line="400" w:lineRule="exact"/>
        <w:ind w:firstLine="480"/>
        <w:jc w:val="left"/>
      </w:pPr>
    </w:p>
    <w:p w14:paraId="2885A9EA">
      <w:pPr>
        <w:ind w:firstLine="480"/>
        <w:rPr>
          <w:rFonts w:hint="eastAsia" w:eastAsia="宋体"/>
          <w:lang w:val="zh-CN" w:eastAsia="zh-CN"/>
        </w:rPr>
      </w:pPr>
      <w:r>
        <w:rPr>
          <w:rFonts w:hint="eastAsia"/>
          <w:lang w:val="zh-CN"/>
        </w:rPr>
        <w:t>项目名称：</w:t>
      </w:r>
      <w:r>
        <w:rPr>
          <w:rFonts w:hint="eastAsia"/>
          <w:lang w:eastAsia="zh-CN"/>
        </w:rPr>
        <w:t>龙游县公证处公证派驻法院执行辅助人员</w:t>
      </w:r>
    </w:p>
    <w:p w14:paraId="5668401A">
      <w:pPr>
        <w:ind w:firstLine="480"/>
        <w:rPr>
          <w:lang w:val="zh-CN"/>
        </w:rPr>
      </w:pPr>
      <w:r>
        <w:rPr>
          <w:rFonts w:hint="eastAsia"/>
          <w:lang w:val="zh-CN"/>
        </w:rPr>
        <w:t>项目编号：LYJY2024072</w:t>
      </w:r>
    </w:p>
    <w:p w14:paraId="0549FF39">
      <w:pPr>
        <w:ind w:firstLine="480"/>
        <w:rPr>
          <w:lang w:val="zh-CN"/>
        </w:rPr>
      </w:pPr>
      <w:r>
        <w:rPr>
          <w:rFonts w:hint="eastAsia"/>
          <w:lang w:val="zh-CN"/>
        </w:rPr>
        <w:t>甲  方：龙游县公证处</w:t>
      </w:r>
    </w:p>
    <w:p w14:paraId="30A22271">
      <w:pPr>
        <w:ind w:firstLine="480"/>
        <w:rPr>
          <w:rFonts w:ascii="宋体" w:hAnsi="宋体" w:cs="宋体"/>
          <w:color w:val="000000" w:themeColor="text1"/>
          <w:lang w:val="zh-CN"/>
          <w14:textFill>
            <w14:solidFill>
              <w14:schemeClr w14:val="tx1"/>
            </w14:solidFill>
          </w14:textFill>
        </w:rPr>
      </w:pPr>
      <w:r>
        <w:rPr>
          <w:rFonts w:hint="eastAsia"/>
          <w:lang w:val="zh-CN"/>
        </w:rPr>
        <w:t>乙  方：</w:t>
      </w:r>
    </w:p>
    <w:p w14:paraId="10B29039">
      <w:pPr>
        <w:pStyle w:val="10"/>
      </w:pPr>
      <w:bookmarkStart w:id="336" w:name="_Toc6643"/>
      <w:bookmarkStart w:id="337" w:name="_Toc10315"/>
      <w:r>
        <w:rPr>
          <w:rFonts w:hint="eastAsia"/>
        </w:rPr>
        <w:t>一、说明</w:t>
      </w:r>
      <w:bookmarkEnd w:id="336"/>
      <w:bookmarkEnd w:id="337"/>
    </w:p>
    <w:p w14:paraId="254A5732">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1．合同基本条款是指采购人（以下简称甲方）和中标供应商（以下简称乙方）应共同遵守的基本原则，并作为双方签约的依据。对于合同的其他条款，双方应本着互谅互让的精神协商解决。</w:t>
      </w:r>
    </w:p>
    <w:p w14:paraId="5180B670">
      <w:pPr>
        <w:ind w:firstLine="48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2．制定“合同主要条款”的依据是《中华人民共和国民法典》。</w:t>
      </w:r>
    </w:p>
    <w:p w14:paraId="343DD910">
      <w:pPr>
        <w:pStyle w:val="10"/>
      </w:pPr>
      <w:bookmarkStart w:id="338" w:name="_Toc22257"/>
      <w:bookmarkStart w:id="339" w:name="_Toc13889"/>
      <w:r>
        <w:rPr>
          <w:rFonts w:hint="eastAsia"/>
        </w:rPr>
        <w:t>二、项目情况</w:t>
      </w:r>
      <w:bookmarkEnd w:id="338"/>
    </w:p>
    <w:p w14:paraId="5447FF99">
      <w:pPr>
        <w:ind w:firstLine="480"/>
      </w:pPr>
      <w:r>
        <w:rPr>
          <w:szCs w:val="21"/>
        </w:rPr>
        <w:t>项目背景：</w:t>
      </w:r>
      <w:r>
        <w:rPr>
          <w:rFonts w:hint="eastAsia"/>
          <w:szCs w:val="21"/>
        </w:rPr>
        <w:t>甲方</w:t>
      </w:r>
      <w:r>
        <w:t>因工作需要，需辅助人员6人。</w:t>
      </w:r>
    </w:p>
    <w:p w14:paraId="348A683E">
      <w:pPr>
        <w:ind w:firstLine="480"/>
      </w:pPr>
      <w:r>
        <w:rPr>
          <w:szCs w:val="21"/>
        </w:rPr>
        <w:t>劳务派遣服务期：</w:t>
      </w:r>
      <w:r>
        <w:rPr>
          <w:rFonts w:hint="eastAsia"/>
          <w:szCs w:val="21"/>
        </w:rPr>
        <w:t>1</w:t>
      </w:r>
      <w:r>
        <w:rPr>
          <w:szCs w:val="21"/>
        </w:rPr>
        <w:t>年。</w:t>
      </w:r>
      <w:r>
        <w:rPr>
          <w:rFonts w:hint="eastAsia"/>
          <w:szCs w:val="21"/>
        </w:rPr>
        <w:t>服务期内，如因上级政策（或管理要求）变化等原因造成本合同终止的，甲方可单方面解除合同，成交供应商须无条件接受，同时成交供应商不得因此向采购人提出赔偿要求。</w:t>
      </w:r>
    </w:p>
    <w:p w14:paraId="4B8F5AB1">
      <w:pPr>
        <w:pStyle w:val="10"/>
      </w:pPr>
      <w:bookmarkStart w:id="340" w:name="_Toc21933"/>
      <w:r>
        <w:rPr>
          <w:rFonts w:hint="eastAsia"/>
          <w:lang w:val="zh-CN"/>
        </w:rPr>
        <w:t>三、服务内容</w:t>
      </w:r>
      <w:bookmarkEnd w:id="340"/>
    </w:p>
    <w:p w14:paraId="4AFE98E6">
      <w:pPr>
        <w:ind w:firstLine="480"/>
      </w:pPr>
      <w:r>
        <w:rPr>
          <w:rFonts w:hint="eastAsia"/>
        </w:rPr>
        <w:t>主要是执法辅助服务，协助执法人员完成执法工作任务，要求服从命令听指挥，严格执行各项规章制度，做到廉洁奉公，纪律严明，同时要完成单位交办的相关工作任务。</w:t>
      </w:r>
    </w:p>
    <w:p w14:paraId="0D1EA3A4">
      <w:pPr>
        <w:ind w:firstLine="480"/>
      </w:pPr>
      <w:r>
        <w:rPr>
          <w:rFonts w:hint="eastAsia"/>
        </w:rPr>
        <w:t>甲方安排的所有执法辅助工作。</w:t>
      </w:r>
    </w:p>
    <w:p w14:paraId="3516DC85">
      <w:pPr>
        <w:pStyle w:val="10"/>
      </w:pPr>
      <w:bookmarkStart w:id="341" w:name="_Toc14307"/>
      <w:r>
        <w:rPr>
          <w:rFonts w:hint="eastAsia"/>
        </w:rPr>
        <w:t>四、人员要求</w:t>
      </w:r>
      <w:bookmarkEnd w:id="341"/>
    </w:p>
    <w:p w14:paraId="0C05A11C">
      <w:pPr>
        <w:ind w:firstLine="480"/>
      </w:pPr>
      <w:r>
        <w:rPr>
          <w:rFonts w:hint="eastAsia"/>
        </w:rPr>
        <w:t>1</w:t>
      </w:r>
      <w:r>
        <w:t>.</w:t>
      </w:r>
      <w:r>
        <w:rPr>
          <w:rFonts w:hint="eastAsia"/>
        </w:rPr>
        <w:t>年龄在35周岁以下，文化程度要求在本科及以上，身体健康，无违法记录。</w:t>
      </w:r>
    </w:p>
    <w:p w14:paraId="2F7E0FE4">
      <w:pPr>
        <w:ind w:firstLine="480"/>
        <w:rPr>
          <w:rFonts w:hint="eastAsia" w:ascii="Arial" w:hAnsi="Arial" w:cs="Arial"/>
          <w:b/>
          <w:bCs/>
        </w:rPr>
      </w:pPr>
      <w:r>
        <w:rPr>
          <w:rFonts w:hint="eastAsia" w:ascii="Arial" w:hAnsi="Arial" w:cs="Arial"/>
          <w:szCs w:val="21"/>
        </w:rPr>
        <w:t>2</w:t>
      </w:r>
      <w:r>
        <w:rPr>
          <w:rFonts w:ascii="Arial" w:hAnsi="Arial" w:cs="Arial"/>
          <w:szCs w:val="21"/>
        </w:rPr>
        <w:t>.在合同期内，招标人可随时根据实际工作需要增补或减少所需警务辅助人员，</w:t>
      </w:r>
      <w:r>
        <w:rPr>
          <w:rFonts w:hint="eastAsia" w:ascii="Arial" w:hAnsi="Arial" w:cs="Arial"/>
          <w:szCs w:val="21"/>
        </w:rPr>
        <w:t>成交</w:t>
      </w:r>
      <w:r>
        <w:rPr>
          <w:rFonts w:ascii="Arial" w:hAnsi="Arial" w:cs="Arial"/>
          <w:szCs w:val="21"/>
        </w:rPr>
        <w:t>供应商须无条件配合，并做好相关人员的增补或清退等工作。</w:t>
      </w:r>
    </w:p>
    <w:p w14:paraId="4F5258A7">
      <w:pPr>
        <w:ind w:firstLine="480"/>
      </w:pPr>
      <w:r>
        <w:rPr>
          <w:rFonts w:hint="eastAsia"/>
        </w:rPr>
        <w:t>3</w:t>
      </w:r>
      <w:r>
        <w:t>.</w:t>
      </w:r>
      <w:r>
        <w:rPr>
          <w:rFonts w:hint="eastAsia"/>
        </w:rPr>
        <w:t>保证执法辅助人员年收入在5.8万元及以上，并为其缴纳社保和意外伤害险。</w:t>
      </w:r>
    </w:p>
    <w:p w14:paraId="25014CB4">
      <w:pPr>
        <w:pStyle w:val="10"/>
        <w:spacing w:line="560" w:lineRule="exact"/>
      </w:pPr>
      <w:bookmarkStart w:id="342" w:name="_Toc15029"/>
      <w:r>
        <w:rPr>
          <w:rFonts w:hint="eastAsia"/>
          <w:color w:val="000000" w:themeColor="text1"/>
          <w14:textFill>
            <w14:solidFill>
              <w14:schemeClr w14:val="tx1"/>
            </w14:solidFill>
          </w14:textFill>
        </w:rPr>
        <w:t>五、</w:t>
      </w:r>
      <w:r>
        <w:rPr>
          <w:rFonts w:hint="eastAsia"/>
        </w:rPr>
        <w:t>成交金额</w:t>
      </w:r>
      <w:bookmarkEnd w:id="342"/>
    </w:p>
    <w:p w14:paraId="364C3B19">
      <w:pPr>
        <w:bidi w:val="0"/>
        <w:rPr>
          <w:color w:val="000000" w:themeColor="text1"/>
          <w14:textFill>
            <w14:solidFill>
              <w14:schemeClr w14:val="tx1"/>
            </w14:solidFill>
          </w14:textFill>
        </w:rPr>
      </w:pPr>
      <w:r>
        <w:rPr>
          <w:rFonts w:hint="eastAsia"/>
        </w:rPr>
        <w:t>本合同金额为（大写）：        元（小写：      元）人民币。</w:t>
      </w:r>
    </w:p>
    <w:p w14:paraId="2B35A8B7">
      <w:pPr>
        <w:pStyle w:val="10"/>
        <w:rPr>
          <w:color w:val="000000" w:themeColor="text1"/>
          <w14:textFill>
            <w14:solidFill>
              <w14:schemeClr w14:val="tx1"/>
            </w14:solidFill>
          </w14:textFill>
        </w:rPr>
      </w:pPr>
      <w:bookmarkStart w:id="343" w:name="_Toc10196"/>
      <w:r>
        <w:rPr>
          <w:rFonts w:hint="eastAsia"/>
          <w:color w:val="000000" w:themeColor="text1"/>
          <w14:textFill>
            <w14:solidFill>
              <w14:schemeClr w14:val="tx1"/>
            </w14:solidFill>
          </w14:textFill>
        </w:rPr>
        <w:t>六、履约保证金</w:t>
      </w:r>
      <w:bookmarkEnd w:id="339"/>
      <w:bookmarkEnd w:id="343"/>
    </w:p>
    <w:p w14:paraId="7F338F7A">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本项目无履约保证金</w:t>
      </w:r>
      <w:r>
        <w:rPr>
          <w:rFonts w:ascii="宋体" w:hAnsi="宋体" w:cs="宋体"/>
          <w:color w:val="000000" w:themeColor="text1"/>
          <w14:textFill>
            <w14:solidFill>
              <w14:schemeClr w14:val="tx1"/>
            </w14:solidFill>
          </w14:textFill>
        </w:rPr>
        <w:t>。</w:t>
      </w:r>
    </w:p>
    <w:p w14:paraId="359F1EB8">
      <w:pPr>
        <w:pStyle w:val="10"/>
        <w:rPr>
          <w:color w:val="000000" w:themeColor="text1"/>
          <w14:textFill>
            <w14:solidFill>
              <w14:schemeClr w14:val="tx1"/>
            </w14:solidFill>
          </w14:textFill>
        </w:rPr>
      </w:pPr>
      <w:bookmarkStart w:id="344" w:name="_Toc27112"/>
      <w:bookmarkStart w:id="345" w:name="_Toc18968"/>
      <w:r>
        <w:rPr>
          <w:rFonts w:hint="eastAsia"/>
          <w:color w:val="000000" w:themeColor="text1"/>
          <w14:textFill>
            <w14:solidFill>
              <w14:schemeClr w14:val="tx1"/>
            </w14:solidFill>
          </w14:textFill>
        </w:rPr>
        <w:t>七、转包或分包</w:t>
      </w:r>
      <w:bookmarkEnd w:id="344"/>
      <w:bookmarkEnd w:id="345"/>
    </w:p>
    <w:p w14:paraId="01D60EF3">
      <w:pPr>
        <w:ind w:firstLine="480"/>
      </w:pPr>
      <w:r>
        <w:rPr>
          <w:rFonts w:hint="eastAsia"/>
        </w:rPr>
        <w:t>1.本合同范围的货物和服务，应由乙方直接承接服务供应，不得向他人转让，也不得</w:t>
      </w:r>
      <w:r>
        <w:rPr>
          <w:rFonts w:hint="eastAsia"/>
          <w:lang w:val="en-US" w:eastAsia="zh-CN"/>
        </w:rPr>
        <w:t>分解</w:t>
      </w:r>
      <w:r>
        <w:rPr>
          <w:rFonts w:hint="eastAsia"/>
        </w:rPr>
        <w:t>后分别向他人转让。</w:t>
      </w:r>
    </w:p>
    <w:p w14:paraId="2D2FC6DB">
      <w:pPr>
        <w:ind w:firstLine="480"/>
        <w:rPr>
          <w:color w:val="000000" w:themeColor="text1"/>
          <w14:textFill>
            <w14:solidFill>
              <w14:schemeClr w14:val="tx1"/>
            </w14:solidFill>
          </w14:textFill>
        </w:rPr>
      </w:pPr>
      <w:r>
        <w:rPr>
          <w:rFonts w:hint="eastAsia"/>
          <w:lang w:val="en-US" w:eastAsia="zh-CN"/>
        </w:rPr>
        <w:t>2</w:t>
      </w:r>
      <w:r>
        <w:rPr>
          <w:rFonts w:hint="eastAsia"/>
        </w:rPr>
        <w:t>.如有转让和未经甲方同意的分包行为，甲方有权解除合同，没收履约保证金并追究乙方的违约责任。</w:t>
      </w:r>
    </w:p>
    <w:p w14:paraId="5942749E">
      <w:pPr>
        <w:pStyle w:val="10"/>
        <w:rPr>
          <w:rFonts w:hint="eastAsia" w:ascii="-webkit-standard" w:hAnsi="-webkit-standard" w:cs="-webkit-standard"/>
          <w:color w:val="000000"/>
          <w:szCs w:val="28"/>
        </w:rPr>
      </w:pPr>
      <w:bookmarkStart w:id="346" w:name="_Toc16365"/>
      <w:bookmarkStart w:id="347" w:name="_Toc2246"/>
      <w:r>
        <w:rPr>
          <w:rFonts w:hint="eastAsia"/>
        </w:rPr>
        <w:t>八、</w:t>
      </w:r>
      <w:bookmarkEnd w:id="346"/>
      <w:r>
        <w:rPr>
          <w:rFonts w:hint="eastAsia"/>
        </w:rPr>
        <w:t>服务期</w:t>
      </w:r>
      <w:bookmarkEnd w:id="347"/>
    </w:p>
    <w:p w14:paraId="51486EB0">
      <w:pPr>
        <w:ind w:firstLine="480"/>
        <w:rPr>
          <w:color w:val="000000" w:themeColor="text1"/>
          <w14:textFill>
            <w14:solidFill>
              <w14:schemeClr w14:val="tx1"/>
            </w14:solidFill>
          </w14:textFill>
        </w:rPr>
      </w:pPr>
      <w:r>
        <w:rPr>
          <w:rFonts w:hint="eastAsia"/>
        </w:rPr>
        <w:t>1年。</w:t>
      </w:r>
    </w:p>
    <w:p w14:paraId="44847141">
      <w:pPr>
        <w:pStyle w:val="10"/>
        <w:tabs>
          <w:tab w:val="right" w:pos="8306"/>
        </w:tabs>
        <w:rPr>
          <w:color w:val="000000" w:themeColor="text1"/>
          <w14:textFill>
            <w14:solidFill>
              <w14:schemeClr w14:val="tx1"/>
            </w14:solidFill>
          </w14:textFill>
        </w:rPr>
      </w:pPr>
      <w:bookmarkStart w:id="348" w:name="_Toc14474"/>
      <w:bookmarkStart w:id="349" w:name="_Toc3515"/>
      <w:r>
        <w:rPr>
          <w:rFonts w:hint="eastAsia"/>
          <w:color w:val="000000" w:themeColor="text1"/>
          <w14:textFill>
            <w14:solidFill>
              <w14:schemeClr w14:val="tx1"/>
            </w14:solidFill>
          </w14:textFill>
        </w:rPr>
        <w:t>九、款项支付</w:t>
      </w:r>
      <w:bookmarkEnd w:id="348"/>
      <w:bookmarkEnd w:id="349"/>
    </w:p>
    <w:p w14:paraId="1CE9F8C2">
      <w:pPr>
        <w:ind w:firstLine="480"/>
      </w:pPr>
      <w:r>
        <w:rPr>
          <w:rFonts w:hint="eastAsia"/>
        </w:rPr>
        <w:t>1</w:t>
      </w:r>
      <w:r>
        <w:t>.</w:t>
      </w:r>
      <w:r>
        <w:rPr>
          <w:rFonts w:hint="eastAsia"/>
        </w:rPr>
        <w:t>合同签订且具备实施条件后7个工作日内支付合同款的50%；</w:t>
      </w:r>
    </w:p>
    <w:p w14:paraId="1511C534">
      <w:pPr>
        <w:ind w:firstLine="480"/>
      </w:pPr>
      <w:r>
        <w:rPr>
          <w:rFonts w:hint="eastAsia"/>
        </w:rPr>
        <w:t>2</w:t>
      </w:r>
      <w:r>
        <w:t>.</w:t>
      </w:r>
      <w:r>
        <w:rPr>
          <w:rFonts w:hint="eastAsia"/>
        </w:rPr>
        <w:t>合同期满并经甲方确认无服务质量后支付剩余服务费（不计息）。</w:t>
      </w:r>
    </w:p>
    <w:p w14:paraId="55FE9AE1">
      <w:pPr>
        <w:ind w:firstLine="482"/>
        <w:rPr>
          <w:color w:val="000000" w:themeColor="text1"/>
          <w14:textFill>
            <w14:solidFill>
              <w14:schemeClr w14:val="tx1"/>
            </w14:solidFill>
          </w14:textFill>
        </w:rPr>
      </w:pPr>
      <w:r>
        <w:rPr>
          <w:rFonts w:hint="eastAsia"/>
          <w:b/>
          <w:bCs/>
        </w:rPr>
        <w:t>乙方必须提供给甲方合法、有效的增值税发票，否则甲方有权延期付款，直至收到乙方相应增值税发票为止。</w:t>
      </w:r>
    </w:p>
    <w:p w14:paraId="1B9CC1E8">
      <w:pPr>
        <w:pStyle w:val="10"/>
        <w:rPr>
          <w:color w:val="000000" w:themeColor="text1"/>
          <w14:textFill>
            <w14:solidFill>
              <w14:schemeClr w14:val="tx1"/>
            </w14:solidFill>
          </w14:textFill>
        </w:rPr>
      </w:pPr>
      <w:bookmarkStart w:id="350" w:name="_Toc3757"/>
      <w:bookmarkStart w:id="351" w:name="_Toc4371"/>
      <w:r>
        <w:rPr>
          <w:rFonts w:hint="eastAsia"/>
          <w:color w:val="000000" w:themeColor="text1"/>
          <w14:textFill>
            <w14:solidFill>
              <w14:schemeClr w14:val="tx1"/>
            </w14:solidFill>
          </w14:textFill>
        </w:rPr>
        <w:t>十、税费</w:t>
      </w:r>
      <w:bookmarkEnd w:id="350"/>
      <w:bookmarkEnd w:id="351"/>
    </w:p>
    <w:p w14:paraId="7CB3FB66">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本合同执行中相关的一切税费均由乙方负担。（须按照甲方要求开具相应的发票）</w:t>
      </w:r>
    </w:p>
    <w:p w14:paraId="732C54DB">
      <w:pPr>
        <w:pStyle w:val="10"/>
      </w:pPr>
      <w:bookmarkStart w:id="352" w:name="_Toc12347"/>
      <w:bookmarkStart w:id="353" w:name="_Toc25219"/>
      <w:bookmarkStart w:id="354" w:name="_Toc19094"/>
      <w:bookmarkStart w:id="355" w:name="_Toc30169"/>
      <w:bookmarkStart w:id="356" w:name="_Toc17386"/>
      <w:bookmarkStart w:id="357" w:name="_Toc238"/>
      <w:bookmarkStart w:id="358" w:name="_Toc18456"/>
      <w:bookmarkStart w:id="359" w:name="_Toc29571"/>
      <w:r>
        <w:rPr>
          <w:rFonts w:hint="eastAsia"/>
        </w:rPr>
        <w:t>十一、合同修改与解除</w:t>
      </w:r>
      <w:bookmarkEnd w:id="352"/>
    </w:p>
    <w:p w14:paraId="457AB4A8">
      <w:pPr>
        <w:ind w:firstLine="480"/>
      </w:pPr>
      <w:r>
        <w:rPr>
          <w:rFonts w:hint="eastAsia"/>
        </w:rPr>
        <w:t>1.本合同供需双方的任何一方无权对合同内容进行修改，本合同如需修改，必须达成书面协议，并作为该合同的有效组成部分。</w:t>
      </w:r>
    </w:p>
    <w:p w14:paraId="6F779532">
      <w:pPr>
        <w:ind w:firstLine="480"/>
      </w:pPr>
      <w:r>
        <w:rPr>
          <w:rFonts w:hint="eastAsia"/>
        </w:rPr>
        <w:t>2.协议期满后，如甲方需乙方延续提供服务的，乙方应按照本协议要求继续提供相关服务，服务费用按照本协议约定金额的日均费用计算，延续服务期不得超出本协议合同款项的10%，服务费由甲方在延续服务期满后一个月内一次性支付乙方。</w:t>
      </w:r>
    </w:p>
    <w:p w14:paraId="75E21CC0">
      <w:pPr>
        <w:ind w:firstLine="480"/>
        <w:rPr>
          <w:color w:val="000000" w:themeColor="text1"/>
          <w14:textFill>
            <w14:solidFill>
              <w14:schemeClr w14:val="tx1"/>
            </w14:solidFill>
          </w14:textFill>
        </w:rPr>
      </w:pPr>
      <w:r>
        <w:rPr>
          <w:rFonts w:hint="eastAsia"/>
        </w:rPr>
        <w:t>3.合同可以经双方协商一致解除，或按照《中华人民共和国民法典》的规定单方解除。</w:t>
      </w:r>
    </w:p>
    <w:p w14:paraId="5763DB62">
      <w:pPr>
        <w:pStyle w:val="10"/>
      </w:pPr>
      <w:bookmarkStart w:id="360" w:name="_Toc19132"/>
      <w:bookmarkStart w:id="361" w:name="_Toc20400"/>
      <w:r>
        <w:rPr>
          <w:rFonts w:hint="eastAsia"/>
          <w:color w:val="000000" w:themeColor="text1"/>
          <w14:textFill>
            <w14:solidFill>
              <w14:schemeClr w14:val="tx1"/>
            </w14:solidFill>
          </w14:textFill>
        </w:rPr>
        <w:t>十二、</w:t>
      </w:r>
      <w:bookmarkEnd w:id="353"/>
      <w:bookmarkEnd w:id="354"/>
      <w:bookmarkEnd w:id="355"/>
      <w:bookmarkEnd w:id="356"/>
      <w:bookmarkEnd w:id="357"/>
      <w:bookmarkEnd w:id="358"/>
      <w:bookmarkEnd w:id="359"/>
      <w:bookmarkEnd w:id="360"/>
      <w:bookmarkStart w:id="362" w:name="_Toc8689"/>
      <w:bookmarkStart w:id="363" w:name="_Toc7385"/>
      <w:bookmarkStart w:id="364" w:name="_Toc28036"/>
      <w:bookmarkStart w:id="365" w:name="_Toc12837"/>
      <w:bookmarkStart w:id="366" w:name="_Toc9743"/>
      <w:bookmarkStart w:id="367" w:name="_Toc6050"/>
      <w:bookmarkStart w:id="368" w:name="_Toc16124"/>
      <w:r>
        <w:rPr>
          <w:rFonts w:hint="eastAsia"/>
        </w:rPr>
        <w:t>违约责任</w:t>
      </w:r>
      <w:bookmarkEnd w:id="361"/>
    </w:p>
    <w:p w14:paraId="70F07944">
      <w:pPr>
        <w:ind w:firstLine="480"/>
      </w:pPr>
      <w:r>
        <w:rPr>
          <w:rFonts w:hint="eastAsia"/>
        </w:rPr>
        <w:t>1.因一方原因，造成对方不能完成合同规定目标或直接造成对方经济损失的，另一方有权要求对方限期整改，并给予一定的经济补偿。</w:t>
      </w:r>
    </w:p>
    <w:p w14:paraId="6807CEEC">
      <w:pPr>
        <w:ind w:firstLine="480"/>
      </w:pPr>
      <w:r>
        <w:rPr>
          <w:rFonts w:hint="eastAsia"/>
        </w:rPr>
        <w:t>2.因乙方原因，造成甲方名誉、形象严重损害的，或者服务质量与合同要求严重不符时，甲方有权单方终止合同，不承担违约责任及经济责任，并有权向乙方索赔。</w:t>
      </w:r>
    </w:p>
    <w:p w14:paraId="793A95FA">
      <w:pPr>
        <w:ind w:firstLine="480"/>
      </w:pPr>
      <w:r>
        <w:rPr>
          <w:rFonts w:hint="eastAsia"/>
        </w:rPr>
        <w:t>3.未经甲方同意，乙方不得在任何时期擅自更换投标文件中规定的项目负责人，同时必须确保项目技术人员的数量和水平与投标文件一致，否则甲方有权放弃或终止合同。</w:t>
      </w:r>
    </w:p>
    <w:p w14:paraId="5893105A">
      <w:pPr>
        <w:ind w:firstLine="480"/>
        <w:rPr>
          <w:rFonts w:cs="宋体"/>
          <w:bCs/>
          <w:color w:val="000000" w:themeColor="text1"/>
          <w:szCs w:val="22"/>
          <w14:textFill>
            <w14:solidFill>
              <w14:schemeClr w14:val="tx1"/>
            </w14:solidFill>
          </w14:textFill>
        </w:rPr>
      </w:pPr>
      <w:r>
        <w:rPr>
          <w:rFonts w:hint="eastAsia"/>
        </w:rPr>
        <w:t>4.乙方未按本合同的规定和“服务承诺”提供伴随服务的，应按合同总价款的5%向甲方承担违约责任。给甲方造成损失的，乙方应承担赔偿责任。</w:t>
      </w:r>
    </w:p>
    <w:p w14:paraId="20C6AEE3">
      <w:pPr>
        <w:pStyle w:val="10"/>
      </w:pPr>
      <w:bookmarkStart w:id="369" w:name="_Toc9120"/>
      <w:bookmarkStart w:id="370" w:name="_Toc11089"/>
      <w:r>
        <w:rPr>
          <w:rFonts w:hint="eastAsia"/>
          <w:color w:val="000000" w:themeColor="text1"/>
          <w14:textFill>
            <w14:solidFill>
              <w14:schemeClr w14:val="tx1"/>
            </w14:solidFill>
          </w14:textFill>
        </w:rPr>
        <w:t>十三、</w:t>
      </w:r>
      <w:bookmarkEnd w:id="362"/>
      <w:bookmarkEnd w:id="363"/>
      <w:bookmarkEnd w:id="364"/>
      <w:bookmarkEnd w:id="365"/>
      <w:bookmarkEnd w:id="366"/>
      <w:bookmarkEnd w:id="367"/>
      <w:bookmarkEnd w:id="368"/>
      <w:bookmarkEnd w:id="369"/>
      <w:bookmarkStart w:id="371" w:name="_Toc8572"/>
      <w:bookmarkStart w:id="372" w:name="_Toc8782"/>
      <w:bookmarkStart w:id="373" w:name="_Toc26959"/>
      <w:bookmarkStart w:id="374" w:name="_Toc22435"/>
      <w:bookmarkStart w:id="375" w:name="_Toc26473"/>
      <w:bookmarkStart w:id="376" w:name="_Toc25971"/>
      <w:r>
        <w:rPr>
          <w:rFonts w:hint="eastAsia"/>
        </w:rPr>
        <w:t>不可抗力事件处理</w:t>
      </w:r>
      <w:bookmarkEnd w:id="370"/>
    </w:p>
    <w:p w14:paraId="142FAC7E">
      <w:pPr>
        <w:ind w:firstLine="480"/>
      </w:pPr>
      <w:r>
        <w:rPr>
          <w:rFonts w:hint="eastAsia"/>
        </w:rPr>
        <w:t>1.</w:t>
      </w:r>
      <w:r>
        <w:t>在合同有效期内，任何一方因不可抗力事件导致不能履行合同，则合同履行期可延长，其延长期与不可抗力影响期相同。</w:t>
      </w:r>
    </w:p>
    <w:p w14:paraId="1E558DFA">
      <w:pPr>
        <w:ind w:firstLine="480"/>
      </w:pPr>
      <w:r>
        <w:rPr>
          <w:rFonts w:hint="eastAsia"/>
        </w:rPr>
        <w:t>2.</w:t>
      </w:r>
      <w:r>
        <w:t>不可抗力事件发生后，应立即通知对方，并寄送有关权威机构出具的证明。</w:t>
      </w:r>
    </w:p>
    <w:p w14:paraId="125CA2C3">
      <w:pPr>
        <w:ind w:firstLine="480"/>
        <w:rPr>
          <w:rFonts w:ascii="宋体" w:hAnsi="宋体" w:cs="宋体"/>
          <w:szCs w:val="21"/>
        </w:rPr>
      </w:pPr>
      <w:r>
        <w:rPr>
          <w:rFonts w:hint="eastAsia"/>
        </w:rPr>
        <w:t>3.</w:t>
      </w:r>
      <w:r>
        <w:t>不可抗力事件延续120天以上，双方应通过友好协商，确定是否继续履行合同。</w:t>
      </w:r>
    </w:p>
    <w:bookmarkEnd w:id="371"/>
    <w:bookmarkEnd w:id="372"/>
    <w:bookmarkEnd w:id="373"/>
    <w:bookmarkEnd w:id="374"/>
    <w:bookmarkEnd w:id="375"/>
    <w:bookmarkEnd w:id="376"/>
    <w:p w14:paraId="2E592A1C">
      <w:pPr>
        <w:pStyle w:val="10"/>
      </w:pPr>
      <w:bookmarkStart w:id="377" w:name="_Toc16249"/>
      <w:bookmarkStart w:id="378" w:name="_Toc25245"/>
      <w:r>
        <w:rPr>
          <w:rFonts w:hint="eastAsia"/>
          <w:color w:val="000000" w:themeColor="text1"/>
          <w14:textFill>
            <w14:solidFill>
              <w14:schemeClr w14:val="tx1"/>
            </w14:solidFill>
          </w14:textFill>
        </w:rPr>
        <w:t>十四、</w:t>
      </w:r>
      <w:bookmarkEnd w:id="377"/>
      <w:r>
        <w:rPr>
          <w:rFonts w:hint="eastAsia"/>
        </w:rPr>
        <w:t>诉讼</w:t>
      </w:r>
      <w:bookmarkEnd w:id="378"/>
    </w:p>
    <w:p w14:paraId="526BE01A">
      <w:pPr>
        <w:ind w:firstLine="480"/>
        <w:rPr>
          <w:color w:val="000000" w:themeColor="text1"/>
          <w14:textFill>
            <w14:solidFill>
              <w14:schemeClr w14:val="tx1"/>
            </w14:solidFill>
          </w14:textFill>
        </w:rPr>
      </w:pPr>
      <w:r>
        <w:rPr>
          <w:rFonts w:hint="eastAsia"/>
        </w:rPr>
        <w:t>双方在执行合同中所发生的一切争议，应通过协商解决。如协商不成，可向甲方所在地法院起诉</w:t>
      </w:r>
      <w:r>
        <w:rPr>
          <w:rFonts w:hint="eastAsia"/>
          <w:color w:val="000000" w:themeColor="text1"/>
          <w14:textFill>
            <w14:solidFill>
              <w14:schemeClr w14:val="tx1"/>
            </w14:solidFill>
          </w14:textFill>
        </w:rPr>
        <w:t>。</w:t>
      </w:r>
    </w:p>
    <w:p w14:paraId="265F40CB">
      <w:pPr>
        <w:pStyle w:val="10"/>
      </w:pPr>
      <w:bookmarkStart w:id="379" w:name="_Toc28162"/>
      <w:bookmarkStart w:id="380" w:name="_Toc13725"/>
      <w:r>
        <w:rPr>
          <w:rFonts w:hint="eastAsia"/>
          <w:color w:val="000000" w:themeColor="text1"/>
          <w14:textFill>
            <w14:solidFill>
              <w14:schemeClr w14:val="tx1"/>
            </w14:solidFill>
          </w14:textFill>
        </w:rPr>
        <w:t>十五、</w:t>
      </w:r>
      <w:bookmarkEnd w:id="379"/>
      <w:r>
        <w:rPr>
          <w:rFonts w:hint="eastAsia"/>
        </w:rPr>
        <w:t>合同生效及其他</w:t>
      </w:r>
      <w:bookmarkEnd w:id="380"/>
    </w:p>
    <w:p w14:paraId="254AA2EF">
      <w:pPr>
        <w:ind w:firstLine="480"/>
      </w:pPr>
      <w:r>
        <w:rPr>
          <w:rFonts w:hint="eastAsia"/>
        </w:rPr>
        <w:t>1.</w:t>
      </w:r>
      <w:r>
        <w:rPr>
          <w:rFonts w:hint="eastAsia"/>
          <w:color w:val="auto"/>
        </w:rPr>
        <w:t>合同经双方法定代表人或授权代表签字并加盖单位公章，龙游久圆工程管理有限公司加盖鉴证章后生效。</w:t>
      </w:r>
    </w:p>
    <w:p w14:paraId="574A887C">
      <w:pPr>
        <w:ind w:firstLine="480"/>
      </w:pPr>
      <w:r>
        <w:rPr>
          <w:rFonts w:hint="eastAsia"/>
        </w:rPr>
        <w:t>2.本合同未尽事宜，遵照《中华人民共和国民法典》有关条文执行。</w:t>
      </w:r>
    </w:p>
    <w:p w14:paraId="0D2B1C62">
      <w:pPr>
        <w:ind w:firstLine="480"/>
      </w:pPr>
      <w:r>
        <w:rPr>
          <w:rFonts w:hint="eastAsia"/>
        </w:rPr>
        <w:t>3.本合同一式七份，甲乙双方各执三份，龙游久圆工程管理有限公司执一份每份具有同等法律效力。</w:t>
      </w:r>
    </w:p>
    <w:p w14:paraId="2F7DBE46">
      <w:pPr>
        <w:ind w:firstLine="480"/>
      </w:pPr>
    </w:p>
    <w:p w14:paraId="50F3B83E">
      <w:pPr>
        <w:pStyle w:val="2"/>
        <w:snapToGrid w:val="0"/>
        <w:spacing w:after="0" w:line="360" w:lineRule="auto"/>
        <w:ind w:firstLine="0" w:firstLineChars="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甲方（盖章）：                          乙方（盖章）：</w:t>
      </w:r>
    </w:p>
    <w:p w14:paraId="2C5F2611">
      <w:pPr>
        <w:spacing w:line="360" w:lineRule="auto"/>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法定代表人或委托                        法定代表人或委托</w:t>
      </w:r>
    </w:p>
    <w:p w14:paraId="27528F93">
      <w:pPr>
        <w:spacing w:line="360" w:lineRule="auto"/>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代理人（签字或盖章）：                  代理人（签字或盖章）：</w:t>
      </w:r>
    </w:p>
    <w:p w14:paraId="3FC1FA25">
      <w:pPr>
        <w:pStyle w:val="2"/>
        <w:snapToGrid w:val="0"/>
        <w:spacing w:after="0" w:line="360" w:lineRule="auto"/>
        <w:ind w:firstLine="0" w:firstLineChars="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地址：                                  地址：</w:t>
      </w:r>
    </w:p>
    <w:p w14:paraId="7BB5C8F8">
      <w:pPr>
        <w:spacing w:line="360" w:lineRule="auto"/>
        <w:ind w:firstLine="0" w:firstLineChars="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联系方式：                              联系方式：</w:t>
      </w:r>
    </w:p>
    <w:p w14:paraId="521B8F0E">
      <w:pPr>
        <w:pStyle w:val="2"/>
        <w:snapToGrid w:val="0"/>
        <w:spacing w:after="0" w:line="360" w:lineRule="auto"/>
        <w:ind w:firstLine="0" w:firstLineChars="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签订日期：  年  月  日                  签订日期：  年  月  日</w:t>
      </w:r>
    </w:p>
    <w:p w14:paraId="38D27673">
      <w:pPr>
        <w:pStyle w:val="32"/>
        <w:spacing w:after="0" w:line="360" w:lineRule="auto"/>
        <w:ind w:left="480" w:firstLine="480"/>
        <w:rPr>
          <w:rFonts w:ascii="宋体" w:hAnsi="宋体" w:cs="宋体"/>
          <w:color w:val="000000" w:themeColor="text1"/>
          <w14:textFill>
            <w14:solidFill>
              <w14:schemeClr w14:val="tx1"/>
            </w14:solidFill>
          </w14:textFill>
        </w:rPr>
      </w:pPr>
    </w:p>
    <w:p w14:paraId="1F179B35">
      <w:pPr>
        <w:ind w:firstLine="480"/>
      </w:pPr>
    </w:p>
    <w:p w14:paraId="4F1600BE">
      <w:pPr>
        <w:pStyle w:val="19"/>
        <w:snapToGrid w:val="0"/>
        <w:spacing w:line="360" w:lineRule="auto"/>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合同鉴证方： 龙游久圆工程管理有限公司 </w:t>
      </w:r>
    </w:p>
    <w:p w14:paraId="2E1FED15">
      <w:pPr>
        <w:ind w:firstLine="0" w:firstLineChars="0"/>
        <w:rPr>
          <w:rFonts w:hAnsi="宋体" w:cs="宋体"/>
          <w:color w:val="000000" w:themeColor="text1"/>
          <w:lang w:val="zh-CN"/>
          <w14:textFill>
            <w14:solidFill>
              <w14:schemeClr w14:val="tx1"/>
            </w14:solidFill>
          </w14:textFill>
        </w:rPr>
      </w:pPr>
      <w:r>
        <w:rPr>
          <w:rFonts w:hint="eastAsia" w:hAnsi="宋体" w:cs="宋体"/>
          <w:color w:val="000000" w:themeColor="text1"/>
          <w14:textFill>
            <w14:solidFill>
              <w14:schemeClr w14:val="tx1"/>
            </w14:solidFill>
          </w14:textFill>
        </w:rPr>
        <w:t>鉴证日期：</w:t>
      </w:r>
      <w:r>
        <w:rPr>
          <w:rFonts w:hint="eastAsia" w:hAnsi="宋体" w:cs="宋体"/>
          <w:color w:val="000000" w:themeColor="text1"/>
          <w:lang w:val="zh-CN"/>
          <w14:textFill>
            <w14:solidFill>
              <w14:schemeClr w14:val="tx1"/>
            </w14:solidFill>
          </w14:textFill>
        </w:rPr>
        <w:t xml:space="preserve">    年  月  日</w:t>
      </w:r>
    </w:p>
    <w:bookmarkEnd w:id="335"/>
    <w:p w14:paraId="61AD16A1">
      <w:pPr>
        <w:ind w:firstLine="0" w:firstLineChars="0"/>
        <w:rPr>
          <w:lang w:val="zh-CN"/>
        </w:rPr>
      </w:pPr>
      <w:bookmarkStart w:id="381" w:name="_Toc5226"/>
      <w:bookmarkStart w:id="382" w:name="_Toc8725"/>
      <w:bookmarkStart w:id="383" w:name="_Toc6085"/>
      <w:bookmarkStart w:id="384" w:name="_Toc5985"/>
      <w:bookmarkStart w:id="385" w:name="_Toc18417"/>
      <w:bookmarkStart w:id="386" w:name="_Toc17492"/>
      <w:bookmarkStart w:id="387" w:name="_Toc932"/>
      <w:r>
        <w:br w:type="page"/>
      </w:r>
    </w:p>
    <w:p w14:paraId="0551C6D5">
      <w:pPr>
        <w:pStyle w:val="9"/>
      </w:pPr>
      <w:bookmarkStart w:id="388" w:name="_Toc2981"/>
      <w:r>
        <w:t>第</w:t>
      </w:r>
      <w:r>
        <w:rPr>
          <w:rFonts w:hint="eastAsia"/>
        </w:rPr>
        <w:t>六</w:t>
      </w:r>
      <w:r>
        <w:t>章</w:t>
      </w:r>
      <w:r>
        <w:rPr>
          <w:rFonts w:hint="eastAsia"/>
        </w:rPr>
        <w:t xml:space="preserve">  评审办法和评分标准</w:t>
      </w:r>
      <w:bookmarkEnd w:id="381"/>
      <w:bookmarkEnd w:id="382"/>
      <w:bookmarkEnd w:id="383"/>
      <w:bookmarkEnd w:id="384"/>
      <w:bookmarkEnd w:id="385"/>
      <w:bookmarkEnd w:id="386"/>
      <w:bookmarkEnd w:id="387"/>
      <w:bookmarkEnd w:id="388"/>
    </w:p>
    <w:p w14:paraId="60A431CE">
      <w:pPr>
        <w:ind w:firstLine="480"/>
        <w:rPr>
          <w:rFonts w:ascii="宋体" w:hAnsi="宋体" w:cs="Arial"/>
          <w:szCs w:val="21"/>
        </w:rPr>
      </w:pPr>
      <w:r>
        <w:t>本评审办法遵照《中华人民共和国政府采购法</w:t>
      </w:r>
      <w:r>
        <w:rPr>
          <w:rFonts w:hint="eastAsia"/>
        </w:rPr>
        <w:t>》《政府采购竞争性磋商采购方式管理暂行办法》等</w:t>
      </w:r>
      <w:r>
        <w:t>有关规定，并结合本项目的具体情况制定。</w:t>
      </w:r>
    </w:p>
    <w:p w14:paraId="76C785FB">
      <w:pPr>
        <w:pStyle w:val="10"/>
      </w:pPr>
      <w:bookmarkStart w:id="389" w:name="_Toc16899"/>
      <w:bookmarkStart w:id="390" w:name="_Toc30786"/>
      <w:bookmarkStart w:id="391" w:name="_Toc32324"/>
      <w:bookmarkStart w:id="392" w:name="_Toc10289"/>
      <w:bookmarkStart w:id="393" w:name="_Toc31535"/>
      <w:bookmarkStart w:id="394" w:name="_Toc12132"/>
      <w:bookmarkStart w:id="395" w:name="_Toc13324"/>
      <w:bookmarkStart w:id="396" w:name="_Toc818"/>
      <w:r>
        <w:t>一、总则</w:t>
      </w:r>
      <w:bookmarkEnd w:id="389"/>
      <w:bookmarkEnd w:id="390"/>
      <w:bookmarkEnd w:id="391"/>
      <w:bookmarkEnd w:id="392"/>
      <w:bookmarkEnd w:id="393"/>
      <w:bookmarkEnd w:id="394"/>
      <w:bookmarkEnd w:id="395"/>
      <w:bookmarkEnd w:id="396"/>
    </w:p>
    <w:p w14:paraId="47477698">
      <w:pPr>
        <w:ind w:firstLine="480"/>
      </w:pPr>
      <w:r>
        <w:t>1.为公正、公平、科学地选择成交供应商，根据《中华人民共和国政府采购法》《中华人民共和国政府采购法实施条例》《政府采购竞争性磋商采购方式管理暂行办法》等有关规定，并结合本项目的实际，制定本办法。</w:t>
      </w:r>
    </w:p>
    <w:p w14:paraId="3A2DA511">
      <w:pPr>
        <w:ind w:firstLine="480"/>
      </w:pPr>
      <w:r>
        <w:t>2.评审工作由采购代理机构负责组织，具体评审事务由采购组织机构依法组建的</w:t>
      </w:r>
      <w:r>
        <w:rPr>
          <w:rFonts w:hint="eastAsia"/>
        </w:rPr>
        <w:t>磋商小组</w:t>
      </w:r>
      <w:r>
        <w:t>负责。</w:t>
      </w:r>
    </w:p>
    <w:p w14:paraId="3027CD3D">
      <w:pPr>
        <w:ind w:firstLine="480"/>
      </w:pPr>
      <w:r>
        <w:t>3.</w:t>
      </w:r>
      <w:r>
        <w:rPr>
          <w:rFonts w:hint="eastAsia"/>
        </w:rPr>
        <w:t>磋商小组</w:t>
      </w:r>
      <w:r>
        <w:t>评价响应文件的响应性，对于供应商而言，除</w:t>
      </w:r>
      <w:r>
        <w:rPr>
          <w:rFonts w:hint="eastAsia"/>
        </w:rPr>
        <w:t>磋商小组</w:t>
      </w:r>
      <w:r>
        <w:t>要求其澄清、说明或者更正而提供的资料外，仅依据响应文件本身的内容，不寻求其他外部证据。如供应商提交的资质证明或其他内容不齐全，由此造成的后果由供应商自己负责。</w:t>
      </w:r>
    </w:p>
    <w:p w14:paraId="3F87AB91">
      <w:pPr>
        <w:ind w:firstLine="480"/>
      </w:pPr>
      <w:r>
        <w:t>4.本项目评审采用不公开方式进行。供应商商务技术得分、最后报价及得分在磋商结束后一并同时公布。</w:t>
      </w:r>
    </w:p>
    <w:p w14:paraId="223A85B4">
      <w:pPr>
        <w:ind w:firstLine="480"/>
        <w:rPr>
          <w:rFonts w:ascii="宋体" w:hAnsi="宋体"/>
          <w:szCs w:val="21"/>
        </w:rPr>
      </w:pPr>
      <w:r>
        <w:t>5.本次评审采用综合评分法。</w:t>
      </w:r>
    </w:p>
    <w:p w14:paraId="77E60065">
      <w:pPr>
        <w:pStyle w:val="10"/>
      </w:pPr>
      <w:bookmarkStart w:id="397" w:name="_Toc2526"/>
      <w:bookmarkStart w:id="398" w:name="_Toc5402"/>
      <w:bookmarkStart w:id="399" w:name="_Toc8997"/>
      <w:bookmarkStart w:id="400" w:name="_Toc14156"/>
      <w:bookmarkStart w:id="401" w:name="_Toc29228"/>
      <w:bookmarkStart w:id="402" w:name="_Toc2493"/>
      <w:bookmarkStart w:id="403" w:name="_Toc19212"/>
      <w:bookmarkStart w:id="404" w:name="_Toc22993"/>
      <w:r>
        <w:t>二、组建</w:t>
      </w:r>
      <w:r>
        <w:rPr>
          <w:rFonts w:hint="eastAsia"/>
        </w:rPr>
        <w:t>磋商小组</w:t>
      </w:r>
      <w:bookmarkEnd w:id="397"/>
      <w:bookmarkEnd w:id="398"/>
      <w:bookmarkEnd w:id="399"/>
      <w:bookmarkEnd w:id="400"/>
      <w:bookmarkEnd w:id="401"/>
      <w:bookmarkEnd w:id="402"/>
      <w:bookmarkEnd w:id="403"/>
      <w:bookmarkEnd w:id="404"/>
    </w:p>
    <w:p w14:paraId="284015AE">
      <w:pPr>
        <w:ind w:firstLine="480"/>
      </w:pPr>
      <w:r>
        <w:t>1.采购人将根据相关规定和采购项目的特点由采购人和技术、经济等方面专家组成</w:t>
      </w:r>
      <w:r>
        <w:rPr>
          <w:rFonts w:hint="eastAsia"/>
        </w:rPr>
        <w:t>磋商小组</w:t>
      </w:r>
      <w:r>
        <w:t>，</w:t>
      </w:r>
      <w:r>
        <w:rPr>
          <w:rFonts w:hint="eastAsia"/>
        </w:rPr>
        <w:t>磋商小组</w:t>
      </w:r>
      <w:r>
        <w:t>成员人数见供应商须知前附表。</w:t>
      </w:r>
    </w:p>
    <w:p w14:paraId="53B7F800">
      <w:pPr>
        <w:ind w:firstLine="480"/>
        <w:rPr>
          <w:rFonts w:ascii="宋体" w:hAnsi="宋体"/>
          <w:szCs w:val="21"/>
        </w:rPr>
      </w:pPr>
      <w:r>
        <w:t>2.除依法组建的</w:t>
      </w:r>
      <w:r>
        <w:rPr>
          <w:rFonts w:hint="eastAsia"/>
        </w:rPr>
        <w:t>磋商小组</w:t>
      </w:r>
      <w:r>
        <w:t>成员以外，其他任何人不得参加或者替代评审。</w:t>
      </w:r>
    </w:p>
    <w:p w14:paraId="1794B329">
      <w:pPr>
        <w:pStyle w:val="10"/>
      </w:pPr>
      <w:bookmarkStart w:id="405" w:name="_Toc29798"/>
      <w:bookmarkStart w:id="406" w:name="_Toc28664"/>
      <w:bookmarkStart w:id="407" w:name="_Toc28169"/>
      <w:bookmarkStart w:id="408" w:name="_Toc13297"/>
      <w:bookmarkStart w:id="409" w:name="_Toc17372"/>
      <w:bookmarkStart w:id="410" w:name="_Toc17409"/>
      <w:bookmarkStart w:id="411" w:name="_Toc29094"/>
      <w:bookmarkStart w:id="412" w:name="_Toc8677"/>
      <w:r>
        <w:t>三、评审原则</w:t>
      </w:r>
      <w:bookmarkEnd w:id="405"/>
      <w:bookmarkEnd w:id="406"/>
      <w:bookmarkEnd w:id="407"/>
      <w:bookmarkEnd w:id="408"/>
      <w:bookmarkEnd w:id="409"/>
      <w:bookmarkEnd w:id="410"/>
      <w:bookmarkEnd w:id="411"/>
      <w:bookmarkEnd w:id="412"/>
    </w:p>
    <w:p w14:paraId="255F37E2">
      <w:pPr>
        <w:ind w:firstLine="480"/>
      </w:pPr>
      <w:r>
        <w:t>1.公正、客观、审慎的原则。</w:t>
      </w:r>
    </w:p>
    <w:p w14:paraId="5BEAD395">
      <w:pPr>
        <w:ind w:firstLine="480"/>
      </w:pPr>
      <w:r>
        <w:t>2.严格保密原则。</w:t>
      </w:r>
      <w:r>
        <w:rPr>
          <w:rFonts w:hint="eastAsia"/>
        </w:rPr>
        <w:t>磋商小组</w:t>
      </w:r>
      <w:r>
        <w:t>及有关工作人员不得私下与供应商接触。采购人或采购组织机构对评审结果不作任何说明和解释，也不回答任何提问。</w:t>
      </w:r>
    </w:p>
    <w:p w14:paraId="7B585701">
      <w:pPr>
        <w:ind w:firstLine="480"/>
      </w:pPr>
      <w:r>
        <w:t>3.独立评审原则。任何单位和个人不得干扰、影响评审的正常进行。</w:t>
      </w:r>
    </w:p>
    <w:p w14:paraId="0293245A">
      <w:pPr>
        <w:ind w:firstLine="480"/>
        <w:rPr>
          <w:rFonts w:ascii="宋体" w:hAnsi="宋体"/>
          <w:szCs w:val="21"/>
        </w:rPr>
      </w:pPr>
      <w:r>
        <w:t>4.严格遵守评审方法。根据采购文件规定的评审程序、评审方法和评分标准进行评审，不带任何倾向性和启发性。</w:t>
      </w:r>
    </w:p>
    <w:p w14:paraId="37146133">
      <w:pPr>
        <w:pStyle w:val="10"/>
      </w:pPr>
      <w:bookmarkStart w:id="413" w:name="_Toc2487"/>
      <w:bookmarkStart w:id="414" w:name="_Toc28154"/>
      <w:bookmarkStart w:id="415" w:name="_Toc6149"/>
      <w:bookmarkStart w:id="416" w:name="_Toc16276"/>
      <w:bookmarkStart w:id="417" w:name="_Toc24932"/>
      <w:bookmarkStart w:id="418" w:name="_Toc93"/>
      <w:bookmarkStart w:id="419" w:name="_Toc28195"/>
      <w:bookmarkStart w:id="420" w:name="_Toc7131"/>
      <w:r>
        <w:t>四、</w:t>
      </w:r>
      <w:r>
        <w:rPr>
          <w:rFonts w:hint="eastAsia"/>
        </w:rPr>
        <w:t>磋商小组</w:t>
      </w:r>
      <w:r>
        <w:t>履行下列职责</w:t>
      </w:r>
      <w:bookmarkEnd w:id="413"/>
      <w:bookmarkEnd w:id="414"/>
      <w:bookmarkEnd w:id="415"/>
      <w:bookmarkEnd w:id="416"/>
      <w:bookmarkEnd w:id="417"/>
      <w:bookmarkEnd w:id="418"/>
      <w:bookmarkEnd w:id="419"/>
      <w:bookmarkEnd w:id="420"/>
    </w:p>
    <w:p w14:paraId="1529557F">
      <w:pPr>
        <w:ind w:firstLine="480"/>
      </w:pPr>
      <w:r>
        <w:t>1.熟悉和理解磋商文件；</w:t>
      </w:r>
    </w:p>
    <w:p w14:paraId="39FA15F6">
      <w:pPr>
        <w:ind w:firstLine="480"/>
      </w:pPr>
      <w:r>
        <w:t>2.审查供应商响应文件等是否满足磋商文件要求，并作出评价；</w:t>
      </w:r>
    </w:p>
    <w:p w14:paraId="29F8DAF4">
      <w:pPr>
        <w:ind w:firstLine="480"/>
      </w:pPr>
      <w:r>
        <w:t>3.根据需要要求采购人对磋商文件作出解释；根据需要要求供应商对响应文件有关事项作出澄清、说明或者更正；</w:t>
      </w:r>
    </w:p>
    <w:p w14:paraId="67481F62">
      <w:pPr>
        <w:ind w:firstLine="480"/>
      </w:pPr>
      <w:r>
        <w:t>4.推荐成交候选供应商，或者受采购人委托确定成交供应商；</w:t>
      </w:r>
    </w:p>
    <w:p w14:paraId="27FC5CD9">
      <w:pPr>
        <w:ind w:firstLine="480"/>
      </w:pPr>
      <w:r>
        <w:t>5.起草评审报告并进行签署；</w:t>
      </w:r>
    </w:p>
    <w:p w14:paraId="6508EF98">
      <w:pPr>
        <w:ind w:firstLine="480"/>
      </w:pPr>
      <w:r>
        <w:t>6.向采购人、财政部门或者其他监督部门报告非法干预评审工作的行为；</w:t>
      </w:r>
    </w:p>
    <w:p w14:paraId="0455EE59">
      <w:pPr>
        <w:ind w:firstLine="480"/>
        <w:rPr>
          <w:rFonts w:ascii="宋体" w:hAnsi="宋体"/>
          <w:szCs w:val="21"/>
        </w:rPr>
      </w:pPr>
      <w:r>
        <w:t>7.法律、法规和规章规定的其他职责。</w:t>
      </w:r>
    </w:p>
    <w:p w14:paraId="0507F048">
      <w:pPr>
        <w:pStyle w:val="10"/>
      </w:pPr>
      <w:bookmarkStart w:id="421" w:name="_Toc15765"/>
      <w:bookmarkStart w:id="422" w:name="_Toc2134"/>
      <w:bookmarkStart w:id="423" w:name="_Toc14205"/>
      <w:bookmarkStart w:id="424" w:name="_Toc5627"/>
      <w:bookmarkStart w:id="425" w:name="_Toc11489"/>
      <w:bookmarkStart w:id="426" w:name="_Toc10675"/>
      <w:bookmarkStart w:id="427" w:name="_Toc28345"/>
      <w:bookmarkStart w:id="428" w:name="_Toc29707"/>
      <w:r>
        <w:t>五、评审工作纪律</w:t>
      </w:r>
      <w:bookmarkEnd w:id="421"/>
      <w:bookmarkEnd w:id="422"/>
      <w:bookmarkEnd w:id="423"/>
      <w:bookmarkEnd w:id="424"/>
      <w:bookmarkEnd w:id="425"/>
      <w:bookmarkEnd w:id="426"/>
      <w:bookmarkEnd w:id="427"/>
      <w:bookmarkEnd w:id="428"/>
    </w:p>
    <w:p w14:paraId="512870E5">
      <w:pPr>
        <w:ind w:firstLine="480"/>
      </w:pPr>
      <w:r>
        <w:rPr>
          <w:rFonts w:hint="eastAsia"/>
        </w:rPr>
        <w:t>磋商小组</w:t>
      </w:r>
      <w:r>
        <w:t>成员要严格遵守评审纪律、保密、回避等相关规定，依法独立履行评审职责，客观、公正、审慎参与评审工作：</w:t>
      </w:r>
    </w:p>
    <w:p w14:paraId="37CAD125">
      <w:pPr>
        <w:ind w:firstLine="480"/>
      </w:pPr>
      <w:r>
        <w:t>1.严格遵守评审时间，因突发情况确实不能按时参加评审的，应事先告知采购组织机构；</w:t>
      </w:r>
    </w:p>
    <w:p w14:paraId="0C3FCAF6">
      <w:pPr>
        <w:ind w:firstLine="480"/>
      </w:pPr>
      <w:r>
        <w:t>2.服从采购组织机构的现场管理，主动出示身份证明，进入评审区域后应主动寄存移动通讯工具；</w:t>
      </w:r>
    </w:p>
    <w:p w14:paraId="6DE98722">
      <w:pPr>
        <w:ind w:firstLine="480"/>
      </w:pPr>
      <w:r>
        <w:t>3.与供应商或</w:t>
      </w:r>
      <w:r>
        <w:rPr>
          <w:rFonts w:hint="eastAsia"/>
        </w:rPr>
        <w:t>磋商小组</w:t>
      </w:r>
      <w:r>
        <w:t>其他成员存在利害关系的，要主动回避，自觉签订《政府采购评审人员廉洁自律承诺书》；</w:t>
      </w:r>
    </w:p>
    <w:p w14:paraId="6976D216">
      <w:pPr>
        <w:ind w:firstLine="480"/>
      </w:pPr>
      <w:r>
        <w:t>4.保持评审现场安静，不在评审现场随意走动，因发生不可预见情况确需与外界联系或暂时离开评审现场的，应向现场监督员说明情况，征得同意后在监控区域内进行相关活动，并应接受相关工作人员的监督；</w:t>
      </w:r>
    </w:p>
    <w:p w14:paraId="7D69C1A8">
      <w:pPr>
        <w:ind w:firstLine="480"/>
      </w:pPr>
      <w:r>
        <w:t>5.自觉遵守职业道德，尊重采购人代表和供应商代表，配合采购组织机构回答供应商代表提出的有关异议；</w:t>
      </w:r>
    </w:p>
    <w:p w14:paraId="096BA278">
      <w:pPr>
        <w:ind w:firstLine="480"/>
      </w:pPr>
      <w:r>
        <w:t>6.不得将评审过程、结果和供应商的商业秘密透露给任何单位和个人。未公告评审结果前不准泄露评审结果，不准将评审资料带出会场；</w:t>
      </w:r>
    </w:p>
    <w:p w14:paraId="5573D588">
      <w:pPr>
        <w:ind w:firstLine="480"/>
        <w:rPr>
          <w:rFonts w:ascii="宋体" w:hAnsi="宋体"/>
          <w:szCs w:val="21"/>
        </w:rPr>
      </w:pPr>
      <w:r>
        <w:t>7.评审过程中，涉及到相关法律法规不清楚之处的，由采购监管部门或请示权威部门作出法定解释，涉及到磋商文件的由采购人和采购代理机构负责解释。</w:t>
      </w:r>
    </w:p>
    <w:p w14:paraId="021F8EB5">
      <w:pPr>
        <w:pStyle w:val="10"/>
      </w:pPr>
      <w:bookmarkStart w:id="429" w:name="_Toc13711"/>
      <w:bookmarkStart w:id="430" w:name="_Toc18538"/>
      <w:bookmarkStart w:id="431" w:name="_Toc15350"/>
      <w:bookmarkStart w:id="432" w:name="_Toc15514"/>
      <w:bookmarkStart w:id="433" w:name="_Toc6490"/>
      <w:bookmarkStart w:id="434" w:name="_Toc30263"/>
      <w:bookmarkStart w:id="435" w:name="_Toc22341"/>
      <w:bookmarkStart w:id="436" w:name="_Toc22828"/>
      <w:r>
        <w:t>六、评审程序</w:t>
      </w:r>
      <w:bookmarkEnd w:id="429"/>
      <w:bookmarkEnd w:id="430"/>
      <w:bookmarkEnd w:id="431"/>
      <w:bookmarkEnd w:id="432"/>
      <w:bookmarkEnd w:id="433"/>
      <w:bookmarkEnd w:id="434"/>
      <w:bookmarkEnd w:id="435"/>
      <w:bookmarkEnd w:id="436"/>
    </w:p>
    <w:p w14:paraId="41359485">
      <w:pPr>
        <w:ind w:firstLine="480"/>
      </w:pPr>
      <w:r>
        <w:t>1.推选</w:t>
      </w:r>
      <w:r>
        <w:rPr>
          <w:rFonts w:hint="eastAsia"/>
        </w:rPr>
        <w:t>磋商小组</w:t>
      </w:r>
      <w:r>
        <w:t>组长，优先资深专家担任组长，采购人代表不得担任组长。</w:t>
      </w:r>
    </w:p>
    <w:p w14:paraId="1750ED38">
      <w:pPr>
        <w:ind w:firstLine="480"/>
      </w:pPr>
      <w:r>
        <w:t>2.</w:t>
      </w:r>
      <w:r>
        <w:rPr>
          <w:rFonts w:hint="eastAsia"/>
        </w:rPr>
        <w:t>磋商小组</w:t>
      </w:r>
      <w:r>
        <w:t>正式评审前，应当对采购文件进行熟悉和理解，内容主要包括采购文件中供应商资格资质性要求、采购项目技术、服务和商务要求、评审方法和评分标准以及可能涉及签订政府采购合同的内容等。</w:t>
      </w:r>
    </w:p>
    <w:p w14:paraId="29942412">
      <w:pPr>
        <w:ind w:firstLine="480"/>
      </w:pPr>
      <w:r>
        <w:t>3.评审程序：资格性审查→符合性审查→商务技术评分→商务技术评分汇总→报价评审→得分汇总→编写评审报告。</w:t>
      </w:r>
    </w:p>
    <w:p w14:paraId="3DDA7A90">
      <w:pPr>
        <w:ind w:firstLine="480"/>
      </w:pPr>
      <w:r>
        <w:t>4.资格性审查</w:t>
      </w:r>
    </w:p>
    <w:p w14:paraId="5CA9340C">
      <w:pPr>
        <w:ind w:firstLine="480"/>
      </w:pPr>
      <w:r>
        <w:t>4.1</w:t>
      </w:r>
      <w:r>
        <w:rPr>
          <w:rFonts w:hint="eastAsia"/>
        </w:rPr>
        <w:t>磋商小组</w:t>
      </w:r>
      <w:r>
        <w:t>应依据法律法规和本磋商文件的规定对供应商资格进行审查。审查内容包括：</w:t>
      </w:r>
    </w:p>
    <w:p w14:paraId="6F14AB46">
      <w:pPr>
        <w:ind w:firstLine="480"/>
      </w:pPr>
      <w:r>
        <w:rPr>
          <w:rFonts w:hint="eastAsia"/>
        </w:rPr>
        <w:t>（</w:t>
      </w:r>
      <w:r>
        <w:t>1</w:t>
      </w:r>
      <w:r>
        <w:rPr>
          <w:rFonts w:hint="eastAsia"/>
        </w:rPr>
        <w:t>）</w:t>
      </w:r>
      <w:r>
        <w:t>是否属于禁止参加磋商的供应商；</w:t>
      </w:r>
    </w:p>
    <w:p w14:paraId="07724B37">
      <w:pPr>
        <w:ind w:firstLine="480"/>
      </w:pPr>
      <w:r>
        <w:rPr>
          <w:rFonts w:hint="eastAsia"/>
        </w:rPr>
        <w:t>（</w:t>
      </w:r>
      <w:r>
        <w:t>2</w:t>
      </w:r>
      <w:r>
        <w:rPr>
          <w:rFonts w:hint="eastAsia"/>
        </w:rPr>
        <w:t>）</w:t>
      </w:r>
      <w:r>
        <w:t>是否按照规定要求提供资格性证明材料；</w:t>
      </w:r>
    </w:p>
    <w:p w14:paraId="5A0B7E54">
      <w:pPr>
        <w:ind w:firstLine="480"/>
      </w:pPr>
      <w:r>
        <w:rPr>
          <w:rFonts w:hint="eastAsia"/>
        </w:rPr>
        <w:t>（</w:t>
      </w:r>
      <w:r>
        <w:t>3</w:t>
      </w:r>
      <w:r>
        <w:rPr>
          <w:rFonts w:hint="eastAsia"/>
        </w:rPr>
        <w:t>）</w:t>
      </w:r>
      <w:r>
        <w:t>法律法规规定的其他资格条件。</w:t>
      </w:r>
    </w:p>
    <w:p w14:paraId="680C5AD9">
      <w:pPr>
        <w:ind w:firstLine="480"/>
      </w:pPr>
      <w:r>
        <w:t>4.2经资格审查不符合磋商文件要求的响应文件，即终止其参与磋商资格。</w:t>
      </w:r>
    </w:p>
    <w:p w14:paraId="5BF9655B">
      <w:pPr>
        <w:ind w:firstLine="480"/>
      </w:pPr>
      <w:r>
        <w:t>5.符合性审查</w:t>
      </w:r>
    </w:p>
    <w:p w14:paraId="02264792">
      <w:pPr>
        <w:ind w:firstLine="480"/>
      </w:pPr>
      <w:r>
        <w:t>5.1</w:t>
      </w:r>
      <w:r>
        <w:rPr>
          <w:rFonts w:hint="eastAsia"/>
        </w:rPr>
        <w:t>磋商小组</w:t>
      </w:r>
      <w:r>
        <w:t>对资格符合供应商的响应文件进行符合性审查，符合性审查事项仅限于本磋商文件的明确规定，</w:t>
      </w:r>
      <w:r>
        <w:rPr>
          <w:rFonts w:hint="eastAsia"/>
        </w:rPr>
        <w:t>磋商小组</w:t>
      </w:r>
      <w:r>
        <w:t>不得臆测符合性审查事项。未实质性响应磋商文件要求，以无效响应处理，</w:t>
      </w:r>
      <w:r>
        <w:rPr>
          <w:rFonts w:hint="eastAsia"/>
        </w:rPr>
        <w:t>磋商小组</w:t>
      </w:r>
      <w:r>
        <w:t>不再进行后续评审。</w:t>
      </w:r>
    </w:p>
    <w:p w14:paraId="07B4C5D4">
      <w:pPr>
        <w:ind w:firstLine="480"/>
      </w:pPr>
      <w:r>
        <w:t>5.2如果确定供应商无资格履行合同，其磋商将被拒绝。</w:t>
      </w:r>
    </w:p>
    <w:p w14:paraId="6D1B4D50">
      <w:pPr>
        <w:ind w:firstLine="480"/>
      </w:pPr>
      <w:r>
        <w:t>6.响应文件评审</w:t>
      </w:r>
    </w:p>
    <w:p w14:paraId="6DD28F2D">
      <w:pPr>
        <w:ind w:firstLine="480"/>
      </w:pPr>
      <w:r>
        <w:rPr>
          <w:rFonts w:hint="eastAsia"/>
        </w:rPr>
        <w:t>磋商小组</w:t>
      </w:r>
      <w:r>
        <w:t>应当按照磋商文件中规定的评审方法和评分标准，对有效的响应文件进行商务、技术等方面评估、综合比较与评价（详见本章第十条）。评审结束后不公布各供应商商务、技术得分情况，进行下一步的磋商环节。</w:t>
      </w:r>
    </w:p>
    <w:p w14:paraId="0AB28E2E">
      <w:pPr>
        <w:ind w:firstLine="480"/>
      </w:pPr>
      <w:r>
        <w:t>7.磋商</w:t>
      </w:r>
    </w:p>
    <w:p w14:paraId="597FF8B6">
      <w:pPr>
        <w:ind w:firstLine="480"/>
      </w:pPr>
      <w:r>
        <w:t>7.1</w:t>
      </w:r>
      <w:r>
        <w:rPr>
          <w:rFonts w:hint="eastAsia"/>
        </w:rPr>
        <w:t>磋商小组</w:t>
      </w:r>
      <w:r>
        <w:t>与供应商在政采云平台在线进行磋商，磋商轮次由</w:t>
      </w:r>
      <w:r>
        <w:rPr>
          <w:rFonts w:hint="eastAsia"/>
        </w:rPr>
        <w:t>磋商小组</w:t>
      </w:r>
      <w:r>
        <w:t>决定。</w:t>
      </w:r>
    </w:p>
    <w:p w14:paraId="465080FA">
      <w:pPr>
        <w:ind w:firstLine="480"/>
      </w:pPr>
      <w:r>
        <w:t>7.2在本磋商文件采购需求中的技术、服务要求、合同草案条款没有实质性变动情况下，</w:t>
      </w:r>
      <w:r>
        <w:rPr>
          <w:rFonts w:hint="eastAsia"/>
        </w:rPr>
        <w:t>磋商小组</w:t>
      </w:r>
      <w:r>
        <w:t>与各供应商着重进行价格磋商。若有两轮以上报价的当前报价不得高于对该项目之前的报价，否则，以无效响应处理。</w:t>
      </w:r>
    </w:p>
    <w:p w14:paraId="46FF5F16">
      <w:pPr>
        <w:ind w:firstLine="480"/>
      </w:pPr>
      <w:r>
        <w:t>7.3磋商过程中，磋商的任何一方不得透露与磋商有关的其他供应商的技术资料、价格和其他信息。</w:t>
      </w:r>
    </w:p>
    <w:p w14:paraId="32F9EA5D">
      <w:pPr>
        <w:ind w:firstLine="480"/>
      </w:pPr>
      <w:r>
        <w:t>7.4磋商过程中，</w:t>
      </w:r>
      <w:r>
        <w:rPr>
          <w:rFonts w:hint="eastAsia"/>
        </w:rPr>
        <w:t>磋商小组</w:t>
      </w:r>
      <w:r>
        <w:t>发现或者知晓供应商存在违法、违纪行为的，</w:t>
      </w:r>
      <w:r>
        <w:rPr>
          <w:rFonts w:hint="eastAsia"/>
        </w:rPr>
        <w:t>磋商小组</w:t>
      </w:r>
      <w:r>
        <w:t>应当将该供应商响应文件作无效处理，不允许其提交最后报价。</w:t>
      </w:r>
    </w:p>
    <w:p w14:paraId="259D1D85">
      <w:pPr>
        <w:ind w:firstLine="480"/>
      </w:pPr>
      <w:r>
        <w:t>8.最后报价</w:t>
      </w:r>
    </w:p>
    <w:p w14:paraId="602F01BC">
      <w:pPr>
        <w:ind w:firstLine="480"/>
      </w:pPr>
      <w:r>
        <w:t>8.1磋商文件在统一采购需求的前提下，磋商结束后，</w:t>
      </w:r>
      <w:r>
        <w:rPr>
          <w:rFonts w:hint="eastAsia"/>
        </w:rPr>
        <w:t>磋商小组</w:t>
      </w:r>
      <w:r>
        <w:t>应当要求所有实质性响应的供应商在规定时间内在政采云平台在线提交最后报价。</w:t>
      </w:r>
    </w:p>
    <w:p w14:paraId="08E2A67A">
      <w:pPr>
        <w:ind w:firstLine="480"/>
        <w:rPr>
          <w:rFonts w:ascii="宋体" w:hAnsi="宋体"/>
          <w:szCs w:val="21"/>
        </w:rPr>
      </w:pPr>
      <w:r>
        <w:t>8.2最后报价是供应商响应文件的有效组成部分。</w:t>
      </w:r>
    </w:p>
    <w:p w14:paraId="1BBC75E3">
      <w:pPr>
        <w:pStyle w:val="10"/>
      </w:pPr>
      <w:bookmarkStart w:id="437" w:name="_Toc31562"/>
      <w:bookmarkStart w:id="438" w:name="_Toc30885"/>
      <w:bookmarkStart w:id="439" w:name="_Toc7024"/>
      <w:bookmarkStart w:id="440" w:name="_Toc19550"/>
      <w:bookmarkStart w:id="441" w:name="_Toc5109"/>
      <w:bookmarkStart w:id="442" w:name="_Toc23834"/>
      <w:bookmarkStart w:id="443" w:name="_Toc6335"/>
      <w:bookmarkStart w:id="444" w:name="_Toc4185"/>
      <w:r>
        <w:t>七、澄清、说明或补正</w:t>
      </w:r>
      <w:bookmarkEnd w:id="437"/>
      <w:bookmarkEnd w:id="438"/>
      <w:bookmarkEnd w:id="439"/>
      <w:bookmarkEnd w:id="440"/>
      <w:bookmarkEnd w:id="441"/>
      <w:bookmarkEnd w:id="442"/>
      <w:bookmarkEnd w:id="443"/>
      <w:bookmarkEnd w:id="444"/>
    </w:p>
    <w:p w14:paraId="0AE35700">
      <w:pPr>
        <w:ind w:firstLine="480"/>
      </w:pPr>
      <w:r>
        <w:t>1.评审中需要供应商对响应文件作出澄清、说明或者补正的，</w:t>
      </w:r>
      <w:r>
        <w:rPr>
          <w:rFonts w:hint="eastAsia"/>
        </w:rPr>
        <w:t>磋商小组</w:t>
      </w:r>
      <w:r>
        <w:t>和供应商应当通过政采云平台交换数据电文。给予供应商提交澄清、说明或补正的时间，供应商已经明确表示澄清说明或补正完毕的除外。澄清、说明或修正内容是响应文件的组成部分。</w:t>
      </w:r>
    </w:p>
    <w:p w14:paraId="62FCB11E">
      <w:pPr>
        <w:ind w:firstLine="480"/>
      </w:pPr>
      <w:r>
        <w:t>2.响应文件报价出现前后不一致的，按照下列规定修正：</w:t>
      </w:r>
    </w:p>
    <w:p w14:paraId="37108A15">
      <w:pPr>
        <w:ind w:firstLine="480"/>
      </w:pPr>
      <w:r>
        <w:t>2.1大写金额和小写金额不一致的，以大写金额为准；</w:t>
      </w:r>
    </w:p>
    <w:p w14:paraId="3BD4472E">
      <w:pPr>
        <w:ind w:firstLine="480"/>
      </w:pPr>
      <w:r>
        <w:t>2.2总价金额与按单价汇总金额不一致的，以单价金额计算结果为准；</w:t>
      </w:r>
    </w:p>
    <w:p w14:paraId="32B3F078">
      <w:pPr>
        <w:ind w:firstLine="480"/>
      </w:pPr>
      <w:r>
        <w:t>2.3单价金额小数点有明显错位的，应以总价为准，并修改单价。如果小写、大写金额和单价、总价金额出现明显文字错误，应当按照澄清、说明或者更正程序先纠正错误后，再行修正。</w:t>
      </w:r>
    </w:p>
    <w:p w14:paraId="772539A6">
      <w:pPr>
        <w:ind w:firstLine="480"/>
      </w:pPr>
      <w:r>
        <w:t>2.4对不同文字文本响应文件的解释发生异议的，以中文文本为准。</w:t>
      </w:r>
    </w:p>
    <w:p w14:paraId="4655BFD0">
      <w:pPr>
        <w:ind w:firstLine="480"/>
      </w:pPr>
      <w:r>
        <w:t>3.澄清说明答复函须由供应商法定代表人或授权代理人签字和盖章。如果供应商不接受对其错误的更正，其投标将被拒绝。</w:t>
      </w:r>
    </w:p>
    <w:p w14:paraId="3738AA86">
      <w:pPr>
        <w:ind w:firstLine="480"/>
        <w:rPr>
          <w:rFonts w:ascii="宋体" w:hAnsi="宋体"/>
          <w:szCs w:val="21"/>
        </w:rPr>
      </w:pPr>
      <w:r>
        <w:t>4.请供应商在评审期间保持电话畅通，如未及时接听电话，视为放弃澄清、说明或补正的权利，视同默认采购结果，事后不得对采购相关人员、采购过程及结果提出异议，责任由供应商自负。</w:t>
      </w:r>
    </w:p>
    <w:p w14:paraId="6AF1EB0C">
      <w:pPr>
        <w:pStyle w:val="10"/>
      </w:pPr>
      <w:bookmarkStart w:id="445" w:name="_Toc13173"/>
      <w:bookmarkStart w:id="446" w:name="_Toc22452"/>
      <w:bookmarkStart w:id="447" w:name="_Toc14004"/>
      <w:bookmarkStart w:id="448" w:name="_Toc5598"/>
      <w:bookmarkStart w:id="449" w:name="_Toc4320"/>
      <w:bookmarkStart w:id="450" w:name="_Toc17417"/>
      <w:bookmarkStart w:id="451" w:name="_Toc19185"/>
      <w:bookmarkStart w:id="452" w:name="_Toc15731"/>
      <w:r>
        <w:t>八、推荐成交候选人</w:t>
      </w:r>
      <w:bookmarkEnd w:id="445"/>
      <w:bookmarkEnd w:id="446"/>
      <w:bookmarkEnd w:id="447"/>
      <w:bookmarkEnd w:id="448"/>
      <w:bookmarkEnd w:id="449"/>
      <w:bookmarkEnd w:id="450"/>
      <w:bookmarkEnd w:id="451"/>
      <w:bookmarkEnd w:id="452"/>
    </w:p>
    <w:p w14:paraId="0848B068">
      <w:pPr>
        <w:ind w:firstLine="480"/>
        <w:rPr>
          <w:rFonts w:hint="eastAsia" w:eastAsia="宋体"/>
          <w:szCs w:val="21"/>
          <w:lang w:val="en-US" w:eastAsia="zh-CN"/>
        </w:rPr>
      </w:pPr>
      <w:r>
        <w:t>按照供应商得分由高到低顺序排列推荐成交候选人。得分相同的，按最后报价由低到高顺序排列。得分且最后报价相同的并列。响应文件满足磋商文件全部实质性要求，且按照评审因素的量化指标评审得分最高的供应商为排名第一的成交候选人。</w:t>
      </w:r>
      <w:r>
        <w:rPr>
          <w:rFonts w:hint="eastAsia"/>
          <w:lang w:val="en-US" w:eastAsia="zh-CN"/>
        </w:rPr>
        <w:t>依次推荐第一</w:t>
      </w:r>
      <w:r>
        <w:t>成交候选人</w:t>
      </w:r>
      <w:r>
        <w:rPr>
          <w:rFonts w:hint="eastAsia"/>
          <w:lang w:eastAsia="zh-CN"/>
        </w:rPr>
        <w:t>、</w:t>
      </w:r>
      <w:r>
        <w:rPr>
          <w:rFonts w:hint="eastAsia"/>
          <w:lang w:val="en-US" w:eastAsia="zh-CN"/>
        </w:rPr>
        <w:t>第二</w:t>
      </w:r>
      <w:r>
        <w:t>成交候选人</w:t>
      </w:r>
      <w:r>
        <w:rPr>
          <w:rFonts w:hint="eastAsia"/>
          <w:lang w:eastAsia="zh-CN"/>
        </w:rPr>
        <w:t>、</w:t>
      </w:r>
      <w:r>
        <w:rPr>
          <w:rFonts w:hint="eastAsia"/>
          <w:lang w:val="en-US" w:eastAsia="zh-CN"/>
        </w:rPr>
        <w:t>第三</w:t>
      </w:r>
      <w:r>
        <w:t>成交候选人</w:t>
      </w:r>
      <w:r>
        <w:rPr>
          <w:rFonts w:hint="eastAsia"/>
          <w:lang w:eastAsia="zh-CN"/>
        </w:rPr>
        <w:t>。</w:t>
      </w:r>
    </w:p>
    <w:p w14:paraId="45110AFA">
      <w:pPr>
        <w:pStyle w:val="10"/>
      </w:pPr>
      <w:bookmarkStart w:id="453" w:name="_Toc26093"/>
      <w:bookmarkStart w:id="454" w:name="_Toc17671"/>
      <w:bookmarkStart w:id="455" w:name="_Toc3256"/>
      <w:bookmarkStart w:id="456" w:name="_Toc22441"/>
      <w:bookmarkStart w:id="457" w:name="_Toc19471"/>
      <w:bookmarkStart w:id="458" w:name="_Toc31970"/>
      <w:bookmarkStart w:id="459" w:name="_Toc3451"/>
      <w:bookmarkStart w:id="460" w:name="_Toc16341"/>
      <w:r>
        <w:t>九、评审报告</w:t>
      </w:r>
      <w:bookmarkEnd w:id="453"/>
      <w:bookmarkEnd w:id="454"/>
      <w:bookmarkEnd w:id="455"/>
      <w:bookmarkEnd w:id="456"/>
      <w:bookmarkEnd w:id="457"/>
      <w:bookmarkEnd w:id="458"/>
      <w:bookmarkEnd w:id="459"/>
      <w:bookmarkEnd w:id="460"/>
    </w:p>
    <w:p w14:paraId="46E70356">
      <w:pPr>
        <w:ind w:firstLine="480"/>
        <w:rPr>
          <w:szCs w:val="21"/>
        </w:rPr>
      </w:pPr>
      <w:r>
        <w:rPr>
          <w:rFonts w:hint="eastAsia"/>
        </w:rPr>
        <w:t>磋商小组</w:t>
      </w:r>
      <w:r>
        <w:t>编写评审报告，并提出得分由高到低排序名单及理由，评审报告由</w:t>
      </w:r>
      <w:r>
        <w:rPr>
          <w:rFonts w:hint="eastAsia"/>
        </w:rPr>
        <w:t>磋商小组</w:t>
      </w:r>
      <w:r>
        <w:t>成员签字。</w:t>
      </w:r>
    </w:p>
    <w:p w14:paraId="5F51D7E4">
      <w:pPr>
        <w:pStyle w:val="10"/>
      </w:pPr>
      <w:bookmarkStart w:id="461" w:name="_Toc27425"/>
      <w:bookmarkStart w:id="462" w:name="_Toc11511"/>
      <w:bookmarkStart w:id="463" w:name="_Toc12622"/>
      <w:bookmarkStart w:id="464" w:name="_Toc11799"/>
      <w:bookmarkStart w:id="465" w:name="_Toc16301"/>
      <w:bookmarkStart w:id="466" w:name="_Toc19072"/>
      <w:bookmarkStart w:id="467" w:name="_Toc28035"/>
      <w:bookmarkStart w:id="468" w:name="_Toc27201"/>
      <w:r>
        <w:t>十、评分细则及标准</w:t>
      </w:r>
      <w:bookmarkEnd w:id="461"/>
      <w:bookmarkEnd w:id="462"/>
      <w:bookmarkEnd w:id="463"/>
      <w:bookmarkEnd w:id="464"/>
      <w:bookmarkEnd w:id="465"/>
      <w:bookmarkEnd w:id="466"/>
      <w:bookmarkEnd w:id="467"/>
      <w:bookmarkEnd w:id="468"/>
    </w:p>
    <w:p w14:paraId="3D030928">
      <w:pPr>
        <w:ind w:firstLine="480"/>
      </w:pPr>
      <w:r>
        <w:t>1.</w:t>
      </w:r>
      <w:r>
        <w:rPr>
          <w:rFonts w:hint="eastAsia"/>
        </w:rPr>
        <w:t>磋商小组</w:t>
      </w:r>
      <w:r>
        <w:t>成员根据本办法，对有效的响应文件进行商务、技术等方面评估，综合比较与评价，由各成员独立评分，打分时保留小数1位，每人一份评分表，并签名。在汇总得分时，如果发现某一单项评分超过评分细则规定的分值范围，则该份评分表无效。</w:t>
      </w:r>
    </w:p>
    <w:p w14:paraId="7FEFA7F3">
      <w:pPr>
        <w:ind w:firstLine="480"/>
      </w:pPr>
      <w:r>
        <w:t>2.加权汇总每项评分因素的得分，得出每个有效供应商的总分。商务技术部分得分为各成员的有效评分的算术平均值。计算时保留小数二位（第三位四舍五入）。</w:t>
      </w:r>
    </w:p>
    <w:p w14:paraId="5692AE42">
      <w:pPr>
        <w:ind w:firstLine="480"/>
      </w:pPr>
      <w:r>
        <w:t>3.综合评分明细表</w:t>
      </w:r>
    </w:p>
    <w:tbl>
      <w:tblPr>
        <w:tblStyle w:val="3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331"/>
        <w:gridCol w:w="5476"/>
        <w:gridCol w:w="918"/>
      </w:tblGrid>
      <w:tr w14:paraId="23FB0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6" w:type="pct"/>
            <w:vAlign w:val="center"/>
          </w:tcPr>
          <w:p w14:paraId="05C97DE9">
            <w:pPr>
              <w:pStyle w:val="41"/>
              <w:rPr>
                <w:rFonts w:hint="default"/>
              </w:rPr>
            </w:pPr>
            <w:bookmarkStart w:id="469" w:name="_Toc5157"/>
            <w:bookmarkStart w:id="470" w:name="_Toc31933"/>
            <w:bookmarkStart w:id="471" w:name="_Toc27239"/>
            <w:bookmarkStart w:id="472" w:name="_Toc27429"/>
            <w:bookmarkStart w:id="473" w:name="_Toc5216"/>
            <w:bookmarkStart w:id="474" w:name="_Toc26923"/>
            <w:bookmarkStart w:id="475" w:name="_Toc24497"/>
            <w:r>
              <w:t>项目</w:t>
            </w:r>
          </w:p>
        </w:tc>
        <w:tc>
          <w:tcPr>
            <w:tcW w:w="781" w:type="pct"/>
            <w:vAlign w:val="center"/>
          </w:tcPr>
          <w:p w14:paraId="508AA603">
            <w:pPr>
              <w:pStyle w:val="41"/>
              <w:rPr>
                <w:rFonts w:hint="default"/>
              </w:rPr>
            </w:pPr>
            <w:r>
              <w:t>评分因素</w:t>
            </w:r>
          </w:p>
        </w:tc>
        <w:tc>
          <w:tcPr>
            <w:tcW w:w="3213" w:type="pct"/>
            <w:vAlign w:val="center"/>
          </w:tcPr>
          <w:p w14:paraId="20153A68">
            <w:pPr>
              <w:pStyle w:val="41"/>
              <w:rPr>
                <w:rFonts w:hint="default"/>
              </w:rPr>
            </w:pPr>
            <w:r>
              <w:t>评审标准</w:t>
            </w:r>
          </w:p>
        </w:tc>
        <w:tc>
          <w:tcPr>
            <w:tcW w:w="538" w:type="pct"/>
            <w:vAlign w:val="center"/>
          </w:tcPr>
          <w:p w14:paraId="5EC0CD76">
            <w:pPr>
              <w:pStyle w:val="41"/>
              <w:rPr>
                <w:rFonts w:hint="default"/>
              </w:rPr>
            </w:pPr>
            <w:r>
              <w:t>分值</w:t>
            </w:r>
          </w:p>
        </w:tc>
      </w:tr>
      <w:tr w14:paraId="254D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466" w:type="pct"/>
            <w:vAlign w:val="center"/>
          </w:tcPr>
          <w:p w14:paraId="200614B4">
            <w:pPr>
              <w:pStyle w:val="41"/>
              <w:rPr>
                <w:rFonts w:hint="default"/>
              </w:rPr>
            </w:pPr>
            <w:r>
              <w:t>报价部分（10分）</w:t>
            </w:r>
          </w:p>
        </w:tc>
        <w:tc>
          <w:tcPr>
            <w:tcW w:w="781" w:type="pct"/>
            <w:vAlign w:val="center"/>
          </w:tcPr>
          <w:p w14:paraId="5A6FA02F">
            <w:pPr>
              <w:pStyle w:val="41"/>
              <w:rPr>
                <w:rFonts w:hint="default"/>
              </w:rPr>
            </w:pPr>
            <w:r>
              <w:t>最终报价</w:t>
            </w:r>
          </w:p>
        </w:tc>
        <w:tc>
          <w:tcPr>
            <w:tcW w:w="3213" w:type="pct"/>
            <w:vAlign w:val="center"/>
          </w:tcPr>
          <w:p w14:paraId="1F131544">
            <w:pPr>
              <w:pStyle w:val="41"/>
              <w:rPr>
                <w:rFonts w:hint="default"/>
              </w:rPr>
            </w:pPr>
            <w:r>
              <w:t>1.价格分采用低价优先法计算，即满足招标文件要求且投标价格最低的投标报价为评标基准价，其价格分为满分。</w:t>
            </w:r>
          </w:p>
          <w:p w14:paraId="36CC68C8">
            <w:pPr>
              <w:pStyle w:val="41"/>
              <w:rPr>
                <w:rFonts w:hint="default"/>
              </w:rPr>
            </w:pPr>
            <w:r>
              <w:t>2.投标报价得分＝基准价/投标报价*10（保留小数二位，第三位四舍五入）。</w:t>
            </w:r>
          </w:p>
        </w:tc>
        <w:tc>
          <w:tcPr>
            <w:tcW w:w="538" w:type="pct"/>
            <w:vAlign w:val="center"/>
          </w:tcPr>
          <w:p w14:paraId="63E3453F">
            <w:pPr>
              <w:pStyle w:val="41"/>
              <w:rPr>
                <w:rFonts w:hint="default"/>
              </w:rPr>
            </w:pPr>
            <w:r>
              <w:t>10分</w:t>
            </w:r>
          </w:p>
        </w:tc>
      </w:tr>
      <w:tr w14:paraId="25E46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66" w:type="pct"/>
            <w:vMerge w:val="restart"/>
            <w:vAlign w:val="center"/>
          </w:tcPr>
          <w:p w14:paraId="1A2D7534">
            <w:pPr>
              <w:pStyle w:val="41"/>
              <w:rPr>
                <w:rFonts w:hint="default"/>
              </w:rPr>
            </w:pPr>
          </w:p>
          <w:p w14:paraId="5F4A73E0">
            <w:pPr>
              <w:pStyle w:val="41"/>
              <w:rPr>
                <w:rFonts w:hint="default"/>
              </w:rPr>
            </w:pPr>
          </w:p>
          <w:p w14:paraId="57B1E00E">
            <w:pPr>
              <w:pStyle w:val="41"/>
              <w:rPr>
                <w:rFonts w:hint="default"/>
              </w:rPr>
            </w:pPr>
          </w:p>
          <w:p w14:paraId="6311D7E1">
            <w:pPr>
              <w:pStyle w:val="41"/>
              <w:rPr>
                <w:rFonts w:hint="default"/>
              </w:rPr>
            </w:pPr>
          </w:p>
          <w:p w14:paraId="64F764EA">
            <w:pPr>
              <w:pStyle w:val="41"/>
              <w:rPr>
                <w:rFonts w:hint="default"/>
              </w:rPr>
            </w:pPr>
          </w:p>
          <w:p w14:paraId="2B4E1ADA">
            <w:pPr>
              <w:pStyle w:val="41"/>
              <w:rPr>
                <w:rFonts w:hint="default"/>
              </w:rPr>
            </w:pPr>
          </w:p>
          <w:p w14:paraId="00D8224D">
            <w:pPr>
              <w:pStyle w:val="41"/>
              <w:rPr>
                <w:rFonts w:hint="default"/>
              </w:rPr>
            </w:pPr>
          </w:p>
          <w:p w14:paraId="2EDEBB54">
            <w:pPr>
              <w:pStyle w:val="41"/>
              <w:rPr>
                <w:rFonts w:hint="default"/>
              </w:rPr>
            </w:pPr>
            <w:r>
              <w:t>商务技术（90分）</w:t>
            </w:r>
          </w:p>
        </w:tc>
        <w:tc>
          <w:tcPr>
            <w:tcW w:w="781" w:type="pct"/>
            <w:vAlign w:val="center"/>
          </w:tcPr>
          <w:p w14:paraId="40A9F7BA">
            <w:pPr>
              <w:pStyle w:val="41"/>
              <w:rPr>
                <w:rFonts w:hint="default"/>
              </w:rPr>
            </w:pPr>
            <w:r>
              <w:t>类似业绩</w:t>
            </w:r>
          </w:p>
        </w:tc>
        <w:tc>
          <w:tcPr>
            <w:tcW w:w="3213" w:type="pct"/>
            <w:vAlign w:val="center"/>
          </w:tcPr>
          <w:p w14:paraId="530318AD">
            <w:pPr>
              <w:pStyle w:val="41"/>
              <w:rPr>
                <w:rFonts w:hint="default"/>
              </w:rPr>
            </w:pPr>
            <w:r>
              <w:t>投标人202</w:t>
            </w:r>
            <w:r>
              <w:rPr>
                <w:rFonts w:hint="eastAsia"/>
                <w:lang w:val="en-US" w:eastAsia="zh-CN"/>
              </w:rPr>
              <w:t>1</w:t>
            </w:r>
            <w:r>
              <w:t>年1月1日（以签订合同时间为准）以来承接过类似项目的，每提供一个得0.5分，最高得1分。</w:t>
            </w:r>
          </w:p>
          <w:p w14:paraId="5BE62ABB">
            <w:pPr>
              <w:pStyle w:val="41"/>
              <w:rPr>
                <w:rFonts w:hint="default"/>
              </w:rPr>
            </w:pPr>
            <w:r>
              <w:t>须提供业绩证明材料（合同或成交通知书）扫描件并加盖公章，不提供不得分。本项最高得1分。合同中需体现相关内容，不能体现的需出具业主证明。</w:t>
            </w:r>
          </w:p>
        </w:tc>
        <w:tc>
          <w:tcPr>
            <w:tcW w:w="538" w:type="pct"/>
            <w:vAlign w:val="center"/>
          </w:tcPr>
          <w:p w14:paraId="1347DF1A">
            <w:pPr>
              <w:pStyle w:val="41"/>
              <w:rPr>
                <w:rFonts w:hint="default"/>
              </w:rPr>
            </w:pPr>
            <w:r>
              <w:t>0-1分</w:t>
            </w:r>
          </w:p>
        </w:tc>
      </w:tr>
      <w:tr w14:paraId="002F6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66" w:type="pct"/>
            <w:vMerge w:val="continue"/>
            <w:vAlign w:val="center"/>
          </w:tcPr>
          <w:p w14:paraId="71B6FD84">
            <w:pPr>
              <w:pStyle w:val="41"/>
              <w:rPr>
                <w:rFonts w:hint="default"/>
              </w:rPr>
            </w:pPr>
          </w:p>
        </w:tc>
        <w:tc>
          <w:tcPr>
            <w:tcW w:w="781" w:type="pct"/>
            <w:vAlign w:val="center"/>
          </w:tcPr>
          <w:p w14:paraId="075A3666">
            <w:pPr>
              <w:pStyle w:val="43"/>
            </w:pPr>
            <w:r>
              <w:t>认证证书</w:t>
            </w:r>
          </w:p>
        </w:tc>
        <w:tc>
          <w:tcPr>
            <w:tcW w:w="3213" w:type="pct"/>
            <w:vAlign w:val="center"/>
          </w:tcPr>
          <w:p w14:paraId="6C075F47">
            <w:pPr>
              <w:pStyle w:val="43"/>
              <w:rPr>
                <w:rFonts w:hint="default"/>
              </w:rPr>
            </w:pPr>
            <w:r>
              <w:t>投标人具有ISO9001质量管理体系认证得1分；</w:t>
            </w:r>
          </w:p>
          <w:p w14:paraId="30E19E19">
            <w:pPr>
              <w:pStyle w:val="43"/>
              <w:rPr>
                <w:rFonts w:hint="default"/>
              </w:rPr>
            </w:pPr>
            <w:r>
              <w:t>投标人具有ISO14001环境管理体系认证得1分；</w:t>
            </w:r>
          </w:p>
          <w:p w14:paraId="5AB2FCAF">
            <w:pPr>
              <w:pStyle w:val="43"/>
              <w:rPr>
                <w:rFonts w:hint="default"/>
              </w:rPr>
            </w:pPr>
            <w:r>
              <w:t>投标人具有ISO18000职业健康安全管理体系认证得1分；</w:t>
            </w:r>
          </w:p>
          <w:p w14:paraId="393534B8">
            <w:pPr>
              <w:pStyle w:val="43"/>
            </w:pPr>
            <w:r>
              <w:t>须提供有效证书扫描件且国家认证认可监督管理委员会官网查询截图，未提供不得分。本项最高得3分。</w:t>
            </w:r>
          </w:p>
        </w:tc>
        <w:tc>
          <w:tcPr>
            <w:tcW w:w="538" w:type="pct"/>
            <w:vAlign w:val="center"/>
          </w:tcPr>
          <w:p w14:paraId="45DE9136">
            <w:pPr>
              <w:pStyle w:val="41"/>
            </w:pPr>
            <w:r>
              <w:t>0</w:t>
            </w:r>
            <w:r>
              <w:rPr>
                <w:rFonts w:hint="default"/>
              </w:rPr>
              <w:t>-3</w:t>
            </w:r>
            <w:r>
              <w:t>分</w:t>
            </w:r>
          </w:p>
        </w:tc>
      </w:tr>
      <w:tr w14:paraId="6C06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66" w:type="pct"/>
            <w:vMerge w:val="continue"/>
            <w:vAlign w:val="center"/>
          </w:tcPr>
          <w:p w14:paraId="659CD67B">
            <w:pPr>
              <w:pStyle w:val="41"/>
              <w:rPr>
                <w:rFonts w:hint="default"/>
              </w:rPr>
            </w:pPr>
          </w:p>
        </w:tc>
        <w:tc>
          <w:tcPr>
            <w:tcW w:w="781" w:type="pct"/>
            <w:vAlign w:val="center"/>
          </w:tcPr>
          <w:p w14:paraId="5FD56A05">
            <w:pPr>
              <w:pStyle w:val="43"/>
              <w:rPr>
                <w:rFonts w:hint="default" w:eastAsia="宋体"/>
                <w:lang w:val="en-US" w:eastAsia="zh-CN"/>
              </w:rPr>
            </w:pPr>
            <w:r>
              <w:rPr>
                <w:rFonts w:hint="eastAsia"/>
                <w:lang w:val="en-US" w:eastAsia="zh-CN"/>
              </w:rPr>
              <w:t>团队人员</w:t>
            </w:r>
          </w:p>
        </w:tc>
        <w:tc>
          <w:tcPr>
            <w:tcW w:w="3213" w:type="pct"/>
            <w:vAlign w:val="center"/>
          </w:tcPr>
          <w:p w14:paraId="52E6EC50">
            <w:pPr>
              <w:pStyle w:val="43"/>
              <w:rPr>
                <w:rFonts w:hint="eastAsia"/>
                <w:color w:val="auto"/>
                <w:lang w:val="en-US" w:eastAsia="zh-CN"/>
              </w:rPr>
            </w:pPr>
            <w:r>
              <w:rPr>
                <w:rFonts w:hint="eastAsia" w:ascii="宋体" w:hAnsi="宋体"/>
                <w:color w:val="auto"/>
                <w:lang w:val="en-US" w:eastAsia="zh-CN"/>
              </w:rPr>
              <w:t>配备人员</w:t>
            </w:r>
            <w:r>
              <w:rPr>
                <w:rFonts w:hint="eastAsia"/>
                <w:color w:val="auto"/>
                <w:lang w:val="en-US" w:eastAsia="zh-CN"/>
              </w:rPr>
              <w:t>中有</w:t>
            </w:r>
            <w:r>
              <w:rPr>
                <w:rFonts w:hint="eastAsia" w:ascii="宋体" w:hAnsi="宋体"/>
                <w:color w:val="auto"/>
                <w:lang w:val="en-US" w:eastAsia="zh-CN"/>
              </w:rPr>
              <w:t>大专及以上学历</w:t>
            </w:r>
            <w:r>
              <w:rPr>
                <w:rFonts w:hint="eastAsia"/>
                <w:color w:val="auto"/>
                <w:lang w:val="en-US" w:eastAsia="zh-CN"/>
              </w:rPr>
              <w:t>、</w:t>
            </w:r>
            <w:r>
              <w:rPr>
                <w:rFonts w:hint="eastAsia" w:ascii="宋体" w:hAnsi="宋体"/>
                <w:color w:val="auto"/>
                <w:lang w:val="en-US" w:eastAsia="zh-CN"/>
              </w:rPr>
              <w:t>35周岁</w:t>
            </w:r>
            <w:r>
              <w:rPr>
                <w:rFonts w:hint="eastAsia"/>
                <w:color w:val="auto"/>
                <w:lang w:val="en-US" w:eastAsia="zh-CN"/>
              </w:rPr>
              <w:t>及</w:t>
            </w:r>
            <w:r>
              <w:rPr>
                <w:rFonts w:hint="eastAsia" w:ascii="宋体" w:hAnsi="宋体"/>
                <w:color w:val="auto"/>
                <w:lang w:val="en-US" w:eastAsia="zh-CN"/>
              </w:rPr>
              <w:t>以下</w:t>
            </w:r>
            <w:r>
              <w:rPr>
                <w:rFonts w:hint="eastAsia"/>
                <w:color w:val="auto"/>
                <w:lang w:val="en-US" w:eastAsia="zh-CN"/>
              </w:rPr>
              <w:t>且</w:t>
            </w:r>
            <w:r>
              <w:rPr>
                <w:rFonts w:hint="eastAsia" w:ascii="宋体" w:hAnsi="宋体"/>
                <w:color w:val="auto"/>
                <w:lang w:val="en-US" w:eastAsia="zh-CN"/>
              </w:rPr>
              <w:t>有司法辅助工作经验一年</w:t>
            </w:r>
            <w:r>
              <w:rPr>
                <w:rFonts w:hint="eastAsia"/>
                <w:color w:val="auto"/>
                <w:lang w:val="en-US" w:eastAsia="zh-CN"/>
              </w:rPr>
              <w:t>及</w:t>
            </w:r>
            <w:r>
              <w:rPr>
                <w:rFonts w:hint="eastAsia" w:ascii="宋体" w:hAnsi="宋体"/>
                <w:color w:val="auto"/>
                <w:lang w:val="en-US" w:eastAsia="zh-CN"/>
              </w:rPr>
              <w:t>以上，</w:t>
            </w:r>
            <w:r>
              <w:rPr>
                <w:rFonts w:hint="eastAsia"/>
                <w:color w:val="auto"/>
                <w:lang w:val="en-US" w:eastAsia="zh-CN"/>
              </w:rPr>
              <w:t>每一名得2分，最高得12分。</w:t>
            </w:r>
          </w:p>
          <w:p w14:paraId="5B3FC6F4">
            <w:pPr>
              <w:pStyle w:val="43"/>
            </w:pPr>
            <w:r>
              <w:rPr>
                <w:rFonts w:hint="eastAsia"/>
                <w:color w:val="auto"/>
                <w:lang w:val="en-US" w:eastAsia="zh-CN"/>
              </w:rPr>
              <w:t>须</w:t>
            </w:r>
            <w:r>
              <w:rPr>
                <w:rFonts w:hint="eastAsia" w:ascii="宋体" w:hAnsi="宋体"/>
                <w:color w:val="auto"/>
                <w:lang w:val="en-US" w:eastAsia="zh-CN"/>
              </w:rPr>
              <w:t>提供</w:t>
            </w:r>
            <w:r>
              <w:rPr>
                <w:rFonts w:hint="eastAsia"/>
                <w:color w:val="auto"/>
                <w:lang w:val="en-US" w:eastAsia="zh-CN"/>
              </w:rPr>
              <w:t>劳务</w:t>
            </w:r>
            <w:r>
              <w:rPr>
                <w:rFonts w:hint="eastAsia" w:ascii="宋体" w:hAnsi="宋体"/>
                <w:color w:val="auto"/>
                <w:lang w:val="en-US" w:eastAsia="zh-CN"/>
              </w:rPr>
              <w:t>合同</w:t>
            </w:r>
            <w:r>
              <w:rPr>
                <w:rFonts w:hint="eastAsia"/>
                <w:color w:val="auto"/>
                <w:lang w:val="en-US" w:eastAsia="zh-CN"/>
              </w:rPr>
              <w:t>扫描件</w:t>
            </w:r>
            <w:r>
              <w:rPr>
                <w:rFonts w:hint="eastAsia" w:ascii="宋体" w:hAnsi="宋体"/>
                <w:color w:val="auto"/>
                <w:lang w:val="en-US" w:eastAsia="zh-CN"/>
              </w:rPr>
              <w:t>和</w:t>
            </w:r>
            <w:r>
              <w:rPr>
                <w:rFonts w:hint="eastAsia"/>
                <w:color w:val="auto"/>
                <w:lang w:val="en-US" w:eastAsia="zh-CN"/>
              </w:rPr>
              <w:t>近3个月投标人</w:t>
            </w:r>
            <w:r>
              <w:rPr>
                <w:rFonts w:hint="eastAsia" w:ascii="宋体" w:hAnsi="宋体"/>
                <w:color w:val="auto"/>
                <w:lang w:val="en-US" w:eastAsia="zh-CN"/>
              </w:rPr>
              <w:t>缴纳社保证明</w:t>
            </w:r>
            <w:r>
              <w:rPr>
                <w:rFonts w:hint="eastAsia"/>
                <w:color w:val="auto"/>
                <w:lang w:val="en-US" w:eastAsia="zh-CN"/>
              </w:rPr>
              <w:t>，</w:t>
            </w:r>
            <w:r>
              <w:t>不提供不得分。本项最高得1</w:t>
            </w:r>
            <w:r>
              <w:rPr>
                <w:rFonts w:hint="eastAsia"/>
                <w:lang w:val="en-US" w:eastAsia="zh-CN"/>
              </w:rPr>
              <w:t>2</w:t>
            </w:r>
            <w:r>
              <w:t>分。</w:t>
            </w:r>
          </w:p>
        </w:tc>
        <w:tc>
          <w:tcPr>
            <w:tcW w:w="538" w:type="pct"/>
            <w:vAlign w:val="center"/>
          </w:tcPr>
          <w:p w14:paraId="4F4B6572">
            <w:pPr>
              <w:pStyle w:val="41"/>
              <w:rPr>
                <w:rFonts w:hint="default" w:eastAsia="宋体"/>
                <w:lang w:val="en-US" w:eastAsia="zh-CN"/>
              </w:rPr>
            </w:pPr>
            <w:r>
              <w:rPr>
                <w:rFonts w:hint="eastAsia"/>
                <w:lang w:val="en-US" w:eastAsia="zh-CN"/>
              </w:rPr>
              <w:t>0-12分</w:t>
            </w:r>
          </w:p>
        </w:tc>
      </w:tr>
      <w:tr w14:paraId="356D4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66" w:type="pct"/>
            <w:vMerge w:val="continue"/>
            <w:vAlign w:val="center"/>
          </w:tcPr>
          <w:p w14:paraId="3622EB6F">
            <w:pPr>
              <w:pStyle w:val="41"/>
              <w:rPr>
                <w:rFonts w:hint="default"/>
              </w:rPr>
            </w:pPr>
          </w:p>
        </w:tc>
        <w:tc>
          <w:tcPr>
            <w:tcW w:w="781" w:type="pct"/>
            <w:vAlign w:val="center"/>
          </w:tcPr>
          <w:p w14:paraId="46CD94D6">
            <w:pPr>
              <w:pStyle w:val="43"/>
              <w:rPr>
                <w:rFonts w:hint="default"/>
              </w:rPr>
            </w:pPr>
            <w:r>
              <w:t>项目综合管理服务方案</w:t>
            </w:r>
          </w:p>
        </w:tc>
        <w:tc>
          <w:tcPr>
            <w:tcW w:w="3213" w:type="pct"/>
            <w:vAlign w:val="center"/>
          </w:tcPr>
          <w:p w14:paraId="052C8863">
            <w:pPr>
              <w:pStyle w:val="43"/>
              <w:rPr>
                <w:rFonts w:hint="default"/>
              </w:rPr>
            </w:pPr>
            <w:r>
              <w:t>管理服务内容和实施措施是否明确（0-2分）、科学（0-2分）、可行（0-2分）、合理（0-2分），质量保障是否明确（0-2分）、到位</w:t>
            </w:r>
            <w:r>
              <w:rPr>
                <w:rFonts w:hint="eastAsia"/>
                <w:lang w:val="en-US" w:eastAsia="zh-CN"/>
              </w:rPr>
              <w:t>程度</w:t>
            </w:r>
            <w:r>
              <w:t>（0-2分）等方面进行综合评分。</w:t>
            </w:r>
          </w:p>
        </w:tc>
        <w:tc>
          <w:tcPr>
            <w:tcW w:w="538" w:type="pct"/>
            <w:vAlign w:val="center"/>
          </w:tcPr>
          <w:p w14:paraId="4C6C7536">
            <w:pPr>
              <w:pStyle w:val="41"/>
              <w:rPr>
                <w:rFonts w:hint="default"/>
              </w:rPr>
            </w:pPr>
            <w:r>
              <w:t>0-</w:t>
            </w:r>
            <w:r>
              <w:rPr>
                <w:rFonts w:hint="default"/>
              </w:rPr>
              <w:t>12</w:t>
            </w:r>
            <w:r>
              <w:t>分</w:t>
            </w:r>
          </w:p>
        </w:tc>
      </w:tr>
      <w:tr w14:paraId="3AAA2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vMerge w:val="continue"/>
            <w:vAlign w:val="center"/>
          </w:tcPr>
          <w:p w14:paraId="3A068C31">
            <w:pPr>
              <w:pStyle w:val="41"/>
              <w:rPr>
                <w:rFonts w:hint="default"/>
              </w:rPr>
            </w:pPr>
          </w:p>
        </w:tc>
        <w:tc>
          <w:tcPr>
            <w:tcW w:w="781" w:type="pct"/>
            <w:vAlign w:val="center"/>
          </w:tcPr>
          <w:p w14:paraId="22F8FD69">
            <w:pPr>
              <w:pStyle w:val="43"/>
              <w:rPr>
                <w:rFonts w:hint="default"/>
              </w:rPr>
            </w:pPr>
            <w:r>
              <w:t>项目理解</w:t>
            </w:r>
          </w:p>
        </w:tc>
        <w:tc>
          <w:tcPr>
            <w:tcW w:w="3213" w:type="pct"/>
            <w:vAlign w:val="center"/>
          </w:tcPr>
          <w:p w14:paraId="1416D9E9">
            <w:pPr>
              <w:pStyle w:val="43"/>
              <w:rPr>
                <w:rFonts w:hint="default"/>
              </w:rPr>
            </w:pPr>
            <w:r>
              <w:t>投标人对本项目工作情况及现状（0-3分），对项目需求的理解程度（0-2分）、对工作重点分析的准确性（0-2分）、全面性（0-2分）等方面进行综合评分。</w:t>
            </w:r>
          </w:p>
        </w:tc>
        <w:tc>
          <w:tcPr>
            <w:tcW w:w="538" w:type="pct"/>
            <w:vAlign w:val="center"/>
          </w:tcPr>
          <w:p w14:paraId="169417E0">
            <w:pPr>
              <w:pStyle w:val="41"/>
              <w:rPr>
                <w:rFonts w:hint="default"/>
              </w:rPr>
            </w:pPr>
            <w:r>
              <w:t>0-9分</w:t>
            </w:r>
          </w:p>
        </w:tc>
      </w:tr>
      <w:tr w14:paraId="0B42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vMerge w:val="continue"/>
            <w:vAlign w:val="center"/>
          </w:tcPr>
          <w:p w14:paraId="384F39D7">
            <w:pPr>
              <w:pStyle w:val="41"/>
              <w:rPr>
                <w:rFonts w:hint="default"/>
              </w:rPr>
            </w:pPr>
          </w:p>
        </w:tc>
        <w:tc>
          <w:tcPr>
            <w:tcW w:w="781" w:type="pct"/>
            <w:vAlign w:val="center"/>
          </w:tcPr>
          <w:p w14:paraId="1277AA04">
            <w:pPr>
              <w:pStyle w:val="41"/>
              <w:ind w:firstLine="0" w:firstLineChars="0"/>
              <w:rPr>
                <w:rFonts w:hint="eastAsia" w:ascii="宋体" w:hAnsi="宋体" w:eastAsia="宋体" w:cs="宋体"/>
                <w:bCs/>
                <w:kern w:val="2"/>
                <w:sz w:val="24"/>
                <w:szCs w:val="24"/>
                <w:lang w:val="en-US" w:eastAsia="zh-CN" w:bidi="ar-SA"/>
              </w:rPr>
            </w:pPr>
            <w:r>
              <w:t>服务计划</w:t>
            </w:r>
          </w:p>
        </w:tc>
        <w:tc>
          <w:tcPr>
            <w:tcW w:w="3213" w:type="pct"/>
            <w:vAlign w:val="center"/>
          </w:tcPr>
          <w:p w14:paraId="6FDE4B87">
            <w:pPr>
              <w:pStyle w:val="41"/>
              <w:ind w:firstLine="0" w:firstLineChars="0"/>
              <w:rPr>
                <w:rFonts w:hint="eastAsia" w:ascii="宋体" w:hAnsi="宋体" w:eastAsia="宋体" w:cs="宋体"/>
                <w:bCs/>
                <w:kern w:val="2"/>
                <w:sz w:val="24"/>
                <w:szCs w:val="24"/>
                <w:lang w:val="en-US" w:eastAsia="zh-CN" w:bidi="ar-SA"/>
              </w:rPr>
            </w:pPr>
            <w:r>
              <w:t>根据供应商提供的服务计划，对项目的工作特点的认知（0-2分）和提供的服务思路清晰（0-2分），有利于本项目的顺利实施，程序合理性（0-2分），可操作性（0-2分）等方面进行综合评分。</w:t>
            </w:r>
          </w:p>
        </w:tc>
        <w:tc>
          <w:tcPr>
            <w:tcW w:w="538" w:type="pct"/>
            <w:vAlign w:val="center"/>
          </w:tcPr>
          <w:p w14:paraId="163B21DC">
            <w:pPr>
              <w:pStyle w:val="41"/>
              <w:ind w:firstLine="0" w:firstLineChars="0"/>
              <w:rPr>
                <w:rFonts w:hint="default" w:ascii="宋体" w:hAnsi="宋体" w:eastAsia="宋体" w:cs="宋体"/>
                <w:bCs/>
                <w:kern w:val="2"/>
                <w:sz w:val="24"/>
                <w:szCs w:val="24"/>
                <w:lang w:val="en-US" w:eastAsia="zh-CN" w:bidi="ar-SA"/>
              </w:rPr>
            </w:pPr>
            <w:r>
              <w:rPr>
                <w:rFonts w:hint="eastAsia"/>
                <w:lang w:val="en-US" w:eastAsia="zh-CN"/>
              </w:rPr>
              <w:t>0-8分</w:t>
            </w:r>
          </w:p>
        </w:tc>
      </w:tr>
      <w:tr w14:paraId="0460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vMerge w:val="continue"/>
            <w:vAlign w:val="center"/>
          </w:tcPr>
          <w:p w14:paraId="035E71DA">
            <w:pPr>
              <w:pStyle w:val="41"/>
              <w:rPr>
                <w:rFonts w:hint="default"/>
              </w:rPr>
            </w:pPr>
          </w:p>
        </w:tc>
        <w:tc>
          <w:tcPr>
            <w:tcW w:w="781" w:type="pct"/>
            <w:vMerge w:val="restart"/>
            <w:vAlign w:val="center"/>
          </w:tcPr>
          <w:p w14:paraId="1590C27D">
            <w:pPr>
              <w:pStyle w:val="41"/>
              <w:ind w:firstLine="0" w:firstLineChars="0"/>
            </w:pPr>
            <w:r>
              <w:rPr>
                <w:rFonts w:hint="eastAsia"/>
              </w:rPr>
              <w:t>内部管理</w:t>
            </w:r>
          </w:p>
        </w:tc>
        <w:tc>
          <w:tcPr>
            <w:tcW w:w="3213" w:type="pct"/>
            <w:vAlign w:val="center"/>
          </w:tcPr>
          <w:p w14:paraId="3B97F58B">
            <w:pPr>
              <w:pStyle w:val="41"/>
              <w:ind w:firstLine="0" w:firstLineChars="0"/>
            </w:pPr>
            <w:r>
              <w:rPr>
                <w:rFonts w:hint="eastAsia"/>
              </w:rPr>
              <w:t>管理人员的培训：对各类人员的培训计划</w:t>
            </w:r>
            <w:r>
              <w:t>（0-2分）</w:t>
            </w:r>
            <w:r>
              <w:rPr>
                <w:rFonts w:hint="eastAsia"/>
              </w:rPr>
              <w:t>、方式</w:t>
            </w:r>
            <w:r>
              <w:t>（0-2分）</w:t>
            </w:r>
            <w:r>
              <w:rPr>
                <w:rFonts w:hint="eastAsia"/>
              </w:rPr>
              <w:t>、目标</w:t>
            </w:r>
            <w:r>
              <w:t>（0-2分）</w:t>
            </w:r>
            <w:r>
              <w:rPr>
                <w:rFonts w:hint="eastAsia"/>
              </w:rPr>
              <w:t>及行为规范的培训</w:t>
            </w:r>
            <w:r>
              <w:t>（0-2分）等方面进行综合评分</w:t>
            </w:r>
            <w:r>
              <w:rPr>
                <w:rFonts w:hint="eastAsia"/>
              </w:rPr>
              <w:t>。</w:t>
            </w:r>
          </w:p>
        </w:tc>
        <w:tc>
          <w:tcPr>
            <w:tcW w:w="538" w:type="pct"/>
            <w:vAlign w:val="center"/>
          </w:tcPr>
          <w:p w14:paraId="20BAFCCB">
            <w:pPr>
              <w:pStyle w:val="41"/>
              <w:rPr>
                <w:rFonts w:hint="default" w:eastAsia="宋体"/>
                <w:lang w:val="en-US" w:eastAsia="zh-CN"/>
              </w:rPr>
            </w:pPr>
            <w:r>
              <w:rPr>
                <w:rFonts w:hint="eastAsia"/>
                <w:lang w:val="en-US" w:eastAsia="zh-CN"/>
              </w:rPr>
              <w:t>0-8分</w:t>
            </w:r>
          </w:p>
        </w:tc>
      </w:tr>
      <w:tr w14:paraId="071A5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vMerge w:val="continue"/>
            <w:vAlign w:val="center"/>
          </w:tcPr>
          <w:p w14:paraId="641659BB">
            <w:pPr>
              <w:pStyle w:val="41"/>
              <w:rPr>
                <w:rFonts w:hint="default"/>
              </w:rPr>
            </w:pPr>
          </w:p>
        </w:tc>
        <w:tc>
          <w:tcPr>
            <w:tcW w:w="781" w:type="pct"/>
            <w:vMerge w:val="continue"/>
            <w:vAlign w:val="center"/>
          </w:tcPr>
          <w:p w14:paraId="45027C7E">
            <w:pPr>
              <w:pStyle w:val="41"/>
              <w:rPr>
                <w:rFonts w:hint="eastAsia"/>
                <w:lang w:val="en-US" w:eastAsia="zh-CN"/>
              </w:rPr>
            </w:pPr>
          </w:p>
        </w:tc>
        <w:tc>
          <w:tcPr>
            <w:tcW w:w="3213" w:type="pct"/>
            <w:vAlign w:val="center"/>
          </w:tcPr>
          <w:p w14:paraId="4B80A670">
            <w:pPr>
              <w:pStyle w:val="41"/>
              <w:rPr>
                <w:rFonts w:hint="eastAsia"/>
              </w:rPr>
            </w:pPr>
            <w:r>
              <w:rPr>
                <w:rFonts w:hint="eastAsia"/>
              </w:rPr>
              <w:t>管理人员的管理：录用与考核</w:t>
            </w:r>
            <w:r>
              <w:t>（0-2分）</w:t>
            </w:r>
            <w:r>
              <w:rPr>
                <w:rFonts w:hint="eastAsia"/>
              </w:rPr>
              <w:t>、淘汰机制</w:t>
            </w:r>
            <w:r>
              <w:t>（0-2分）</w:t>
            </w:r>
            <w:r>
              <w:rPr>
                <w:rFonts w:hint="eastAsia"/>
              </w:rPr>
              <w:t>、奖罚</w:t>
            </w:r>
            <w:r>
              <w:t>（0-2分）</w:t>
            </w:r>
            <w:r>
              <w:rPr>
                <w:rFonts w:hint="eastAsia"/>
              </w:rPr>
              <w:t>、协调关系</w:t>
            </w:r>
            <w:r>
              <w:t>（0-2分）</w:t>
            </w:r>
            <w:r>
              <w:rPr>
                <w:rFonts w:hint="eastAsia"/>
              </w:rPr>
              <w:t>、服务意识</w:t>
            </w:r>
            <w:r>
              <w:t>（0-2分）等方面进行综合评分</w:t>
            </w:r>
            <w:r>
              <w:rPr>
                <w:rFonts w:hint="eastAsia"/>
              </w:rPr>
              <w:t>。</w:t>
            </w:r>
          </w:p>
        </w:tc>
        <w:tc>
          <w:tcPr>
            <w:tcW w:w="538" w:type="pct"/>
            <w:vAlign w:val="center"/>
          </w:tcPr>
          <w:p w14:paraId="7B4FC33D">
            <w:pPr>
              <w:pStyle w:val="41"/>
              <w:rPr>
                <w:rFonts w:hint="default"/>
                <w:lang w:val="en-US" w:eastAsia="zh-CN"/>
              </w:rPr>
            </w:pPr>
            <w:r>
              <w:rPr>
                <w:rFonts w:hint="eastAsia"/>
                <w:lang w:val="en-US" w:eastAsia="zh-CN"/>
              </w:rPr>
              <w:t>0-10分</w:t>
            </w:r>
          </w:p>
        </w:tc>
      </w:tr>
      <w:tr w14:paraId="1294A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vMerge w:val="continue"/>
            <w:vAlign w:val="center"/>
          </w:tcPr>
          <w:p w14:paraId="6E9603D0">
            <w:pPr>
              <w:pStyle w:val="41"/>
              <w:rPr>
                <w:rFonts w:hint="default"/>
              </w:rPr>
            </w:pPr>
          </w:p>
        </w:tc>
        <w:tc>
          <w:tcPr>
            <w:tcW w:w="781" w:type="pct"/>
            <w:vAlign w:val="center"/>
          </w:tcPr>
          <w:p w14:paraId="47DDB9A1">
            <w:pPr>
              <w:pStyle w:val="41"/>
            </w:pPr>
            <w:r>
              <w:rPr>
                <w:rFonts w:hint="eastAsia"/>
                <w:lang w:val="en-US" w:eastAsia="zh-CN"/>
              </w:rPr>
              <w:t>应急</w:t>
            </w:r>
            <w:r>
              <w:rPr>
                <w:rFonts w:hint="eastAsia"/>
              </w:rPr>
              <w:t>预案</w:t>
            </w:r>
          </w:p>
        </w:tc>
        <w:tc>
          <w:tcPr>
            <w:tcW w:w="3213" w:type="pct"/>
            <w:vAlign w:val="center"/>
          </w:tcPr>
          <w:p w14:paraId="0F95B95A">
            <w:pPr>
              <w:pStyle w:val="41"/>
            </w:pPr>
            <w:r>
              <w:rPr>
                <w:rFonts w:hint="eastAsia"/>
              </w:rPr>
              <w:t>针对本项目突发事件所需的应急响应措施方案，对方案的全面科学性</w:t>
            </w:r>
            <w:r>
              <w:t>（0-2分）</w:t>
            </w:r>
            <w:r>
              <w:rPr>
                <w:rFonts w:hint="eastAsia"/>
              </w:rPr>
              <w:t>、实际适用</w:t>
            </w:r>
            <w:r>
              <w:t>（0-2分）</w:t>
            </w:r>
            <w:r>
              <w:rPr>
                <w:rFonts w:hint="eastAsia"/>
              </w:rPr>
              <w:t>，措施有力</w:t>
            </w:r>
            <w:r>
              <w:t>（0-2分）</w:t>
            </w:r>
            <w:r>
              <w:rPr>
                <w:rFonts w:hint="eastAsia"/>
              </w:rPr>
              <w:t>，针对性强</w:t>
            </w:r>
            <w:r>
              <w:t>（0-2分）</w:t>
            </w:r>
            <w:r>
              <w:rPr>
                <w:rFonts w:hint="eastAsia"/>
              </w:rPr>
              <w:t>，具有特色</w:t>
            </w:r>
            <w:r>
              <w:t>（0-2分）等方面进行综合评分</w:t>
            </w:r>
            <w:r>
              <w:rPr>
                <w:rFonts w:hint="eastAsia"/>
              </w:rPr>
              <w:t>。</w:t>
            </w:r>
          </w:p>
        </w:tc>
        <w:tc>
          <w:tcPr>
            <w:tcW w:w="538" w:type="pct"/>
            <w:vAlign w:val="center"/>
          </w:tcPr>
          <w:p w14:paraId="7BD3C317">
            <w:pPr>
              <w:pStyle w:val="41"/>
              <w:rPr>
                <w:rFonts w:hint="default" w:eastAsia="宋体"/>
                <w:lang w:val="en-US" w:eastAsia="zh-CN"/>
              </w:rPr>
            </w:pPr>
            <w:r>
              <w:rPr>
                <w:rFonts w:hint="eastAsia"/>
                <w:lang w:val="en-US" w:eastAsia="zh-CN"/>
              </w:rPr>
              <w:t>0-10分</w:t>
            </w:r>
          </w:p>
        </w:tc>
      </w:tr>
      <w:tr w14:paraId="0A73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vMerge w:val="continue"/>
            <w:vAlign w:val="center"/>
          </w:tcPr>
          <w:p w14:paraId="79E10642">
            <w:pPr>
              <w:pStyle w:val="41"/>
              <w:rPr>
                <w:rFonts w:hint="default"/>
              </w:rPr>
            </w:pPr>
          </w:p>
        </w:tc>
        <w:tc>
          <w:tcPr>
            <w:tcW w:w="781" w:type="pct"/>
            <w:vAlign w:val="center"/>
          </w:tcPr>
          <w:p w14:paraId="46C4405A">
            <w:pPr>
              <w:pStyle w:val="41"/>
              <w:ind w:firstLine="0" w:firstLineChars="0"/>
              <w:rPr>
                <w:rFonts w:hint="eastAsia" w:ascii="宋体" w:hAnsi="宋体" w:eastAsia="宋体" w:cs="宋体"/>
                <w:bCs/>
                <w:kern w:val="2"/>
                <w:sz w:val="24"/>
                <w:szCs w:val="24"/>
                <w:lang w:val="en-US" w:eastAsia="zh-CN" w:bidi="ar-SA"/>
              </w:rPr>
            </w:pPr>
            <w:r>
              <w:t>合理化建议</w:t>
            </w:r>
          </w:p>
        </w:tc>
        <w:tc>
          <w:tcPr>
            <w:tcW w:w="3213" w:type="pct"/>
            <w:vAlign w:val="center"/>
          </w:tcPr>
          <w:p w14:paraId="28AF1775">
            <w:pPr>
              <w:pStyle w:val="41"/>
              <w:ind w:firstLine="0" w:firstLineChars="0"/>
              <w:rPr>
                <w:rFonts w:hint="eastAsia" w:ascii="宋体" w:hAnsi="宋体" w:eastAsia="宋体" w:cs="宋体"/>
                <w:bCs/>
                <w:kern w:val="2"/>
                <w:sz w:val="24"/>
                <w:szCs w:val="24"/>
                <w:lang w:val="en-US" w:eastAsia="zh-CN" w:bidi="ar-SA"/>
              </w:rPr>
            </w:pPr>
            <w:r>
              <w:t>根据投标人对本项目需求的理解以及对各个岗位的人员的配备（含分工（0-</w:t>
            </w:r>
            <w:r>
              <w:rPr>
                <w:rFonts w:hint="eastAsia"/>
                <w:lang w:val="en-US" w:eastAsia="zh-CN"/>
              </w:rPr>
              <w:t>3</w:t>
            </w:r>
            <w:r>
              <w:t>分）、上岗培训（0-</w:t>
            </w:r>
            <w:r>
              <w:rPr>
                <w:rFonts w:hint="eastAsia"/>
                <w:lang w:val="en-US" w:eastAsia="zh-CN"/>
              </w:rPr>
              <w:t>3</w:t>
            </w:r>
            <w:r>
              <w:t>分）、员工稳定性（0-</w:t>
            </w:r>
            <w:r>
              <w:rPr>
                <w:rFonts w:hint="eastAsia"/>
                <w:lang w:val="en-US" w:eastAsia="zh-CN"/>
              </w:rPr>
              <w:t>3</w:t>
            </w:r>
            <w:r>
              <w:t>分）等）提出的合理化建议，专家根据其合理性、可行性酌情打分。</w:t>
            </w:r>
          </w:p>
        </w:tc>
        <w:tc>
          <w:tcPr>
            <w:tcW w:w="538" w:type="pct"/>
            <w:vAlign w:val="center"/>
          </w:tcPr>
          <w:p w14:paraId="2879D51F">
            <w:pPr>
              <w:pStyle w:val="41"/>
              <w:ind w:firstLine="0" w:firstLineChars="0"/>
              <w:rPr>
                <w:rFonts w:hint="default" w:ascii="宋体" w:hAnsi="宋体" w:eastAsia="宋体" w:cs="宋体"/>
                <w:bCs/>
                <w:kern w:val="2"/>
                <w:sz w:val="24"/>
                <w:szCs w:val="24"/>
                <w:lang w:val="en-US" w:eastAsia="zh-CN" w:bidi="ar-SA"/>
              </w:rPr>
            </w:pPr>
            <w:r>
              <w:t>0-</w:t>
            </w:r>
            <w:r>
              <w:rPr>
                <w:rFonts w:hint="eastAsia"/>
                <w:lang w:val="en-US" w:eastAsia="zh-CN"/>
              </w:rPr>
              <w:t>9</w:t>
            </w:r>
            <w:r>
              <w:t>分</w:t>
            </w:r>
          </w:p>
        </w:tc>
      </w:tr>
      <w:tr w14:paraId="2A0E8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vMerge w:val="continue"/>
            <w:vAlign w:val="center"/>
          </w:tcPr>
          <w:p w14:paraId="3D597AFB">
            <w:pPr>
              <w:pStyle w:val="41"/>
              <w:rPr>
                <w:rFonts w:hint="default"/>
              </w:rPr>
            </w:pPr>
          </w:p>
        </w:tc>
        <w:tc>
          <w:tcPr>
            <w:tcW w:w="781" w:type="pct"/>
            <w:vAlign w:val="center"/>
          </w:tcPr>
          <w:p w14:paraId="5C1CFAFA">
            <w:pPr>
              <w:pStyle w:val="41"/>
            </w:pPr>
            <w:r>
              <w:rPr>
                <w:rFonts w:hint="eastAsia"/>
              </w:rPr>
              <w:t>服务质量承诺</w:t>
            </w:r>
          </w:p>
        </w:tc>
        <w:tc>
          <w:tcPr>
            <w:tcW w:w="3213" w:type="pct"/>
            <w:vAlign w:val="center"/>
          </w:tcPr>
          <w:p w14:paraId="4B5EF514">
            <w:pPr>
              <w:pStyle w:val="41"/>
            </w:pPr>
            <w:r>
              <w:rPr>
                <w:rFonts w:hint="eastAsia"/>
              </w:rPr>
              <w:t>根据服务质量、管理保证措施及服务承诺，措施可行性</w:t>
            </w:r>
            <w:r>
              <w:t>（0-</w:t>
            </w:r>
            <w:r>
              <w:rPr>
                <w:rFonts w:hint="eastAsia"/>
                <w:lang w:val="en-US" w:eastAsia="zh-CN"/>
              </w:rPr>
              <w:t>4</w:t>
            </w:r>
            <w:r>
              <w:t>分）</w:t>
            </w:r>
            <w:r>
              <w:rPr>
                <w:rFonts w:hint="eastAsia"/>
              </w:rPr>
              <w:t>、内容完善</w:t>
            </w:r>
            <w:r>
              <w:t>（0-</w:t>
            </w:r>
            <w:r>
              <w:rPr>
                <w:rFonts w:hint="eastAsia"/>
                <w:lang w:val="en-US" w:eastAsia="zh-CN"/>
              </w:rPr>
              <w:t>4</w:t>
            </w:r>
            <w:r>
              <w:t>分）等方面进行综合评分</w:t>
            </w:r>
            <w:r>
              <w:rPr>
                <w:rFonts w:hint="eastAsia"/>
              </w:rPr>
              <w:t>。</w:t>
            </w:r>
          </w:p>
        </w:tc>
        <w:tc>
          <w:tcPr>
            <w:tcW w:w="538" w:type="pct"/>
            <w:vAlign w:val="center"/>
          </w:tcPr>
          <w:p w14:paraId="353F25ED">
            <w:pPr>
              <w:pStyle w:val="41"/>
              <w:rPr>
                <w:rFonts w:hint="default" w:eastAsia="宋体"/>
                <w:lang w:val="en-US" w:eastAsia="zh-CN"/>
              </w:rPr>
            </w:pPr>
            <w:r>
              <w:rPr>
                <w:rFonts w:hint="eastAsia"/>
                <w:lang w:val="en-US" w:eastAsia="zh-CN"/>
              </w:rPr>
              <w:t>0-8分</w:t>
            </w:r>
          </w:p>
        </w:tc>
      </w:tr>
    </w:tbl>
    <w:p w14:paraId="5F334ADF">
      <w:pPr>
        <w:pStyle w:val="10"/>
      </w:pPr>
      <w:bookmarkStart w:id="476" w:name="_Toc15150"/>
      <w:r>
        <w:t>十一、响应或成交无效情形</w:t>
      </w:r>
      <w:bookmarkEnd w:id="469"/>
      <w:bookmarkEnd w:id="470"/>
      <w:bookmarkEnd w:id="471"/>
      <w:bookmarkEnd w:id="472"/>
      <w:bookmarkEnd w:id="473"/>
      <w:bookmarkEnd w:id="474"/>
      <w:bookmarkEnd w:id="475"/>
      <w:bookmarkEnd w:id="476"/>
    </w:p>
    <w:p w14:paraId="009D3F73">
      <w:pPr>
        <w:ind w:firstLine="480"/>
      </w:pPr>
      <w:r>
        <w:t>有下列情形之一的，响应或成交无效</w:t>
      </w:r>
    </w:p>
    <w:p w14:paraId="32C9EF10">
      <w:pPr>
        <w:ind w:firstLine="480"/>
      </w:pPr>
      <w:r>
        <w:t>1.不符合本次采购供应商资格要求的。</w:t>
      </w:r>
    </w:p>
    <w:p w14:paraId="2A2AD9D6">
      <w:pPr>
        <w:ind w:firstLine="480"/>
      </w:pPr>
      <w:r>
        <w:t>2.提供虚假材料及证明文件的。</w:t>
      </w:r>
    </w:p>
    <w:p w14:paraId="546FCA7F">
      <w:pPr>
        <w:bidi w:val="0"/>
      </w:pPr>
      <w:r>
        <w:t>3.磋商报价高于最高限价的。</w:t>
      </w:r>
    </w:p>
    <w:p w14:paraId="1363CF16">
      <w:pPr>
        <w:bidi w:val="0"/>
      </w:pPr>
      <w:r>
        <w:t>4.本磋商文件是载明属无效处理情形的。</w:t>
      </w:r>
    </w:p>
    <w:p w14:paraId="174541E0">
      <w:pPr>
        <w:bidi w:val="0"/>
      </w:pPr>
      <w:r>
        <w:t>5.响应文件含有采购人不能接受的附加条件的。</w:t>
      </w:r>
    </w:p>
    <w:p w14:paraId="4F97B57E">
      <w:pPr>
        <w:bidi w:val="0"/>
      </w:pPr>
      <w:r>
        <w:t>6.成交供应商无正当理由拖延或者不与采购人签订采购合同的。</w:t>
      </w:r>
    </w:p>
    <w:p w14:paraId="2A78FDF0">
      <w:pPr>
        <w:bidi w:val="0"/>
      </w:pPr>
      <w:r>
        <w:t>7.本磋商文件提出要求响应而未响应实质性条款（带▲号）的，或</w:t>
      </w:r>
      <w:r>
        <w:rPr>
          <w:rFonts w:hint="eastAsia"/>
        </w:rPr>
        <w:t>磋商小组</w:t>
      </w:r>
      <w:r>
        <w:t>认定有重大偏离或保留的。</w:t>
      </w:r>
    </w:p>
    <w:p w14:paraId="036E98AA">
      <w:pPr>
        <w:bidi w:val="0"/>
      </w:pPr>
      <w:r>
        <w:t>8.</w:t>
      </w:r>
      <w:r>
        <w:rPr>
          <w:rFonts w:hint="eastAsia"/>
        </w:rPr>
        <w:t>磋商小组</w:t>
      </w:r>
      <w:r>
        <w:t>认为供应商的报价明显低于其他通过符合性审查供应商的报价，有可能影响产品质量或者不能诚信履约，供应商不能证明其报价合理性的。</w:t>
      </w:r>
    </w:p>
    <w:p w14:paraId="473E3B9D">
      <w:pPr>
        <w:bidi w:val="0"/>
        <w:rPr>
          <w:rFonts w:hint="eastAsia"/>
          <w:lang w:val="en-US" w:eastAsia="zh-CN"/>
        </w:rPr>
      </w:pPr>
      <w:r>
        <w:rPr>
          <w:rFonts w:hint="eastAsia"/>
          <w:lang w:val="en-US" w:eastAsia="zh-CN"/>
        </w:rPr>
        <w:t>9.</w:t>
      </w:r>
      <w:r>
        <w:rPr>
          <w:rFonts w:hint="eastAsia"/>
          <w:b/>
          <w:bCs/>
          <w:lang w:val="en-US" w:eastAsia="zh-CN"/>
        </w:rPr>
        <w:t>《技术资信评分汇总表》得分低于资信技术总分60%。</w:t>
      </w:r>
    </w:p>
    <w:p w14:paraId="604C5C28">
      <w:pPr>
        <w:bidi w:val="0"/>
        <w:rPr>
          <w:rFonts w:hint="default"/>
          <w:lang w:val="en-US" w:eastAsia="zh-CN"/>
        </w:rPr>
      </w:pPr>
      <w:r>
        <w:rPr>
          <w:rFonts w:hint="eastAsia"/>
          <w:lang w:val="en-US" w:eastAsia="zh-CN"/>
        </w:rPr>
        <w:t>10.</w:t>
      </w:r>
      <w:r>
        <w:rPr>
          <w:rFonts w:hint="eastAsia"/>
          <w:b/>
          <w:bCs/>
          <w:lang w:val="en-US" w:eastAsia="zh-CN"/>
        </w:rPr>
        <w:t>政采云系统显示：MAC地址相同、计算机硬盘序列号相同、投标文件细节错误一致且无合理解释的。</w:t>
      </w:r>
    </w:p>
    <w:p w14:paraId="2103B265">
      <w:pPr>
        <w:bidi w:val="0"/>
        <w:rPr>
          <w:rFonts w:ascii="宋体" w:hAnsi="宋体"/>
          <w:szCs w:val="21"/>
        </w:rPr>
      </w:pPr>
      <w:r>
        <w:rPr>
          <w:rFonts w:hint="eastAsia"/>
          <w:lang w:val="en-US" w:eastAsia="zh-CN"/>
        </w:rPr>
        <w:t>11</w:t>
      </w:r>
      <w:r>
        <w:t>.不符合</w:t>
      </w:r>
      <w:r>
        <w:rPr>
          <w:rFonts w:hint="eastAsia"/>
        </w:rPr>
        <w:t>法律法规</w:t>
      </w:r>
      <w:r>
        <w:t>和磋商文件规定的其他实质性要求和无效情形的。</w:t>
      </w:r>
    </w:p>
    <w:p w14:paraId="6630850C">
      <w:pPr>
        <w:pStyle w:val="10"/>
      </w:pPr>
      <w:bookmarkStart w:id="477" w:name="_Toc28199"/>
      <w:bookmarkStart w:id="478" w:name="_Toc20175"/>
      <w:bookmarkStart w:id="479" w:name="_Toc10638"/>
      <w:bookmarkStart w:id="480" w:name="_Toc22879"/>
      <w:bookmarkStart w:id="481" w:name="_Toc31285"/>
      <w:bookmarkStart w:id="482" w:name="_Toc12954"/>
      <w:bookmarkStart w:id="483" w:name="_Toc30391"/>
      <w:bookmarkStart w:id="484" w:name="_Toc29675"/>
      <w:r>
        <w:t>十二、串通磋商情形</w:t>
      </w:r>
      <w:bookmarkEnd w:id="477"/>
      <w:bookmarkEnd w:id="478"/>
      <w:bookmarkEnd w:id="479"/>
      <w:bookmarkEnd w:id="480"/>
      <w:bookmarkEnd w:id="481"/>
      <w:bookmarkEnd w:id="482"/>
      <w:bookmarkEnd w:id="483"/>
      <w:bookmarkEnd w:id="484"/>
    </w:p>
    <w:p w14:paraId="7826B3DB">
      <w:pPr>
        <w:ind w:firstLine="480"/>
      </w:pPr>
      <w:r>
        <w:t>磋商过程中，有下列情形之一的，属串通行为，其响应无效：</w:t>
      </w:r>
    </w:p>
    <w:p w14:paraId="4104A61D">
      <w:pPr>
        <w:ind w:firstLine="480"/>
      </w:pPr>
      <w:r>
        <w:t>1.不同供应商的响应文件由同一单位或者个人编制；</w:t>
      </w:r>
    </w:p>
    <w:p w14:paraId="27C2E637">
      <w:pPr>
        <w:ind w:firstLine="480"/>
      </w:pPr>
      <w:r>
        <w:t>2.不同供应商委托同一单位或者个人办理磋商活动事宜；</w:t>
      </w:r>
    </w:p>
    <w:p w14:paraId="1ED01EB5">
      <w:pPr>
        <w:ind w:firstLine="480"/>
      </w:pPr>
      <w:r>
        <w:t>3.不同供应商的响应文件载明的项目管理成员或者联系人员为同一人；</w:t>
      </w:r>
    </w:p>
    <w:p w14:paraId="7082A139">
      <w:pPr>
        <w:ind w:firstLine="480"/>
      </w:pPr>
      <w:r>
        <w:t>4.不同供应商的响应文件异常一致或者磋商报价呈规律性差异；</w:t>
      </w:r>
    </w:p>
    <w:p w14:paraId="356AB3AE">
      <w:pPr>
        <w:ind w:firstLine="480"/>
        <w:rPr>
          <w:rFonts w:ascii="宋体" w:hAnsi="宋体"/>
          <w:szCs w:val="21"/>
        </w:rPr>
      </w:pPr>
      <w:r>
        <w:t>5.不同供应商的响应文件相互混装。</w:t>
      </w:r>
    </w:p>
    <w:p w14:paraId="71F2AFCC">
      <w:pPr>
        <w:pStyle w:val="10"/>
      </w:pPr>
      <w:bookmarkStart w:id="485" w:name="_Toc7562"/>
      <w:bookmarkStart w:id="486" w:name="_Toc17466"/>
      <w:bookmarkStart w:id="487" w:name="_Toc31161"/>
      <w:bookmarkStart w:id="488" w:name="_Toc17627"/>
      <w:bookmarkStart w:id="489" w:name="_Toc21860"/>
      <w:bookmarkStart w:id="490" w:name="_Toc30642"/>
      <w:bookmarkStart w:id="491" w:name="_Toc28363"/>
      <w:bookmarkStart w:id="492" w:name="_Toc29942"/>
      <w:r>
        <w:t>十三、终止磋商采购活动情形</w:t>
      </w:r>
      <w:bookmarkEnd w:id="485"/>
      <w:bookmarkEnd w:id="486"/>
      <w:bookmarkEnd w:id="487"/>
      <w:bookmarkEnd w:id="488"/>
      <w:bookmarkEnd w:id="489"/>
      <w:bookmarkEnd w:id="490"/>
      <w:bookmarkEnd w:id="491"/>
      <w:bookmarkEnd w:id="492"/>
    </w:p>
    <w:p w14:paraId="559A114D">
      <w:pPr>
        <w:ind w:firstLine="480"/>
      </w:pPr>
      <w:r>
        <w:t>出现下列情形之一的，采购人或者采购代理机构应当终止竞争性磋商采购活动，发布项目终止公告并说明原因，重新开展采购活动：</w:t>
      </w:r>
    </w:p>
    <w:p w14:paraId="238F69D4">
      <w:pPr>
        <w:ind w:firstLine="480"/>
      </w:pPr>
      <w:r>
        <w:t>1.因情况变化，不再符合规定的竞争性磋商采购方式适用情形的；</w:t>
      </w:r>
    </w:p>
    <w:p w14:paraId="15B1BB10">
      <w:pPr>
        <w:ind w:firstLine="480"/>
      </w:pPr>
      <w:r>
        <w:t>2.出现影响采购公正的违法、违规行为的；</w:t>
      </w:r>
    </w:p>
    <w:p w14:paraId="16F1D98D">
      <w:pPr>
        <w:ind w:firstLine="480"/>
      </w:pPr>
      <w:r>
        <w:rPr>
          <w:rFonts w:hint="eastAsia"/>
        </w:rPr>
        <w:t>3</w:t>
      </w:r>
      <w:r>
        <w:t>.因重大变故，采购任务取消的。</w:t>
      </w:r>
    </w:p>
    <w:p w14:paraId="0262D5A5">
      <w:pPr>
        <w:widowControl/>
        <w:spacing w:line="240" w:lineRule="auto"/>
        <w:ind w:firstLine="0" w:firstLineChars="0"/>
        <w:jc w:val="left"/>
      </w:pPr>
    </w:p>
    <w:p w14:paraId="7F8C0BDA">
      <w:pPr>
        <w:widowControl/>
        <w:spacing w:line="240" w:lineRule="auto"/>
        <w:ind w:firstLine="0" w:firstLineChars="0"/>
        <w:jc w:val="left"/>
        <w:rPr>
          <w:b/>
          <w:sz w:val="44"/>
          <w:szCs w:val="20"/>
        </w:rPr>
      </w:pPr>
      <w:r>
        <w:br w:type="page"/>
      </w:r>
    </w:p>
    <w:p w14:paraId="53D717C3">
      <w:pPr>
        <w:ind w:firstLine="480"/>
      </w:pPr>
    </w:p>
    <w:p w14:paraId="6C7B8F4B">
      <w:pPr>
        <w:pStyle w:val="9"/>
      </w:pPr>
      <w:bookmarkStart w:id="493" w:name="_Toc29015"/>
      <w:bookmarkStart w:id="494" w:name="_Toc16266"/>
      <w:bookmarkStart w:id="495" w:name="_Toc32495"/>
      <w:bookmarkStart w:id="496" w:name="_Toc1588"/>
      <w:bookmarkStart w:id="497" w:name="_Toc29199"/>
      <w:bookmarkStart w:id="498" w:name="_Toc1983"/>
      <w:bookmarkStart w:id="499" w:name="_Toc18642"/>
      <w:bookmarkStart w:id="500" w:name="_Toc18562"/>
      <w:r>
        <w:t>第</w:t>
      </w:r>
      <w:r>
        <w:rPr>
          <w:rFonts w:hint="eastAsia"/>
        </w:rPr>
        <w:t>七</w:t>
      </w:r>
      <w:r>
        <w:t>章</w:t>
      </w:r>
      <w:r>
        <w:rPr>
          <w:rFonts w:hint="eastAsia"/>
        </w:rPr>
        <w:t xml:space="preserve">  </w:t>
      </w:r>
      <w:r>
        <w:rPr>
          <w:rFonts w:hint="eastAsia"/>
          <w:lang w:val="en-US" w:eastAsia="zh-CN"/>
        </w:rPr>
        <w:t>响应</w:t>
      </w:r>
      <w:r>
        <w:rPr>
          <w:rFonts w:hint="eastAsia"/>
        </w:rPr>
        <w:t>文件格式</w:t>
      </w:r>
      <w:bookmarkEnd w:id="493"/>
      <w:bookmarkEnd w:id="494"/>
      <w:bookmarkEnd w:id="495"/>
      <w:bookmarkEnd w:id="496"/>
      <w:bookmarkEnd w:id="497"/>
      <w:bookmarkEnd w:id="498"/>
      <w:bookmarkEnd w:id="499"/>
      <w:bookmarkEnd w:id="500"/>
    </w:p>
    <w:p w14:paraId="33C06BD0">
      <w:pPr>
        <w:widowControl/>
        <w:spacing w:line="240" w:lineRule="auto"/>
        <w:ind w:firstLine="0" w:firstLineChars="0"/>
        <w:jc w:val="left"/>
      </w:pPr>
    </w:p>
    <w:p w14:paraId="69EB2310">
      <w:pPr>
        <w:ind w:firstLine="560"/>
        <w:rPr>
          <w:rFonts w:ascii="Arial" w:hAnsi="Arial" w:cs="Arial"/>
          <w:kern w:val="0"/>
          <w:sz w:val="28"/>
        </w:rPr>
      </w:pPr>
    </w:p>
    <w:p w14:paraId="29B0B04D">
      <w:pPr>
        <w:ind w:firstLine="560"/>
        <w:rPr>
          <w:rFonts w:ascii="Arial" w:hAnsi="Arial" w:cs="Arial"/>
          <w:kern w:val="0"/>
          <w:sz w:val="28"/>
        </w:rPr>
      </w:pPr>
    </w:p>
    <w:p w14:paraId="7BDA5654">
      <w:pPr>
        <w:ind w:left="1296" w:leftChars="540" w:firstLine="480"/>
        <w:rPr>
          <w:rFonts w:ascii="Arial" w:hAnsi="Arial" w:cs="Arial"/>
          <w:kern w:val="0"/>
        </w:rPr>
      </w:pPr>
    </w:p>
    <w:p w14:paraId="26959F18">
      <w:pPr>
        <w:pStyle w:val="9"/>
        <w:bidi w:val="0"/>
        <w:rPr>
          <w:rFonts w:hint="default"/>
          <w:lang w:val="en-US" w:eastAsia="zh-CN"/>
        </w:rPr>
      </w:pPr>
      <w:bookmarkStart w:id="501" w:name="_Toc25006"/>
      <w:r>
        <w:rPr>
          <w:rFonts w:hint="eastAsia"/>
          <w:lang w:val="en-US" w:eastAsia="zh-CN"/>
        </w:rPr>
        <w:t>资格审查文件</w:t>
      </w:r>
      <w:bookmarkEnd w:id="501"/>
    </w:p>
    <w:p w14:paraId="57FDCFC3">
      <w:pPr>
        <w:ind w:left="1296" w:leftChars="540" w:firstLine="480"/>
        <w:rPr>
          <w:rFonts w:ascii="Arial" w:hAnsi="Arial" w:cs="Arial"/>
          <w:kern w:val="0"/>
          <w:szCs w:val="21"/>
        </w:rPr>
      </w:pPr>
    </w:p>
    <w:p w14:paraId="4AB7C920">
      <w:pPr>
        <w:ind w:left="1296" w:leftChars="540" w:firstLine="400"/>
        <w:rPr>
          <w:rFonts w:ascii="Arial" w:hAnsi="Arial" w:cs="Arial"/>
          <w:kern w:val="0"/>
          <w:sz w:val="20"/>
        </w:rPr>
      </w:pPr>
    </w:p>
    <w:p w14:paraId="5A50DBD3">
      <w:pPr>
        <w:pStyle w:val="32"/>
        <w:ind w:left="480" w:firstLine="400"/>
        <w:rPr>
          <w:rFonts w:ascii="Arial" w:hAnsi="Arial" w:cs="Arial"/>
          <w:kern w:val="0"/>
          <w:sz w:val="20"/>
        </w:rPr>
      </w:pPr>
    </w:p>
    <w:p w14:paraId="394B54B7">
      <w:pPr>
        <w:ind w:firstLine="480"/>
      </w:pPr>
    </w:p>
    <w:p w14:paraId="1FB0BC21">
      <w:pPr>
        <w:ind w:firstLine="1200" w:firstLineChars="50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项目名称：龙游县公证处公证派驻法院执行辅助人员</w:t>
      </w:r>
    </w:p>
    <w:p w14:paraId="5ED7A3AF">
      <w:pPr>
        <w:ind w:firstLine="1200" w:firstLineChars="50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项目编号：LYJY2024072</w:t>
      </w:r>
    </w:p>
    <w:p w14:paraId="017F8F5A">
      <w:pPr>
        <w:ind w:firstLine="1050" w:firstLineChars="500"/>
        <w:rPr>
          <w:rFonts w:ascii="宋体" w:hAnsi="宋体"/>
          <w:sz w:val="21"/>
          <w:szCs w:val="21"/>
        </w:rPr>
      </w:pPr>
    </w:p>
    <w:p w14:paraId="583A7577">
      <w:pPr>
        <w:ind w:firstLine="1050" w:firstLineChars="500"/>
        <w:rPr>
          <w:rFonts w:ascii="宋体" w:hAnsi="宋体"/>
          <w:sz w:val="21"/>
          <w:szCs w:val="21"/>
        </w:rPr>
      </w:pPr>
    </w:p>
    <w:p w14:paraId="0ADE9024">
      <w:pPr>
        <w:ind w:left="1296" w:leftChars="540" w:firstLine="400"/>
        <w:rPr>
          <w:rFonts w:ascii="Arial" w:hAnsi="Arial" w:cs="Arial"/>
          <w:kern w:val="0"/>
          <w:sz w:val="20"/>
        </w:rPr>
      </w:pPr>
    </w:p>
    <w:p w14:paraId="0FA6B748">
      <w:pPr>
        <w:ind w:left="1296" w:leftChars="540" w:firstLine="400"/>
        <w:rPr>
          <w:rFonts w:ascii="Arial" w:hAnsi="Arial" w:cs="Arial"/>
          <w:kern w:val="0"/>
          <w:sz w:val="20"/>
        </w:rPr>
      </w:pPr>
    </w:p>
    <w:p w14:paraId="66E43FC4">
      <w:pPr>
        <w:ind w:left="1296" w:leftChars="540" w:firstLine="400"/>
        <w:rPr>
          <w:rFonts w:ascii="Arial" w:hAnsi="Arial" w:cs="Arial"/>
          <w:kern w:val="0"/>
          <w:sz w:val="20"/>
        </w:rPr>
      </w:pPr>
    </w:p>
    <w:p w14:paraId="60F7C179">
      <w:pPr>
        <w:ind w:left="1296" w:leftChars="540" w:firstLine="400"/>
        <w:rPr>
          <w:rFonts w:ascii="Arial" w:hAnsi="Arial" w:cs="Arial"/>
          <w:kern w:val="0"/>
          <w:sz w:val="20"/>
        </w:rPr>
      </w:pPr>
    </w:p>
    <w:p w14:paraId="10AFBAC9">
      <w:pPr>
        <w:ind w:firstLine="480"/>
        <w:rPr>
          <w:rFonts w:hint="default" w:eastAsia="宋体"/>
          <w:lang w:val="en-US" w:eastAsia="zh-CN"/>
        </w:rPr>
      </w:pPr>
      <w:r>
        <w:rPr>
          <w:rFonts w:hint="eastAsia"/>
        </w:rPr>
        <w:t>供应商名称（盖章）：</w:t>
      </w:r>
      <w:r>
        <w:rPr>
          <w:rFonts w:hint="eastAsia"/>
          <w:lang w:val="en-US" w:eastAsia="zh-CN"/>
        </w:rPr>
        <w:t xml:space="preserve">      </w:t>
      </w:r>
    </w:p>
    <w:p w14:paraId="40B73FAE">
      <w:pPr>
        <w:ind w:firstLine="480"/>
        <w:rPr>
          <w:rFonts w:hint="default" w:eastAsia="宋体"/>
          <w:lang w:val="en-US" w:eastAsia="zh-CN"/>
        </w:rPr>
      </w:pPr>
      <w:r>
        <w:rPr>
          <w:rFonts w:hint="eastAsia"/>
        </w:rPr>
        <w:t>法定代表人或其授权代表（签字或盖章）：</w:t>
      </w:r>
      <w:r>
        <w:rPr>
          <w:rFonts w:hint="eastAsia"/>
          <w:lang w:val="en-US" w:eastAsia="zh-CN"/>
        </w:rPr>
        <w:t xml:space="preserve">     </w:t>
      </w:r>
    </w:p>
    <w:p w14:paraId="20DD783D">
      <w:pPr>
        <w:ind w:firstLine="480"/>
        <w:rPr>
          <w:rFonts w:ascii="宋体" w:hAnsi="宋体"/>
          <w:sz w:val="21"/>
          <w:szCs w:val="21"/>
        </w:rPr>
      </w:pPr>
      <w:r>
        <w:rPr>
          <w:rFonts w:hint="eastAsia"/>
        </w:rPr>
        <w:t>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p w14:paraId="1ADBD273">
      <w:pPr>
        <w:ind w:firstLine="2744" w:firstLineChars="911"/>
        <w:rPr>
          <w:rFonts w:ascii="宋体" w:hAnsi="宋体" w:cs="宋体"/>
          <w:b/>
          <w:kern w:val="0"/>
          <w:sz w:val="30"/>
          <w:szCs w:val="30"/>
        </w:rPr>
      </w:pPr>
    </w:p>
    <w:p w14:paraId="134EDCF0">
      <w:pPr>
        <w:topLinePunct/>
        <w:spacing w:line="360" w:lineRule="auto"/>
        <w:ind w:firstLine="480"/>
        <w:rPr>
          <w:rFonts w:ascii="Arial" w:hAnsi="Arial" w:cs="Arial"/>
          <w:color w:val="000000"/>
          <w:szCs w:val="21"/>
        </w:rPr>
      </w:pPr>
    </w:p>
    <w:p w14:paraId="0B2B1C7C">
      <w:pPr>
        <w:ind w:firstLine="480"/>
        <w:rPr>
          <w:rFonts w:ascii="Arial" w:hAnsi="Arial" w:cs="Arial"/>
          <w:color w:val="000000"/>
          <w:szCs w:val="21"/>
        </w:rPr>
      </w:pPr>
      <w:r>
        <w:rPr>
          <w:rFonts w:ascii="Arial" w:hAnsi="Arial" w:cs="Arial"/>
          <w:color w:val="000000"/>
          <w:szCs w:val="21"/>
        </w:rPr>
        <w:br w:type="page"/>
      </w:r>
    </w:p>
    <w:p w14:paraId="708453BA">
      <w:pPr>
        <w:bidi w:val="0"/>
      </w:pPr>
      <w:bookmarkStart w:id="502" w:name="_Toc30919"/>
      <w:bookmarkStart w:id="503" w:name="_Toc6691"/>
    </w:p>
    <w:p w14:paraId="4D2E9197">
      <w:pPr>
        <w:pStyle w:val="10"/>
        <w:spacing w:after="168"/>
        <w:ind w:left="10" w:right="142"/>
        <w:jc w:val="center"/>
        <w:rPr>
          <w:color w:val="auto"/>
        </w:rPr>
      </w:pPr>
      <w:bookmarkStart w:id="504" w:name="_Toc12268"/>
      <w:r>
        <w:rPr>
          <w:color w:val="auto"/>
          <w:sz w:val="36"/>
        </w:rPr>
        <w:t>目录</w:t>
      </w:r>
      <w:bookmarkEnd w:id="502"/>
      <w:bookmarkEnd w:id="503"/>
      <w:bookmarkEnd w:id="504"/>
    </w:p>
    <w:p w14:paraId="5FE83149">
      <w:pPr>
        <w:ind w:firstLine="480"/>
        <w:rPr>
          <w:rFonts w:ascii="Arial" w:hAnsi="Arial" w:cs="Arial"/>
          <w:color w:val="000000"/>
          <w:szCs w:val="21"/>
        </w:rPr>
      </w:pPr>
      <w:r>
        <w:rPr>
          <w:rFonts w:hint="eastAsia"/>
          <w:color w:val="auto"/>
        </w:rPr>
        <w:t>【根据响应文件组成内容、顺序、附件格式编制响应文件，编制目录】</w:t>
      </w:r>
    </w:p>
    <w:p w14:paraId="3533890D">
      <w:pPr>
        <w:ind w:firstLine="480"/>
      </w:pPr>
    </w:p>
    <w:p w14:paraId="3238ED0E">
      <w:pPr>
        <w:ind w:firstLine="480"/>
        <w:rPr>
          <w:rFonts w:ascii="Arial" w:hAnsi="Arial" w:cs="Arial"/>
          <w:color w:val="000000"/>
          <w:szCs w:val="21"/>
        </w:rPr>
      </w:pPr>
    </w:p>
    <w:p w14:paraId="6068A51F">
      <w:pPr>
        <w:ind w:firstLine="480"/>
        <w:rPr>
          <w:rFonts w:ascii="Arial" w:hAnsi="Arial" w:cs="Arial"/>
          <w:color w:val="000000"/>
          <w:szCs w:val="21"/>
        </w:rPr>
      </w:pPr>
    </w:p>
    <w:p w14:paraId="271B5723">
      <w:pPr>
        <w:ind w:firstLine="480"/>
      </w:pPr>
      <w:r>
        <w:br w:type="page"/>
      </w:r>
    </w:p>
    <w:p w14:paraId="27B5B41E">
      <w:pPr>
        <w:ind w:firstLine="480"/>
      </w:pPr>
      <w:r>
        <w:t>附件</w:t>
      </w:r>
      <w:r>
        <w:rPr>
          <w:rFonts w:hint="eastAsia"/>
        </w:rPr>
        <w:t xml:space="preserve">1 </w:t>
      </w:r>
    </w:p>
    <w:p w14:paraId="2950269E">
      <w:pPr>
        <w:widowControl/>
        <w:spacing w:line="240" w:lineRule="auto"/>
        <w:ind w:firstLine="0" w:firstLineChars="0"/>
        <w:jc w:val="left"/>
        <w:rPr>
          <w:sz w:val="21"/>
        </w:rPr>
      </w:pPr>
    </w:p>
    <w:p w14:paraId="0E5D2362">
      <w:pPr>
        <w:pStyle w:val="10"/>
        <w:ind w:firstLine="643"/>
        <w:jc w:val="center"/>
      </w:pPr>
      <w:bookmarkStart w:id="505" w:name="_Toc29239"/>
      <w:bookmarkStart w:id="506" w:name="_Toc546"/>
      <w:bookmarkStart w:id="507" w:name="_Toc20923"/>
      <w:bookmarkStart w:id="508" w:name="_Toc385"/>
      <w:bookmarkStart w:id="509" w:name="_Toc11216"/>
      <w:bookmarkStart w:id="510" w:name="_Toc2197"/>
      <w:bookmarkStart w:id="511" w:name="_Toc20930"/>
      <w:bookmarkStart w:id="512" w:name="_Toc6710"/>
      <w:r>
        <w:rPr>
          <w:rFonts w:hint="eastAsia"/>
        </w:rPr>
        <w:t>供应商基本情况表</w:t>
      </w:r>
      <w:bookmarkEnd w:id="505"/>
      <w:bookmarkEnd w:id="506"/>
      <w:bookmarkEnd w:id="507"/>
      <w:bookmarkEnd w:id="508"/>
      <w:bookmarkEnd w:id="509"/>
      <w:bookmarkEnd w:id="510"/>
      <w:bookmarkEnd w:id="511"/>
      <w:bookmarkEnd w:id="512"/>
    </w:p>
    <w:tbl>
      <w:tblPr>
        <w:tblStyle w:val="77"/>
        <w:tblW w:w="9242" w:type="dxa"/>
        <w:tblInd w:w="-84" w:type="dxa"/>
        <w:tblLayout w:type="fixed"/>
        <w:tblCellMar>
          <w:top w:w="0" w:type="dxa"/>
          <w:left w:w="107" w:type="dxa"/>
          <w:bottom w:w="0" w:type="dxa"/>
          <w:right w:w="144" w:type="dxa"/>
        </w:tblCellMar>
      </w:tblPr>
      <w:tblGrid>
        <w:gridCol w:w="1652"/>
        <w:gridCol w:w="1362"/>
        <w:gridCol w:w="1050"/>
        <w:gridCol w:w="705"/>
        <w:gridCol w:w="508"/>
        <w:gridCol w:w="1214"/>
        <w:gridCol w:w="1044"/>
        <w:gridCol w:w="1707"/>
      </w:tblGrid>
      <w:tr w14:paraId="66A030E1">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363C4ED6">
            <w:pPr>
              <w:pStyle w:val="42"/>
            </w:pPr>
            <w:r>
              <w:t>供应商名称</w:t>
            </w:r>
          </w:p>
        </w:tc>
        <w:tc>
          <w:tcPr>
            <w:tcW w:w="7590" w:type="dxa"/>
            <w:gridSpan w:val="7"/>
            <w:tcBorders>
              <w:top w:val="single" w:color="000000" w:sz="4" w:space="0"/>
              <w:left w:val="single" w:color="000000" w:sz="4" w:space="0"/>
              <w:bottom w:val="single" w:color="000000" w:sz="4" w:space="0"/>
              <w:right w:val="single" w:color="000000" w:sz="4" w:space="0"/>
            </w:tcBorders>
          </w:tcPr>
          <w:p w14:paraId="79FBC89F">
            <w:pPr>
              <w:pStyle w:val="42"/>
              <w:jc w:val="left"/>
            </w:pPr>
          </w:p>
        </w:tc>
      </w:tr>
      <w:tr w14:paraId="5B1F01BA">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60B48375">
            <w:pPr>
              <w:pStyle w:val="42"/>
            </w:pPr>
            <w:r>
              <w:t>注册地址</w:t>
            </w:r>
          </w:p>
        </w:tc>
        <w:tc>
          <w:tcPr>
            <w:tcW w:w="3625" w:type="dxa"/>
            <w:gridSpan w:val="4"/>
            <w:tcBorders>
              <w:top w:val="single" w:color="000000" w:sz="4" w:space="0"/>
              <w:left w:val="single" w:color="000000" w:sz="4" w:space="0"/>
              <w:bottom w:val="single" w:color="000000" w:sz="4" w:space="0"/>
              <w:right w:val="single" w:color="000000" w:sz="4" w:space="0"/>
            </w:tcBorders>
          </w:tcPr>
          <w:p w14:paraId="4F36C7F7">
            <w:pPr>
              <w:pStyle w:val="42"/>
            </w:pPr>
          </w:p>
        </w:tc>
        <w:tc>
          <w:tcPr>
            <w:tcW w:w="1214" w:type="dxa"/>
            <w:tcBorders>
              <w:top w:val="single" w:color="000000" w:sz="4" w:space="0"/>
              <w:left w:val="single" w:color="000000" w:sz="4" w:space="0"/>
              <w:bottom w:val="single" w:color="000000" w:sz="4" w:space="0"/>
              <w:right w:val="single" w:color="000000" w:sz="4" w:space="0"/>
            </w:tcBorders>
            <w:vAlign w:val="center"/>
          </w:tcPr>
          <w:p w14:paraId="1F7536A5">
            <w:pPr>
              <w:pStyle w:val="42"/>
            </w:pPr>
            <w:r>
              <w:t>邮政编码</w:t>
            </w:r>
          </w:p>
        </w:tc>
        <w:tc>
          <w:tcPr>
            <w:tcW w:w="2751" w:type="dxa"/>
            <w:gridSpan w:val="2"/>
            <w:tcBorders>
              <w:top w:val="single" w:color="000000" w:sz="4" w:space="0"/>
              <w:left w:val="single" w:color="000000" w:sz="4" w:space="0"/>
              <w:bottom w:val="single" w:color="000000" w:sz="4" w:space="0"/>
              <w:right w:val="single" w:color="000000" w:sz="4" w:space="0"/>
            </w:tcBorders>
          </w:tcPr>
          <w:p w14:paraId="0AD4EE79">
            <w:pPr>
              <w:pStyle w:val="42"/>
            </w:pPr>
          </w:p>
        </w:tc>
      </w:tr>
      <w:tr w14:paraId="674C8871">
        <w:tblPrEx>
          <w:tblCellMar>
            <w:top w:w="0" w:type="dxa"/>
            <w:left w:w="107" w:type="dxa"/>
            <w:bottom w:w="0" w:type="dxa"/>
            <w:right w:w="144" w:type="dxa"/>
          </w:tblCellMar>
        </w:tblPrEx>
        <w:trPr>
          <w:trHeight w:val="522" w:hRule="atLeast"/>
        </w:trPr>
        <w:tc>
          <w:tcPr>
            <w:tcW w:w="1652" w:type="dxa"/>
            <w:vMerge w:val="restart"/>
            <w:tcBorders>
              <w:top w:val="single" w:color="000000" w:sz="4" w:space="0"/>
              <w:left w:val="single" w:color="000000" w:sz="4" w:space="0"/>
              <w:bottom w:val="single" w:color="000000" w:sz="4" w:space="0"/>
              <w:right w:val="single" w:color="000000" w:sz="4" w:space="0"/>
            </w:tcBorders>
            <w:vAlign w:val="center"/>
          </w:tcPr>
          <w:p w14:paraId="36217092">
            <w:pPr>
              <w:pStyle w:val="42"/>
            </w:pPr>
            <w:r>
              <w:t>联系方式</w:t>
            </w:r>
          </w:p>
        </w:tc>
        <w:tc>
          <w:tcPr>
            <w:tcW w:w="1362" w:type="dxa"/>
            <w:tcBorders>
              <w:top w:val="single" w:color="000000" w:sz="4" w:space="0"/>
              <w:left w:val="single" w:color="000000" w:sz="4" w:space="0"/>
              <w:bottom w:val="single" w:color="000000" w:sz="4" w:space="0"/>
              <w:right w:val="single" w:color="000000" w:sz="4" w:space="0"/>
            </w:tcBorders>
            <w:vAlign w:val="center"/>
          </w:tcPr>
          <w:p w14:paraId="208F6806">
            <w:pPr>
              <w:pStyle w:val="42"/>
            </w:pPr>
            <w:r>
              <w:t>联系人</w:t>
            </w:r>
          </w:p>
        </w:tc>
        <w:tc>
          <w:tcPr>
            <w:tcW w:w="2263" w:type="dxa"/>
            <w:gridSpan w:val="3"/>
            <w:tcBorders>
              <w:top w:val="single" w:color="000000" w:sz="4" w:space="0"/>
              <w:left w:val="single" w:color="000000" w:sz="4" w:space="0"/>
              <w:bottom w:val="single" w:color="000000" w:sz="4" w:space="0"/>
              <w:right w:val="single" w:color="000000" w:sz="4" w:space="0"/>
            </w:tcBorders>
          </w:tcPr>
          <w:p w14:paraId="62A90B80">
            <w:pPr>
              <w:pStyle w:val="42"/>
            </w:pPr>
          </w:p>
        </w:tc>
        <w:tc>
          <w:tcPr>
            <w:tcW w:w="1214" w:type="dxa"/>
            <w:tcBorders>
              <w:top w:val="single" w:color="000000" w:sz="4" w:space="0"/>
              <w:left w:val="single" w:color="000000" w:sz="4" w:space="0"/>
              <w:bottom w:val="single" w:color="000000" w:sz="4" w:space="0"/>
              <w:right w:val="single" w:color="000000" w:sz="4" w:space="0"/>
            </w:tcBorders>
            <w:vAlign w:val="center"/>
          </w:tcPr>
          <w:p w14:paraId="5CC65083">
            <w:pPr>
              <w:pStyle w:val="42"/>
            </w:pPr>
            <w:r>
              <w:t>电话</w:t>
            </w:r>
          </w:p>
        </w:tc>
        <w:tc>
          <w:tcPr>
            <w:tcW w:w="2751" w:type="dxa"/>
            <w:gridSpan w:val="2"/>
            <w:tcBorders>
              <w:top w:val="single" w:color="000000" w:sz="4" w:space="0"/>
              <w:left w:val="single" w:color="000000" w:sz="4" w:space="0"/>
              <w:bottom w:val="single" w:color="000000" w:sz="4" w:space="0"/>
              <w:right w:val="single" w:color="000000" w:sz="4" w:space="0"/>
            </w:tcBorders>
          </w:tcPr>
          <w:p w14:paraId="3CF2B6CF">
            <w:pPr>
              <w:pStyle w:val="42"/>
            </w:pPr>
          </w:p>
        </w:tc>
      </w:tr>
      <w:tr w14:paraId="2132A22E">
        <w:tblPrEx>
          <w:tblCellMar>
            <w:top w:w="0" w:type="dxa"/>
            <w:left w:w="107" w:type="dxa"/>
            <w:bottom w:w="0" w:type="dxa"/>
            <w:right w:w="144" w:type="dxa"/>
          </w:tblCellMar>
        </w:tblPrEx>
        <w:trPr>
          <w:trHeight w:val="521" w:hRule="atLeast"/>
        </w:trPr>
        <w:tc>
          <w:tcPr>
            <w:tcW w:w="1652" w:type="dxa"/>
            <w:vMerge w:val="continue"/>
            <w:tcBorders>
              <w:top w:val="nil"/>
              <w:left w:val="single" w:color="000000" w:sz="4" w:space="0"/>
              <w:bottom w:val="nil"/>
              <w:right w:val="single" w:color="000000" w:sz="4" w:space="0"/>
            </w:tcBorders>
          </w:tcPr>
          <w:p w14:paraId="657317E6">
            <w:pPr>
              <w:pStyle w:val="42"/>
            </w:pPr>
          </w:p>
        </w:tc>
        <w:tc>
          <w:tcPr>
            <w:tcW w:w="1362" w:type="dxa"/>
            <w:tcBorders>
              <w:top w:val="single" w:color="000000" w:sz="4" w:space="0"/>
              <w:left w:val="single" w:color="000000" w:sz="4" w:space="0"/>
              <w:bottom w:val="single" w:color="000000" w:sz="4" w:space="0"/>
              <w:right w:val="single" w:color="000000" w:sz="4" w:space="0"/>
            </w:tcBorders>
            <w:vAlign w:val="center"/>
          </w:tcPr>
          <w:p w14:paraId="757836AA">
            <w:pPr>
              <w:pStyle w:val="42"/>
            </w:pPr>
            <w:r>
              <w:t>传真</w:t>
            </w:r>
          </w:p>
        </w:tc>
        <w:tc>
          <w:tcPr>
            <w:tcW w:w="2263" w:type="dxa"/>
            <w:gridSpan w:val="3"/>
            <w:tcBorders>
              <w:top w:val="single" w:color="000000" w:sz="4" w:space="0"/>
              <w:left w:val="single" w:color="000000" w:sz="4" w:space="0"/>
              <w:bottom w:val="single" w:color="000000" w:sz="4" w:space="0"/>
              <w:right w:val="single" w:color="000000" w:sz="4" w:space="0"/>
            </w:tcBorders>
          </w:tcPr>
          <w:p w14:paraId="3DC32ED4">
            <w:pPr>
              <w:pStyle w:val="42"/>
            </w:pPr>
          </w:p>
        </w:tc>
        <w:tc>
          <w:tcPr>
            <w:tcW w:w="1214" w:type="dxa"/>
            <w:tcBorders>
              <w:top w:val="single" w:color="000000" w:sz="4" w:space="0"/>
              <w:left w:val="single" w:color="000000" w:sz="4" w:space="0"/>
              <w:bottom w:val="single" w:color="000000" w:sz="4" w:space="0"/>
              <w:right w:val="single" w:color="000000" w:sz="4" w:space="0"/>
            </w:tcBorders>
            <w:vAlign w:val="center"/>
          </w:tcPr>
          <w:p w14:paraId="2FE17859">
            <w:pPr>
              <w:pStyle w:val="42"/>
            </w:pPr>
            <w:r>
              <w:t>移动电话</w:t>
            </w:r>
          </w:p>
        </w:tc>
        <w:tc>
          <w:tcPr>
            <w:tcW w:w="2751" w:type="dxa"/>
            <w:gridSpan w:val="2"/>
            <w:tcBorders>
              <w:top w:val="single" w:color="000000" w:sz="4" w:space="0"/>
              <w:left w:val="single" w:color="000000" w:sz="4" w:space="0"/>
              <w:bottom w:val="single" w:color="000000" w:sz="4" w:space="0"/>
              <w:right w:val="single" w:color="000000" w:sz="4" w:space="0"/>
            </w:tcBorders>
          </w:tcPr>
          <w:p w14:paraId="2ACA0B29">
            <w:pPr>
              <w:pStyle w:val="42"/>
            </w:pPr>
          </w:p>
        </w:tc>
      </w:tr>
      <w:tr w14:paraId="595015D7">
        <w:tblPrEx>
          <w:tblCellMar>
            <w:top w:w="0" w:type="dxa"/>
            <w:left w:w="107" w:type="dxa"/>
            <w:bottom w:w="0" w:type="dxa"/>
            <w:right w:w="144" w:type="dxa"/>
          </w:tblCellMar>
        </w:tblPrEx>
        <w:trPr>
          <w:trHeight w:val="521" w:hRule="atLeast"/>
        </w:trPr>
        <w:tc>
          <w:tcPr>
            <w:tcW w:w="1652" w:type="dxa"/>
            <w:vMerge w:val="continue"/>
            <w:tcBorders>
              <w:top w:val="nil"/>
              <w:left w:val="single" w:color="000000" w:sz="4" w:space="0"/>
              <w:bottom w:val="single" w:color="000000" w:sz="4" w:space="0"/>
              <w:right w:val="single" w:color="000000" w:sz="4" w:space="0"/>
            </w:tcBorders>
          </w:tcPr>
          <w:p w14:paraId="5B0F8A4D">
            <w:pPr>
              <w:pStyle w:val="42"/>
            </w:pPr>
          </w:p>
        </w:tc>
        <w:tc>
          <w:tcPr>
            <w:tcW w:w="1362" w:type="dxa"/>
            <w:tcBorders>
              <w:top w:val="single" w:color="000000" w:sz="4" w:space="0"/>
              <w:left w:val="single" w:color="000000" w:sz="4" w:space="0"/>
              <w:bottom w:val="single" w:color="000000" w:sz="4" w:space="0"/>
              <w:right w:val="single" w:color="000000" w:sz="4" w:space="0"/>
            </w:tcBorders>
            <w:vAlign w:val="center"/>
          </w:tcPr>
          <w:p w14:paraId="3E073494">
            <w:pPr>
              <w:pStyle w:val="42"/>
            </w:pPr>
            <w:r>
              <w:t>电子邮箱</w:t>
            </w:r>
          </w:p>
        </w:tc>
        <w:tc>
          <w:tcPr>
            <w:tcW w:w="2263" w:type="dxa"/>
            <w:gridSpan w:val="3"/>
            <w:tcBorders>
              <w:top w:val="single" w:color="000000" w:sz="4" w:space="0"/>
              <w:left w:val="single" w:color="000000" w:sz="4" w:space="0"/>
              <w:bottom w:val="single" w:color="000000" w:sz="4" w:space="0"/>
              <w:right w:val="single" w:color="000000" w:sz="4" w:space="0"/>
            </w:tcBorders>
          </w:tcPr>
          <w:p w14:paraId="7052C079">
            <w:pPr>
              <w:pStyle w:val="42"/>
            </w:pPr>
          </w:p>
        </w:tc>
        <w:tc>
          <w:tcPr>
            <w:tcW w:w="1214" w:type="dxa"/>
            <w:tcBorders>
              <w:top w:val="single" w:color="000000" w:sz="4" w:space="0"/>
              <w:left w:val="single" w:color="000000" w:sz="4" w:space="0"/>
              <w:bottom w:val="single" w:color="000000" w:sz="4" w:space="0"/>
              <w:right w:val="single" w:color="000000" w:sz="4" w:space="0"/>
            </w:tcBorders>
            <w:vAlign w:val="center"/>
          </w:tcPr>
          <w:p w14:paraId="65543020">
            <w:pPr>
              <w:pStyle w:val="42"/>
            </w:pPr>
            <w:r>
              <w:t>网址</w:t>
            </w:r>
          </w:p>
        </w:tc>
        <w:tc>
          <w:tcPr>
            <w:tcW w:w="2751" w:type="dxa"/>
            <w:gridSpan w:val="2"/>
            <w:tcBorders>
              <w:top w:val="single" w:color="000000" w:sz="4" w:space="0"/>
              <w:left w:val="single" w:color="000000" w:sz="4" w:space="0"/>
              <w:bottom w:val="single" w:color="000000" w:sz="4" w:space="0"/>
              <w:right w:val="single" w:color="000000" w:sz="4" w:space="0"/>
            </w:tcBorders>
          </w:tcPr>
          <w:p w14:paraId="194E09D9">
            <w:pPr>
              <w:pStyle w:val="42"/>
            </w:pPr>
          </w:p>
        </w:tc>
      </w:tr>
      <w:tr w14:paraId="7EE41B33">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09CDC51B">
            <w:pPr>
              <w:pStyle w:val="42"/>
            </w:pPr>
            <w:r>
              <w:t>组织结构</w:t>
            </w:r>
          </w:p>
        </w:tc>
        <w:tc>
          <w:tcPr>
            <w:tcW w:w="1362" w:type="dxa"/>
            <w:tcBorders>
              <w:top w:val="single" w:color="000000" w:sz="4" w:space="0"/>
              <w:left w:val="single" w:color="000000" w:sz="4" w:space="0"/>
              <w:bottom w:val="single" w:color="000000" w:sz="4" w:space="0"/>
              <w:right w:val="nil"/>
            </w:tcBorders>
          </w:tcPr>
          <w:p w14:paraId="6D146194">
            <w:pPr>
              <w:pStyle w:val="42"/>
            </w:pPr>
          </w:p>
        </w:tc>
        <w:tc>
          <w:tcPr>
            <w:tcW w:w="6228" w:type="dxa"/>
            <w:gridSpan w:val="6"/>
            <w:tcBorders>
              <w:top w:val="single" w:color="000000" w:sz="4" w:space="0"/>
              <w:left w:val="nil"/>
              <w:bottom w:val="single" w:color="000000" w:sz="4" w:space="0"/>
              <w:right w:val="single" w:color="000000" w:sz="4" w:space="0"/>
            </w:tcBorders>
          </w:tcPr>
          <w:p w14:paraId="388501F7">
            <w:pPr>
              <w:pStyle w:val="42"/>
            </w:pPr>
          </w:p>
        </w:tc>
      </w:tr>
      <w:tr w14:paraId="058E86D0">
        <w:tblPrEx>
          <w:tblCellMar>
            <w:top w:w="0" w:type="dxa"/>
            <w:left w:w="107" w:type="dxa"/>
            <w:bottom w:w="0" w:type="dxa"/>
            <w:right w:w="144" w:type="dxa"/>
          </w:tblCellMar>
        </w:tblPrEx>
        <w:trPr>
          <w:trHeight w:val="522"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6BBDE70D">
            <w:pPr>
              <w:pStyle w:val="42"/>
            </w:pPr>
            <w:r>
              <w:t>法定代表人</w:t>
            </w:r>
          </w:p>
        </w:tc>
        <w:tc>
          <w:tcPr>
            <w:tcW w:w="1362" w:type="dxa"/>
            <w:tcBorders>
              <w:top w:val="single" w:color="000000" w:sz="4" w:space="0"/>
              <w:left w:val="single" w:color="000000" w:sz="4" w:space="0"/>
              <w:bottom w:val="single" w:color="000000" w:sz="4" w:space="0"/>
              <w:right w:val="single" w:color="000000" w:sz="4" w:space="0"/>
            </w:tcBorders>
            <w:vAlign w:val="center"/>
          </w:tcPr>
          <w:p w14:paraId="786A5EA0">
            <w:pPr>
              <w:pStyle w:val="42"/>
            </w:pPr>
            <w:r>
              <w:t>姓名</w:t>
            </w:r>
          </w:p>
        </w:tc>
        <w:tc>
          <w:tcPr>
            <w:tcW w:w="1050" w:type="dxa"/>
            <w:tcBorders>
              <w:top w:val="single" w:color="000000" w:sz="4" w:space="0"/>
              <w:left w:val="single" w:color="000000" w:sz="4" w:space="0"/>
              <w:bottom w:val="single" w:color="000000" w:sz="4" w:space="0"/>
              <w:right w:val="single" w:color="000000" w:sz="4" w:space="0"/>
            </w:tcBorders>
          </w:tcPr>
          <w:p w14:paraId="080D7D6B">
            <w:pPr>
              <w:pStyle w:val="42"/>
            </w:pPr>
          </w:p>
        </w:tc>
        <w:tc>
          <w:tcPr>
            <w:tcW w:w="1213" w:type="dxa"/>
            <w:gridSpan w:val="2"/>
            <w:tcBorders>
              <w:top w:val="single" w:color="000000" w:sz="4" w:space="0"/>
              <w:left w:val="single" w:color="000000" w:sz="4" w:space="0"/>
              <w:bottom w:val="single" w:color="000000" w:sz="4" w:space="0"/>
              <w:right w:val="single" w:color="000000" w:sz="4" w:space="0"/>
            </w:tcBorders>
            <w:vAlign w:val="center"/>
          </w:tcPr>
          <w:p w14:paraId="5799DBC7">
            <w:pPr>
              <w:pStyle w:val="42"/>
            </w:pPr>
            <w:r>
              <w:t>技术职称</w:t>
            </w:r>
          </w:p>
        </w:tc>
        <w:tc>
          <w:tcPr>
            <w:tcW w:w="1214" w:type="dxa"/>
            <w:tcBorders>
              <w:top w:val="single" w:color="000000" w:sz="4" w:space="0"/>
              <w:left w:val="single" w:color="000000" w:sz="4" w:space="0"/>
              <w:bottom w:val="single" w:color="000000" w:sz="4" w:space="0"/>
              <w:right w:val="single" w:color="000000" w:sz="4" w:space="0"/>
            </w:tcBorders>
          </w:tcPr>
          <w:p w14:paraId="599D31B2">
            <w:pPr>
              <w:pStyle w:val="42"/>
            </w:pPr>
          </w:p>
        </w:tc>
        <w:tc>
          <w:tcPr>
            <w:tcW w:w="1044" w:type="dxa"/>
            <w:tcBorders>
              <w:top w:val="single" w:color="000000" w:sz="4" w:space="0"/>
              <w:left w:val="single" w:color="000000" w:sz="4" w:space="0"/>
              <w:bottom w:val="single" w:color="000000" w:sz="4" w:space="0"/>
              <w:right w:val="single" w:color="000000" w:sz="4" w:space="0"/>
            </w:tcBorders>
            <w:vAlign w:val="center"/>
          </w:tcPr>
          <w:p w14:paraId="5C5A6814">
            <w:pPr>
              <w:pStyle w:val="42"/>
            </w:pPr>
            <w:r>
              <w:t>电话</w:t>
            </w:r>
          </w:p>
        </w:tc>
        <w:tc>
          <w:tcPr>
            <w:tcW w:w="1707" w:type="dxa"/>
            <w:tcBorders>
              <w:top w:val="single" w:color="000000" w:sz="4" w:space="0"/>
              <w:left w:val="single" w:color="000000" w:sz="4" w:space="0"/>
              <w:bottom w:val="single" w:color="000000" w:sz="4" w:space="0"/>
              <w:right w:val="single" w:color="000000" w:sz="4" w:space="0"/>
            </w:tcBorders>
          </w:tcPr>
          <w:p w14:paraId="1F9BAEDF">
            <w:pPr>
              <w:pStyle w:val="42"/>
            </w:pPr>
          </w:p>
        </w:tc>
      </w:tr>
      <w:tr w14:paraId="641185FA">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7F6D4140">
            <w:pPr>
              <w:pStyle w:val="42"/>
            </w:pPr>
            <w:r>
              <w:t>技术负责人</w:t>
            </w:r>
          </w:p>
        </w:tc>
        <w:tc>
          <w:tcPr>
            <w:tcW w:w="1362" w:type="dxa"/>
            <w:tcBorders>
              <w:top w:val="single" w:color="000000" w:sz="4" w:space="0"/>
              <w:left w:val="single" w:color="000000" w:sz="4" w:space="0"/>
              <w:bottom w:val="single" w:color="000000" w:sz="4" w:space="0"/>
              <w:right w:val="single" w:color="000000" w:sz="4" w:space="0"/>
            </w:tcBorders>
            <w:vAlign w:val="center"/>
          </w:tcPr>
          <w:p w14:paraId="36393620">
            <w:pPr>
              <w:pStyle w:val="42"/>
            </w:pPr>
            <w:r>
              <w:t>姓名</w:t>
            </w:r>
          </w:p>
        </w:tc>
        <w:tc>
          <w:tcPr>
            <w:tcW w:w="1050" w:type="dxa"/>
            <w:tcBorders>
              <w:top w:val="single" w:color="000000" w:sz="4" w:space="0"/>
              <w:left w:val="single" w:color="000000" w:sz="4" w:space="0"/>
              <w:bottom w:val="single" w:color="000000" w:sz="4" w:space="0"/>
              <w:right w:val="single" w:color="000000" w:sz="4" w:space="0"/>
            </w:tcBorders>
          </w:tcPr>
          <w:p w14:paraId="1364B775">
            <w:pPr>
              <w:pStyle w:val="42"/>
            </w:pPr>
          </w:p>
        </w:tc>
        <w:tc>
          <w:tcPr>
            <w:tcW w:w="1213" w:type="dxa"/>
            <w:gridSpan w:val="2"/>
            <w:tcBorders>
              <w:top w:val="single" w:color="000000" w:sz="4" w:space="0"/>
              <w:left w:val="single" w:color="000000" w:sz="4" w:space="0"/>
              <w:bottom w:val="single" w:color="000000" w:sz="4" w:space="0"/>
              <w:right w:val="single" w:color="000000" w:sz="4" w:space="0"/>
            </w:tcBorders>
            <w:vAlign w:val="center"/>
          </w:tcPr>
          <w:p w14:paraId="52C1F4A9">
            <w:pPr>
              <w:pStyle w:val="42"/>
            </w:pPr>
            <w:r>
              <w:t>技术职称</w:t>
            </w:r>
          </w:p>
        </w:tc>
        <w:tc>
          <w:tcPr>
            <w:tcW w:w="1214" w:type="dxa"/>
            <w:tcBorders>
              <w:top w:val="single" w:color="000000" w:sz="4" w:space="0"/>
              <w:left w:val="single" w:color="000000" w:sz="4" w:space="0"/>
              <w:bottom w:val="single" w:color="000000" w:sz="4" w:space="0"/>
              <w:right w:val="single" w:color="000000" w:sz="4" w:space="0"/>
            </w:tcBorders>
          </w:tcPr>
          <w:p w14:paraId="6E595D47">
            <w:pPr>
              <w:pStyle w:val="42"/>
            </w:pPr>
          </w:p>
        </w:tc>
        <w:tc>
          <w:tcPr>
            <w:tcW w:w="1044" w:type="dxa"/>
            <w:tcBorders>
              <w:top w:val="single" w:color="000000" w:sz="4" w:space="0"/>
              <w:left w:val="single" w:color="000000" w:sz="4" w:space="0"/>
              <w:bottom w:val="single" w:color="000000" w:sz="4" w:space="0"/>
              <w:right w:val="single" w:color="000000" w:sz="4" w:space="0"/>
            </w:tcBorders>
            <w:vAlign w:val="center"/>
          </w:tcPr>
          <w:p w14:paraId="77E5BF5A">
            <w:pPr>
              <w:pStyle w:val="42"/>
            </w:pPr>
            <w:r>
              <w:t>电话</w:t>
            </w:r>
          </w:p>
        </w:tc>
        <w:tc>
          <w:tcPr>
            <w:tcW w:w="1707" w:type="dxa"/>
            <w:tcBorders>
              <w:top w:val="single" w:color="000000" w:sz="4" w:space="0"/>
              <w:left w:val="single" w:color="000000" w:sz="4" w:space="0"/>
              <w:bottom w:val="single" w:color="000000" w:sz="4" w:space="0"/>
              <w:right w:val="single" w:color="000000" w:sz="4" w:space="0"/>
            </w:tcBorders>
          </w:tcPr>
          <w:p w14:paraId="1C4C2469">
            <w:pPr>
              <w:pStyle w:val="42"/>
            </w:pPr>
          </w:p>
        </w:tc>
      </w:tr>
      <w:tr w14:paraId="4D9DCA4A">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67FA12AD">
            <w:pPr>
              <w:pStyle w:val="42"/>
            </w:pPr>
            <w:r>
              <w:t>成立时间</w:t>
            </w:r>
          </w:p>
        </w:tc>
        <w:tc>
          <w:tcPr>
            <w:tcW w:w="2412" w:type="dxa"/>
            <w:gridSpan w:val="2"/>
            <w:tcBorders>
              <w:top w:val="single" w:color="000000" w:sz="4" w:space="0"/>
              <w:left w:val="single" w:color="000000" w:sz="4" w:space="0"/>
              <w:bottom w:val="single" w:color="000000" w:sz="4" w:space="0"/>
              <w:right w:val="single" w:color="000000" w:sz="4" w:space="0"/>
            </w:tcBorders>
          </w:tcPr>
          <w:p w14:paraId="5346FCFF">
            <w:pPr>
              <w:pStyle w:val="42"/>
            </w:pPr>
          </w:p>
        </w:tc>
        <w:tc>
          <w:tcPr>
            <w:tcW w:w="5178" w:type="dxa"/>
            <w:gridSpan w:val="5"/>
            <w:tcBorders>
              <w:top w:val="single" w:color="000000" w:sz="4" w:space="0"/>
              <w:left w:val="single" w:color="000000" w:sz="4" w:space="0"/>
              <w:bottom w:val="single" w:color="000000" w:sz="4" w:space="0"/>
              <w:right w:val="single" w:color="000000" w:sz="4" w:space="0"/>
            </w:tcBorders>
            <w:vAlign w:val="center"/>
          </w:tcPr>
          <w:p w14:paraId="374AB8FF">
            <w:pPr>
              <w:pStyle w:val="42"/>
            </w:pPr>
            <w:r>
              <w:t>员工总人数：</w:t>
            </w:r>
          </w:p>
        </w:tc>
      </w:tr>
      <w:tr w14:paraId="3D731AB6">
        <w:tblPrEx>
          <w:tblCellMar>
            <w:top w:w="0" w:type="dxa"/>
            <w:left w:w="107" w:type="dxa"/>
            <w:bottom w:w="0" w:type="dxa"/>
            <w:right w:w="144" w:type="dxa"/>
          </w:tblCellMar>
        </w:tblPrEx>
        <w:trPr>
          <w:trHeight w:val="522" w:hRule="atLeast"/>
        </w:trPr>
        <w:tc>
          <w:tcPr>
            <w:tcW w:w="1652" w:type="dxa"/>
            <w:vMerge w:val="restart"/>
            <w:tcBorders>
              <w:top w:val="single" w:color="000000" w:sz="4" w:space="0"/>
              <w:left w:val="single" w:color="000000" w:sz="4" w:space="0"/>
              <w:bottom w:val="single" w:color="000000" w:sz="4" w:space="0"/>
              <w:right w:val="single" w:color="000000" w:sz="4" w:space="0"/>
            </w:tcBorders>
            <w:vAlign w:val="center"/>
          </w:tcPr>
          <w:p w14:paraId="6C8DDE6C">
            <w:pPr>
              <w:pStyle w:val="42"/>
            </w:pPr>
            <w:r>
              <w:t>统一社会信用代码</w:t>
            </w:r>
          </w:p>
        </w:tc>
        <w:tc>
          <w:tcPr>
            <w:tcW w:w="2412" w:type="dxa"/>
            <w:gridSpan w:val="2"/>
            <w:vMerge w:val="restart"/>
            <w:tcBorders>
              <w:top w:val="single" w:color="000000" w:sz="4" w:space="0"/>
              <w:left w:val="single" w:color="000000" w:sz="4" w:space="0"/>
              <w:right w:val="single" w:color="000000" w:sz="4" w:space="0"/>
            </w:tcBorders>
          </w:tcPr>
          <w:p w14:paraId="3FBF0F2C">
            <w:pPr>
              <w:pStyle w:val="42"/>
            </w:pPr>
          </w:p>
        </w:tc>
        <w:tc>
          <w:tcPr>
            <w:tcW w:w="705" w:type="dxa"/>
            <w:vMerge w:val="restart"/>
            <w:tcBorders>
              <w:top w:val="single" w:color="000000" w:sz="4" w:space="0"/>
              <w:left w:val="single" w:color="000000" w:sz="4" w:space="0"/>
              <w:bottom w:val="single" w:color="000000" w:sz="4" w:space="0"/>
              <w:right w:val="single" w:color="000000" w:sz="4" w:space="0"/>
            </w:tcBorders>
            <w:vAlign w:val="center"/>
          </w:tcPr>
          <w:p w14:paraId="0E7EB54E">
            <w:pPr>
              <w:pStyle w:val="42"/>
            </w:pPr>
            <w:r>
              <w:t>其中</w:t>
            </w: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14:paraId="1FD41296">
            <w:pPr>
              <w:pStyle w:val="42"/>
            </w:pPr>
            <w:r>
              <w:t>注册职业资格</w:t>
            </w:r>
          </w:p>
        </w:tc>
        <w:tc>
          <w:tcPr>
            <w:tcW w:w="2751" w:type="dxa"/>
            <w:gridSpan w:val="2"/>
            <w:tcBorders>
              <w:top w:val="single" w:color="000000" w:sz="4" w:space="0"/>
              <w:left w:val="single" w:color="000000" w:sz="4" w:space="0"/>
              <w:bottom w:val="single" w:color="000000" w:sz="4" w:space="0"/>
              <w:right w:val="single" w:color="000000" w:sz="4" w:space="0"/>
            </w:tcBorders>
          </w:tcPr>
          <w:p w14:paraId="7A081677">
            <w:pPr>
              <w:pStyle w:val="42"/>
            </w:pPr>
          </w:p>
        </w:tc>
      </w:tr>
      <w:tr w14:paraId="5D65FF68">
        <w:tblPrEx>
          <w:tblCellMar>
            <w:top w:w="0" w:type="dxa"/>
            <w:left w:w="107" w:type="dxa"/>
            <w:bottom w:w="0" w:type="dxa"/>
            <w:right w:w="144" w:type="dxa"/>
          </w:tblCellMar>
        </w:tblPrEx>
        <w:trPr>
          <w:trHeight w:val="521" w:hRule="atLeast"/>
        </w:trPr>
        <w:tc>
          <w:tcPr>
            <w:tcW w:w="1652" w:type="dxa"/>
            <w:vMerge w:val="continue"/>
            <w:tcBorders>
              <w:top w:val="nil"/>
              <w:left w:val="single" w:color="000000" w:sz="4" w:space="0"/>
              <w:bottom w:val="single" w:color="000000" w:sz="4" w:space="0"/>
              <w:right w:val="single" w:color="000000" w:sz="4" w:space="0"/>
            </w:tcBorders>
          </w:tcPr>
          <w:p w14:paraId="59BA2353">
            <w:pPr>
              <w:pStyle w:val="42"/>
            </w:pPr>
          </w:p>
        </w:tc>
        <w:tc>
          <w:tcPr>
            <w:tcW w:w="2412" w:type="dxa"/>
            <w:gridSpan w:val="2"/>
            <w:vMerge w:val="continue"/>
            <w:tcBorders>
              <w:left w:val="single" w:color="000000" w:sz="4" w:space="0"/>
              <w:bottom w:val="single" w:color="000000" w:sz="4" w:space="0"/>
              <w:right w:val="single" w:color="000000" w:sz="4" w:space="0"/>
            </w:tcBorders>
          </w:tcPr>
          <w:p w14:paraId="00E53CEB">
            <w:pPr>
              <w:pStyle w:val="42"/>
            </w:pPr>
          </w:p>
        </w:tc>
        <w:tc>
          <w:tcPr>
            <w:tcW w:w="705" w:type="dxa"/>
            <w:vMerge w:val="continue"/>
            <w:tcBorders>
              <w:top w:val="nil"/>
              <w:left w:val="single" w:color="000000" w:sz="4" w:space="0"/>
              <w:bottom w:val="nil"/>
              <w:right w:val="single" w:color="000000" w:sz="4" w:space="0"/>
            </w:tcBorders>
          </w:tcPr>
          <w:p w14:paraId="310F11AB">
            <w:pPr>
              <w:pStyle w:val="42"/>
            </w:pP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14:paraId="13454890">
            <w:pPr>
              <w:pStyle w:val="42"/>
            </w:pPr>
            <w:r>
              <w:t>高级职称</w:t>
            </w:r>
          </w:p>
        </w:tc>
        <w:tc>
          <w:tcPr>
            <w:tcW w:w="2751" w:type="dxa"/>
            <w:gridSpan w:val="2"/>
            <w:tcBorders>
              <w:top w:val="single" w:color="000000" w:sz="4" w:space="0"/>
              <w:left w:val="single" w:color="000000" w:sz="4" w:space="0"/>
              <w:bottom w:val="single" w:color="000000" w:sz="4" w:space="0"/>
              <w:right w:val="single" w:color="000000" w:sz="4" w:space="0"/>
            </w:tcBorders>
          </w:tcPr>
          <w:p w14:paraId="57F89087">
            <w:pPr>
              <w:pStyle w:val="42"/>
            </w:pPr>
          </w:p>
        </w:tc>
      </w:tr>
      <w:tr w14:paraId="638CF9C8">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2482B42C">
            <w:pPr>
              <w:pStyle w:val="42"/>
            </w:pPr>
            <w:r>
              <w:t>注册资本</w:t>
            </w:r>
          </w:p>
        </w:tc>
        <w:tc>
          <w:tcPr>
            <w:tcW w:w="2412" w:type="dxa"/>
            <w:gridSpan w:val="2"/>
            <w:tcBorders>
              <w:top w:val="single" w:color="000000" w:sz="4" w:space="0"/>
              <w:left w:val="single" w:color="000000" w:sz="4" w:space="0"/>
              <w:bottom w:val="single" w:color="000000" w:sz="4" w:space="0"/>
              <w:right w:val="single" w:color="000000" w:sz="4" w:space="0"/>
            </w:tcBorders>
          </w:tcPr>
          <w:p w14:paraId="4ECF9356">
            <w:pPr>
              <w:pStyle w:val="42"/>
            </w:pPr>
          </w:p>
        </w:tc>
        <w:tc>
          <w:tcPr>
            <w:tcW w:w="705" w:type="dxa"/>
            <w:vMerge w:val="continue"/>
            <w:tcBorders>
              <w:top w:val="nil"/>
              <w:left w:val="single" w:color="000000" w:sz="4" w:space="0"/>
              <w:bottom w:val="nil"/>
              <w:right w:val="single" w:color="000000" w:sz="4" w:space="0"/>
            </w:tcBorders>
          </w:tcPr>
          <w:p w14:paraId="6CEDC389">
            <w:pPr>
              <w:pStyle w:val="42"/>
            </w:pP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14:paraId="4070C913">
            <w:pPr>
              <w:pStyle w:val="42"/>
            </w:pPr>
            <w:r>
              <w:t>中级职称</w:t>
            </w:r>
          </w:p>
        </w:tc>
        <w:tc>
          <w:tcPr>
            <w:tcW w:w="2751" w:type="dxa"/>
            <w:gridSpan w:val="2"/>
            <w:tcBorders>
              <w:top w:val="single" w:color="000000" w:sz="4" w:space="0"/>
              <w:left w:val="single" w:color="000000" w:sz="4" w:space="0"/>
              <w:bottom w:val="single" w:color="000000" w:sz="4" w:space="0"/>
              <w:right w:val="single" w:color="000000" w:sz="4" w:space="0"/>
            </w:tcBorders>
          </w:tcPr>
          <w:p w14:paraId="707DE5CD">
            <w:pPr>
              <w:pStyle w:val="42"/>
            </w:pPr>
          </w:p>
        </w:tc>
      </w:tr>
      <w:tr w14:paraId="5EC50CA2">
        <w:tblPrEx>
          <w:tblCellMar>
            <w:top w:w="0" w:type="dxa"/>
            <w:left w:w="107" w:type="dxa"/>
            <w:bottom w:w="0" w:type="dxa"/>
            <w:right w:w="144" w:type="dxa"/>
          </w:tblCellMar>
        </w:tblPrEx>
        <w:trPr>
          <w:trHeight w:val="522"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31CC4B04">
            <w:pPr>
              <w:pStyle w:val="42"/>
            </w:pPr>
            <w:r>
              <w:t>开户银行</w:t>
            </w:r>
          </w:p>
        </w:tc>
        <w:tc>
          <w:tcPr>
            <w:tcW w:w="2412" w:type="dxa"/>
            <w:gridSpan w:val="2"/>
            <w:tcBorders>
              <w:top w:val="single" w:color="000000" w:sz="4" w:space="0"/>
              <w:left w:val="single" w:color="000000" w:sz="4" w:space="0"/>
              <w:bottom w:val="single" w:color="000000" w:sz="4" w:space="0"/>
              <w:right w:val="single" w:color="000000" w:sz="4" w:space="0"/>
            </w:tcBorders>
          </w:tcPr>
          <w:p w14:paraId="461B62B9">
            <w:pPr>
              <w:pStyle w:val="42"/>
            </w:pPr>
          </w:p>
        </w:tc>
        <w:tc>
          <w:tcPr>
            <w:tcW w:w="705" w:type="dxa"/>
            <w:vMerge w:val="continue"/>
            <w:tcBorders>
              <w:top w:val="nil"/>
              <w:left w:val="single" w:color="000000" w:sz="4" w:space="0"/>
              <w:bottom w:val="nil"/>
              <w:right w:val="single" w:color="000000" w:sz="4" w:space="0"/>
            </w:tcBorders>
          </w:tcPr>
          <w:p w14:paraId="0DA3C19F">
            <w:pPr>
              <w:pStyle w:val="42"/>
            </w:pP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14:paraId="2CD9F4DA">
            <w:pPr>
              <w:pStyle w:val="42"/>
            </w:pPr>
            <w:r>
              <w:t>初级职称</w:t>
            </w:r>
          </w:p>
        </w:tc>
        <w:tc>
          <w:tcPr>
            <w:tcW w:w="2751" w:type="dxa"/>
            <w:gridSpan w:val="2"/>
            <w:tcBorders>
              <w:top w:val="single" w:color="000000" w:sz="4" w:space="0"/>
              <w:left w:val="single" w:color="000000" w:sz="4" w:space="0"/>
              <w:bottom w:val="single" w:color="000000" w:sz="4" w:space="0"/>
              <w:right w:val="single" w:color="000000" w:sz="4" w:space="0"/>
            </w:tcBorders>
          </w:tcPr>
          <w:p w14:paraId="14666A07">
            <w:pPr>
              <w:pStyle w:val="42"/>
            </w:pPr>
          </w:p>
        </w:tc>
      </w:tr>
      <w:tr w14:paraId="0D7BA9C1">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5C707707">
            <w:pPr>
              <w:pStyle w:val="42"/>
            </w:pPr>
            <w:r>
              <w:t>账号</w:t>
            </w:r>
          </w:p>
        </w:tc>
        <w:tc>
          <w:tcPr>
            <w:tcW w:w="2412" w:type="dxa"/>
            <w:gridSpan w:val="2"/>
            <w:tcBorders>
              <w:top w:val="single" w:color="000000" w:sz="4" w:space="0"/>
              <w:left w:val="single" w:color="000000" w:sz="4" w:space="0"/>
              <w:bottom w:val="single" w:color="000000" w:sz="4" w:space="0"/>
              <w:right w:val="single" w:color="000000" w:sz="4" w:space="0"/>
            </w:tcBorders>
          </w:tcPr>
          <w:p w14:paraId="6F13078B">
            <w:pPr>
              <w:pStyle w:val="42"/>
            </w:pPr>
          </w:p>
        </w:tc>
        <w:tc>
          <w:tcPr>
            <w:tcW w:w="705" w:type="dxa"/>
            <w:vMerge w:val="continue"/>
            <w:tcBorders>
              <w:top w:val="nil"/>
              <w:left w:val="single" w:color="000000" w:sz="4" w:space="0"/>
              <w:bottom w:val="single" w:color="000000" w:sz="4" w:space="0"/>
              <w:right w:val="single" w:color="000000" w:sz="4" w:space="0"/>
            </w:tcBorders>
          </w:tcPr>
          <w:p w14:paraId="3EE1A3CE">
            <w:pPr>
              <w:pStyle w:val="42"/>
            </w:pP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14:paraId="7D06212A">
            <w:pPr>
              <w:pStyle w:val="42"/>
            </w:pPr>
            <w:r>
              <w:t>其他</w:t>
            </w:r>
          </w:p>
        </w:tc>
        <w:tc>
          <w:tcPr>
            <w:tcW w:w="2751" w:type="dxa"/>
            <w:gridSpan w:val="2"/>
            <w:tcBorders>
              <w:top w:val="single" w:color="000000" w:sz="4" w:space="0"/>
              <w:left w:val="single" w:color="000000" w:sz="4" w:space="0"/>
              <w:bottom w:val="single" w:color="000000" w:sz="4" w:space="0"/>
              <w:right w:val="single" w:color="000000" w:sz="4" w:space="0"/>
            </w:tcBorders>
          </w:tcPr>
          <w:p w14:paraId="65331748">
            <w:pPr>
              <w:pStyle w:val="42"/>
            </w:pPr>
          </w:p>
        </w:tc>
      </w:tr>
      <w:tr w14:paraId="7BE259D4">
        <w:tblPrEx>
          <w:tblCellMar>
            <w:top w:w="0" w:type="dxa"/>
            <w:left w:w="107" w:type="dxa"/>
            <w:bottom w:w="0" w:type="dxa"/>
            <w:right w:w="144" w:type="dxa"/>
          </w:tblCellMar>
        </w:tblPrEx>
        <w:trPr>
          <w:trHeight w:val="814"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6D13C3E8">
            <w:pPr>
              <w:pStyle w:val="42"/>
            </w:pPr>
            <w:r>
              <w:t>经营范围</w:t>
            </w:r>
          </w:p>
        </w:tc>
        <w:tc>
          <w:tcPr>
            <w:tcW w:w="7590" w:type="dxa"/>
            <w:gridSpan w:val="7"/>
            <w:tcBorders>
              <w:top w:val="single" w:color="000000" w:sz="4" w:space="0"/>
              <w:left w:val="single" w:color="000000" w:sz="4" w:space="0"/>
              <w:bottom w:val="single" w:color="000000" w:sz="4" w:space="0"/>
              <w:right w:val="single" w:color="000000" w:sz="4" w:space="0"/>
            </w:tcBorders>
          </w:tcPr>
          <w:p w14:paraId="78D40C67">
            <w:pPr>
              <w:pStyle w:val="42"/>
            </w:pPr>
          </w:p>
        </w:tc>
      </w:tr>
      <w:tr w14:paraId="3492BC37">
        <w:tblPrEx>
          <w:tblCellMar>
            <w:top w:w="0" w:type="dxa"/>
            <w:left w:w="107" w:type="dxa"/>
            <w:bottom w:w="0" w:type="dxa"/>
            <w:right w:w="144" w:type="dxa"/>
          </w:tblCellMar>
        </w:tblPrEx>
        <w:trPr>
          <w:trHeight w:val="522"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17B70A53">
            <w:pPr>
              <w:pStyle w:val="42"/>
            </w:pPr>
            <w:r>
              <w:t>备注</w:t>
            </w:r>
          </w:p>
        </w:tc>
        <w:tc>
          <w:tcPr>
            <w:tcW w:w="7590" w:type="dxa"/>
            <w:gridSpan w:val="7"/>
            <w:tcBorders>
              <w:top w:val="single" w:color="000000" w:sz="4" w:space="0"/>
              <w:left w:val="single" w:color="000000" w:sz="4" w:space="0"/>
              <w:bottom w:val="single" w:color="000000" w:sz="4" w:space="0"/>
              <w:right w:val="single" w:color="000000" w:sz="4" w:space="0"/>
            </w:tcBorders>
          </w:tcPr>
          <w:p w14:paraId="3B2F49A1">
            <w:pPr>
              <w:pStyle w:val="42"/>
            </w:pPr>
          </w:p>
        </w:tc>
      </w:tr>
    </w:tbl>
    <w:p w14:paraId="5CE76D64">
      <w:pPr>
        <w:widowControl/>
        <w:spacing w:line="240" w:lineRule="auto"/>
        <w:ind w:firstLine="0" w:firstLineChars="0"/>
        <w:jc w:val="left"/>
        <w:rPr>
          <w:sz w:val="21"/>
        </w:rPr>
      </w:pPr>
    </w:p>
    <w:p w14:paraId="68503A11">
      <w:pPr>
        <w:ind w:firstLine="480"/>
        <w:rPr>
          <w:rFonts w:hint="default" w:eastAsia="宋体"/>
          <w:lang w:val="en-US" w:eastAsia="zh-CN"/>
        </w:rPr>
      </w:pPr>
      <w:r>
        <w:rPr>
          <w:rFonts w:hint="eastAsia"/>
        </w:rPr>
        <w:t>供应商名称（盖章）：</w:t>
      </w:r>
      <w:r>
        <w:rPr>
          <w:rFonts w:hint="eastAsia"/>
          <w:lang w:val="en-US" w:eastAsia="zh-CN"/>
        </w:rPr>
        <w:t xml:space="preserve">      </w:t>
      </w:r>
    </w:p>
    <w:p w14:paraId="136EB8FF">
      <w:pPr>
        <w:ind w:firstLine="480"/>
        <w:rPr>
          <w:rFonts w:hint="default" w:eastAsia="宋体"/>
          <w:lang w:val="en-US" w:eastAsia="zh-CN"/>
        </w:rPr>
      </w:pPr>
      <w:r>
        <w:rPr>
          <w:rFonts w:hint="eastAsia"/>
        </w:rPr>
        <w:t>法定代表人或其授权代表（签字或盖章）：</w:t>
      </w:r>
      <w:r>
        <w:rPr>
          <w:rFonts w:hint="eastAsia"/>
          <w:lang w:val="en-US" w:eastAsia="zh-CN"/>
        </w:rPr>
        <w:t xml:space="preserve">     </w:t>
      </w:r>
    </w:p>
    <w:p w14:paraId="577D0B40">
      <w:pPr>
        <w:ind w:firstLine="480"/>
      </w:pPr>
      <w:r>
        <w:rPr>
          <w:rFonts w:hint="eastAsia"/>
        </w:rPr>
        <w:t>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p w14:paraId="5094D0B0">
      <w:pPr>
        <w:widowControl/>
        <w:spacing w:line="240" w:lineRule="auto"/>
        <w:ind w:firstLine="0" w:firstLineChars="0"/>
        <w:jc w:val="left"/>
        <w:rPr>
          <w:sz w:val="21"/>
        </w:rPr>
      </w:pPr>
      <w:r>
        <w:rPr>
          <w:sz w:val="21"/>
        </w:rPr>
        <w:br w:type="page"/>
      </w:r>
      <w:r>
        <w:t>附件</w:t>
      </w:r>
      <w:r>
        <w:rPr>
          <w:rFonts w:hint="eastAsia"/>
        </w:rPr>
        <w:t>2</w:t>
      </w:r>
    </w:p>
    <w:p w14:paraId="7110E2CD">
      <w:pPr>
        <w:pStyle w:val="10"/>
        <w:jc w:val="center"/>
      </w:pPr>
      <w:bookmarkStart w:id="513" w:name="_Toc23652"/>
      <w:bookmarkStart w:id="514" w:name="_Toc13911"/>
      <w:bookmarkStart w:id="515" w:name="_Toc30689"/>
      <w:bookmarkStart w:id="516" w:name="_Toc10358"/>
      <w:bookmarkStart w:id="517" w:name="_Toc24515"/>
      <w:bookmarkStart w:id="518" w:name="_Toc22883"/>
      <w:r>
        <w:rPr>
          <w:rFonts w:hint="eastAsia"/>
        </w:rPr>
        <w:t>符合参加</w:t>
      </w:r>
      <w:r>
        <w:rPr>
          <w:rFonts w:hint="eastAsia"/>
          <w:lang w:val="en-US" w:eastAsia="zh-CN"/>
        </w:rPr>
        <w:t>政府</w:t>
      </w:r>
      <w:r>
        <w:rPr>
          <w:rFonts w:hint="eastAsia"/>
        </w:rPr>
        <w:t>采购活动应当具备的一般条件的承诺函</w:t>
      </w:r>
      <w:bookmarkEnd w:id="513"/>
      <w:bookmarkEnd w:id="514"/>
      <w:bookmarkEnd w:id="515"/>
      <w:bookmarkEnd w:id="516"/>
      <w:bookmarkEnd w:id="517"/>
      <w:bookmarkEnd w:id="518"/>
    </w:p>
    <w:p w14:paraId="18753AF4">
      <w:pPr>
        <w:snapToGrid w:val="0"/>
        <w:ind w:firstLine="0" w:firstLineChars="0"/>
        <w:rPr>
          <w:rFonts w:ascii="Times New Roman" w:hAnsi="Times New Roman" w:cs="Times New Roman"/>
          <w:szCs w:val="28"/>
        </w:rPr>
      </w:pPr>
    </w:p>
    <w:p w14:paraId="676977A7">
      <w:pPr>
        <w:snapToGrid w:val="0"/>
        <w:ind w:firstLine="0" w:firstLineChars="0"/>
        <w:rPr>
          <w:rFonts w:ascii="Times New Roman" w:hAnsi="Times New Roman" w:cs="Times New Roman"/>
          <w:szCs w:val="24"/>
        </w:rPr>
      </w:pPr>
      <w:r>
        <w:rPr>
          <w:rFonts w:hint="eastAsia" w:cs="Times New Roman"/>
          <w:szCs w:val="28"/>
          <w:lang w:eastAsia="zh-CN"/>
        </w:rPr>
        <w:t>龙游县公证处</w:t>
      </w:r>
      <w:r>
        <w:rPr>
          <w:rFonts w:ascii="Times New Roman" w:hAnsi="Times New Roman" w:cs="Times New Roman"/>
          <w:szCs w:val="24"/>
        </w:rPr>
        <w:t>：</w:t>
      </w:r>
    </w:p>
    <w:p w14:paraId="6682C79B">
      <w:pPr>
        <w:snapToGrid w:val="0"/>
        <w:ind w:firstLine="482" w:firstLineChars="0"/>
        <w:rPr>
          <w:rFonts w:ascii="Times New Roman" w:hAnsi="Times New Roman" w:cs="Times New Roman"/>
          <w:szCs w:val="24"/>
        </w:rPr>
      </w:pPr>
      <w:r>
        <w:rPr>
          <w:rFonts w:ascii="Times New Roman" w:hAnsi="Times New Roman" w:cs="Times New Roman"/>
          <w:szCs w:val="24"/>
        </w:rPr>
        <w:t>我方参加</w:t>
      </w:r>
      <w:r>
        <w:rPr>
          <w:rFonts w:ascii="Times New Roman" w:hAnsi="Times New Roman" w:cs="Times New Roman"/>
          <w:szCs w:val="24"/>
          <w:u w:val="single"/>
        </w:rPr>
        <w:t xml:space="preserve"> </w:t>
      </w:r>
      <w:r>
        <w:rPr>
          <w:rFonts w:hint="eastAsia" w:cs="Times New Roman"/>
          <w:szCs w:val="24"/>
          <w:u w:val="single"/>
          <w:lang w:eastAsia="zh-CN"/>
        </w:rPr>
        <w:t>龙游县公证处公证派驻法院执行辅助人员</w:t>
      </w:r>
      <w:r>
        <w:rPr>
          <w:rFonts w:ascii="Times New Roman" w:hAnsi="Times New Roman" w:cs="Times New Roman"/>
          <w:szCs w:val="24"/>
          <w:u w:val="single"/>
        </w:rPr>
        <w:t xml:space="preserve"> （项目编号</w:t>
      </w:r>
      <w:r>
        <w:rPr>
          <w:rFonts w:hint="eastAsia" w:ascii="Times New Roman" w:hAnsi="Times New Roman" w:cs="Times New Roman"/>
          <w:szCs w:val="24"/>
          <w:u w:val="single"/>
        </w:rPr>
        <w:t>：</w:t>
      </w:r>
      <w:r>
        <w:rPr>
          <w:rFonts w:ascii="Times New Roman" w:hAnsi="Times New Roman" w:cs="Times New Roman"/>
          <w:szCs w:val="24"/>
          <w:u w:val="single"/>
        </w:rPr>
        <w:t xml:space="preserve"> </w:t>
      </w:r>
      <w:r>
        <w:rPr>
          <w:rFonts w:hint="eastAsia" w:cs="Times New Roman"/>
          <w:szCs w:val="24"/>
          <w:u w:val="single"/>
          <w:lang w:eastAsia="zh-CN"/>
        </w:rPr>
        <w:t>LYJY2024072</w:t>
      </w:r>
      <w:r>
        <w:rPr>
          <w:rFonts w:ascii="Times New Roman" w:hAnsi="Times New Roman" w:cs="Times New Roman"/>
          <w:szCs w:val="24"/>
          <w:u w:val="single"/>
        </w:rPr>
        <w:t xml:space="preserve"> ）</w:t>
      </w:r>
      <w:r>
        <w:rPr>
          <w:rFonts w:hint="eastAsia" w:cs="Times New Roman"/>
          <w:szCs w:val="24"/>
        </w:rPr>
        <w:t>政府</w:t>
      </w:r>
      <w:r>
        <w:rPr>
          <w:rFonts w:ascii="Times New Roman" w:hAnsi="Times New Roman" w:cs="Times New Roman"/>
          <w:szCs w:val="24"/>
        </w:rPr>
        <w:t>采购活动，郑重承诺：</w:t>
      </w:r>
    </w:p>
    <w:p w14:paraId="2F608022">
      <w:pPr>
        <w:snapToGrid w:val="0"/>
        <w:ind w:firstLine="482" w:firstLineChars="0"/>
        <w:rPr>
          <w:rFonts w:ascii="Times New Roman" w:hAnsi="Times New Roman" w:cs="Times New Roman"/>
          <w:szCs w:val="24"/>
        </w:rPr>
      </w:pPr>
      <w:r>
        <w:rPr>
          <w:rFonts w:ascii="Times New Roman" w:hAnsi="Times New Roman" w:cs="Times New Roman"/>
          <w:szCs w:val="24"/>
        </w:rPr>
        <w:t>一、具备《</w:t>
      </w:r>
      <w:r>
        <w:rPr>
          <w:rFonts w:hint="eastAsia" w:ascii="Times New Roman" w:hAnsi="Times New Roman" w:cs="Times New Roman"/>
          <w:szCs w:val="24"/>
        </w:rPr>
        <w:t>中华人民共和国政府采购法</w:t>
      </w:r>
      <w:r>
        <w:rPr>
          <w:rFonts w:ascii="Times New Roman" w:hAnsi="Times New Roman" w:cs="Times New Roman"/>
          <w:szCs w:val="24"/>
        </w:rPr>
        <w:t>》第十二条规定的条件</w:t>
      </w:r>
      <w:r>
        <w:rPr>
          <w:rFonts w:hint="eastAsia" w:ascii="Times New Roman" w:hAnsi="Times New Roman" w:cs="Times New Roman"/>
          <w:szCs w:val="24"/>
        </w:rPr>
        <w:t>：</w:t>
      </w:r>
    </w:p>
    <w:p w14:paraId="7C5970FB">
      <w:pPr>
        <w:ind w:firstLine="480"/>
      </w:pPr>
      <w:r>
        <w:rPr>
          <w:rFonts w:hint="eastAsia"/>
        </w:rPr>
        <w:t>1.</w:t>
      </w:r>
      <w:r>
        <w:t>具有独立承担民事责任的能力；</w:t>
      </w:r>
    </w:p>
    <w:p w14:paraId="527D5F4C">
      <w:pPr>
        <w:ind w:firstLine="480"/>
      </w:pPr>
      <w:r>
        <w:rPr>
          <w:rFonts w:hint="eastAsia"/>
        </w:rPr>
        <w:t>2.</w:t>
      </w:r>
      <w:r>
        <w:t>具有良好的商业信誉和健全的财务会计制度；</w:t>
      </w:r>
    </w:p>
    <w:p w14:paraId="054A7191">
      <w:pPr>
        <w:ind w:firstLine="480"/>
      </w:pPr>
      <w:r>
        <w:rPr>
          <w:rFonts w:hint="eastAsia"/>
        </w:rPr>
        <w:t>3.</w:t>
      </w:r>
      <w:r>
        <w:t>具有履行合同所必需的设备和专业技术能力；</w:t>
      </w:r>
    </w:p>
    <w:p w14:paraId="6C038F85">
      <w:pPr>
        <w:ind w:firstLine="480"/>
      </w:pPr>
      <w:r>
        <w:rPr>
          <w:rFonts w:hint="eastAsia"/>
        </w:rPr>
        <w:t>4.</w:t>
      </w:r>
      <w:r>
        <w:t>有依法缴纳税收和社会保障资金的良好记录；</w:t>
      </w:r>
    </w:p>
    <w:p w14:paraId="0EA3908B">
      <w:pPr>
        <w:ind w:firstLine="480"/>
      </w:pPr>
      <w:r>
        <w:rPr>
          <w:rFonts w:hint="eastAsia"/>
        </w:rPr>
        <w:t>5.</w:t>
      </w:r>
      <w:r>
        <w:t>参加企</w:t>
      </w:r>
      <w:r>
        <w:rPr>
          <w:rFonts w:hint="eastAsia"/>
        </w:rPr>
        <w:t>业</w:t>
      </w:r>
      <w:r>
        <w:t>采购活动前三年内，在经营活动中没有重大违法记录；</w:t>
      </w:r>
    </w:p>
    <w:p w14:paraId="1809D2C9">
      <w:pPr>
        <w:ind w:firstLine="480"/>
        <w:rPr>
          <w:rFonts w:ascii="Times New Roman" w:hAnsi="Times New Roman" w:cs="Times New Roman"/>
          <w:szCs w:val="24"/>
        </w:rPr>
      </w:pPr>
      <w:r>
        <w:rPr>
          <w:rFonts w:hint="eastAsia"/>
        </w:rPr>
        <w:t>6.</w:t>
      </w:r>
      <w:r>
        <w:t>具有法律、行政法规规定的其他条件。</w:t>
      </w:r>
    </w:p>
    <w:p w14:paraId="038FABB9">
      <w:pPr>
        <w:snapToGrid w:val="0"/>
        <w:ind w:firstLine="482" w:firstLineChars="0"/>
        <w:rPr>
          <w:rFonts w:ascii="Times New Roman" w:hAnsi="Times New Roman" w:cs="Times New Roman"/>
          <w:szCs w:val="24"/>
        </w:rPr>
      </w:pPr>
      <w:r>
        <w:rPr>
          <w:rFonts w:ascii="Times New Roman" w:hAnsi="Times New Roman" w:cs="Times New Roman"/>
          <w:szCs w:val="24"/>
        </w:rPr>
        <w:t>二、未被信用中国（www.creditchina.gov.cn）、中国政府采购网（www.ccgp.gov.cn）列入失信被执行人、重大税收违法案件当事人名单、政府采购严重违法失信行为记录名单。</w:t>
      </w:r>
    </w:p>
    <w:p w14:paraId="5DF524FD">
      <w:pPr>
        <w:snapToGrid w:val="0"/>
        <w:ind w:firstLine="482" w:firstLineChars="0"/>
        <w:rPr>
          <w:rFonts w:ascii="Times New Roman" w:hAnsi="Times New Roman" w:cs="Times New Roman"/>
          <w:szCs w:val="24"/>
        </w:rPr>
      </w:pPr>
      <w:r>
        <w:rPr>
          <w:rFonts w:ascii="Times New Roman" w:hAnsi="Times New Roman" w:cs="Times New Roman"/>
          <w:szCs w:val="24"/>
        </w:rPr>
        <w:t>三、没有下列情形</w:t>
      </w:r>
    </w:p>
    <w:p w14:paraId="45006E39">
      <w:pPr>
        <w:ind w:firstLine="480"/>
      </w:pPr>
      <w:r>
        <w:rPr>
          <w:rFonts w:hint="eastAsia"/>
        </w:rPr>
        <w:t>1.</w:t>
      </w:r>
      <w:r>
        <w:t>单位负责人为同一人或者存在直接控股、管理关系的不同供应商参加同一合同项下的国企采购活动的；</w:t>
      </w:r>
    </w:p>
    <w:p w14:paraId="0678928A">
      <w:pPr>
        <w:ind w:firstLine="480"/>
      </w:pPr>
      <w:r>
        <w:rPr>
          <w:rFonts w:hint="eastAsia"/>
        </w:rPr>
        <w:t>2.</w:t>
      </w:r>
      <w:r>
        <w:t>为采购项目提供整体设计、规范编制或者项目管理、监理、检测等服务后再参加该采购项目的其他采购活动的。</w:t>
      </w:r>
    </w:p>
    <w:p w14:paraId="33C9A663">
      <w:pPr>
        <w:ind w:firstLine="480"/>
      </w:pPr>
      <w:r>
        <w:t>我方对上述承诺的内容事项真实性负责，如有虚假，由我方承担相关法律责任。</w:t>
      </w:r>
    </w:p>
    <w:p w14:paraId="37CF63A1">
      <w:pPr>
        <w:ind w:firstLine="480"/>
      </w:pPr>
    </w:p>
    <w:p w14:paraId="7DAE2101">
      <w:pPr>
        <w:ind w:firstLine="480"/>
      </w:pPr>
    </w:p>
    <w:p w14:paraId="15B7C8AB">
      <w:pPr>
        <w:ind w:firstLine="480"/>
      </w:pPr>
      <w:r>
        <w:t>供应商</w:t>
      </w:r>
      <w:r>
        <w:rPr>
          <w:rFonts w:hint="eastAsia"/>
        </w:rPr>
        <w:t>名称（</w:t>
      </w:r>
      <w:r>
        <w:t>盖单位公章</w:t>
      </w:r>
      <w:r>
        <w:rPr>
          <w:rFonts w:hint="eastAsia"/>
        </w:rPr>
        <w:t>）</w:t>
      </w:r>
      <w:r>
        <w:t xml:space="preserve">：                             </w:t>
      </w:r>
    </w:p>
    <w:p w14:paraId="3B6630D9">
      <w:pPr>
        <w:ind w:firstLine="480"/>
      </w:pPr>
      <w:r>
        <w:rPr>
          <w:rFonts w:hint="eastAsia"/>
          <w:lang w:val="zh-CN"/>
        </w:rPr>
        <w:t>法定代表人或授权委托人（签字或盖章）：</w:t>
      </w:r>
    </w:p>
    <w:p w14:paraId="193FBC24">
      <w:pPr>
        <w:widowControl/>
        <w:spacing w:line="360" w:lineRule="auto"/>
        <w:ind w:firstLine="480"/>
        <w:jc w:val="left"/>
        <w:rPr>
          <w:rFonts w:ascii="宋体" w:hAnsi="宋体"/>
          <w:w w:val="90"/>
          <w:szCs w:val="21"/>
        </w:rPr>
      </w:pPr>
      <w:r>
        <w:t>日期：</w:t>
      </w:r>
      <w:r>
        <w:rPr>
          <w:rFonts w:hint="eastAsia"/>
        </w:rPr>
        <w:t xml:space="preserve">   年   月  日</w:t>
      </w:r>
    </w:p>
    <w:p w14:paraId="73DA9FE1">
      <w:pPr>
        <w:widowControl/>
        <w:spacing w:line="360" w:lineRule="auto"/>
        <w:ind w:firstLine="431"/>
        <w:jc w:val="left"/>
        <w:rPr>
          <w:rFonts w:ascii="宋体" w:hAnsi="宋体"/>
          <w:w w:val="90"/>
          <w:szCs w:val="21"/>
        </w:rPr>
      </w:pPr>
      <w:r>
        <w:rPr>
          <w:rFonts w:ascii="宋体" w:hAnsi="宋体"/>
          <w:w w:val="90"/>
          <w:szCs w:val="21"/>
        </w:rPr>
        <w:br w:type="page"/>
      </w:r>
    </w:p>
    <w:p w14:paraId="324CE820">
      <w:pPr>
        <w:ind w:firstLine="480"/>
        <w:rPr>
          <w:rFonts w:hint="eastAsia" w:eastAsia="宋体"/>
          <w:lang w:eastAsia="zh-CN"/>
        </w:rPr>
      </w:pPr>
      <w:r>
        <w:rPr>
          <w:rFonts w:hint="eastAsia"/>
        </w:rPr>
        <w:t>附件</w:t>
      </w:r>
      <w:r>
        <w:rPr>
          <w:rFonts w:hint="eastAsia"/>
          <w:lang w:val="en-US" w:eastAsia="zh-CN"/>
        </w:rPr>
        <w:t>3</w:t>
      </w:r>
    </w:p>
    <w:p w14:paraId="7223FDD0">
      <w:pPr>
        <w:pStyle w:val="10"/>
        <w:ind w:firstLine="643"/>
        <w:jc w:val="center"/>
      </w:pPr>
      <w:bookmarkStart w:id="519" w:name="_Toc28018"/>
      <w:bookmarkStart w:id="520" w:name="_Toc23729"/>
      <w:bookmarkStart w:id="521" w:name="_Toc18362"/>
      <w:bookmarkStart w:id="522" w:name="_Toc17542"/>
      <w:bookmarkStart w:id="523" w:name="_Toc31791"/>
      <w:bookmarkStart w:id="524" w:name="_Toc14488"/>
      <w:bookmarkStart w:id="525" w:name="_Toc9605"/>
      <w:bookmarkStart w:id="526" w:name="_Toc10220"/>
      <w:r>
        <w:rPr>
          <w:rFonts w:hint="eastAsia"/>
        </w:rPr>
        <w:t>中小企业声明函</w:t>
      </w:r>
      <w:bookmarkEnd w:id="519"/>
      <w:bookmarkEnd w:id="520"/>
      <w:bookmarkEnd w:id="521"/>
      <w:bookmarkEnd w:id="522"/>
      <w:bookmarkEnd w:id="523"/>
      <w:bookmarkEnd w:id="524"/>
      <w:bookmarkEnd w:id="525"/>
      <w:r>
        <w:rPr>
          <w:rFonts w:hint="eastAsia"/>
        </w:rPr>
        <w:t>（服务）</w:t>
      </w:r>
      <w:bookmarkEnd w:id="526"/>
    </w:p>
    <w:p w14:paraId="20A0B2A6">
      <w:pPr>
        <w:snapToGrid w:val="0"/>
        <w:spacing w:line="360" w:lineRule="auto"/>
        <w:ind w:firstLine="480"/>
        <w:jc w:val="center"/>
        <w:rPr>
          <w:rFonts w:ascii="宋体" w:hAnsi="宋体"/>
          <w:szCs w:val="21"/>
        </w:rPr>
      </w:pPr>
    </w:p>
    <w:p w14:paraId="72B4CB9F">
      <w:pPr>
        <w:ind w:firstLine="480"/>
      </w:pPr>
      <w:r>
        <w:rPr>
          <w:rFonts w:hint="eastAsia"/>
        </w:rPr>
        <w:t>本公司（联合体）郑重声明，根据《政府采购促进中小企业发展管理办法》（财库〔2020〕46号）的规定，本公司参加</w:t>
      </w:r>
      <w:r>
        <w:rPr>
          <w:rFonts w:hint="eastAsia"/>
          <w:u w:val="single"/>
        </w:rPr>
        <w:t xml:space="preserve">  （单位名称）</w:t>
      </w:r>
      <w:r>
        <w:rPr>
          <w:rFonts w:hint="eastAsia"/>
        </w:rPr>
        <w:t>的</w:t>
      </w:r>
      <w:r>
        <w:rPr>
          <w:rFonts w:hint="eastAsia"/>
          <w:u w:val="single"/>
        </w:rPr>
        <w:t xml:space="preserve">  （项目名称）</w:t>
      </w:r>
      <w:r>
        <w:rPr>
          <w:rFonts w:hint="eastAsia"/>
        </w:rPr>
        <w:t>的采购活动，服务全部由符合政策要求的中小企业承接。相关企业（含联合体中的中小企业、签订分包意向协议的中小企业）的具体情况如下：</w:t>
      </w:r>
    </w:p>
    <w:p w14:paraId="4EAA4793">
      <w:pPr>
        <w:numPr>
          <w:ilvl w:val="0"/>
          <w:numId w:val="1"/>
        </w:numPr>
        <w:ind w:firstLine="480"/>
      </w:pPr>
      <w:r>
        <w:rPr>
          <w:rFonts w:hint="eastAsia"/>
          <w:u w:val="single"/>
        </w:rPr>
        <w:t xml:space="preserve"> （标的名称）</w:t>
      </w:r>
      <w:r>
        <w:rPr>
          <w:rFonts w:hint="eastAsia"/>
        </w:rPr>
        <w:t>，属于</w:t>
      </w:r>
      <w:r>
        <w:rPr>
          <w:rFonts w:hint="eastAsia"/>
          <w:u w:val="single"/>
        </w:rPr>
        <w:t xml:space="preserve">     </w:t>
      </w:r>
      <w:r>
        <w:rPr>
          <w:rFonts w:hint="eastAsia"/>
        </w:rPr>
        <w:t>（采购文件中明确的所属行业）；承接企业为</w:t>
      </w:r>
      <w:r>
        <w:rPr>
          <w:rFonts w:hint="eastAsia"/>
          <w:u w:val="single"/>
        </w:rPr>
        <w:t xml:space="preserve">  （企业名称）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万元，属于（中型企业、小型企业、微型企业）；</w:t>
      </w:r>
    </w:p>
    <w:p w14:paraId="22CCD07F">
      <w:pPr>
        <w:ind w:firstLine="480"/>
      </w:pPr>
      <w:r>
        <w:rPr>
          <w:rFonts w:hint="eastAsia"/>
        </w:rPr>
        <w:t>2.</w:t>
      </w:r>
      <w:r>
        <w:rPr>
          <w:rFonts w:hint="eastAsia"/>
          <w:u w:val="single"/>
        </w:rPr>
        <w:t xml:space="preserve"> （标的名称）</w:t>
      </w:r>
      <w:r>
        <w:rPr>
          <w:rFonts w:hint="eastAsia"/>
        </w:rPr>
        <w:t>，属于</w:t>
      </w:r>
      <w:r>
        <w:rPr>
          <w:rFonts w:hint="eastAsia"/>
          <w:u w:val="single"/>
        </w:rPr>
        <w:t xml:space="preserve">     </w:t>
      </w:r>
      <w:r>
        <w:rPr>
          <w:rFonts w:hint="eastAsia"/>
        </w:rPr>
        <w:t>（采购文件中明确的所属行业）；承接企业为</w:t>
      </w:r>
      <w:r>
        <w:rPr>
          <w:rFonts w:hint="eastAsia"/>
          <w:u w:val="single"/>
        </w:rPr>
        <w:t xml:space="preserve">  （企业名称）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万元，属于（中型企业、小型企业、微型企业）；</w:t>
      </w:r>
    </w:p>
    <w:p w14:paraId="55F17500">
      <w:pPr>
        <w:ind w:firstLine="480"/>
      </w:pPr>
      <w:r>
        <w:rPr>
          <w:rFonts w:hint="eastAsia"/>
        </w:rPr>
        <w:t>…………</w:t>
      </w:r>
    </w:p>
    <w:p w14:paraId="356046B6">
      <w:pPr>
        <w:ind w:firstLine="480"/>
      </w:pPr>
      <w:r>
        <w:rPr>
          <w:rFonts w:hint="eastAsia"/>
        </w:rPr>
        <w:t>以上企业，不属于大企业的分支机构，不存在控股股东为大企业的情形，也不存在与大企业的负责人为同一人的情形。</w:t>
      </w:r>
    </w:p>
    <w:p w14:paraId="64D05006">
      <w:pPr>
        <w:ind w:firstLine="480"/>
      </w:pPr>
      <w:r>
        <w:rPr>
          <w:rFonts w:hint="eastAsia"/>
        </w:rPr>
        <w:t>本企业对上述声明内容的真实性负责。如有虚假，将依法承担相应责任。</w:t>
      </w:r>
    </w:p>
    <w:p w14:paraId="3E7B7A3A">
      <w:pPr>
        <w:ind w:firstLine="480"/>
      </w:pPr>
    </w:p>
    <w:p w14:paraId="342F43AB">
      <w:pPr>
        <w:ind w:firstLine="480"/>
      </w:pPr>
    </w:p>
    <w:p w14:paraId="6AC55B9C">
      <w:pPr>
        <w:ind w:firstLine="480"/>
      </w:pPr>
      <w:r>
        <w:t>供应商</w:t>
      </w:r>
      <w:r>
        <w:rPr>
          <w:rFonts w:hint="eastAsia"/>
        </w:rPr>
        <w:t>名称（</w:t>
      </w:r>
      <w:r>
        <w:t>盖单位公章</w:t>
      </w:r>
      <w:r>
        <w:rPr>
          <w:rFonts w:hint="eastAsia"/>
        </w:rPr>
        <w:t>）</w:t>
      </w:r>
      <w:r>
        <w:t xml:space="preserve">：                             </w:t>
      </w:r>
    </w:p>
    <w:p w14:paraId="2B6108EC">
      <w:pPr>
        <w:ind w:firstLine="480"/>
      </w:pPr>
      <w:r>
        <w:rPr>
          <w:rFonts w:hint="eastAsia"/>
          <w:lang w:val="zh-CN"/>
        </w:rPr>
        <w:t>法定代表人或授权委托人（签字或盖章）：</w:t>
      </w:r>
    </w:p>
    <w:p w14:paraId="19C85808">
      <w:pPr>
        <w:ind w:firstLine="480"/>
      </w:pPr>
      <w:r>
        <w:t>日期：</w:t>
      </w:r>
      <w:r>
        <w:rPr>
          <w:rFonts w:hint="eastAsia"/>
        </w:rPr>
        <w:t xml:space="preserve">   年   月  日</w:t>
      </w:r>
    </w:p>
    <w:p w14:paraId="0F197DC0">
      <w:pPr>
        <w:ind w:firstLine="480"/>
      </w:pPr>
    </w:p>
    <w:p w14:paraId="35B2AABB">
      <w:pPr>
        <w:ind w:firstLine="480"/>
      </w:pPr>
    </w:p>
    <w:p w14:paraId="4D833739">
      <w:pPr>
        <w:ind w:firstLine="480"/>
      </w:pPr>
      <w:r>
        <w:rPr>
          <w:rFonts w:hint="eastAsia"/>
        </w:rPr>
        <w:t>注：从业人员、营业收入、资产总额填报上一年度数据，无上一年度数据的新成立企业可不填报。</w:t>
      </w:r>
    </w:p>
    <w:p w14:paraId="3EDB42A3">
      <w:pPr>
        <w:ind w:firstLine="480"/>
      </w:pPr>
    </w:p>
    <w:p w14:paraId="3CF90F3C">
      <w:pPr>
        <w:pStyle w:val="2"/>
        <w:spacing w:line="500" w:lineRule="exact"/>
        <w:ind w:firstLine="420"/>
        <w:rPr>
          <w:rFonts w:ascii="宋体" w:hAnsi="宋体"/>
        </w:rPr>
      </w:pPr>
    </w:p>
    <w:p w14:paraId="411B83F9">
      <w:pPr>
        <w:pStyle w:val="2"/>
        <w:spacing w:line="500" w:lineRule="exact"/>
        <w:ind w:firstLine="420"/>
        <w:rPr>
          <w:rFonts w:ascii="宋体" w:hAnsi="宋体"/>
          <w:color w:val="000000"/>
        </w:rPr>
      </w:pPr>
    </w:p>
    <w:p w14:paraId="0E242902">
      <w:pPr>
        <w:ind w:firstLine="480"/>
      </w:pPr>
      <w:r>
        <w:br w:type="page"/>
      </w:r>
    </w:p>
    <w:p w14:paraId="426DFED5">
      <w:pPr>
        <w:ind w:firstLine="480"/>
        <w:rPr>
          <w:rFonts w:hint="eastAsia" w:eastAsia="宋体"/>
          <w:lang w:eastAsia="zh-CN"/>
        </w:rPr>
      </w:pPr>
      <w:r>
        <w:t>附件</w:t>
      </w:r>
      <w:r>
        <w:rPr>
          <w:rFonts w:hint="eastAsia"/>
          <w:lang w:val="en-US" w:eastAsia="zh-CN"/>
        </w:rPr>
        <w:t>4</w:t>
      </w:r>
    </w:p>
    <w:p w14:paraId="7B7FA947">
      <w:pPr>
        <w:pStyle w:val="10"/>
        <w:ind w:firstLine="643"/>
        <w:jc w:val="center"/>
      </w:pPr>
      <w:bookmarkStart w:id="527" w:name="_Toc3015"/>
      <w:bookmarkStart w:id="528" w:name="_Toc8358"/>
      <w:bookmarkStart w:id="529" w:name="_Toc9077"/>
      <w:bookmarkStart w:id="530" w:name="_Toc4176"/>
      <w:bookmarkStart w:id="531" w:name="_Toc18040"/>
      <w:bookmarkStart w:id="532" w:name="_Toc9334"/>
      <w:bookmarkStart w:id="533" w:name="_Toc15257"/>
      <w:bookmarkStart w:id="534" w:name="_Toc653"/>
      <w:r>
        <w:rPr>
          <w:rFonts w:hint="eastAsia"/>
        </w:rPr>
        <w:t>监狱企业声明函</w:t>
      </w:r>
      <w:bookmarkEnd w:id="527"/>
      <w:bookmarkEnd w:id="528"/>
      <w:bookmarkEnd w:id="529"/>
      <w:bookmarkEnd w:id="530"/>
      <w:bookmarkEnd w:id="531"/>
      <w:bookmarkEnd w:id="532"/>
      <w:bookmarkEnd w:id="533"/>
      <w:bookmarkEnd w:id="534"/>
    </w:p>
    <w:p w14:paraId="0A5CF2C1">
      <w:pPr>
        <w:autoSpaceDE w:val="0"/>
        <w:autoSpaceDN w:val="0"/>
        <w:adjustRightInd w:val="0"/>
        <w:snapToGrid w:val="0"/>
        <w:spacing w:after="326" w:afterLines="100" w:line="500" w:lineRule="exact"/>
        <w:ind w:firstLine="560"/>
        <w:jc w:val="center"/>
        <w:rPr>
          <w:rFonts w:ascii="宋体" w:hAnsi="宋体"/>
          <w:sz w:val="28"/>
          <w:szCs w:val="28"/>
        </w:rPr>
      </w:pPr>
      <w:r>
        <w:rPr>
          <w:rFonts w:hint="eastAsia" w:ascii="宋体" w:hAnsi="宋体"/>
          <w:sz w:val="28"/>
          <w:szCs w:val="28"/>
        </w:rPr>
        <w:t>【非监狱企业不需提供】</w:t>
      </w:r>
    </w:p>
    <w:p w14:paraId="38586F68">
      <w:pPr>
        <w:ind w:firstLine="480"/>
      </w:pPr>
      <w:r>
        <w:rPr>
          <w:rFonts w:hint="eastAsia"/>
        </w:rPr>
        <w:t>本企业郑重声明，根据《关于政府采购支持监狱企业发展有关问题的通知》（财库[2014]68号）的规定，本企业为监狱企业。</w:t>
      </w:r>
    </w:p>
    <w:p w14:paraId="4A5D13DE">
      <w:pPr>
        <w:ind w:firstLine="480"/>
      </w:pPr>
      <w:r>
        <w:rPr>
          <w:rFonts w:hint="eastAsia"/>
        </w:rPr>
        <w:t>根据上述标准，我企业属于监狱企业的理由为：</w:t>
      </w:r>
    </w:p>
    <w:p w14:paraId="4E57F8A3">
      <w:pPr>
        <w:ind w:firstLine="480"/>
      </w:pPr>
      <w:r>
        <w:rPr>
          <w:rFonts w:hint="eastAsia"/>
        </w:rPr>
        <w:t>本企业为参加</w:t>
      </w:r>
      <w:r>
        <w:rPr>
          <w:rFonts w:hint="eastAsia"/>
          <w:u w:val="single"/>
        </w:rPr>
        <w:t>（项目名称：     ）（项目编号：   ）</w:t>
      </w:r>
      <w:r>
        <w:rPr>
          <w:rFonts w:hint="eastAsia"/>
        </w:rPr>
        <w:t>采购活动提供本企业的产品。</w:t>
      </w:r>
    </w:p>
    <w:p w14:paraId="467A4EB6">
      <w:pPr>
        <w:ind w:firstLine="480"/>
      </w:pPr>
      <w:r>
        <w:rPr>
          <w:rFonts w:hint="eastAsia"/>
        </w:rPr>
        <w:t>本企业对上述声明的真实性负责。如有虚假，将依法承担相应责任。</w:t>
      </w:r>
    </w:p>
    <w:p w14:paraId="22A76130">
      <w:pPr>
        <w:ind w:firstLine="480"/>
      </w:pPr>
    </w:p>
    <w:p w14:paraId="7227F5F2">
      <w:pPr>
        <w:ind w:firstLine="480"/>
      </w:pPr>
    </w:p>
    <w:p w14:paraId="1D03E727">
      <w:pPr>
        <w:ind w:firstLine="480"/>
      </w:pPr>
    </w:p>
    <w:p w14:paraId="59D73F7B">
      <w:pPr>
        <w:ind w:firstLine="480"/>
      </w:pPr>
    </w:p>
    <w:p w14:paraId="627BDDA0">
      <w:pPr>
        <w:ind w:firstLine="480"/>
      </w:pPr>
    </w:p>
    <w:p w14:paraId="76CF9F43">
      <w:pPr>
        <w:ind w:firstLine="480"/>
      </w:pPr>
    </w:p>
    <w:p w14:paraId="58BAD32A">
      <w:pPr>
        <w:ind w:firstLine="480"/>
      </w:pPr>
    </w:p>
    <w:p w14:paraId="2C063837">
      <w:pPr>
        <w:ind w:firstLine="480"/>
      </w:pPr>
    </w:p>
    <w:p w14:paraId="1A6B248A">
      <w:pPr>
        <w:ind w:firstLine="480"/>
      </w:pPr>
      <w:r>
        <w:t>供应商</w:t>
      </w:r>
      <w:r>
        <w:rPr>
          <w:rFonts w:hint="eastAsia"/>
        </w:rPr>
        <w:t>名称（</w:t>
      </w:r>
      <w:r>
        <w:t>盖单位公章</w:t>
      </w:r>
      <w:r>
        <w:rPr>
          <w:rFonts w:hint="eastAsia"/>
        </w:rPr>
        <w:t>）</w:t>
      </w:r>
      <w:r>
        <w:t xml:space="preserve">：                             </w:t>
      </w:r>
    </w:p>
    <w:p w14:paraId="1E9D20B4">
      <w:pPr>
        <w:ind w:firstLine="480"/>
      </w:pPr>
      <w:r>
        <w:rPr>
          <w:rFonts w:hint="eastAsia"/>
          <w:lang w:val="zh-CN"/>
        </w:rPr>
        <w:t>法定代表人或授权委托人（签字或盖章）：</w:t>
      </w:r>
    </w:p>
    <w:p w14:paraId="3DFA6C54">
      <w:pPr>
        <w:ind w:firstLine="480"/>
      </w:pPr>
      <w:r>
        <w:t>日期：</w:t>
      </w:r>
      <w:r>
        <w:rPr>
          <w:rFonts w:hint="eastAsia"/>
        </w:rPr>
        <w:t xml:space="preserve">   年   月  日</w:t>
      </w:r>
    </w:p>
    <w:p w14:paraId="3BF5D639">
      <w:pPr>
        <w:ind w:firstLine="480"/>
      </w:pPr>
    </w:p>
    <w:p w14:paraId="03E1569B">
      <w:pPr>
        <w:ind w:firstLine="480"/>
      </w:pPr>
    </w:p>
    <w:p w14:paraId="770CD6ED">
      <w:pPr>
        <w:ind w:firstLine="480"/>
      </w:pPr>
      <w:r>
        <w:rPr>
          <w:rFonts w:hint="eastAsia"/>
        </w:rPr>
        <w:t>注：供应商为监狱企业的提供此函。</w:t>
      </w:r>
    </w:p>
    <w:p w14:paraId="7B48F16B">
      <w:pPr>
        <w:ind w:firstLine="480"/>
        <w:rPr>
          <w:rFonts w:ascii="宋体" w:hAnsi="宋体"/>
          <w:szCs w:val="21"/>
        </w:rPr>
      </w:pPr>
      <w:r>
        <w:rPr>
          <w:rFonts w:hint="eastAsia"/>
        </w:rPr>
        <w:t>监狱企业参加政府采购活动时，应当提供由省级以上监狱管理局、戒毒管理局（含新疆生产建设兵团）出具的属于监狱企业的证明文件。</w:t>
      </w:r>
    </w:p>
    <w:p w14:paraId="089ED4AD">
      <w:pPr>
        <w:adjustRightInd w:val="0"/>
        <w:snapToGrid w:val="0"/>
        <w:spacing w:line="500" w:lineRule="exact"/>
        <w:ind w:firstLine="480"/>
        <w:textAlignment w:val="baseline"/>
        <w:rPr>
          <w:rFonts w:ascii="宋体" w:hAnsi="宋体"/>
        </w:rPr>
      </w:pPr>
    </w:p>
    <w:p w14:paraId="09635C81">
      <w:pPr>
        <w:ind w:firstLine="480"/>
        <w:rPr>
          <w:rFonts w:hint="eastAsia" w:eastAsia="宋体"/>
          <w:lang w:eastAsia="zh-CN"/>
        </w:rPr>
      </w:pPr>
      <w:r>
        <w:rPr>
          <w:rFonts w:hint="eastAsia"/>
        </w:rPr>
        <w:br w:type="page"/>
      </w:r>
      <w:r>
        <w:rPr>
          <w:rFonts w:hint="eastAsia"/>
        </w:rPr>
        <w:t>附件</w:t>
      </w:r>
      <w:r>
        <w:rPr>
          <w:rFonts w:hint="eastAsia"/>
          <w:lang w:val="en-US" w:eastAsia="zh-CN"/>
        </w:rPr>
        <w:t>5</w:t>
      </w:r>
    </w:p>
    <w:p w14:paraId="1E2787B3">
      <w:pPr>
        <w:pStyle w:val="10"/>
        <w:ind w:firstLine="643"/>
        <w:jc w:val="center"/>
      </w:pPr>
      <w:bookmarkStart w:id="535" w:name="_Toc18052"/>
      <w:bookmarkStart w:id="536" w:name="_Toc27972"/>
      <w:bookmarkStart w:id="537" w:name="_Toc25747"/>
      <w:bookmarkStart w:id="538" w:name="_Toc9691"/>
      <w:bookmarkStart w:id="539" w:name="_Toc26836"/>
      <w:bookmarkStart w:id="540" w:name="_Toc24607"/>
      <w:bookmarkStart w:id="541" w:name="_Toc14184"/>
      <w:bookmarkStart w:id="542" w:name="_Toc20030"/>
      <w:r>
        <w:rPr>
          <w:rFonts w:hint="eastAsia"/>
        </w:rPr>
        <w:t>残疾人福利性单位声明函</w:t>
      </w:r>
      <w:bookmarkEnd w:id="535"/>
      <w:bookmarkEnd w:id="536"/>
      <w:bookmarkEnd w:id="537"/>
      <w:bookmarkEnd w:id="538"/>
      <w:bookmarkEnd w:id="539"/>
      <w:bookmarkEnd w:id="540"/>
      <w:bookmarkEnd w:id="541"/>
      <w:bookmarkEnd w:id="542"/>
    </w:p>
    <w:p w14:paraId="224900E3">
      <w:pPr>
        <w:autoSpaceDE w:val="0"/>
        <w:autoSpaceDN w:val="0"/>
        <w:adjustRightInd w:val="0"/>
        <w:snapToGrid w:val="0"/>
        <w:spacing w:after="326" w:afterLines="100" w:line="500" w:lineRule="exact"/>
        <w:ind w:firstLine="560"/>
        <w:jc w:val="center"/>
        <w:rPr>
          <w:rFonts w:ascii="宋体" w:hAnsi="宋体"/>
          <w:sz w:val="28"/>
          <w:szCs w:val="28"/>
        </w:rPr>
      </w:pPr>
      <w:r>
        <w:rPr>
          <w:rFonts w:hint="eastAsia" w:ascii="宋体" w:hAnsi="宋体"/>
          <w:sz w:val="28"/>
          <w:szCs w:val="28"/>
        </w:rPr>
        <w:t>【非残疾人福利性单位不需提供】</w:t>
      </w:r>
    </w:p>
    <w:p w14:paraId="00EE84E6">
      <w:pPr>
        <w:ind w:firstLine="480"/>
      </w:pPr>
      <w:r>
        <w:rPr>
          <w:rFonts w:hint="eastAsia"/>
        </w:rPr>
        <w:t>本单位郑重声明，根据《财政部民政部中国残疾人联合会关于促进残疾人就业政府采购政策的通知》（财库〔2017〕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14:paraId="76D34357">
      <w:pPr>
        <w:ind w:firstLine="480"/>
      </w:pPr>
      <w:r>
        <w:rPr>
          <w:rFonts w:hint="eastAsia"/>
        </w:rPr>
        <w:t>本单位对上述声明的真实性负责。如有虚假，将依法承担相应责任。</w:t>
      </w:r>
    </w:p>
    <w:p w14:paraId="642E246F">
      <w:pPr>
        <w:ind w:firstLine="480"/>
      </w:pPr>
    </w:p>
    <w:p w14:paraId="2D24D80F">
      <w:pPr>
        <w:ind w:firstLine="480"/>
      </w:pPr>
    </w:p>
    <w:p w14:paraId="775E4EFA">
      <w:pPr>
        <w:ind w:firstLine="480"/>
      </w:pPr>
    </w:p>
    <w:p w14:paraId="63133BC9">
      <w:pPr>
        <w:ind w:firstLine="480"/>
      </w:pPr>
    </w:p>
    <w:p w14:paraId="26D23926">
      <w:pPr>
        <w:ind w:firstLine="480"/>
      </w:pPr>
    </w:p>
    <w:p w14:paraId="39F7A43C">
      <w:pPr>
        <w:ind w:firstLine="480"/>
      </w:pPr>
    </w:p>
    <w:p w14:paraId="69F10CE5">
      <w:pPr>
        <w:ind w:firstLine="480"/>
      </w:pPr>
    </w:p>
    <w:p w14:paraId="6AA40E68">
      <w:pPr>
        <w:ind w:firstLine="480"/>
      </w:pPr>
      <w:r>
        <w:t>供应商</w:t>
      </w:r>
      <w:r>
        <w:rPr>
          <w:rFonts w:hint="eastAsia"/>
        </w:rPr>
        <w:t>名称（</w:t>
      </w:r>
      <w:r>
        <w:t>盖单位公章</w:t>
      </w:r>
      <w:r>
        <w:rPr>
          <w:rFonts w:hint="eastAsia"/>
        </w:rPr>
        <w:t>）</w:t>
      </w:r>
      <w:r>
        <w:t xml:space="preserve">：                             </w:t>
      </w:r>
    </w:p>
    <w:p w14:paraId="516B30BE">
      <w:pPr>
        <w:ind w:firstLine="480"/>
      </w:pPr>
      <w:r>
        <w:rPr>
          <w:rFonts w:hint="eastAsia"/>
          <w:lang w:val="zh-CN"/>
        </w:rPr>
        <w:t>法定代表人或授权委托人（签字或盖章）：</w:t>
      </w:r>
    </w:p>
    <w:p w14:paraId="76FDD258">
      <w:pPr>
        <w:ind w:firstLine="480"/>
      </w:pPr>
      <w:r>
        <w:t>日期：</w:t>
      </w:r>
      <w:r>
        <w:rPr>
          <w:rFonts w:hint="eastAsia"/>
        </w:rPr>
        <w:t xml:space="preserve">   年   月  日</w:t>
      </w:r>
    </w:p>
    <w:p w14:paraId="6783684C">
      <w:pPr>
        <w:adjustRightInd w:val="0"/>
        <w:snapToGrid w:val="0"/>
        <w:spacing w:line="500" w:lineRule="exact"/>
        <w:ind w:firstLine="420"/>
        <w:rPr>
          <w:rFonts w:ascii="宋体" w:hAnsi="宋体"/>
          <w:sz w:val="21"/>
          <w:szCs w:val="21"/>
        </w:rPr>
      </w:pPr>
    </w:p>
    <w:p w14:paraId="05A1D04B">
      <w:pPr>
        <w:adjustRightInd w:val="0"/>
        <w:snapToGrid w:val="0"/>
        <w:spacing w:line="500" w:lineRule="exact"/>
        <w:ind w:firstLine="420"/>
        <w:rPr>
          <w:rFonts w:ascii="宋体" w:hAnsi="宋体"/>
          <w:sz w:val="21"/>
          <w:szCs w:val="21"/>
        </w:rPr>
      </w:pPr>
    </w:p>
    <w:p w14:paraId="346EA455">
      <w:pPr>
        <w:adjustRightInd w:val="0"/>
        <w:snapToGrid w:val="0"/>
        <w:spacing w:line="500" w:lineRule="exact"/>
        <w:ind w:firstLine="420"/>
        <w:rPr>
          <w:rFonts w:ascii="宋体" w:hAnsi="宋体"/>
          <w:sz w:val="21"/>
          <w:szCs w:val="21"/>
        </w:rPr>
      </w:pPr>
    </w:p>
    <w:p w14:paraId="193E98E8">
      <w:pPr>
        <w:adjustRightInd w:val="0"/>
        <w:snapToGrid w:val="0"/>
        <w:spacing w:line="500" w:lineRule="exact"/>
        <w:ind w:firstLine="420"/>
        <w:rPr>
          <w:rFonts w:ascii="宋体" w:hAnsi="宋体"/>
          <w:sz w:val="21"/>
          <w:szCs w:val="21"/>
        </w:rPr>
      </w:pPr>
    </w:p>
    <w:p w14:paraId="6574312F">
      <w:pPr>
        <w:ind w:firstLine="480"/>
      </w:pPr>
      <w:r>
        <w:rPr>
          <w:rFonts w:hint="eastAsia"/>
        </w:rPr>
        <w:t>供应商为残疾人福利性单位的提供此函。</w:t>
      </w:r>
    </w:p>
    <w:p w14:paraId="00BFCD05">
      <w:pPr>
        <w:ind w:firstLine="480"/>
      </w:pPr>
      <w:r>
        <w:rPr>
          <w:rFonts w:hint="eastAsia"/>
          <w:color w:val="FF0000"/>
        </w:rPr>
        <w:t>备注：成交供应商为残疾人福利性单位的，应当随成交结果同时公告其《残疾人福利性单位声明函》，接受社会监督。</w:t>
      </w:r>
    </w:p>
    <w:p w14:paraId="3EF874C0">
      <w:pPr>
        <w:widowControl/>
        <w:spacing w:line="240" w:lineRule="auto"/>
        <w:ind w:firstLine="0" w:firstLineChars="0"/>
        <w:jc w:val="left"/>
        <w:rPr>
          <w:rFonts w:ascii="Arial" w:hAnsi="宋体" w:cs="Arial"/>
        </w:rPr>
      </w:pPr>
    </w:p>
    <w:p w14:paraId="3A469E71">
      <w:pPr>
        <w:ind w:firstLine="482"/>
        <w:jc w:val="center"/>
        <w:rPr>
          <w:rFonts w:ascii="宋体" w:hAnsi="宋体"/>
          <w:b/>
        </w:rPr>
      </w:pPr>
    </w:p>
    <w:p w14:paraId="26DB96C8">
      <w:pPr>
        <w:ind w:firstLine="480"/>
      </w:pPr>
      <w:r>
        <w:rPr>
          <w:rFonts w:hint="eastAsia"/>
        </w:rPr>
        <w:br w:type="page"/>
      </w:r>
    </w:p>
    <w:p w14:paraId="08CE4982">
      <w:pPr>
        <w:rPr>
          <w:sz w:val="36"/>
        </w:rPr>
      </w:pPr>
      <w:bookmarkStart w:id="543" w:name="_Toc3508"/>
      <w:bookmarkStart w:id="544" w:name="_Toc8153"/>
      <w:bookmarkStart w:id="545" w:name="_Toc9638"/>
      <w:bookmarkStart w:id="546" w:name="_Toc29177"/>
      <w:bookmarkStart w:id="547" w:name="_Toc20985"/>
      <w:bookmarkStart w:id="548" w:name="_Toc14486"/>
      <w:bookmarkStart w:id="549" w:name="_Toc23816"/>
      <w:bookmarkStart w:id="550" w:name="_Toc21047"/>
      <w:bookmarkStart w:id="551" w:name="_Toc964"/>
      <w:bookmarkStart w:id="552" w:name="_Toc28291"/>
      <w:bookmarkStart w:id="553" w:name="_Toc22470"/>
      <w:bookmarkStart w:id="554" w:name="_Toc7721"/>
      <w:bookmarkStart w:id="555" w:name="_Toc7889"/>
      <w:bookmarkStart w:id="556" w:name="_Toc26772"/>
      <w:bookmarkStart w:id="557" w:name="_Toc4107"/>
      <w:bookmarkStart w:id="558" w:name="_Toc4126"/>
    </w:p>
    <w:p w14:paraId="2E15F920">
      <w:pPr>
        <w:rPr>
          <w:sz w:val="36"/>
        </w:rPr>
      </w:pPr>
    </w:p>
    <w:p w14:paraId="3C4C090F">
      <w:pPr>
        <w:pStyle w:val="9"/>
        <w:bidi w:val="0"/>
        <w:rPr>
          <w:rFonts w:hint="default"/>
          <w:lang w:val="en-US" w:eastAsia="zh-CN"/>
        </w:rPr>
      </w:pPr>
      <w:bookmarkStart w:id="559" w:name="_Toc27204"/>
      <w:r>
        <w:rPr>
          <w:rFonts w:hint="eastAsia"/>
          <w:lang w:val="en-US" w:eastAsia="zh-CN"/>
        </w:rPr>
        <w:t>商务技术文件</w:t>
      </w:r>
      <w:bookmarkEnd w:id="559"/>
    </w:p>
    <w:p w14:paraId="45A11CCB">
      <w:pPr>
        <w:ind w:left="1296" w:leftChars="540" w:firstLine="480"/>
        <w:rPr>
          <w:rFonts w:ascii="Arial" w:hAnsi="Arial" w:cs="Arial"/>
          <w:kern w:val="0"/>
          <w:szCs w:val="21"/>
        </w:rPr>
      </w:pPr>
    </w:p>
    <w:p w14:paraId="68D296E1">
      <w:pPr>
        <w:ind w:left="1296" w:leftChars="540" w:firstLine="400"/>
        <w:rPr>
          <w:rFonts w:ascii="Arial" w:hAnsi="Arial" w:cs="Arial"/>
          <w:kern w:val="0"/>
          <w:sz w:val="20"/>
        </w:rPr>
      </w:pPr>
    </w:p>
    <w:p w14:paraId="7867DF52">
      <w:pPr>
        <w:pStyle w:val="32"/>
        <w:ind w:left="480" w:firstLine="400"/>
        <w:rPr>
          <w:rFonts w:ascii="Arial" w:hAnsi="Arial" w:cs="Arial"/>
          <w:kern w:val="0"/>
          <w:sz w:val="20"/>
        </w:rPr>
      </w:pPr>
    </w:p>
    <w:p w14:paraId="700172D0">
      <w:pPr>
        <w:ind w:firstLine="480"/>
      </w:pPr>
    </w:p>
    <w:p w14:paraId="4EFF0473">
      <w:pPr>
        <w:ind w:firstLine="1200" w:firstLineChars="50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项目名称：龙游县公证处公证派驻法院执行辅助人员</w:t>
      </w:r>
    </w:p>
    <w:p w14:paraId="4A3D6CDE">
      <w:pPr>
        <w:ind w:firstLine="1200" w:firstLineChars="50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项目编号：LYJY2024072</w:t>
      </w:r>
    </w:p>
    <w:p w14:paraId="42CFFC68">
      <w:pPr>
        <w:ind w:firstLine="1050" w:firstLineChars="500"/>
        <w:rPr>
          <w:rFonts w:ascii="宋体" w:hAnsi="宋体"/>
          <w:sz w:val="21"/>
          <w:szCs w:val="21"/>
        </w:rPr>
      </w:pPr>
    </w:p>
    <w:p w14:paraId="7558CD23">
      <w:pPr>
        <w:ind w:firstLine="1050" w:firstLineChars="500"/>
        <w:rPr>
          <w:rFonts w:ascii="宋体" w:hAnsi="宋体"/>
          <w:sz w:val="21"/>
          <w:szCs w:val="21"/>
        </w:rPr>
      </w:pPr>
    </w:p>
    <w:p w14:paraId="54C0826E">
      <w:pPr>
        <w:ind w:left="1296" w:leftChars="540" w:firstLine="400"/>
        <w:rPr>
          <w:rFonts w:ascii="Arial" w:hAnsi="Arial" w:cs="Arial"/>
          <w:kern w:val="0"/>
          <w:sz w:val="20"/>
        </w:rPr>
      </w:pPr>
    </w:p>
    <w:p w14:paraId="78DEDFEC">
      <w:pPr>
        <w:ind w:left="1296" w:leftChars="540" w:firstLine="400"/>
        <w:rPr>
          <w:rFonts w:ascii="Arial" w:hAnsi="Arial" w:cs="Arial"/>
          <w:kern w:val="0"/>
          <w:sz w:val="20"/>
        </w:rPr>
      </w:pPr>
    </w:p>
    <w:p w14:paraId="6437C99C">
      <w:pPr>
        <w:ind w:left="1296" w:leftChars="540" w:firstLine="400"/>
        <w:rPr>
          <w:rFonts w:ascii="Arial" w:hAnsi="Arial" w:cs="Arial"/>
          <w:kern w:val="0"/>
          <w:sz w:val="20"/>
        </w:rPr>
      </w:pPr>
    </w:p>
    <w:p w14:paraId="33762720">
      <w:pPr>
        <w:ind w:left="1296" w:leftChars="540" w:firstLine="400"/>
        <w:rPr>
          <w:rFonts w:ascii="Arial" w:hAnsi="Arial" w:cs="Arial"/>
          <w:kern w:val="0"/>
          <w:sz w:val="20"/>
        </w:rPr>
      </w:pPr>
    </w:p>
    <w:p w14:paraId="5E8FFFE6">
      <w:pPr>
        <w:ind w:firstLine="480"/>
        <w:rPr>
          <w:rFonts w:hint="default" w:eastAsia="宋体"/>
          <w:lang w:val="en-US" w:eastAsia="zh-CN"/>
        </w:rPr>
      </w:pPr>
      <w:r>
        <w:rPr>
          <w:rFonts w:hint="eastAsia"/>
        </w:rPr>
        <w:t>供应商名称（盖章）：</w:t>
      </w:r>
      <w:r>
        <w:rPr>
          <w:rFonts w:hint="eastAsia"/>
          <w:lang w:val="en-US" w:eastAsia="zh-CN"/>
        </w:rPr>
        <w:t xml:space="preserve">      </w:t>
      </w:r>
    </w:p>
    <w:p w14:paraId="35C06CD4">
      <w:pPr>
        <w:ind w:firstLine="480"/>
        <w:rPr>
          <w:rFonts w:hint="default" w:eastAsia="宋体"/>
          <w:lang w:val="en-US" w:eastAsia="zh-CN"/>
        </w:rPr>
      </w:pPr>
      <w:r>
        <w:rPr>
          <w:rFonts w:hint="eastAsia"/>
        </w:rPr>
        <w:t>法定代表人或其授权代表（签字或盖章）：</w:t>
      </w:r>
      <w:r>
        <w:rPr>
          <w:rFonts w:hint="eastAsia"/>
          <w:lang w:val="en-US" w:eastAsia="zh-CN"/>
        </w:rPr>
        <w:t xml:space="preserve">     </w:t>
      </w:r>
    </w:p>
    <w:p w14:paraId="46E55973">
      <w:pPr>
        <w:ind w:firstLine="480"/>
        <w:rPr>
          <w:rFonts w:ascii="宋体" w:hAnsi="宋体"/>
          <w:sz w:val="21"/>
          <w:szCs w:val="21"/>
        </w:rPr>
      </w:pPr>
      <w:r>
        <w:rPr>
          <w:rFonts w:hint="eastAsia"/>
        </w:rPr>
        <w:t>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p w14:paraId="0E6C99DC">
      <w:pPr>
        <w:ind w:firstLine="2744" w:firstLineChars="911"/>
        <w:rPr>
          <w:rFonts w:ascii="宋体" w:hAnsi="宋体" w:cs="宋体"/>
          <w:b/>
          <w:kern w:val="0"/>
          <w:sz w:val="30"/>
          <w:szCs w:val="30"/>
        </w:rPr>
      </w:pPr>
    </w:p>
    <w:p w14:paraId="094F3DD0">
      <w:pPr>
        <w:rPr>
          <w:sz w:val="36"/>
        </w:rPr>
      </w:pPr>
    </w:p>
    <w:p w14:paraId="2A61EDD6">
      <w:pPr>
        <w:rPr>
          <w:sz w:val="36"/>
        </w:rPr>
      </w:pPr>
      <w:r>
        <w:rPr>
          <w:sz w:val="36"/>
        </w:rPr>
        <w:br w:type="page"/>
      </w:r>
    </w:p>
    <w:p w14:paraId="2A39D9C8">
      <w:pPr>
        <w:pStyle w:val="10"/>
        <w:spacing w:after="168"/>
        <w:ind w:left="10" w:right="142"/>
        <w:jc w:val="center"/>
      </w:pPr>
      <w:bookmarkStart w:id="560" w:name="_Toc31329"/>
      <w:r>
        <w:rPr>
          <w:sz w:val="36"/>
        </w:rPr>
        <w:t>目录</w:t>
      </w:r>
      <w:bookmarkEnd w:id="543"/>
      <w:bookmarkEnd w:id="544"/>
      <w:bookmarkEnd w:id="545"/>
      <w:bookmarkEnd w:id="546"/>
      <w:bookmarkEnd w:id="547"/>
      <w:bookmarkEnd w:id="548"/>
      <w:bookmarkEnd w:id="549"/>
      <w:bookmarkEnd w:id="550"/>
      <w:bookmarkEnd w:id="560"/>
    </w:p>
    <w:p w14:paraId="463C6AB7">
      <w:pPr>
        <w:ind w:firstLine="480"/>
        <w:rPr>
          <w:rFonts w:ascii="宋体" w:hAnsi="宋体" w:cs="宋体"/>
          <w:szCs w:val="21"/>
        </w:rPr>
      </w:pPr>
      <w:r>
        <w:rPr>
          <w:rFonts w:hint="eastAsia"/>
        </w:rPr>
        <w:t>【根据响应文件组成内容、顺序、附件格式编制响应文件，编制目录】</w:t>
      </w:r>
    </w:p>
    <w:p w14:paraId="105E9FD1">
      <w:r>
        <w:br w:type="page"/>
      </w:r>
    </w:p>
    <w:p w14:paraId="65E8E09F">
      <w:pPr>
        <w:pStyle w:val="10"/>
        <w:jc w:val="center"/>
      </w:pPr>
      <w:bookmarkStart w:id="561" w:name="_Toc26030"/>
      <w:r>
        <w:t>客观分部分自评分表</w:t>
      </w:r>
      <w:bookmarkEnd w:id="551"/>
      <w:bookmarkEnd w:id="552"/>
      <w:bookmarkEnd w:id="553"/>
      <w:bookmarkEnd w:id="554"/>
      <w:bookmarkEnd w:id="555"/>
      <w:bookmarkEnd w:id="556"/>
      <w:bookmarkEnd w:id="557"/>
      <w:bookmarkEnd w:id="558"/>
      <w:bookmarkEnd w:id="561"/>
    </w:p>
    <w:tbl>
      <w:tblPr>
        <w:tblStyle w:val="77"/>
        <w:tblW w:w="9281" w:type="dxa"/>
        <w:tblInd w:w="-104" w:type="dxa"/>
        <w:tblLayout w:type="fixed"/>
        <w:tblCellMar>
          <w:top w:w="0" w:type="dxa"/>
          <w:left w:w="109" w:type="dxa"/>
          <w:bottom w:w="0" w:type="dxa"/>
          <w:right w:w="107" w:type="dxa"/>
        </w:tblCellMar>
      </w:tblPr>
      <w:tblGrid>
        <w:gridCol w:w="781"/>
        <w:gridCol w:w="2445"/>
        <w:gridCol w:w="1958"/>
        <w:gridCol w:w="1350"/>
        <w:gridCol w:w="2747"/>
      </w:tblGrid>
      <w:tr w14:paraId="341908E8">
        <w:tblPrEx>
          <w:tblCellMar>
            <w:top w:w="0" w:type="dxa"/>
            <w:left w:w="109" w:type="dxa"/>
            <w:bottom w:w="0" w:type="dxa"/>
            <w:right w:w="107" w:type="dxa"/>
          </w:tblCellMar>
        </w:tblPrEx>
        <w:trPr>
          <w:trHeight w:val="1119" w:hRule="atLeast"/>
        </w:trPr>
        <w:tc>
          <w:tcPr>
            <w:tcW w:w="781" w:type="dxa"/>
            <w:tcBorders>
              <w:top w:val="single" w:color="000000" w:sz="4" w:space="0"/>
              <w:left w:val="single" w:color="000000" w:sz="4" w:space="0"/>
              <w:bottom w:val="single" w:color="000000" w:sz="4" w:space="0"/>
              <w:right w:val="single" w:color="000000" w:sz="4" w:space="0"/>
            </w:tcBorders>
            <w:vAlign w:val="center"/>
          </w:tcPr>
          <w:p w14:paraId="73D3A4F7">
            <w:pPr>
              <w:pStyle w:val="41"/>
              <w:rPr>
                <w:rFonts w:hint="default"/>
              </w:rPr>
            </w:pPr>
            <w:r>
              <w:t>序号</w:t>
            </w:r>
          </w:p>
        </w:tc>
        <w:tc>
          <w:tcPr>
            <w:tcW w:w="2445" w:type="dxa"/>
            <w:tcBorders>
              <w:top w:val="single" w:color="000000" w:sz="4" w:space="0"/>
              <w:left w:val="single" w:color="000000" w:sz="4" w:space="0"/>
              <w:bottom w:val="single" w:color="000000" w:sz="4" w:space="0"/>
              <w:right w:val="single" w:color="000000" w:sz="4" w:space="0"/>
            </w:tcBorders>
            <w:vAlign w:val="center"/>
          </w:tcPr>
          <w:p w14:paraId="4E638C1E">
            <w:pPr>
              <w:pStyle w:val="41"/>
              <w:rPr>
                <w:rFonts w:hint="default"/>
              </w:rPr>
            </w:pPr>
            <w:r>
              <w:t>评分标准</w:t>
            </w:r>
          </w:p>
        </w:tc>
        <w:tc>
          <w:tcPr>
            <w:tcW w:w="1958" w:type="dxa"/>
            <w:tcBorders>
              <w:top w:val="single" w:color="000000" w:sz="4" w:space="0"/>
              <w:left w:val="single" w:color="000000" w:sz="4" w:space="0"/>
              <w:bottom w:val="single" w:color="000000" w:sz="4" w:space="0"/>
              <w:right w:val="single" w:color="000000" w:sz="4" w:space="0"/>
            </w:tcBorders>
            <w:vAlign w:val="center"/>
          </w:tcPr>
          <w:p w14:paraId="71F847CA">
            <w:pPr>
              <w:pStyle w:val="41"/>
              <w:rPr>
                <w:rFonts w:hint="default"/>
              </w:rPr>
            </w:pPr>
            <w:r>
              <w:t>响应文件页码</w:t>
            </w:r>
          </w:p>
        </w:tc>
        <w:tc>
          <w:tcPr>
            <w:tcW w:w="1350" w:type="dxa"/>
            <w:tcBorders>
              <w:top w:val="single" w:color="000000" w:sz="4" w:space="0"/>
              <w:left w:val="single" w:color="000000" w:sz="4" w:space="0"/>
              <w:bottom w:val="single" w:color="000000" w:sz="4" w:space="0"/>
              <w:right w:val="single" w:color="000000" w:sz="4" w:space="0"/>
            </w:tcBorders>
            <w:vAlign w:val="center"/>
          </w:tcPr>
          <w:p w14:paraId="4657A187">
            <w:pPr>
              <w:pStyle w:val="41"/>
              <w:rPr>
                <w:rFonts w:hint="default"/>
              </w:rPr>
            </w:pPr>
            <w:r>
              <w:t>得分</w:t>
            </w:r>
          </w:p>
        </w:tc>
        <w:tc>
          <w:tcPr>
            <w:tcW w:w="2747" w:type="dxa"/>
            <w:tcBorders>
              <w:top w:val="single" w:color="000000" w:sz="4" w:space="0"/>
              <w:left w:val="single" w:color="000000" w:sz="4" w:space="0"/>
              <w:bottom w:val="single" w:color="000000" w:sz="4" w:space="0"/>
              <w:right w:val="single" w:color="000000" w:sz="4" w:space="0"/>
            </w:tcBorders>
            <w:vAlign w:val="center"/>
          </w:tcPr>
          <w:p w14:paraId="1990FF96">
            <w:pPr>
              <w:pStyle w:val="41"/>
              <w:rPr>
                <w:rFonts w:hint="default"/>
              </w:rPr>
            </w:pPr>
            <w:r>
              <w:t>说明</w:t>
            </w:r>
          </w:p>
        </w:tc>
      </w:tr>
      <w:tr w14:paraId="397AF8E1">
        <w:tblPrEx>
          <w:tblCellMar>
            <w:top w:w="0" w:type="dxa"/>
            <w:left w:w="109" w:type="dxa"/>
            <w:bottom w:w="0" w:type="dxa"/>
            <w:right w:w="107" w:type="dxa"/>
          </w:tblCellMar>
        </w:tblPrEx>
        <w:trPr>
          <w:trHeight w:val="1071" w:hRule="atLeast"/>
        </w:trPr>
        <w:tc>
          <w:tcPr>
            <w:tcW w:w="781" w:type="dxa"/>
            <w:tcBorders>
              <w:top w:val="single" w:color="000000" w:sz="4" w:space="0"/>
              <w:left w:val="single" w:color="000000" w:sz="4" w:space="0"/>
              <w:bottom w:val="single" w:color="000000" w:sz="4" w:space="0"/>
              <w:right w:val="single" w:color="000000" w:sz="4" w:space="0"/>
            </w:tcBorders>
            <w:vAlign w:val="center"/>
          </w:tcPr>
          <w:p w14:paraId="115DE737">
            <w:pPr>
              <w:pStyle w:val="41"/>
              <w:rPr>
                <w:rFonts w:hint="default"/>
              </w:rPr>
            </w:pPr>
            <w:r>
              <w:t>1</w:t>
            </w:r>
          </w:p>
        </w:tc>
        <w:tc>
          <w:tcPr>
            <w:tcW w:w="2445" w:type="dxa"/>
            <w:tcBorders>
              <w:top w:val="single" w:color="000000" w:sz="4" w:space="0"/>
              <w:left w:val="single" w:color="000000" w:sz="4" w:space="0"/>
              <w:bottom w:val="single" w:color="000000" w:sz="4" w:space="0"/>
              <w:right w:val="single" w:color="000000" w:sz="4" w:space="0"/>
            </w:tcBorders>
          </w:tcPr>
          <w:p w14:paraId="678069CA">
            <w:pPr>
              <w:pStyle w:val="41"/>
              <w:rPr>
                <w:rFonts w:hint="default"/>
              </w:rPr>
            </w:pPr>
          </w:p>
        </w:tc>
        <w:tc>
          <w:tcPr>
            <w:tcW w:w="1958" w:type="dxa"/>
            <w:tcBorders>
              <w:top w:val="single" w:color="000000" w:sz="4" w:space="0"/>
              <w:left w:val="single" w:color="000000" w:sz="4" w:space="0"/>
              <w:bottom w:val="single" w:color="000000" w:sz="4" w:space="0"/>
              <w:right w:val="single" w:color="000000" w:sz="4" w:space="0"/>
            </w:tcBorders>
          </w:tcPr>
          <w:p w14:paraId="640E4283">
            <w:pPr>
              <w:pStyle w:val="41"/>
              <w:rPr>
                <w:rFonts w:hint="default"/>
              </w:rPr>
            </w:pPr>
          </w:p>
        </w:tc>
        <w:tc>
          <w:tcPr>
            <w:tcW w:w="1350" w:type="dxa"/>
            <w:tcBorders>
              <w:top w:val="single" w:color="000000" w:sz="4" w:space="0"/>
              <w:left w:val="single" w:color="000000" w:sz="4" w:space="0"/>
              <w:bottom w:val="single" w:color="000000" w:sz="4" w:space="0"/>
              <w:right w:val="single" w:color="000000" w:sz="4" w:space="0"/>
            </w:tcBorders>
          </w:tcPr>
          <w:p w14:paraId="1AACC5CC">
            <w:pPr>
              <w:pStyle w:val="41"/>
              <w:rPr>
                <w:rFonts w:hint="default"/>
              </w:rPr>
            </w:pPr>
          </w:p>
        </w:tc>
        <w:tc>
          <w:tcPr>
            <w:tcW w:w="2747" w:type="dxa"/>
            <w:tcBorders>
              <w:top w:val="single" w:color="000000" w:sz="4" w:space="0"/>
              <w:left w:val="single" w:color="000000" w:sz="4" w:space="0"/>
              <w:bottom w:val="single" w:color="000000" w:sz="4" w:space="0"/>
              <w:right w:val="single" w:color="000000" w:sz="4" w:space="0"/>
            </w:tcBorders>
          </w:tcPr>
          <w:p w14:paraId="0F88E73E">
            <w:pPr>
              <w:pStyle w:val="41"/>
              <w:rPr>
                <w:rFonts w:hint="default"/>
              </w:rPr>
            </w:pPr>
          </w:p>
        </w:tc>
      </w:tr>
      <w:tr w14:paraId="615075CB">
        <w:tblPrEx>
          <w:tblCellMar>
            <w:top w:w="0" w:type="dxa"/>
            <w:left w:w="109" w:type="dxa"/>
            <w:bottom w:w="0" w:type="dxa"/>
            <w:right w:w="107" w:type="dxa"/>
          </w:tblCellMar>
        </w:tblPrEx>
        <w:trPr>
          <w:trHeight w:val="1071" w:hRule="atLeast"/>
        </w:trPr>
        <w:tc>
          <w:tcPr>
            <w:tcW w:w="781" w:type="dxa"/>
            <w:tcBorders>
              <w:top w:val="single" w:color="000000" w:sz="4" w:space="0"/>
              <w:left w:val="single" w:color="000000" w:sz="4" w:space="0"/>
              <w:bottom w:val="single" w:color="000000" w:sz="4" w:space="0"/>
              <w:right w:val="single" w:color="000000" w:sz="4" w:space="0"/>
            </w:tcBorders>
            <w:vAlign w:val="center"/>
          </w:tcPr>
          <w:p w14:paraId="22782E3C">
            <w:pPr>
              <w:pStyle w:val="41"/>
              <w:rPr>
                <w:rFonts w:hint="default"/>
              </w:rPr>
            </w:pPr>
            <w:r>
              <w:t>2</w:t>
            </w:r>
          </w:p>
        </w:tc>
        <w:tc>
          <w:tcPr>
            <w:tcW w:w="2445" w:type="dxa"/>
            <w:tcBorders>
              <w:top w:val="single" w:color="000000" w:sz="4" w:space="0"/>
              <w:left w:val="single" w:color="000000" w:sz="4" w:space="0"/>
              <w:bottom w:val="single" w:color="000000" w:sz="4" w:space="0"/>
              <w:right w:val="single" w:color="000000" w:sz="4" w:space="0"/>
            </w:tcBorders>
          </w:tcPr>
          <w:p w14:paraId="35111804">
            <w:pPr>
              <w:pStyle w:val="41"/>
              <w:rPr>
                <w:rFonts w:hint="default"/>
              </w:rPr>
            </w:pPr>
          </w:p>
        </w:tc>
        <w:tc>
          <w:tcPr>
            <w:tcW w:w="1958" w:type="dxa"/>
            <w:tcBorders>
              <w:top w:val="single" w:color="000000" w:sz="4" w:space="0"/>
              <w:left w:val="single" w:color="000000" w:sz="4" w:space="0"/>
              <w:bottom w:val="single" w:color="000000" w:sz="4" w:space="0"/>
              <w:right w:val="single" w:color="000000" w:sz="4" w:space="0"/>
            </w:tcBorders>
          </w:tcPr>
          <w:p w14:paraId="779E409A">
            <w:pPr>
              <w:pStyle w:val="41"/>
              <w:rPr>
                <w:rFonts w:hint="default"/>
              </w:rPr>
            </w:pPr>
          </w:p>
        </w:tc>
        <w:tc>
          <w:tcPr>
            <w:tcW w:w="1350" w:type="dxa"/>
            <w:tcBorders>
              <w:top w:val="single" w:color="000000" w:sz="4" w:space="0"/>
              <w:left w:val="single" w:color="000000" w:sz="4" w:space="0"/>
              <w:bottom w:val="single" w:color="000000" w:sz="4" w:space="0"/>
              <w:right w:val="single" w:color="000000" w:sz="4" w:space="0"/>
            </w:tcBorders>
          </w:tcPr>
          <w:p w14:paraId="2DB1C72B">
            <w:pPr>
              <w:pStyle w:val="41"/>
              <w:rPr>
                <w:rFonts w:hint="default"/>
              </w:rPr>
            </w:pPr>
          </w:p>
        </w:tc>
        <w:tc>
          <w:tcPr>
            <w:tcW w:w="2747" w:type="dxa"/>
            <w:tcBorders>
              <w:top w:val="single" w:color="000000" w:sz="4" w:space="0"/>
              <w:left w:val="single" w:color="000000" w:sz="4" w:space="0"/>
              <w:bottom w:val="single" w:color="000000" w:sz="4" w:space="0"/>
              <w:right w:val="single" w:color="000000" w:sz="4" w:space="0"/>
            </w:tcBorders>
          </w:tcPr>
          <w:p w14:paraId="140D98C9">
            <w:pPr>
              <w:pStyle w:val="41"/>
              <w:rPr>
                <w:rFonts w:hint="default"/>
              </w:rPr>
            </w:pPr>
          </w:p>
        </w:tc>
      </w:tr>
      <w:tr w14:paraId="27DEA086">
        <w:tblPrEx>
          <w:tblCellMar>
            <w:top w:w="0" w:type="dxa"/>
            <w:left w:w="109" w:type="dxa"/>
            <w:bottom w:w="0" w:type="dxa"/>
            <w:right w:w="107" w:type="dxa"/>
          </w:tblCellMar>
        </w:tblPrEx>
        <w:trPr>
          <w:trHeight w:val="1090" w:hRule="atLeast"/>
        </w:trPr>
        <w:tc>
          <w:tcPr>
            <w:tcW w:w="781" w:type="dxa"/>
            <w:tcBorders>
              <w:top w:val="single" w:color="000000" w:sz="4" w:space="0"/>
              <w:left w:val="single" w:color="000000" w:sz="4" w:space="0"/>
              <w:bottom w:val="single" w:color="000000" w:sz="4" w:space="0"/>
              <w:right w:val="single" w:color="000000" w:sz="4" w:space="0"/>
            </w:tcBorders>
            <w:vAlign w:val="center"/>
          </w:tcPr>
          <w:p w14:paraId="05D5FC50">
            <w:pPr>
              <w:pStyle w:val="41"/>
              <w:rPr>
                <w:rFonts w:hint="default"/>
              </w:rPr>
            </w:pPr>
            <w:r>
              <w:t>3</w:t>
            </w:r>
          </w:p>
        </w:tc>
        <w:tc>
          <w:tcPr>
            <w:tcW w:w="2445" w:type="dxa"/>
            <w:tcBorders>
              <w:top w:val="single" w:color="000000" w:sz="4" w:space="0"/>
              <w:left w:val="single" w:color="000000" w:sz="4" w:space="0"/>
              <w:bottom w:val="single" w:color="000000" w:sz="4" w:space="0"/>
              <w:right w:val="single" w:color="000000" w:sz="4" w:space="0"/>
            </w:tcBorders>
          </w:tcPr>
          <w:p w14:paraId="1AC533BF">
            <w:pPr>
              <w:pStyle w:val="41"/>
              <w:rPr>
                <w:rFonts w:hint="default"/>
              </w:rPr>
            </w:pPr>
          </w:p>
        </w:tc>
        <w:tc>
          <w:tcPr>
            <w:tcW w:w="1958" w:type="dxa"/>
            <w:tcBorders>
              <w:top w:val="single" w:color="000000" w:sz="4" w:space="0"/>
              <w:left w:val="single" w:color="000000" w:sz="4" w:space="0"/>
              <w:bottom w:val="single" w:color="000000" w:sz="4" w:space="0"/>
              <w:right w:val="single" w:color="000000" w:sz="4" w:space="0"/>
            </w:tcBorders>
          </w:tcPr>
          <w:p w14:paraId="7E88AF2E">
            <w:pPr>
              <w:pStyle w:val="41"/>
              <w:rPr>
                <w:rFonts w:hint="default"/>
              </w:rPr>
            </w:pPr>
          </w:p>
        </w:tc>
        <w:tc>
          <w:tcPr>
            <w:tcW w:w="1350" w:type="dxa"/>
            <w:tcBorders>
              <w:top w:val="single" w:color="000000" w:sz="4" w:space="0"/>
              <w:left w:val="single" w:color="000000" w:sz="4" w:space="0"/>
              <w:bottom w:val="single" w:color="000000" w:sz="4" w:space="0"/>
              <w:right w:val="single" w:color="000000" w:sz="4" w:space="0"/>
            </w:tcBorders>
          </w:tcPr>
          <w:p w14:paraId="4BA6565C">
            <w:pPr>
              <w:pStyle w:val="41"/>
              <w:rPr>
                <w:rFonts w:hint="default"/>
              </w:rPr>
            </w:pPr>
          </w:p>
        </w:tc>
        <w:tc>
          <w:tcPr>
            <w:tcW w:w="2747" w:type="dxa"/>
            <w:tcBorders>
              <w:top w:val="single" w:color="000000" w:sz="4" w:space="0"/>
              <w:left w:val="single" w:color="000000" w:sz="4" w:space="0"/>
              <w:bottom w:val="single" w:color="000000" w:sz="4" w:space="0"/>
              <w:right w:val="single" w:color="000000" w:sz="4" w:space="0"/>
            </w:tcBorders>
          </w:tcPr>
          <w:p w14:paraId="5EED38E6">
            <w:pPr>
              <w:pStyle w:val="41"/>
              <w:rPr>
                <w:rFonts w:hint="default"/>
              </w:rPr>
            </w:pPr>
          </w:p>
        </w:tc>
      </w:tr>
      <w:tr w14:paraId="3CD2682B">
        <w:tblPrEx>
          <w:tblCellMar>
            <w:top w:w="0" w:type="dxa"/>
            <w:left w:w="109" w:type="dxa"/>
            <w:bottom w:w="0" w:type="dxa"/>
            <w:right w:w="107" w:type="dxa"/>
          </w:tblCellMar>
        </w:tblPrEx>
        <w:trPr>
          <w:trHeight w:val="1090" w:hRule="atLeast"/>
        </w:trPr>
        <w:tc>
          <w:tcPr>
            <w:tcW w:w="781" w:type="dxa"/>
            <w:tcBorders>
              <w:top w:val="single" w:color="000000" w:sz="4" w:space="0"/>
              <w:left w:val="single" w:color="000000" w:sz="4" w:space="0"/>
              <w:bottom w:val="single" w:color="000000" w:sz="4" w:space="0"/>
              <w:right w:val="single" w:color="000000" w:sz="4" w:space="0"/>
            </w:tcBorders>
            <w:vAlign w:val="center"/>
          </w:tcPr>
          <w:p w14:paraId="5E8DED00">
            <w:pPr>
              <w:pStyle w:val="41"/>
              <w:rPr>
                <w:rFonts w:hint="default"/>
              </w:rPr>
            </w:pPr>
            <w:r>
              <w:t>....</w:t>
            </w:r>
          </w:p>
        </w:tc>
        <w:tc>
          <w:tcPr>
            <w:tcW w:w="2445" w:type="dxa"/>
            <w:tcBorders>
              <w:top w:val="single" w:color="000000" w:sz="4" w:space="0"/>
              <w:left w:val="single" w:color="000000" w:sz="4" w:space="0"/>
              <w:bottom w:val="single" w:color="000000" w:sz="4" w:space="0"/>
              <w:right w:val="single" w:color="000000" w:sz="4" w:space="0"/>
            </w:tcBorders>
          </w:tcPr>
          <w:p w14:paraId="52F6897B">
            <w:pPr>
              <w:pStyle w:val="41"/>
              <w:rPr>
                <w:rFonts w:hint="default"/>
              </w:rPr>
            </w:pPr>
          </w:p>
        </w:tc>
        <w:tc>
          <w:tcPr>
            <w:tcW w:w="1958" w:type="dxa"/>
            <w:tcBorders>
              <w:top w:val="single" w:color="000000" w:sz="4" w:space="0"/>
              <w:left w:val="single" w:color="000000" w:sz="4" w:space="0"/>
              <w:bottom w:val="single" w:color="000000" w:sz="4" w:space="0"/>
              <w:right w:val="single" w:color="000000" w:sz="4" w:space="0"/>
            </w:tcBorders>
          </w:tcPr>
          <w:p w14:paraId="0F16D609">
            <w:pPr>
              <w:pStyle w:val="41"/>
              <w:rPr>
                <w:rFonts w:hint="default"/>
              </w:rPr>
            </w:pPr>
          </w:p>
        </w:tc>
        <w:tc>
          <w:tcPr>
            <w:tcW w:w="1350" w:type="dxa"/>
            <w:tcBorders>
              <w:top w:val="single" w:color="000000" w:sz="4" w:space="0"/>
              <w:left w:val="single" w:color="000000" w:sz="4" w:space="0"/>
              <w:bottom w:val="single" w:color="000000" w:sz="4" w:space="0"/>
              <w:right w:val="single" w:color="000000" w:sz="4" w:space="0"/>
            </w:tcBorders>
          </w:tcPr>
          <w:p w14:paraId="1DFF32AE">
            <w:pPr>
              <w:pStyle w:val="41"/>
              <w:rPr>
                <w:rFonts w:hint="default"/>
              </w:rPr>
            </w:pPr>
          </w:p>
        </w:tc>
        <w:tc>
          <w:tcPr>
            <w:tcW w:w="2747" w:type="dxa"/>
            <w:tcBorders>
              <w:top w:val="single" w:color="000000" w:sz="4" w:space="0"/>
              <w:left w:val="single" w:color="000000" w:sz="4" w:space="0"/>
              <w:bottom w:val="single" w:color="000000" w:sz="4" w:space="0"/>
              <w:right w:val="single" w:color="000000" w:sz="4" w:space="0"/>
            </w:tcBorders>
          </w:tcPr>
          <w:p w14:paraId="372554AC">
            <w:pPr>
              <w:pStyle w:val="41"/>
              <w:rPr>
                <w:rFonts w:hint="default"/>
              </w:rPr>
            </w:pPr>
          </w:p>
        </w:tc>
      </w:tr>
      <w:tr w14:paraId="5C28E0DA">
        <w:tblPrEx>
          <w:tblCellMar>
            <w:top w:w="0" w:type="dxa"/>
            <w:left w:w="109" w:type="dxa"/>
            <w:bottom w:w="0" w:type="dxa"/>
            <w:right w:w="107" w:type="dxa"/>
          </w:tblCellMar>
        </w:tblPrEx>
        <w:trPr>
          <w:trHeight w:val="1090" w:hRule="atLeast"/>
        </w:trPr>
        <w:tc>
          <w:tcPr>
            <w:tcW w:w="781" w:type="dxa"/>
            <w:tcBorders>
              <w:top w:val="single" w:color="000000" w:sz="4" w:space="0"/>
              <w:left w:val="single" w:color="000000" w:sz="4" w:space="0"/>
              <w:bottom w:val="single" w:color="000000" w:sz="4" w:space="0"/>
              <w:right w:val="single" w:color="000000" w:sz="4" w:space="0"/>
            </w:tcBorders>
          </w:tcPr>
          <w:p w14:paraId="1CAB7371">
            <w:pPr>
              <w:pStyle w:val="41"/>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center"/>
          </w:tcPr>
          <w:p w14:paraId="5F270830">
            <w:pPr>
              <w:pStyle w:val="41"/>
              <w:rPr>
                <w:rFonts w:hint="default"/>
              </w:rPr>
            </w:pPr>
            <w:r>
              <w:t>合计得分</w:t>
            </w:r>
          </w:p>
        </w:tc>
        <w:tc>
          <w:tcPr>
            <w:tcW w:w="1958" w:type="dxa"/>
            <w:tcBorders>
              <w:top w:val="single" w:color="000000" w:sz="4" w:space="0"/>
              <w:left w:val="single" w:color="000000" w:sz="4" w:space="0"/>
              <w:bottom w:val="single" w:color="000000" w:sz="4" w:space="0"/>
              <w:right w:val="single" w:color="000000" w:sz="4" w:space="0"/>
            </w:tcBorders>
          </w:tcPr>
          <w:p w14:paraId="64C4AF79">
            <w:pPr>
              <w:pStyle w:val="41"/>
              <w:rPr>
                <w:rFonts w:hint="default"/>
              </w:rPr>
            </w:pPr>
          </w:p>
        </w:tc>
        <w:tc>
          <w:tcPr>
            <w:tcW w:w="1350" w:type="dxa"/>
            <w:tcBorders>
              <w:top w:val="single" w:color="000000" w:sz="4" w:space="0"/>
              <w:left w:val="single" w:color="000000" w:sz="4" w:space="0"/>
              <w:bottom w:val="single" w:color="000000" w:sz="4" w:space="0"/>
              <w:right w:val="single" w:color="000000" w:sz="4" w:space="0"/>
            </w:tcBorders>
          </w:tcPr>
          <w:p w14:paraId="4E6DC4F9">
            <w:pPr>
              <w:pStyle w:val="41"/>
              <w:rPr>
                <w:rFonts w:hint="default"/>
              </w:rPr>
            </w:pPr>
          </w:p>
        </w:tc>
        <w:tc>
          <w:tcPr>
            <w:tcW w:w="2747" w:type="dxa"/>
            <w:tcBorders>
              <w:top w:val="single" w:color="000000" w:sz="4" w:space="0"/>
              <w:left w:val="single" w:color="000000" w:sz="4" w:space="0"/>
              <w:bottom w:val="single" w:color="000000" w:sz="4" w:space="0"/>
              <w:right w:val="single" w:color="000000" w:sz="4" w:space="0"/>
            </w:tcBorders>
          </w:tcPr>
          <w:p w14:paraId="5DE0707C">
            <w:pPr>
              <w:pStyle w:val="41"/>
              <w:rPr>
                <w:rFonts w:hint="default"/>
              </w:rPr>
            </w:pPr>
          </w:p>
        </w:tc>
      </w:tr>
    </w:tbl>
    <w:p w14:paraId="4C11EEE1">
      <w:pPr>
        <w:ind w:firstLine="480"/>
        <w:rPr>
          <w:rFonts w:ascii="Arial" w:hAnsi="Arial" w:cs="Arial"/>
          <w:color w:val="000000"/>
          <w:szCs w:val="21"/>
        </w:rPr>
      </w:pPr>
      <w:r>
        <w:rPr>
          <w:rFonts w:ascii="Arial" w:hAnsi="Arial" w:cs="Arial"/>
          <w:color w:val="000000"/>
          <w:szCs w:val="21"/>
        </w:rPr>
        <w:br w:type="page"/>
      </w:r>
    </w:p>
    <w:p w14:paraId="2360F584">
      <w:pPr>
        <w:widowControl/>
        <w:spacing w:line="360" w:lineRule="auto"/>
        <w:ind w:firstLine="431"/>
        <w:jc w:val="left"/>
        <w:rPr>
          <w:rFonts w:ascii="宋体" w:hAnsi="宋体"/>
          <w:w w:val="90"/>
          <w:szCs w:val="21"/>
        </w:rPr>
      </w:pPr>
    </w:p>
    <w:p w14:paraId="3D00892D">
      <w:pPr>
        <w:widowControl/>
        <w:spacing w:line="360" w:lineRule="auto"/>
        <w:ind w:firstLine="480"/>
        <w:jc w:val="left"/>
        <w:rPr>
          <w:rFonts w:hint="eastAsia" w:eastAsia="宋体"/>
          <w:lang w:eastAsia="zh-CN"/>
        </w:rPr>
      </w:pPr>
      <w:r>
        <w:t>附件</w:t>
      </w:r>
      <w:r>
        <w:rPr>
          <w:rFonts w:hint="eastAsia"/>
          <w:lang w:val="en-US" w:eastAsia="zh-CN"/>
        </w:rPr>
        <w:t>6</w:t>
      </w:r>
    </w:p>
    <w:p w14:paraId="07CF5B92">
      <w:pPr>
        <w:pStyle w:val="10"/>
        <w:jc w:val="center"/>
      </w:pPr>
      <w:bookmarkStart w:id="562" w:name="_Toc30154"/>
      <w:bookmarkStart w:id="563" w:name="_Toc7982"/>
      <w:bookmarkStart w:id="564" w:name="_Toc32604"/>
      <w:bookmarkStart w:id="565" w:name="_Toc28271"/>
      <w:bookmarkStart w:id="566" w:name="_Toc29523"/>
      <w:r>
        <w:rPr>
          <w:rFonts w:hint="eastAsia"/>
          <w:lang w:val="en-US" w:eastAsia="zh-CN"/>
        </w:rPr>
        <w:t>投标</w:t>
      </w:r>
      <w:r>
        <w:rPr>
          <w:rFonts w:hint="eastAsia"/>
        </w:rPr>
        <w:t>声明函</w:t>
      </w:r>
      <w:bookmarkEnd w:id="562"/>
      <w:bookmarkEnd w:id="563"/>
      <w:bookmarkEnd w:id="564"/>
      <w:bookmarkEnd w:id="565"/>
      <w:bookmarkEnd w:id="566"/>
    </w:p>
    <w:p w14:paraId="4C434065">
      <w:pPr>
        <w:ind w:firstLine="0" w:firstLineChars="0"/>
        <w:rPr>
          <w:rFonts w:hint="eastAsia" w:eastAsia="宋体"/>
          <w:color w:val="000000" w:themeColor="text1"/>
          <w:u w:val="single"/>
          <w:lang w:eastAsia="zh-CN"/>
          <w14:textFill>
            <w14:solidFill>
              <w14:schemeClr w14:val="tx1"/>
            </w14:solidFill>
          </w14:textFill>
        </w:rPr>
      </w:pPr>
      <w:r>
        <w:rPr>
          <w:rFonts w:hint="eastAsia"/>
          <w:color w:val="000000" w:themeColor="text1"/>
          <w14:textFill>
            <w14:solidFill>
              <w14:schemeClr w14:val="tx1"/>
            </w14:solidFill>
          </w14:textFill>
        </w:rPr>
        <w:t>致：</w:t>
      </w:r>
      <w:r>
        <w:rPr>
          <w:rFonts w:hint="eastAsia"/>
          <w:color w:val="000000" w:themeColor="text1"/>
          <w:u w:val="single"/>
          <w:lang w:eastAsia="zh-CN"/>
          <w14:textFill>
            <w14:solidFill>
              <w14:schemeClr w14:val="tx1"/>
            </w14:solidFill>
          </w14:textFill>
        </w:rPr>
        <w:t>龙游县公证处</w:t>
      </w:r>
    </w:p>
    <w:p w14:paraId="4FDBB104">
      <w:pPr>
        <w:ind w:firstLine="480"/>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 xml:space="preserve">    （投标人全称）</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授权</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（全权代表姓名）</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（职务、职称）</w:t>
      </w:r>
      <w:r>
        <w:rPr>
          <w:rFonts w:hint="eastAsia"/>
          <w:color w:val="000000" w:themeColor="text1"/>
          <w14:textFill>
            <w14:solidFill>
              <w14:schemeClr w14:val="tx1"/>
            </w14:solidFill>
          </w14:textFill>
        </w:rPr>
        <w:t>为全权代表，参加贵方组织的</w:t>
      </w:r>
      <w:r>
        <w:rPr>
          <w:color w:val="000000" w:themeColor="text1"/>
          <w:u w:val="single"/>
          <w14:textFill>
            <w14:solidFill>
              <w14:schemeClr w14:val="tx1"/>
            </w14:solidFill>
          </w14:textFill>
        </w:rPr>
        <w:t xml:space="preserve"> </w:t>
      </w:r>
      <w:r>
        <w:rPr>
          <w:rFonts w:hint="eastAsia"/>
          <w:color w:val="000000" w:themeColor="text1"/>
          <w:u w:val="single"/>
          <w:lang w:eastAsia="zh-CN"/>
          <w14:textFill>
            <w14:solidFill>
              <w14:schemeClr w14:val="tx1"/>
            </w14:solidFill>
          </w14:textFill>
        </w:rPr>
        <w:t>龙游县公证处公证派驻法院执行辅助人员</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项目名称（项目编号：</w:t>
      </w:r>
      <w:r>
        <w:rPr>
          <w:color w:val="000000" w:themeColor="text1"/>
          <w:u w:val="single"/>
          <w14:textFill>
            <w14:solidFill>
              <w14:schemeClr w14:val="tx1"/>
            </w14:solidFill>
          </w14:textFill>
        </w:rPr>
        <w:t xml:space="preserve"> </w:t>
      </w:r>
      <w:r>
        <w:rPr>
          <w:rFonts w:hint="eastAsia" w:ascii="宋体" w:hAnsi="宋体" w:cs="宋体"/>
          <w:color w:val="000000" w:themeColor="text1"/>
          <w:u w:val="single"/>
          <w:lang w:eastAsia="zh-CN"/>
          <w14:textFill>
            <w14:solidFill>
              <w14:schemeClr w14:val="tx1"/>
            </w14:solidFill>
          </w14:textFill>
        </w:rPr>
        <w:t>LYJY2024072</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w:t>
      </w:r>
      <w:r>
        <w:rPr>
          <w:rFonts w:hint="eastAsia"/>
          <w:color w:val="000000" w:themeColor="text1"/>
          <w14:textFill>
            <w14:solidFill>
              <w14:schemeClr w14:val="tx1"/>
            </w14:solidFill>
          </w14:textFill>
        </w:rPr>
        <w:t>招标的有关活动，并对此项目进行投标。为此：</w:t>
      </w:r>
    </w:p>
    <w:p w14:paraId="553B1EC1">
      <w:pPr>
        <w:ind w:firstLine="48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我方同意在投标人须知前附表规定的开启日期起遵守本投标声明函中的承诺且在报价有效期满之前均具有约束力。</w:t>
      </w:r>
    </w:p>
    <w:p w14:paraId="1DBBA830">
      <w:pPr>
        <w:ind w:firstLine="48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我方承诺已经具备《中华人民共和国政府采购法》中规定的参加政府采购活动的投标人应当具备的条件。</w:t>
      </w:r>
    </w:p>
    <w:p w14:paraId="59E7AC6B">
      <w:pPr>
        <w:ind w:firstLine="48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提供招标文件投标人须知规定的全部投标文件。</w:t>
      </w:r>
    </w:p>
    <w:p w14:paraId="3E25EB38">
      <w:pPr>
        <w:ind w:firstLine="480"/>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按招标文件要求提供和交付的货物和服务的投标报价详见投标报价表。</w:t>
      </w:r>
    </w:p>
    <w:p w14:paraId="61A6AF4E">
      <w:pPr>
        <w:ind w:firstLine="480"/>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保证忠实地执行双方所签订的合同，并承担合同规定的责任和义务。</w:t>
      </w:r>
    </w:p>
    <w:p w14:paraId="53173A8C">
      <w:pPr>
        <w:ind w:firstLine="480"/>
        <w:rPr>
          <w:color w:val="000000" w:themeColor="text1"/>
          <w14:textFill>
            <w14:solidFill>
              <w14:schemeClr w14:val="tx1"/>
            </w14:solidFill>
          </w14:textFill>
        </w:rPr>
      </w:pPr>
      <w:r>
        <w:rPr>
          <w:color w:val="000000" w:themeColor="text1"/>
          <w14:textFill>
            <w14:solidFill>
              <w14:schemeClr w14:val="tx1"/>
            </w14:solidFill>
          </w14:textFill>
        </w:rPr>
        <w:t>6.</w:t>
      </w:r>
      <w:r>
        <w:rPr>
          <w:rFonts w:hint="eastAsia"/>
          <w:color w:val="000000" w:themeColor="text1"/>
          <w14:textFill>
            <w14:solidFill>
              <w14:schemeClr w14:val="tx1"/>
            </w14:solidFill>
          </w14:textFill>
        </w:rPr>
        <w:t>保证遵守招标文件中的其他有关规定。</w:t>
      </w:r>
    </w:p>
    <w:p w14:paraId="4F4E5018">
      <w:pPr>
        <w:ind w:firstLine="480"/>
        <w:rPr>
          <w:color w:val="000000" w:themeColor="text1"/>
          <w14:textFill>
            <w14:solidFill>
              <w14:schemeClr w14:val="tx1"/>
            </w14:solidFill>
          </w14:textFill>
        </w:rPr>
      </w:pPr>
      <w:r>
        <w:rPr>
          <w:color w:val="000000" w:themeColor="text1"/>
          <w14:textFill>
            <w14:solidFill>
              <w14:schemeClr w14:val="tx1"/>
            </w14:solidFill>
          </w14:textFill>
        </w:rPr>
        <w:t>7.</w:t>
      </w:r>
      <w:r>
        <w:rPr>
          <w:rFonts w:hint="eastAsia"/>
          <w:color w:val="000000" w:themeColor="text1"/>
          <w14:textFill>
            <w14:solidFill>
              <w14:schemeClr w14:val="tx1"/>
            </w14:solidFill>
          </w14:textFill>
        </w:rPr>
        <w:t>在投标文件开启后规定的报价有效期内不得撤回投标文件。</w:t>
      </w:r>
    </w:p>
    <w:p w14:paraId="42996770">
      <w:pPr>
        <w:ind w:firstLine="480"/>
        <w:rPr>
          <w:color w:val="000000" w:themeColor="text1"/>
          <w14:textFill>
            <w14:solidFill>
              <w14:schemeClr w14:val="tx1"/>
            </w14:solidFill>
          </w14:textFill>
        </w:rPr>
      </w:pPr>
      <w:r>
        <w:rPr>
          <w:color w:val="000000" w:themeColor="text1"/>
          <w14:textFill>
            <w14:solidFill>
              <w14:schemeClr w14:val="tx1"/>
            </w14:solidFill>
          </w14:textFill>
        </w:rPr>
        <w:t>8.</w:t>
      </w:r>
      <w:r>
        <w:rPr>
          <w:rFonts w:hint="eastAsia"/>
          <w:color w:val="000000" w:themeColor="text1"/>
          <w14:textFill>
            <w14:solidFill>
              <w14:schemeClr w14:val="tx1"/>
            </w14:solidFill>
          </w14:textFill>
        </w:rPr>
        <w:t>我方完全理解贵方不一定要接受最低价的成交。</w:t>
      </w:r>
    </w:p>
    <w:p w14:paraId="1A3B0B96">
      <w:pPr>
        <w:ind w:firstLine="480"/>
        <w:rPr>
          <w:color w:val="000000" w:themeColor="text1"/>
          <w14:textFill>
            <w14:solidFill>
              <w14:schemeClr w14:val="tx1"/>
            </w14:solidFill>
          </w14:textFill>
        </w:rPr>
      </w:pPr>
      <w:r>
        <w:rPr>
          <w:color w:val="000000" w:themeColor="text1"/>
          <w14:textFill>
            <w14:solidFill>
              <w14:schemeClr w14:val="tx1"/>
            </w14:solidFill>
          </w14:textFill>
        </w:rPr>
        <w:t>9.</w:t>
      </w:r>
      <w:r>
        <w:rPr>
          <w:rFonts w:hint="eastAsia"/>
          <w:color w:val="000000" w:themeColor="text1"/>
          <w14:textFill>
            <w14:solidFill>
              <w14:schemeClr w14:val="tx1"/>
            </w14:solidFill>
          </w14:textFill>
        </w:rPr>
        <w:t>我方承诺愿意真实向贵方提供任何与该项招标有关的数据、情况和技术资料。</w:t>
      </w:r>
    </w:p>
    <w:p w14:paraId="7BFC47C2">
      <w:pPr>
        <w:ind w:firstLine="480"/>
        <w:rPr>
          <w:color w:val="000000" w:themeColor="text1"/>
          <w14:textFill>
            <w14:solidFill>
              <w14:schemeClr w14:val="tx1"/>
            </w14:solidFill>
          </w14:textFill>
        </w:rPr>
      </w:pPr>
      <w:r>
        <w:rPr>
          <w:color w:val="000000" w:themeColor="text1"/>
          <w14:textFill>
            <w14:solidFill>
              <w14:schemeClr w14:val="tx1"/>
            </w14:solidFill>
          </w14:textFill>
        </w:rPr>
        <w:t>10.</w:t>
      </w:r>
      <w:r>
        <w:rPr>
          <w:rFonts w:hint="eastAsia"/>
          <w:color w:val="000000" w:themeColor="text1"/>
          <w14:textFill>
            <w14:solidFill>
              <w14:schemeClr w14:val="tx1"/>
            </w14:solidFill>
          </w14:textFill>
        </w:rPr>
        <w:t>我方已详细审核全部招标文件，包括招标文件修改书（如有的话）、参考资料及有关附件，确认无误。</w:t>
      </w:r>
    </w:p>
    <w:p w14:paraId="02B7B7A8">
      <w:pPr>
        <w:ind w:firstLine="480"/>
        <w:rPr>
          <w:color w:val="000000" w:themeColor="text1"/>
          <w14:textFill>
            <w14:solidFill>
              <w14:schemeClr w14:val="tx1"/>
            </w14:solidFill>
          </w14:textFill>
        </w:rPr>
      </w:pPr>
      <w:r>
        <w:rPr>
          <w:color w:val="000000" w:themeColor="text1"/>
          <w14:textFill>
            <w14:solidFill>
              <w14:schemeClr w14:val="tx1"/>
            </w14:solidFill>
          </w14:textFill>
        </w:rPr>
        <w:t>11.</w:t>
      </w:r>
      <w:r>
        <w:rPr>
          <w:rFonts w:hint="eastAsia"/>
          <w:color w:val="000000" w:themeColor="text1"/>
          <w14:textFill>
            <w14:solidFill>
              <w14:schemeClr w14:val="tx1"/>
            </w14:solidFill>
          </w14:textFill>
        </w:rPr>
        <w:t>我方将严格遵守《中华人民共和国政府采购法》第七十七条规定，投标人有下列情形之一的，处以采购金额</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‰以上</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‰以下的罚款，列入不良行为记录名单，在一至三年内禁止参加政府采购活动；有违法所得的，并处没收违法所得；情节严重的，由工商行政管理机关吊销营业执照；构成犯罪的，依法追究刑事责任：</w:t>
      </w:r>
    </w:p>
    <w:p w14:paraId="71574FCE">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）提供虚假材料谋取成交、成交的；</w:t>
      </w:r>
    </w:p>
    <w:p w14:paraId="158A3DCA">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）采取不正当手段诋毁、排挤其他投标人的；</w:t>
      </w:r>
    </w:p>
    <w:p w14:paraId="294FFA40">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）与采购人、其它投标人或采购代理机构恶意串通的；</w:t>
      </w:r>
    </w:p>
    <w:p w14:paraId="64979A39">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）向采购人、采购代理机构行贿或者提供其他不正当利益的；</w:t>
      </w:r>
    </w:p>
    <w:p w14:paraId="39837036">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）在采购过程中与采购人进行协商投标的；</w:t>
      </w:r>
    </w:p>
    <w:p w14:paraId="07849CBB">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）拒绝有关部门监督检查或提供虚假情况的。</w:t>
      </w:r>
    </w:p>
    <w:p w14:paraId="7AB7DBD1">
      <w:pPr>
        <w:ind w:firstLine="480"/>
        <w:rPr>
          <w:color w:val="000000" w:themeColor="text1"/>
          <w14:textFill>
            <w14:solidFill>
              <w14:schemeClr w14:val="tx1"/>
            </w14:solidFill>
          </w14:textFill>
        </w:rPr>
      </w:pPr>
      <w:r>
        <w:rPr>
          <w:color w:val="000000" w:themeColor="text1"/>
          <w14:textFill>
            <w14:solidFill>
              <w14:schemeClr w14:val="tx1"/>
            </w14:solidFill>
          </w14:textFill>
        </w:rPr>
        <w:t>12.</w:t>
      </w:r>
      <w:r>
        <w:rPr>
          <w:rFonts w:hint="eastAsia"/>
          <w:color w:val="000000" w:themeColor="text1"/>
          <w14:textFill>
            <w14:solidFill>
              <w14:schemeClr w14:val="tx1"/>
            </w14:solidFill>
          </w14:textFill>
        </w:rPr>
        <w:t>其他承诺：</w:t>
      </w:r>
    </w:p>
    <w:p w14:paraId="6DED9B2C">
      <w:pPr>
        <w:ind w:firstLine="480"/>
        <w:rPr>
          <w:color w:val="000000" w:themeColor="text1"/>
          <w14:textFill>
            <w14:solidFill>
              <w14:schemeClr w14:val="tx1"/>
            </w14:solidFill>
          </w14:textFill>
        </w:rPr>
      </w:pPr>
      <w:r>
        <w:rPr>
          <w:color w:val="000000" w:themeColor="text1"/>
          <w14:textFill>
            <w14:solidFill>
              <w14:schemeClr w14:val="tx1"/>
            </w14:solidFill>
          </w14:textFill>
        </w:rPr>
        <w:t>a</w:t>
      </w:r>
      <w:r>
        <w:rPr>
          <w:rFonts w:hint="eastAsia"/>
          <w:color w:val="000000" w:themeColor="text1"/>
          <w14:textFill>
            <w14:solidFill>
              <w14:schemeClr w14:val="tx1"/>
            </w14:solidFill>
          </w14:textFill>
        </w:rPr>
        <w:t>）投标有效期内不撤销投标文件；强行撤销的，承诺按采购预算金额的</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赔偿对采购组织机构造成损失；</w:t>
      </w:r>
    </w:p>
    <w:p w14:paraId="1B62AF36">
      <w:pPr>
        <w:ind w:firstLine="480"/>
        <w:rPr>
          <w:color w:val="000000" w:themeColor="text1"/>
          <w14:textFill>
            <w14:solidFill>
              <w14:schemeClr w14:val="tx1"/>
            </w14:solidFill>
          </w14:textFill>
        </w:rPr>
      </w:pPr>
      <w:r>
        <w:rPr>
          <w:color w:val="000000" w:themeColor="text1"/>
          <w14:textFill>
            <w14:solidFill>
              <w14:schemeClr w14:val="tx1"/>
            </w14:solidFill>
          </w14:textFill>
        </w:rPr>
        <w:t>b</w:t>
      </w:r>
      <w:r>
        <w:rPr>
          <w:rFonts w:hint="eastAsia"/>
          <w:color w:val="000000" w:themeColor="text1"/>
          <w14:textFill>
            <w14:solidFill>
              <w14:schemeClr w14:val="tx1"/>
            </w14:solidFill>
          </w14:textFill>
        </w:rPr>
        <w:t>）中标或者成交后，按采购文件规定与采购人签订合同。拒绝签订合同的，承诺按采购预算金额的</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对采购人进行赔偿；赔偿金额不足以弥补采购人损失的，承诺继续承担超过部分的损失。</w:t>
      </w:r>
    </w:p>
    <w:p w14:paraId="7979C428">
      <w:pPr>
        <w:ind w:firstLine="480"/>
      </w:pPr>
      <w:r>
        <w:rPr>
          <w:color w:val="000000" w:themeColor="text1"/>
          <w14:textFill>
            <w14:solidFill>
              <w14:schemeClr w14:val="tx1"/>
            </w14:solidFill>
          </w14:textFill>
        </w:rPr>
        <w:t>c</w:t>
      </w:r>
      <w:r>
        <w:rPr>
          <w:rFonts w:hint="eastAsia"/>
          <w:color w:val="000000" w:themeColor="text1"/>
          <w14:textFill>
            <w14:solidFill>
              <w14:schemeClr w14:val="tx1"/>
            </w14:solidFill>
          </w14:textFill>
        </w:rPr>
        <w:t>）中标或者成交后，按采购文件规定的采购代理服务费标准，承诺在签订合同前向采购代理机构支付采购代理服务费。</w:t>
      </w:r>
    </w:p>
    <w:p w14:paraId="73C2E5B8">
      <w:pPr>
        <w:ind w:firstLine="480"/>
      </w:pPr>
    </w:p>
    <w:p w14:paraId="067F8933">
      <w:pPr>
        <w:ind w:firstLine="480"/>
      </w:pPr>
    </w:p>
    <w:p w14:paraId="2354C31D">
      <w:pPr>
        <w:ind w:firstLine="480"/>
      </w:pPr>
      <w:r>
        <w:t>供应商</w:t>
      </w:r>
      <w:r>
        <w:rPr>
          <w:rFonts w:hint="eastAsia"/>
        </w:rPr>
        <w:t>名称（</w:t>
      </w:r>
      <w:r>
        <w:t>盖单位公章</w:t>
      </w:r>
      <w:r>
        <w:rPr>
          <w:rFonts w:hint="eastAsia"/>
        </w:rPr>
        <w:t>）</w:t>
      </w:r>
      <w:r>
        <w:t xml:space="preserve">：                             </w:t>
      </w:r>
    </w:p>
    <w:p w14:paraId="057AD392">
      <w:pPr>
        <w:ind w:firstLine="480"/>
      </w:pPr>
      <w:r>
        <w:rPr>
          <w:rFonts w:hint="eastAsia"/>
          <w:lang w:val="zh-CN"/>
        </w:rPr>
        <w:t>法定代表人或授权委托人（签字或盖章）：</w:t>
      </w:r>
    </w:p>
    <w:p w14:paraId="56988336">
      <w:pPr>
        <w:ind w:firstLine="480"/>
      </w:pPr>
      <w:r>
        <w:t>日期：</w:t>
      </w:r>
      <w:r>
        <w:rPr>
          <w:rFonts w:hint="eastAsia"/>
        </w:rPr>
        <w:t xml:space="preserve">   年   月  日</w:t>
      </w:r>
    </w:p>
    <w:p w14:paraId="31D062A8">
      <w:pPr>
        <w:ind w:firstLine="480"/>
      </w:pPr>
    </w:p>
    <w:p w14:paraId="0FE92438">
      <w:pPr>
        <w:ind w:firstLine="480"/>
      </w:pPr>
    </w:p>
    <w:p w14:paraId="4E7C1005">
      <w:pPr>
        <w:ind w:firstLine="480"/>
      </w:pPr>
    </w:p>
    <w:p w14:paraId="7FBACDC6">
      <w:pPr>
        <w:ind w:firstLine="480"/>
      </w:pPr>
      <w:r>
        <w:rPr>
          <w:rFonts w:hint="eastAsia"/>
        </w:rPr>
        <w:t>注：未按照本投标声明函要求填报的将被视为非实质性响应，从而可能导致该响应被拒绝。</w:t>
      </w:r>
    </w:p>
    <w:p w14:paraId="7DEA9642">
      <w:pPr>
        <w:ind w:firstLine="480"/>
      </w:pPr>
      <w:r>
        <w:br w:type="page"/>
      </w:r>
    </w:p>
    <w:p w14:paraId="643BC782">
      <w:pPr>
        <w:ind w:firstLine="480"/>
      </w:pPr>
    </w:p>
    <w:p w14:paraId="0BED5073">
      <w:pPr>
        <w:ind w:firstLine="480"/>
        <w:rPr>
          <w:rFonts w:hint="eastAsia" w:hAnsi="宋体" w:eastAsia="宋体"/>
          <w:b/>
          <w:sz w:val="30"/>
          <w:szCs w:val="30"/>
          <w:lang w:eastAsia="zh-CN"/>
        </w:rPr>
      </w:pPr>
      <w:r>
        <w:t>附</w:t>
      </w:r>
      <w:r>
        <w:rPr>
          <w:rFonts w:hint="eastAsia"/>
        </w:rPr>
        <w:t>件</w:t>
      </w:r>
      <w:r>
        <w:rPr>
          <w:rFonts w:hint="eastAsia"/>
          <w:lang w:val="en-US" w:eastAsia="zh-CN"/>
        </w:rPr>
        <w:t>7</w:t>
      </w:r>
    </w:p>
    <w:p w14:paraId="32E1AA1F">
      <w:pPr>
        <w:pStyle w:val="10"/>
        <w:ind w:firstLine="643"/>
        <w:jc w:val="center"/>
      </w:pPr>
      <w:bookmarkStart w:id="567" w:name="_Toc16052"/>
      <w:bookmarkStart w:id="568" w:name="_Toc9373"/>
      <w:bookmarkStart w:id="569" w:name="_Toc25651"/>
      <w:bookmarkStart w:id="570" w:name="_Toc18802"/>
      <w:bookmarkStart w:id="571" w:name="_Toc8349"/>
      <w:bookmarkStart w:id="572" w:name="_Toc2718"/>
      <w:bookmarkStart w:id="573" w:name="_Toc237"/>
      <w:bookmarkStart w:id="574" w:name="_Toc7064"/>
      <w:r>
        <w:rPr>
          <w:rFonts w:hint="eastAsia"/>
        </w:rPr>
        <w:t>法定代表人授权书</w:t>
      </w:r>
      <w:bookmarkEnd w:id="567"/>
      <w:bookmarkEnd w:id="568"/>
      <w:bookmarkEnd w:id="569"/>
      <w:bookmarkEnd w:id="570"/>
      <w:bookmarkEnd w:id="571"/>
      <w:bookmarkEnd w:id="572"/>
      <w:bookmarkEnd w:id="573"/>
      <w:bookmarkEnd w:id="574"/>
    </w:p>
    <w:p w14:paraId="765B7716">
      <w:pPr>
        <w:ind w:firstLine="723"/>
        <w:rPr>
          <w:rFonts w:hAnsi="宋体"/>
          <w:b/>
          <w:sz w:val="36"/>
          <w:szCs w:val="36"/>
        </w:rPr>
      </w:pPr>
    </w:p>
    <w:p w14:paraId="58DE008F">
      <w:pPr>
        <w:ind w:firstLine="0" w:firstLineChars="0"/>
      </w:pPr>
      <w:r>
        <w:rPr>
          <w:rFonts w:hint="eastAsia"/>
          <w:u w:val="single"/>
        </w:rPr>
        <w:t>龙游县公证处：</w:t>
      </w:r>
    </w:p>
    <w:p w14:paraId="09D7291C">
      <w:pPr>
        <w:ind w:firstLine="480"/>
      </w:pPr>
    </w:p>
    <w:p w14:paraId="1EAC4007">
      <w:pPr>
        <w:ind w:firstLine="480"/>
      </w:pPr>
      <w:r>
        <w:t>我以</w:t>
      </w:r>
      <w:r>
        <w:rPr>
          <w:u w:val="single"/>
        </w:rPr>
        <w:t xml:space="preserve">        （供应商全称）    </w:t>
      </w:r>
      <w:r>
        <w:t>法定代表人的身份授权</w:t>
      </w:r>
      <w:r>
        <w:rPr>
          <w:u w:val="single"/>
        </w:rPr>
        <w:t xml:space="preserve">（全权代表姓名）、  （身份证号）   </w:t>
      </w:r>
      <w:r>
        <w:t>，为我单位的全权代表，参加贵处组织的</w:t>
      </w:r>
      <w:r>
        <w:rPr>
          <w:u w:val="single"/>
        </w:rPr>
        <w:t xml:space="preserve"> </w:t>
      </w:r>
      <w:r>
        <w:rPr>
          <w:rFonts w:hint="eastAsia"/>
          <w:u w:val="single"/>
        </w:rPr>
        <w:t>龙游县公证处公证派驻法院执行辅助人员</w:t>
      </w:r>
      <w:r>
        <w:rPr>
          <w:rFonts w:hint="eastAsia"/>
          <w:u w:val="single"/>
          <w:lang w:val="en-US" w:eastAsia="zh-CN"/>
        </w:rPr>
        <w:t xml:space="preserve"> </w:t>
      </w:r>
      <w:r>
        <w:rPr>
          <w:u w:val="single"/>
        </w:rPr>
        <w:t xml:space="preserve">（项目名称） （项目编号 </w:t>
      </w:r>
      <w:r>
        <w:rPr>
          <w:rFonts w:hint="eastAsia"/>
          <w:u w:val="single"/>
        </w:rPr>
        <w:t>LYJY2024072</w:t>
      </w:r>
      <w:r>
        <w:rPr>
          <w:u w:val="single"/>
        </w:rPr>
        <w:t>）</w:t>
      </w:r>
      <w:r>
        <w:t>的磋商，签署本项目相关磋商响应文件并全权处理磋商活动中的一切事宜。我单位承认全权代表做出的与本项目磋商活动有关的全部行为。</w:t>
      </w:r>
    </w:p>
    <w:p w14:paraId="78371046">
      <w:pPr>
        <w:ind w:firstLine="480"/>
      </w:pPr>
      <w:r>
        <w:t>供应商全称（盖单位公章）：</w:t>
      </w:r>
    </w:p>
    <w:p w14:paraId="39356C64">
      <w:pPr>
        <w:ind w:firstLine="480"/>
      </w:pPr>
      <w:r>
        <w:t>法定代表人（签字或盖章）：</w:t>
      </w:r>
    </w:p>
    <w:p w14:paraId="6BC345A7">
      <w:pPr>
        <w:ind w:firstLine="480"/>
      </w:pPr>
      <w:r>
        <w:t>电话：</w:t>
      </w:r>
    </w:p>
    <w:p w14:paraId="5FA90F93">
      <w:pPr>
        <w:ind w:firstLine="480"/>
      </w:pPr>
      <w:r>
        <w:t>日期：</w:t>
      </w:r>
    </w:p>
    <w:p w14:paraId="24C5ABB7">
      <w:pPr>
        <w:ind w:firstLine="480"/>
      </w:pPr>
      <w:r>
        <w:t>附：</w:t>
      </w:r>
    </w:p>
    <w:p w14:paraId="5412B9BC">
      <w:pPr>
        <w:ind w:firstLine="480"/>
      </w:pPr>
      <w:r>
        <w:t>全权代表姓名：     身份证号码：      职  务：         电  话：</w:t>
      </w:r>
    </w:p>
    <w:p w14:paraId="131F31BB">
      <w:pPr>
        <w:ind w:firstLine="482"/>
        <w:rPr>
          <w:rFonts w:ascii="Arial" w:hAnsi="Arial" w:cs="Arial"/>
          <w:b/>
        </w:rPr>
      </w:pPr>
      <w:r>
        <w:rPr>
          <w:rFonts w:hint="eastAsia" w:ascii="Arial" w:hAnsi="Arial" w:cs="Arial"/>
          <w:b/>
        </w:rPr>
        <w:t>授权人及被授权人身份证复印件</w:t>
      </w:r>
      <w:r>
        <w:rPr>
          <w:rFonts w:ascii="Arial" w:hAnsi="Arial" w:cs="Arial"/>
          <w:b/>
        </w:rPr>
        <w:t>：</w:t>
      </w:r>
    </w:p>
    <w:p w14:paraId="246E54E2">
      <w:pPr>
        <w:ind w:firstLine="480"/>
      </w:pPr>
    </w:p>
    <w:p w14:paraId="353157DF">
      <w:pPr>
        <w:ind w:firstLine="480"/>
      </w:pPr>
    </w:p>
    <w:p w14:paraId="1DB32D2E">
      <w:pPr>
        <w:ind w:firstLine="480"/>
        <w:rPr>
          <w:rFonts w:ascii="Arial" w:hAnsi="Arial" w:cs="Arial"/>
          <w:b/>
          <w:szCs w:val="21"/>
        </w:rPr>
      </w:pPr>
      <w:r>
        <w:t>注：若是法定代表人参加磋商的及签署响应文件的则不需提供该授权书。</w:t>
      </w:r>
    </w:p>
    <w:p w14:paraId="5DDC2B49">
      <w:pPr>
        <w:widowControl/>
        <w:spacing w:line="240" w:lineRule="auto"/>
        <w:ind w:firstLine="0" w:firstLineChars="0"/>
        <w:jc w:val="left"/>
        <w:rPr>
          <w:rFonts w:hint="eastAsia" w:eastAsia="宋体"/>
          <w:lang w:eastAsia="zh-CN"/>
        </w:rPr>
      </w:pPr>
      <w:r>
        <w:br w:type="page"/>
      </w:r>
      <w:bookmarkStart w:id="575" w:name="_Toc427610949"/>
      <w:bookmarkStart w:id="576" w:name="_Toc345575537"/>
      <w:bookmarkStart w:id="577" w:name="_Toc462229888"/>
      <w:bookmarkStart w:id="578" w:name="_Toc350453713"/>
      <w:r>
        <w:rPr>
          <w:rFonts w:hint="eastAsia"/>
        </w:rPr>
        <w:t>附件</w:t>
      </w:r>
      <w:bookmarkEnd w:id="575"/>
      <w:bookmarkEnd w:id="576"/>
      <w:bookmarkEnd w:id="577"/>
      <w:bookmarkEnd w:id="578"/>
      <w:r>
        <w:rPr>
          <w:rFonts w:hint="eastAsia"/>
          <w:lang w:val="en-US" w:eastAsia="zh-CN"/>
        </w:rPr>
        <w:t>8</w:t>
      </w:r>
    </w:p>
    <w:p w14:paraId="1692BB60">
      <w:pPr>
        <w:pStyle w:val="10"/>
        <w:ind w:firstLine="643"/>
        <w:jc w:val="center"/>
        <w:rPr>
          <w:rFonts w:ascii="宋体" w:hAnsi="宋体" w:cs="宋体"/>
          <w:kern w:val="0"/>
          <w:sz w:val="30"/>
          <w:szCs w:val="30"/>
        </w:rPr>
      </w:pPr>
      <w:bookmarkStart w:id="579" w:name="_Toc32696"/>
      <w:bookmarkStart w:id="580" w:name="_Toc5912"/>
      <w:bookmarkStart w:id="581" w:name="_Toc2167"/>
      <w:bookmarkStart w:id="582" w:name="_Toc23324"/>
      <w:bookmarkStart w:id="583" w:name="_Toc1345"/>
      <w:bookmarkStart w:id="584" w:name="_Toc11030"/>
      <w:bookmarkStart w:id="585" w:name="_Toc20952"/>
      <w:bookmarkStart w:id="586" w:name="_Toc17491"/>
      <w:r>
        <w:rPr>
          <w:rFonts w:hint="eastAsia"/>
          <w:lang w:val="zh-CN"/>
        </w:rPr>
        <w:t>投标人</w:t>
      </w:r>
      <w:r>
        <w:rPr>
          <w:rFonts w:hint="eastAsia"/>
        </w:rPr>
        <w:t>同类项目</w:t>
      </w:r>
      <w:r>
        <w:rPr>
          <w:rFonts w:hint="eastAsia"/>
          <w:lang w:val="zh-CN"/>
        </w:rPr>
        <w:t>业绩一览表</w:t>
      </w:r>
      <w:bookmarkEnd w:id="579"/>
      <w:bookmarkEnd w:id="580"/>
      <w:bookmarkEnd w:id="581"/>
      <w:bookmarkEnd w:id="582"/>
      <w:bookmarkEnd w:id="583"/>
      <w:bookmarkEnd w:id="584"/>
      <w:bookmarkEnd w:id="585"/>
      <w:bookmarkEnd w:id="586"/>
    </w:p>
    <w:p w14:paraId="713B28B6">
      <w:pPr>
        <w:ind w:firstLine="0" w:firstLineChars="0"/>
        <w:rPr>
          <w:rFonts w:ascii="宋体" w:hAnsi="宋体"/>
          <w:sz w:val="21"/>
          <w:szCs w:val="21"/>
        </w:rPr>
      </w:pPr>
    </w:p>
    <w:tbl>
      <w:tblPr>
        <w:tblStyle w:val="77"/>
        <w:tblW w:w="9288" w:type="dxa"/>
        <w:tblInd w:w="-107" w:type="dxa"/>
        <w:tblLayout w:type="fixed"/>
        <w:tblCellMar>
          <w:top w:w="56" w:type="dxa"/>
          <w:left w:w="109" w:type="dxa"/>
          <w:bottom w:w="0" w:type="dxa"/>
          <w:right w:w="109" w:type="dxa"/>
        </w:tblCellMar>
      </w:tblPr>
      <w:tblGrid>
        <w:gridCol w:w="698"/>
        <w:gridCol w:w="1364"/>
        <w:gridCol w:w="1187"/>
        <w:gridCol w:w="1787"/>
        <w:gridCol w:w="1293"/>
        <w:gridCol w:w="1838"/>
        <w:gridCol w:w="1121"/>
      </w:tblGrid>
      <w:tr w14:paraId="62F09ED9">
        <w:tblPrEx>
          <w:tblCellMar>
            <w:top w:w="56" w:type="dxa"/>
            <w:left w:w="109" w:type="dxa"/>
            <w:bottom w:w="0" w:type="dxa"/>
            <w:right w:w="109"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78B0F71A">
            <w:pPr>
              <w:pStyle w:val="42"/>
            </w:pPr>
            <w:r>
              <w:t>序号</w:t>
            </w:r>
          </w:p>
        </w:tc>
        <w:tc>
          <w:tcPr>
            <w:tcW w:w="1364" w:type="dxa"/>
            <w:tcBorders>
              <w:top w:val="single" w:color="000000" w:sz="4" w:space="0"/>
              <w:left w:val="single" w:color="000000" w:sz="4" w:space="0"/>
              <w:bottom w:val="single" w:color="000000" w:sz="4" w:space="0"/>
              <w:right w:val="single" w:color="000000" w:sz="4" w:space="0"/>
            </w:tcBorders>
            <w:vAlign w:val="center"/>
          </w:tcPr>
          <w:p w14:paraId="34469FDC">
            <w:pPr>
              <w:pStyle w:val="42"/>
            </w:pPr>
            <w:r>
              <w:t>项目名称</w:t>
            </w:r>
          </w:p>
        </w:tc>
        <w:tc>
          <w:tcPr>
            <w:tcW w:w="1187" w:type="dxa"/>
            <w:tcBorders>
              <w:top w:val="single" w:color="000000" w:sz="4" w:space="0"/>
              <w:left w:val="single" w:color="000000" w:sz="4" w:space="0"/>
              <w:bottom w:val="single" w:color="000000" w:sz="4" w:space="0"/>
              <w:right w:val="single" w:color="000000" w:sz="4" w:space="0"/>
            </w:tcBorders>
            <w:vAlign w:val="center"/>
          </w:tcPr>
          <w:p w14:paraId="2E976CAC">
            <w:pPr>
              <w:pStyle w:val="42"/>
            </w:pPr>
            <w:r>
              <w:t>合同内容</w:t>
            </w:r>
          </w:p>
        </w:tc>
        <w:tc>
          <w:tcPr>
            <w:tcW w:w="1787" w:type="dxa"/>
            <w:tcBorders>
              <w:top w:val="single" w:color="000000" w:sz="4" w:space="0"/>
              <w:left w:val="single" w:color="000000" w:sz="4" w:space="0"/>
              <w:bottom w:val="single" w:color="000000" w:sz="4" w:space="0"/>
              <w:right w:val="single" w:color="000000" w:sz="4" w:space="0"/>
            </w:tcBorders>
            <w:vAlign w:val="center"/>
          </w:tcPr>
          <w:p w14:paraId="20FD3ED7">
            <w:pPr>
              <w:pStyle w:val="42"/>
            </w:pPr>
            <w:r>
              <w:t>项目金额（万元）</w:t>
            </w:r>
          </w:p>
        </w:tc>
        <w:tc>
          <w:tcPr>
            <w:tcW w:w="1293" w:type="dxa"/>
            <w:tcBorders>
              <w:top w:val="single" w:color="000000" w:sz="4" w:space="0"/>
              <w:left w:val="single" w:color="000000" w:sz="4" w:space="0"/>
              <w:bottom w:val="single" w:color="000000" w:sz="4" w:space="0"/>
              <w:right w:val="single" w:color="000000" w:sz="4" w:space="0"/>
            </w:tcBorders>
            <w:vAlign w:val="center"/>
          </w:tcPr>
          <w:p w14:paraId="0687F233">
            <w:pPr>
              <w:pStyle w:val="42"/>
            </w:pPr>
            <w:r>
              <w:t>合同签订时间</w:t>
            </w:r>
          </w:p>
        </w:tc>
        <w:tc>
          <w:tcPr>
            <w:tcW w:w="1838" w:type="dxa"/>
            <w:tcBorders>
              <w:top w:val="single" w:color="000000" w:sz="4" w:space="0"/>
              <w:left w:val="single" w:color="000000" w:sz="4" w:space="0"/>
              <w:bottom w:val="single" w:color="000000" w:sz="4" w:space="0"/>
              <w:right w:val="single" w:color="000000" w:sz="4" w:space="0"/>
            </w:tcBorders>
          </w:tcPr>
          <w:p w14:paraId="3F48F582">
            <w:pPr>
              <w:pStyle w:val="42"/>
            </w:pPr>
            <w:r>
              <w:t>项目单位、联系人及电话</w:t>
            </w:r>
          </w:p>
        </w:tc>
        <w:tc>
          <w:tcPr>
            <w:tcW w:w="1121" w:type="dxa"/>
            <w:tcBorders>
              <w:top w:val="single" w:color="000000" w:sz="4" w:space="0"/>
              <w:left w:val="single" w:color="000000" w:sz="4" w:space="0"/>
              <w:bottom w:val="single" w:color="000000" w:sz="4" w:space="0"/>
              <w:right w:val="single" w:color="000000" w:sz="4" w:space="0"/>
            </w:tcBorders>
            <w:vAlign w:val="center"/>
          </w:tcPr>
          <w:p w14:paraId="0319584C">
            <w:pPr>
              <w:pStyle w:val="42"/>
            </w:pPr>
            <w:r>
              <w:t>备注</w:t>
            </w:r>
          </w:p>
        </w:tc>
      </w:tr>
      <w:tr w14:paraId="3B63BACA">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7EE43012">
            <w:pPr>
              <w:pStyle w:val="42"/>
            </w:pPr>
            <w:r>
              <w:t>1</w:t>
            </w:r>
          </w:p>
        </w:tc>
        <w:tc>
          <w:tcPr>
            <w:tcW w:w="1364" w:type="dxa"/>
            <w:tcBorders>
              <w:top w:val="single" w:color="000000" w:sz="4" w:space="0"/>
              <w:left w:val="single" w:color="000000" w:sz="4" w:space="0"/>
              <w:bottom w:val="single" w:color="000000" w:sz="4" w:space="0"/>
              <w:right w:val="single" w:color="000000" w:sz="4" w:space="0"/>
            </w:tcBorders>
          </w:tcPr>
          <w:p w14:paraId="6A76FCC0">
            <w:pPr>
              <w:pStyle w:val="42"/>
            </w:pPr>
          </w:p>
        </w:tc>
        <w:tc>
          <w:tcPr>
            <w:tcW w:w="1187" w:type="dxa"/>
            <w:tcBorders>
              <w:top w:val="single" w:color="000000" w:sz="4" w:space="0"/>
              <w:left w:val="single" w:color="000000" w:sz="4" w:space="0"/>
              <w:bottom w:val="single" w:color="000000" w:sz="4" w:space="0"/>
              <w:right w:val="single" w:color="000000" w:sz="4" w:space="0"/>
            </w:tcBorders>
          </w:tcPr>
          <w:p w14:paraId="3FB89318">
            <w:pPr>
              <w:pStyle w:val="42"/>
            </w:pPr>
          </w:p>
        </w:tc>
        <w:tc>
          <w:tcPr>
            <w:tcW w:w="1787" w:type="dxa"/>
            <w:tcBorders>
              <w:top w:val="single" w:color="000000" w:sz="4" w:space="0"/>
              <w:left w:val="single" w:color="000000" w:sz="4" w:space="0"/>
              <w:bottom w:val="single" w:color="000000" w:sz="4" w:space="0"/>
              <w:right w:val="single" w:color="000000" w:sz="4" w:space="0"/>
            </w:tcBorders>
          </w:tcPr>
          <w:p w14:paraId="778F8FAF">
            <w:pPr>
              <w:pStyle w:val="42"/>
            </w:pPr>
          </w:p>
        </w:tc>
        <w:tc>
          <w:tcPr>
            <w:tcW w:w="1293" w:type="dxa"/>
            <w:tcBorders>
              <w:top w:val="single" w:color="000000" w:sz="4" w:space="0"/>
              <w:left w:val="single" w:color="000000" w:sz="4" w:space="0"/>
              <w:bottom w:val="single" w:color="000000" w:sz="4" w:space="0"/>
              <w:right w:val="single" w:color="000000" w:sz="4" w:space="0"/>
            </w:tcBorders>
          </w:tcPr>
          <w:p w14:paraId="2006A456">
            <w:pPr>
              <w:pStyle w:val="42"/>
            </w:pPr>
          </w:p>
        </w:tc>
        <w:tc>
          <w:tcPr>
            <w:tcW w:w="1838" w:type="dxa"/>
            <w:tcBorders>
              <w:top w:val="single" w:color="000000" w:sz="4" w:space="0"/>
              <w:left w:val="single" w:color="000000" w:sz="4" w:space="0"/>
              <w:bottom w:val="single" w:color="000000" w:sz="4" w:space="0"/>
              <w:right w:val="single" w:color="000000" w:sz="4" w:space="0"/>
            </w:tcBorders>
          </w:tcPr>
          <w:p w14:paraId="7722F262">
            <w:pPr>
              <w:pStyle w:val="42"/>
            </w:pPr>
          </w:p>
        </w:tc>
        <w:tc>
          <w:tcPr>
            <w:tcW w:w="1121" w:type="dxa"/>
            <w:tcBorders>
              <w:top w:val="single" w:color="000000" w:sz="4" w:space="0"/>
              <w:left w:val="single" w:color="000000" w:sz="4" w:space="0"/>
              <w:bottom w:val="single" w:color="000000" w:sz="4" w:space="0"/>
              <w:right w:val="single" w:color="000000" w:sz="4" w:space="0"/>
            </w:tcBorders>
          </w:tcPr>
          <w:p w14:paraId="40CA93AD">
            <w:pPr>
              <w:pStyle w:val="42"/>
            </w:pPr>
          </w:p>
        </w:tc>
      </w:tr>
      <w:tr w14:paraId="7FA0482C">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35309699">
            <w:pPr>
              <w:pStyle w:val="42"/>
            </w:pPr>
            <w:r>
              <w:t>2</w:t>
            </w:r>
          </w:p>
        </w:tc>
        <w:tc>
          <w:tcPr>
            <w:tcW w:w="1364" w:type="dxa"/>
            <w:tcBorders>
              <w:top w:val="single" w:color="000000" w:sz="4" w:space="0"/>
              <w:left w:val="single" w:color="000000" w:sz="4" w:space="0"/>
              <w:bottom w:val="single" w:color="000000" w:sz="4" w:space="0"/>
              <w:right w:val="single" w:color="000000" w:sz="4" w:space="0"/>
            </w:tcBorders>
          </w:tcPr>
          <w:p w14:paraId="55565F07">
            <w:pPr>
              <w:pStyle w:val="42"/>
            </w:pPr>
          </w:p>
        </w:tc>
        <w:tc>
          <w:tcPr>
            <w:tcW w:w="1187" w:type="dxa"/>
            <w:tcBorders>
              <w:top w:val="single" w:color="000000" w:sz="4" w:space="0"/>
              <w:left w:val="single" w:color="000000" w:sz="4" w:space="0"/>
              <w:bottom w:val="single" w:color="000000" w:sz="4" w:space="0"/>
              <w:right w:val="single" w:color="000000" w:sz="4" w:space="0"/>
            </w:tcBorders>
          </w:tcPr>
          <w:p w14:paraId="120ED1A5">
            <w:pPr>
              <w:pStyle w:val="42"/>
            </w:pPr>
          </w:p>
        </w:tc>
        <w:tc>
          <w:tcPr>
            <w:tcW w:w="1787" w:type="dxa"/>
            <w:tcBorders>
              <w:top w:val="single" w:color="000000" w:sz="4" w:space="0"/>
              <w:left w:val="single" w:color="000000" w:sz="4" w:space="0"/>
              <w:bottom w:val="single" w:color="000000" w:sz="4" w:space="0"/>
              <w:right w:val="single" w:color="000000" w:sz="4" w:space="0"/>
            </w:tcBorders>
          </w:tcPr>
          <w:p w14:paraId="0A20DB0C">
            <w:pPr>
              <w:pStyle w:val="42"/>
            </w:pPr>
          </w:p>
        </w:tc>
        <w:tc>
          <w:tcPr>
            <w:tcW w:w="1293" w:type="dxa"/>
            <w:tcBorders>
              <w:top w:val="single" w:color="000000" w:sz="4" w:space="0"/>
              <w:left w:val="single" w:color="000000" w:sz="4" w:space="0"/>
              <w:bottom w:val="single" w:color="000000" w:sz="4" w:space="0"/>
              <w:right w:val="single" w:color="000000" w:sz="4" w:space="0"/>
            </w:tcBorders>
          </w:tcPr>
          <w:p w14:paraId="5BD08E85">
            <w:pPr>
              <w:pStyle w:val="42"/>
            </w:pPr>
          </w:p>
        </w:tc>
        <w:tc>
          <w:tcPr>
            <w:tcW w:w="1838" w:type="dxa"/>
            <w:tcBorders>
              <w:top w:val="single" w:color="000000" w:sz="4" w:space="0"/>
              <w:left w:val="single" w:color="000000" w:sz="4" w:space="0"/>
              <w:bottom w:val="single" w:color="000000" w:sz="4" w:space="0"/>
              <w:right w:val="single" w:color="000000" w:sz="4" w:space="0"/>
            </w:tcBorders>
          </w:tcPr>
          <w:p w14:paraId="784C6561">
            <w:pPr>
              <w:pStyle w:val="42"/>
            </w:pPr>
          </w:p>
        </w:tc>
        <w:tc>
          <w:tcPr>
            <w:tcW w:w="1121" w:type="dxa"/>
            <w:tcBorders>
              <w:top w:val="single" w:color="000000" w:sz="4" w:space="0"/>
              <w:left w:val="single" w:color="000000" w:sz="4" w:space="0"/>
              <w:bottom w:val="single" w:color="000000" w:sz="4" w:space="0"/>
              <w:right w:val="single" w:color="000000" w:sz="4" w:space="0"/>
            </w:tcBorders>
          </w:tcPr>
          <w:p w14:paraId="2B25A462">
            <w:pPr>
              <w:pStyle w:val="42"/>
            </w:pPr>
          </w:p>
        </w:tc>
      </w:tr>
      <w:tr w14:paraId="7CCA2885">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5E53FA57">
            <w:pPr>
              <w:pStyle w:val="42"/>
            </w:pPr>
            <w:r>
              <w:t>3</w:t>
            </w:r>
          </w:p>
        </w:tc>
        <w:tc>
          <w:tcPr>
            <w:tcW w:w="1364" w:type="dxa"/>
            <w:tcBorders>
              <w:top w:val="single" w:color="000000" w:sz="4" w:space="0"/>
              <w:left w:val="single" w:color="000000" w:sz="4" w:space="0"/>
              <w:bottom w:val="single" w:color="000000" w:sz="4" w:space="0"/>
              <w:right w:val="single" w:color="000000" w:sz="4" w:space="0"/>
            </w:tcBorders>
          </w:tcPr>
          <w:p w14:paraId="5118902D">
            <w:pPr>
              <w:pStyle w:val="42"/>
            </w:pPr>
          </w:p>
        </w:tc>
        <w:tc>
          <w:tcPr>
            <w:tcW w:w="1187" w:type="dxa"/>
            <w:tcBorders>
              <w:top w:val="single" w:color="000000" w:sz="4" w:space="0"/>
              <w:left w:val="single" w:color="000000" w:sz="4" w:space="0"/>
              <w:bottom w:val="single" w:color="000000" w:sz="4" w:space="0"/>
              <w:right w:val="single" w:color="000000" w:sz="4" w:space="0"/>
            </w:tcBorders>
          </w:tcPr>
          <w:p w14:paraId="52C6D39B">
            <w:pPr>
              <w:pStyle w:val="42"/>
            </w:pPr>
          </w:p>
        </w:tc>
        <w:tc>
          <w:tcPr>
            <w:tcW w:w="1787" w:type="dxa"/>
            <w:tcBorders>
              <w:top w:val="single" w:color="000000" w:sz="4" w:space="0"/>
              <w:left w:val="single" w:color="000000" w:sz="4" w:space="0"/>
              <w:bottom w:val="single" w:color="000000" w:sz="4" w:space="0"/>
              <w:right w:val="single" w:color="000000" w:sz="4" w:space="0"/>
            </w:tcBorders>
          </w:tcPr>
          <w:p w14:paraId="5E272FCF">
            <w:pPr>
              <w:pStyle w:val="42"/>
            </w:pPr>
          </w:p>
        </w:tc>
        <w:tc>
          <w:tcPr>
            <w:tcW w:w="1293" w:type="dxa"/>
            <w:tcBorders>
              <w:top w:val="single" w:color="000000" w:sz="4" w:space="0"/>
              <w:left w:val="single" w:color="000000" w:sz="4" w:space="0"/>
              <w:bottom w:val="single" w:color="000000" w:sz="4" w:space="0"/>
              <w:right w:val="single" w:color="000000" w:sz="4" w:space="0"/>
            </w:tcBorders>
          </w:tcPr>
          <w:p w14:paraId="33A9659F">
            <w:pPr>
              <w:pStyle w:val="42"/>
            </w:pPr>
          </w:p>
        </w:tc>
        <w:tc>
          <w:tcPr>
            <w:tcW w:w="1838" w:type="dxa"/>
            <w:tcBorders>
              <w:top w:val="single" w:color="000000" w:sz="4" w:space="0"/>
              <w:left w:val="single" w:color="000000" w:sz="4" w:space="0"/>
              <w:bottom w:val="single" w:color="000000" w:sz="4" w:space="0"/>
              <w:right w:val="single" w:color="000000" w:sz="4" w:space="0"/>
            </w:tcBorders>
          </w:tcPr>
          <w:p w14:paraId="7F4152EE">
            <w:pPr>
              <w:pStyle w:val="42"/>
            </w:pPr>
          </w:p>
        </w:tc>
        <w:tc>
          <w:tcPr>
            <w:tcW w:w="1121" w:type="dxa"/>
            <w:tcBorders>
              <w:top w:val="single" w:color="000000" w:sz="4" w:space="0"/>
              <w:left w:val="single" w:color="000000" w:sz="4" w:space="0"/>
              <w:bottom w:val="single" w:color="000000" w:sz="4" w:space="0"/>
              <w:right w:val="single" w:color="000000" w:sz="4" w:space="0"/>
            </w:tcBorders>
          </w:tcPr>
          <w:p w14:paraId="292DB8A1">
            <w:pPr>
              <w:pStyle w:val="42"/>
            </w:pPr>
          </w:p>
        </w:tc>
      </w:tr>
      <w:tr w14:paraId="7EE00034">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339AD48C">
            <w:pPr>
              <w:pStyle w:val="42"/>
            </w:pPr>
            <w:r>
              <w:t>4</w:t>
            </w:r>
          </w:p>
        </w:tc>
        <w:tc>
          <w:tcPr>
            <w:tcW w:w="1364" w:type="dxa"/>
            <w:tcBorders>
              <w:top w:val="single" w:color="000000" w:sz="4" w:space="0"/>
              <w:left w:val="single" w:color="000000" w:sz="4" w:space="0"/>
              <w:bottom w:val="single" w:color="000000" w:sz="4" w:space="0"/>
              <w:right w:val="single" w:color="000000" w:sz="4" w:space="0"/>
            </w:tcBorders>
          </w:tcPr>
          <w:p w14:paraId="15C9DE1B">
            <w:pPr>
              <w:pStyle w:val="42"/>
            </w:pPr>
          </w:p>
        </w:tc>
        <w:tc>
          <w:tcPr>
            <w:tcW w:w="1187" w:type="dxa"/>
            <w:tcBorders>
              <w:top w:val="single" w:color="000000" w:sz="4" w:space="0"/>
              <w:left w:val="single" w:color="000000" w:sz="4" w:space="0"/>
              <w:bottom w:val="single" w:color="000000" w:sz="4" w:space="0"/>
              <w:right w:val="single" w:color="000000" w:sz="4" w:space="0"/>
            </w:tcBorders>
          </w:tcPr>
          <w:p w14:paraId="468CA0CB">
            <w:pPr>
              <w:pStyle w:val="42"/>
            </w:pPr>
          </w:p>
        </w:tc>
        <w:tc>
          <w:tcPr>
            <w:tcW w:w="1787" w:type="dxa"/>
            <w:tcBorders>
              <w:top w:val="single" w:color="000000" w:sz="4" w:space="0"/>
              <w:left w:val="single" w:color="000000" w:sz="4" w:space="0"/>
              <w:bottom w:val="single" w:color="000000" w:sz="4" w:space="0"/>
              <w:right w:val="single" w:color="000000" w:sz="4" w:space="0"/>
            </w:tcBorders>
          </w:tcPr>
          <w:p w14:paraId="00F6165B">
            <w:pPr>
              <w:pStyle w:val="42"/>
            </w:pPr>
          </w:p>
        </w:tc>
        <w:tc>
          <w:tcPr>
            <w:tcW w:w="1293" w:type="dxa"/>
            <w:tcBorders>
              <w:top w:val="single" w:color="000000" w:sz="4" w:space="0"/>
              <w:left w:val="single" w:color="000000" w:sz="4" w:space="0"/>
              <w:bottom w:val="single" w:color="000000" w:sz="4" w:space="0"/>
              <w:right w:val="single" w:color="000000" w:sz="4" w:space="0"/>
            </w:tcBorders>
          </w:tcPr>
          <w:p w14:paraId="4AC26E58">
            <w:pPr>
              <w:pStyle w:val="42"/>
            </w:pPr>
          </w:p>
        </w:tc>
        <w:tc>
          <w:tcPr>
            <w:tcW w:w="1838" w:type="dxa"/>
            <w:tcBorders>
              <w:top w:val="single" w:color="000000" w:sz="4" w:space="0"/>
              <w:left w:val="single" w:color="000000" w:sz="4" w:space="0"/>
              <w:bottom w:val="single" w:color="000000" w:sz="4" w:space="0"/>
              <w:right w:val="single" w:color="000000" w:sz="4" w:space="0"/>
            </w:tcBorders>
          </w:tcPr>
          <w:p w14:paraId="6C570C6F">
            <w:pPr>
              <w:pStyle w:val="42"/>
            </w:pPr>
          </w:p>
        </w:tc>
        <w:tc>
          <w:tcPr>
            <w:tcW w:w="1121" w:type="dxa"/>
            <w:tcBorders>
              <w:top w:val="single" w:color="000000" w:sz="4" w:space="0"/>
              <w:left w:val="single" w:color="000000" w:sz="4" w:space="0"/>
              <w:bottom w:val="single" w:color="000000" w:sz="4" w:space="0"/>
              <w:right w:val="single" w:color="000000" w:sz="4" w:space="0"/>
            </w:tcBorders>
          </w:tcPr>
          <w:p w14:paraId="53788FB2">
            <w:pPr>
              <w:pStyle w:val="42"/>
            </w:pPr>
          </w:p>
        </w:tc>
      </w:tr>
      <w:tr w14:paraId="01609CE1">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1B19399F">
            <w:pPr>
              <w:pStyle w:val="42"/>
            </w:pPr>
            <w:r>
              <w:t>5</w:t>
            </w:r>
          </w:p>
        </w:tc>
        <w:tc>
          <w:tcPr>
            <w:tcW w:w="1364" w:type="dxa"/>
            <w:tcBorders>
              <w:top w:val="single" w:color="000000" w:sz="4" w:space="0"/>
              <w:left w:val="single" w:color="000000" w:sz="4" w:space="0"/>
              <w:bottom w:val="single" w:color="000000" w:sz="4" w:space="0"/>
              <w:right w:val="single" w:color="000000" w:sz="4" w:space="0"/>
            </w:tcBorders>
          </w:tcPr>
          <w:p w14:paraId="663A55AB">
            <w:pPr>
              <w:pStyle w:val="42"/>
            </w:pPr>
          </w:p>
        </w:tc>
        <w:tc>
          <w:tcPr>
            <w:tcW w:w="1187" w:type="dxa"/>
            <w:tcBorders>
              <w:top w:val="single" w:color="000000" w:sz="4" w:space="0"/>
              <w:left w:val="single" w:color="000000" w:sz="4" w:space="0"/>
              <w:bottom w:val="single" w:color="000000" w:sz="4" w:space="0"/>
              <w:right w:val="single" w:color="000000" w:sz="4" w:space="0"/>
            </w:tcBorders>
          </w:tcPr>
          <w:p w14:paraId="74632652">
            <w:pPr>
              <w:pStyle w:val="42"/>
            </w:pPr>
          </w:p>
        </w:tc>
        <w:tc>
          <w:tcPr>
            <w:tcW w:w="1787" w:type="dxa"/>
            <w:tcBorders>
              <w:top w:val="single" w:color="000000" w:sz="4" w:space="0"/>
              <w:left w:val="single" w:color="000000" w:sz="4" w:space="0"/>
              <w:bottom w:val="single" w:color="000000" w:sz="4" w:space="0"/>
              <w:right w:val="single" w:color="000000" w:sz="4" w:space="0"/>
            </w:tcBorders>
          </w:tcPr>
          <w:p w14:paraId="198B776D">
            <w:pPr>
              <w:pStyle w:val="42"/>
            </w:pPr>
          </w:p>
        </w:tc>
        <w:tc>
          <w:tcPr>
            <w:tcW w:w="1293" w:type="dxa"/>
            <w:tcBorders>
              <w:top w:val="single" w:color="000000" w:sz="4" w:space="0"/>
              <w:left w:val="single" w:color="000000" w:sz="4" w:space="0"/>
              <w:bottom w:val="single" w:color="000000" w:sz="4" w:space="0"/>
              <w:right w:val="single" w:color="000000" w:sz="4" w:space="0"/>
            </w:tcBorders>
          </w:tcPr>
          <w:p w14:paraId="00F08DD2">
            <w:pPr>
              <w:pStyle w:val="42"/>
            </w:pPr>
          </w:p>
        </w:tc>
        <w:tc>
          <w:tcPr>
            <w:tcW w:w="1838" w:type="dxa"/>
            <w:tcBorders>
              <w:top w:val="single" w:color="000000" w:sz="4" w:space="0"/>
              <w:left w:val="single" w:color="000000" w:sz="4" w:space="0"/>
              <w:bottom w:val="single" w:color="000000" w:sz="4" w:space="0"/>
              <w:right w:val="single" w:color="000000" w:sz="4" w:space="0"/>
            </w:tcBorders>
          </w:tcPr>
          <w:p w14:paraId="1E86AC70">
            <w:pPr>
              <w:pStyle w:val="42"/>
            </w:pPr>
          </w:p>
        </w:tc>
        <w:tc>
          <w:tcPr>
            <w:tcW w:w="1121" w:type="dxa"/>
            <w:tcBorders>
              <w:top w:val="single" w:color="000000" w:sz="4" w:space="0"/>
              <w:left w:val="single" w:color="000000" w:sz="4" w:space="0"/>
              <w:bottom w:val="single" w:color="000000" w:sz="4" w:space="0"/>
              <w:right w:val="single" w:color="000000" w:sz="4" w:space="0"/>
            </w:tcBorders>
          </w:tcPr>
          <w:p w14:paraId="5FFE4DA4">
            <w:pPr>
              <w:pStyle w:val="42"/>
            </w:pPr>
          </w:p>
        </w:tc>
      </w:tr>
      <w:tr w14:paraId="3A03C786">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08DD35B6">
            <w:pPr>
              <w:pStyle w:val="42"/>
            </w:pPr>
            <w:r>
              <w:t>6</w:t>
            </w:r>
          </w:p>
        </w:tc>
        <w:tc>
          <w:tcPr>
            <w:tcW w:w="1364" w:type="dxa"/>
            <w:tcBorders>
              <w:top w:val="single" w:color="000000" w:sz="4" w:space="0"/>
              <w:left w:val="single" w:color="000000" w:sz="4" w:space="0"/>
              <w:bottom w:val="single" w:color="000000" w:sz="4" w:space="0"/>
              <w:right w:val="single" w:color="000000" w:sz="4" w:space="0"/>
            </w:tcBorders>
          </w:tcPr>
          <w:p w14:paraId="580616D9">
            <w:pPr>
              <w:pStyle w:val="42"/>
            </w:pPr>
          </w:p>
        </w:tc>
        <w:tc>
          <w:tcPr>
            <w:tcW w:w="1187" w:type="dxa"/>
            <w:tcBorders>
              <w:top w:val="single" w:color="000000" w:sz="4" w:space="0"/>
              <w:left w:val="single" w:color="000000" w:sz="4" w:space="0"/>
              <w:bottom w:val="single" w:color="000000" w:sz="4" w:space="0"/>
              <w:right w:val="single" w:color="000000" w:sz="4" w:space="0"/>
            </w:tcBorders>
          </w:tcPr>
          <w:p w14:paraId="4A8A0604">
            <w:pPr>
              <w:pStyle w:val="42"/>
            </w:pPr>
          </w:p>
        </w:tc>
        <w:tc>
          <w:tcPr>
            <w:tcW w:w="1787" w:type="dxa"/>
            <w:tcBorders>
              <w:top w:val="single" w:color="000000" w:sz="4" w:space="0"/>
              <w:left w:val="single" w:color="000000" w:sz="4" w:space="0"/>
              <w:bottom w:val="single" w:color="000000" w:sz="4" w:space="0"/>
              <w:right w:val="single" w:color="000000" w:sz="4" w:space="0"/>
            </w:tcBorders>
          </w:tcPr>
          <w:p w14:paraId="56E86291">
            <w:pPr>
              <w:pStyle w:val="42"/>
            </w:pPr>
          </w:p>
        </w:tc>
        <w:tc>
          <w:tcPr>
            <w:tcW w:w="1293" w:type="dxa"/>
            <w:tcBorders>
              <w:top w:val="single" w:color="000000" w:sz="4" w:space="0"/>
              <w:left w:val="single" w:color="000000" w:sz="4" w:space="0"/>
              <w:bottom w:val="single" w:color="000000" w:sz="4" w:space="0"/>
              <w:right w:val="single" w:color="000000" w:sz="4" w:space="0"/>
            </w:tcBorders>
          </w:tcPr>
          <w:p w14:paraId="2D6244E5">
            <w:pPr>
              <w:pStyle w:val="42"/>
            </w:pPr>
          </w:p>
        </w:tc>
        <w:tc>
          <w:tcPr>
            <w:tcW w:w="1838" w:type="dxa"/>
            <w:tcBorders>
              <w:top w:val="single" w:color="000000" w:sz="4" w:space="0"/>
              <w:left w:val="single" w:color="000000" w:sz="4" w:space="0"/>
              <w:bottom w:val="single" w:color="000000" w:sz="4" w:space="0"/>
              <w:right w:val="single" w:color="000000" w:sz="4" w:space="0"/>
            </w:tcBorders>
          </w:tcPr>
          <w:p w14:paraId="4DBEC226">
            <w:pPr>
              <w:pStyle w:val="42"/>
            </w:pPr>
          </w:p>
        </w:tc>
        <w:tc>
          <w:tcPr>
            <w:tcW w:w="1121" w:type="dxa"/>
            <w:tcBorders>
              <w:top w:val="single" w:color="000000" w:sz="4" w:space="0"/>
              <w:left w:val="single" w:color="000000" w:sz="4" w:space="0"/>
              <w:bottom w:val="single" w:color="000000" w:sz="4" w:space="0"/>
              <w:right w:val="single" w:color="000000" w:sz="4" w:space="0"/>
            </w:tcBorders>
          </w:tcPr>
          <w:p w14:paraId="21A1ADAD">
            <w:pPr>
              <w:pStyle w:val="42"/>
            </w:pPr>
          </w:p>
        </w:tc>
      </w:tr>
      <w:tr w14:paraId="63E2EA67">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5BA92F3A">
            <w:pPr>
              <w:pStyle w:val="42"/>
            </w:pPr>
            <w:r>
              <w:t>7</w:t>
            </w:r>
          </w:p>
        </w:tc>
        <w:tc>
          <w:tcPr>
            <w:tcW w:w="1364" w:type="dxa"/>
            <w:tcBorders>
              <w:top w:val="single" w:color="000000" w:sz="4" w:space="0"/>
              <w:left w:val="single" w:color="000000" w:sz="4" w:space="0"/>
              <w:bottom w:val="single" w:color="000000" w:sz="4" w:space="0"/>
              <w:right w:val="single" w:color="000000" w:sz="4" w:space="0"/>
            </w:tcBorders>
          </w:tcPr>
          <w:p w14:paraId="0EB42A19">
            <w:pPr>
              <w:pStyle w:val="42"/>
            </w:pPr>
          </w:p>
        </w:tc>
        <w:tc>
          <w:tcPr>
            <w:tcW w:w="1187" w:type="dxa"/>
            <w:tcBorders>
              <w:top w:val="single" w:color="000000" w:sz="4" w:space="0"/>
              <w:left w:val="single" w:color="000000" w:sz="4" w:space="0"/>
              <w:bottom w:val="single" w:color="000000" w:sz="4" w:space="0"/>
              <w:right w:val="single" w:color="000000" w:sz="4" w:space="0"/>
            </w:tcBorders>
          </w:tcPr>
          <w:p w14:paraId="271935BD">
            <w:pPr>
              <w:pStyle w:val="42"/>
            </w:pPr>
          </w:p>
        </w:tc>
        <w:tc>
          <w:tcPr>
            <w:tcW w:w="1787" w:type="dxa"/>
            <w:tcBorders>
              <w:top w:val="single" w:color="000000" w:sz="4" w:space="0"/>
              <w:left w:val="single" w:color="000000" w:sz="4" w:space="0"/>
              <w:bottom w:val="single" w:color="000000" w:sz="4" w:space="0"/>
              <w:right w:val="single" w:color="000000" w:sz="4" w:space="0"/>
            </w:tcBorders>
          </w:tcPr>
          <w:p w14:paraId="3F15C9DA">
            <w:pPr>
              <w:pStyle w:val="42"/>
            </w:pPr>
          </w:p>
        </w:tc>
        <w:tc>
          <w:tcPr>
            <w:tcW w:w="1293" w:type="dxa"/>
            <w:tcBorders>
              <w:top w:val="single" w:color="000000" w:sz="4" w:space="0"/>
              <w:left w:val="single" w:color="000000" w:sz="4" w:space="0"/>
              <w:bottom w:val="single" w:color="000000" w:sz="4" w:space="0"/>
              <w:right w:val="single" w:color="000000" w:sz="4" w:space="0"/>
            </w:tcBorders>
          </w:tcPr>
          <w:p w14:paraId="78D1494E">
            <w:pPr>
              <w:pStyle w:val="42"/>
            </w:pPr>
          </w:p>
        </w:tc>
        <w:tc>
          <w:tcPr>
            <w:tcW w:w="1838" w:type="dxa"/>
            <w:tcBorders>
              <w:top w:val="single" w:color="000000" w:sz="4" w:space="0"/>
              <w:left w:val="single" w:color="000000" w:sz="4" w:space="0"/>
              <w:bottom w:val="single" w:color="000000" w:sz="4" w:space="0"/>
              <w:right w:val="single" w:color="000000" w:sz="4" w:space="0"/>
            </w:tcBorders>
          </w:tcPr>
          <w:p w14:paraId="575D920D">
            <w:pPr>
              <w:pStyle w:val="42"/>
            </w:pPr>
          </w:p>
        </w:tc>
        <w:tc>
          <w:tcPr>
            <w:tcW w:w="1121" w:type="dxa"/>
            <w:tcBorders>
              <w:top w:val="single" w:color="000000" w:sz="4" w:space="0"/>
              <w:left w:val="single" w:color="000000" w:sz="4" w:space="0"/>
              <w:bottom w:val="single" w:color="000000" w:sz="4" w:space="0"/>
              <w:right w:val="single" w:color="000000" w:sz="4" w:space="0"/>
            </w:tcBorders>
          </w:tcPr>
          <w:p w14:paraId="79A30559">
            <w:pPr>
              <w:pStyle w:val="42"/>
            </w:pPr>
          </w:p>
        </w:tc>
      </w:tr>
      <w:tr w14:paraId="37346265">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2AB5E224">
            <w:pPr>
              <w:pStyle w:val="42"/>
            </w:pPr>
            <w:r>
              <w:t>8</w:t>
            </w:r>
          </w:p>
        </w:tc>
        <w:tc>
          <w:tcPr>
            <w:tcW w:w="1364" w:type="dxa"/>
            <w:tcBorders>
              <w:top w:val="single" w:color="000000" w:sz="4" w:space="0"/>
              <w:left w:val="single" w:color="000000" w:sz="4" w:space="0"/>
              <w:bottom w:val="single" w:color="000000" w:sz="4" w:space="0"/>
              <w:right w:val="single" w:color="000000" w:sz="4" w:space="0"/>
            </w:tcBorders>
          </w:tcPr>
          <w:p w14:paraId="58C164E8">
            <w:pPr>
              <w:pStyle w:val="42"/>
            </w:pPr>
          </w:p>
        </w:tc>
        <w:tc>
          <w:tcPr>
            <w:tcW w:w="1187" w:type="dxa"/>
            <w:tcBorders>
              <w:top w:val="single" w:color="000000" w:sz="4" w:space="0"/>
              <w:left w:val="single" w:color="000000" w:sz="4" w:space="0"/>
              <w:bottom w:val="single" w:color="000000" w:sz="4" w:space="0"/>
              <w:right w:val="single" w:color="000000" w:sz="4" w:space="0"/>
            </w:tcBorders>
          </w:tcPr>
          <w:p w14:paraId="1BE1C698">
            <w:pPr>
              <w:pStyle w:val="42"/>
            </w:pPr>
          </w:p>
        </w:tc>
        <w:tc>
          <w:tcPr>
            <w:tcW w:w="1787" w:type="dxa"/>
            <w:tcBorders>
              <w:top w:val="single" w:color="000000" w:sz="4" w:space="0"/>
              <w:left w:val="single" w:color="000000" w:sz="4" w:space="0"/>
              <w:bottom w:val="single" w:color="000000" w:sz="4" w:space="0"/>
              <w:right w:val="single" w:color="000000" w:sz="4" w:space="0"/>
            </w:tcBorders>
          </w:tcPr>
          <w:p w14:paraId="4BDD6FDE">
            <w:pPr>
              <w:pStyle w:val="42"/>
            </w:pPr>
          </w:p>
        </w:tc>
        <w:tc>
          <w:tcPr>
            <w:tcW w:w="1293" w:type="dxa"/>
            <w:tcBorders>
              <w:top w:val="single" w:color="000000" w:sz="4" w:space="0"/>
              <w:left w:val="single" w:color="000000" w:sz="4" w:space="0"/>
              <w:bottom w:val="single" w:color="000000" w:sz="4" w:space="0"/>
              <w:right w:val="single" w:color="000000" w:sz="4" w:space="0"/>
            </w:tcBorders>
          </w:tcPr>
          <w:p w14:paraId="0769C5BE">
            <w:pPr>
              <w:pStyle w:val="42"/>
            </w:pPr>
          </w:p>
        </w:tc>
        <w:tc>
          <w:tcPr>
            <w:tcW w:w="1838" w:type="dxa"/>
            <w:tcBorders>
              <w:top w:val="single" w:color="000000" w:sz="4" w:space="0"/>
              <w:left w:val="single" w:color="000000" w:sz="4" w:space="0"/>
              <w:bottom w:val="single" w:color="000000" w:sz="4" w:space="0"/>
              <w:right w:val="single" w:color="000000" w:sz="4" w:space="0"/>
            </w:tcBorders>
          </w:tcPr>
          <w:p w14:paraId="43F9335F">
            <w:pPr>
              <w:pStyle w:val="42"/>
            </w:pPr>
          </w:p>
        </w:tc>
        <w:tc>
          <w:tcPr>
            <w:tcW w:w="1121" w:type="dxa"/>
            <w:tcBorders>
              <w:top w:val="single" w:color="000000" w:sz="4" w:space="0"/>
              <w:left w:val="single" w:color="000000" w:sz="4" w:space="0"/>
              <w:bottom w:val="single" w:color="000000" w:sz="4" w:space="0"/>
              <w:right w:val="single" w:color="000000" w:sz="4" w:space="0"/>
            </w:tcBorders>
          </w:tcPr>
          <w:p w14:paraId="5539C57A">
            <w:pPr>
              <w:pStyle w:val="42"/>
            </w:pPr>
          </w:p>
        </w:tc>
      </w:tr>
      <w:tr w14:paraId="16AFA71B">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1779DAB2">
            <w:pPr>
              <w:pStyle w:val="42"/>
            </w:pPr>
            <w:r>
              <w:t>9</w:t>
            </w:r>
          </w:p>
        </w:tc>
        <w:tc>
          <w:tcPr>
            <w:tcW w:w="1364" w:type="dxa"/>
            <w:tcBorders>
              <w:top w:val="single" w:color="000000" w:sz="4" w:space="0"/>
              <w:left w:val="single" w:color="000000" w:sz="4" w:space="0"/>
              <w:bottom w:val="single" w:color="000000" w:sz="4" w:space="0"/>
              <w:right w:val="single" w:color="000000" w:sz="4" w:space="0"/>
            </w:tcBorders>
          </w:tcPr>
          <w:p w14:paraId="1B3E7450">
            <w:pPr>
              <w:pStyle w:val="42"/>
            </w:pPr>
          </w:p>
        </w:tc>
        <w:tc>
          <w:tcPr>
            <w:tcW w:w="1187" w:type="dxa"/>
            <w:tcBorders>
              <w:top w:val="single" w:color="000000" w:sz="4" w:space="0"/>
              <w:left w:val="single" w:color="000000" w:sz="4" w:space="0"/>
              <w:bottom w:val="single" w:color="000000" w:sz="4" w:space="0"/>
              <w:right w:val="single" w:color="000000" w:sz="4" w:space="0"/>
            </w:tcBorders>
          </w:tcPr>
          <w:p w14:paraId="1695327F">
            <w:pPr>
              <w:pStyle w:val="42"/>
            </w:pPr>
          </w:p>
        </w:tc>
        <w:tc>
          <w:tcPr>
            <w:tcW w:w="1787" w:type="dxa"/>
            <w:tcBorders>
              <w:top w:val="single" w:color="000000" w:sz="4" w:space="0"/>
              <w:left w:val="single" w:color="000000" w:sz="4" w:space="0"/>
              <w:bottom w:val="single" w:color="000000" w:sz="4" w:space="0"/>
              <w:right w:val="single" w:color="000000" w:sz="4" w:space="0"/>
            </w:tcBorders>
          </w:tcPr>
          <w:p w14:paraId="6DD66BA9">
            <w:pPr>
              <w:pStyle w:val="42"/>
            </w:pPr>
          </w:p>
        </w:tc>
        <w:tc>
          <w:tcPr>
            <w:tcW w:w="1293" w:type="dxa"/>
            <w:tcBorders>
              <w:top w:val="single" w:color="000000" w:sz="4" w:space="0"/>
              <w:left w:val="single" w:color="000000" w:sz="4" w:space="0"/>
              <w:bottom w:val="single" w:color="000000" w:sz="4" w:space="0"/>
              <w:right w:val="single" w:color="000000" w:sz="4" w:space="0"/>
            </w:tcBorders>
          </w:tcPr>
          <w:p w14:paraId="680C0765">
            <w:pPr>
              <w:pStyle w:val="42"/>
            </w:pPr>
          </w:p>
        </w:tc>
        <w:tc>
          <w:tcPr>
            <w:tcW w:w="1838" w:type="dxa"/>
            <w:tcBorders>
              <w:top w:val="single" w:color="000000" w:sz="4" w:space="0"/>
              <w:left w:val="single" w:color="000000" w:sz="4" w:space="0"/>
              <w:bottom w:val="single" w:color="000000" w:sz="4" w:space="0"/>
              <w:right w:val="single" w:color="000000" w:sz="4" w:space="0"/>
            </w:tcBorders>
          </w:tcPr>
          <w:p w14:paraId="213B9380">
            <w:pPr>
              <w:pStyle w:val="42"/>
            </w:pPr>
          </w:p>
        </w:tc>
        <w:tc>
          <w:tcPr>
            <w:tcW w:w="1121" w:type="dxa"/>
            <w:tcBorders>
              <w:top w:val="single" w:color="000000" w:sz="4" w:space="0"/>
              <w:left w:val="single" w:color="000000" w:sz="4" w:space="0"/>
              <w:bottom w:val="single" w:color="000000" w:sz="4" w:space="0"/>
              <w:right w:val="single" w:color="000000" w:sz="4" w:space="0"/>
            </w:tcBorders>
          </w:tcPr>
          <w:p w14:paraId="46D6A9A4">
            <w:pPr>
              <w:pStyle w:val="42"/>
            </w:pPr>
          </w:p>
        </w:tc>
      </w:tr>
      <w:tr w14:paraId="392D3BB2">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306F9038">
            <w:pPr>
              <w:pStyle w:val="42"/>
            </w:pPr>
            <w:r>
              <w:t>10</w:t>
            </w:r>
          </w:p>
        </w:tc>
        <w:tc>
          <w:tcPr>
            <w:tcW w:w="1364" w:type="dxa"/>
            <w:tcBorders>
              <w:top w:val="single" w:color="000000" w:sz="4" w:space="0"/>
              <w:left w:val="single" w:color="000000" w:sz="4" w:space="0"/>
              <w:bottom w:val="single" w:color="000000" w:sz="4" w:space="0"/>
              <w:right w:val="single" w:color="000000" w:sz="4" w:space="0"/>
            </w:tcBorders>
          </w:tcPr>
          <w:p w14:paraId="4636CB69">
            <w:pPr>
              <w:pStyle w:val="42"/>
            </w:pPr>
          </w:p>
        </w:tc>
        <w:tc>
          <w:tcPr>
            <w:tcW w:w="1187" w:type="dxa"/>
            <w:tcBorders>
              <w:top w:val="single" w:color="000000" w:sz="4" w:space="0"/>
              <w:left w:val="single" w:color="000000" w:sz="4" w:space="0"/>
              <w:bottom w:val="single" w:color="000000" w:sz="4" w:space="0"/>
              <w:right w:val="single" w:color="000000" w:sz="4" w:space="0"/>
            </w:tcBorders>
          </w:tcPr>
          <w:p w14:paraId="5AA0D819">
            <w:pPr>
              <w:pStyle w:val="42"/>
            </w:pPr>
          </w:p>
        </w:tc>
        <w:tc>
          <w:tcPr>
            <w:tcW w:w="1787" w:type="dxa"/>
            <w:tcBorders>
              <w:top w:val="single" w:color="000000" w:sz="4" w:space="0"/>
              <w:left w:val="single" w:color="000000" w:sz="4" w:space="0"/>
              <w:bottom w:val="single" w:color="000000" w:sz="4" w:space="0"/>
              <w:right w:val="single" w:color="000000" w:sz="4" w:space="0"/>
            </w:tcBorders>
          </w:tcPr>
          <w:p w14:paraId="75B2C998">
            <w:pPr>
              <w:pStyle w:val="42"/>
            </w:pPr>
          </w:p>
        </w:tc>
        <w:tc>
          <w:tcPr>
            <w:tcW w:w="1293" w:type="dxa"/>
            <w:tcBorders>
              <w:top w:val="single" w:color="000000" w:sz="4" w:space="0"/>
              <w:left w:val="single" w:color="000000" w:sz="4" w:space="0"/>
              <w:bottom w:val="single" w:color="000000" w:sz="4" w:space="0"/>
              <w:right w:val="single" w:color="000000" w:sz="4" w:space="0"/>
            </w:tcBorders>
          </w:tcPr>
          <w:p w14:paraId="56F3464A">
            <w:pPr>
              <w:pStyle w:val="42"/>
            </w:pPr>
          </w:p>
        </w:tc>
        <w:tc>
          <w:tcPr>
            <w:tcW w:w="1838" w:type="dxa"/>
            <w:tcBorders>
              <w:top w:val="single" w:color="000000" w:sz="4" w:space="0"/>
              <w:left w:val="single" w:color="000000" w:sz="4" w:space="0"/>
              <w:bottom w:val="single" w:color="000000" w:sz="4" w:space="0"/>
              <w:right w:val="single" w:color="000000" w:sz="4" w:space="0"/>
            </w:tcBorders>
          </w:tcPr>
          <w:p w14:paraId="008683A7">
            <w:pPr>
              <w:pStyle w:val="42"/>
            </w:pPr>
          </w:p>
        </w:tc>
        <w:tc>
          <w:tcPr>
            <w:tcW w:w="1121" w:type="dxa"/>
            <w:tcBorders>
              <w:top w:val="single" w:color="000000" w:sz="4" w:space="0"/>
              <w:left w:val="single" w:color="000000" w:sz="4" w:space="0"/>
              <w:bottom w:val="single" w:color="000000" w:sz="4" w:space="0"/>
              <w:right w:val="single" w:color="000000" w:sz="4" w:space="0"/>
            </w:tcBorders>
          </w:tcPr>
          <w:p w14:paraId="25AAEE63">
            <w:pPr>
              <w:pStyle w:val="42"/>
            </w:pPr>
          </w:p>
        </w:tc>
      </w:tr>
      <w:tr w14:paraId="20E2D398">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12EA4F3C">
            <w:pPr>
              <w:pStyle w:val="42"/>
            </w:pPr>
            <w:r>
              <w:t>……</w:t>
            </w:r>
          </w:p>
        </w:tc>
        <w:tc>
          <w:tcPr>
            <w:tcW w:w="1364" w:type="dxa"/>
            <w:tcBorders>
              <w:top w:val="single" w:color="000000" w:sz="4" w:space="0"/>
              <w:left w:val="single" w:color="000000" w:sz="4" w:space="0"/>
              <w:bottom w:val="single" w:color="000000" w:sz="4" w:space="0"/>
              <w:right w:val="single" w:color="000000" w:sz="4" w:space="0"/>
            </w:tcBorders>
          </w:tcPr>
          <w:p w14:paraId="5251DB9C">
            <w:pPr>
              <w:pStyle w:val="42"/>
            </w:pPr>
          </w:p>
        </w:tc>
        <w:tc>
          <w:tcPr>
            <w:tcW w:w="1187" w:type="dxa"/>
            <w:tcBorders>
              <w:top w:val="single" w:color="000000" w:sz="4" w:space="0"/>
              <w:left w:val="single" w:color="000000" w:sz="4" w:space="0"/>
              <w:bottom w:val="single" w:color="000000" w:sz="4" w:space="0"/>
              <w:right w:val="single" w:color="000000" w:sz="4" w:space="0"/>
            </w:tcBorders>
          </w:tcPr>
          <w:p w14:paraId="668C4331">
            <w:pPr>
              <w:pStyle w:val="42"/>
            </w:pPr>
          </w:p>
        </w:tc>
        <w:tc>
          <w:tcPr>
            <w:tcW w:w="1787" w:type="dxa"/>
            <w:tcBorders>
              <w:top w:val="single" w:color="000000" w:sz="4" w:space="0"/>
              <w:left w:val="single" w:color="000000" w:sz="4" w:space="0"/>
              <w:bottom w:val="single" w:color="000000" w:sz="4" w:space="0"/>
              <w:right w:val="single" w:color="000000" w:sz="4" w:space="0"/>
            </w:tcBorders>
          </w:tcPr>
          <w:p w14:paraId="4AD6C728">
            <w:pPr>
              <w:pStyle w:val="42"/>
            </w:pPr>
          </w:p>
        </w:tc>
        <w:tc>
          <w:tcPr>
            <w:tcW w:w="1293" w:type="dxa"/>
            <w:tcBorders>
              <w:top w:val="single" w:color="000000" w:sz="4" w:space="0"/>
              <w:left w:val="single" w:color="000000" w:sz="4" w:space="0"/>
              <w:bottom w:val="single" w:color="000000" w:sz="4" w:space="0"/>
              <w:right w:val="single" w:color="000000" w:sz="4" w:space="0"/>
            </w:tcBorders>
          </w:tcPr>
          <w:p w14:paraId="13388C4E">
            <w:pPr>
              <w:pStyle w:val="42"/>
            </w:pPr>
          </w:p>
        </w:tc>
        <w:tc>
          <w:tcPr>
            <w:tcW w:w="1838" w:type="dxa"/>
            <w:tcBorders>
              <w:top w:val="single" w:color="000000" w:sz="4" w:space="0"/>
              <w:left w:val="single" w:color="000000" w:sz="4" w:space="0"/>
              <w:bottom w:val="single" w:color="000000" w:sz="4" w:space="0"/>
              <w:right w:val="single" w:color="000000" w:sz="4" w:space="0"/>
            </w:tcBorders>
          </w:tcPr>
          <w:p w14:paraId="255EF952">
            <w:pPr>
              <w:pStyle w:val="42"/>
            </w:pPr>
          </w:p>
        </w:tc>
        <w:tc>
          <w:tcPr>
            <w:tcW w:w="1121" w:type="dxa"/>
            <w:tcBorders>
              <w:top w:val="single" w:color="000000" w:sz="4" w:space="0"/>
              <w:left w:val="single" w:color="000000" w:sz="4" w:space="0"/>
              <w:bottom w:val="single" w:color="000000" w:sz="4" w:space="0"/>
              <w:right w:val="single" w:color="000000" w:sz="4" w:space="0"/>
            </w:tcBorders>
          </w:tcPr>
          <w:p w14:paraId="5DE1598A">
            <w:pPr>
              <w:pStyle w:val="42"/>
            </w:pPr>
          </w:p>
        </w:tc>
      </w:tr>
    </w:tbl>
    <w:p w14:paraId="66050760">
      <w:pPr>
        <w:ind w:firstLine="0" w:firstLineChars="0"/>
        <w:jc w:val="center"/>
        <w:rPr>
          <w:lang w:val="zh-CN"/>
        </w:rPr>
      </w:pPr>
    </w:p>
    <w:p w14:paraId="6F2B641D">
      <w:pPr>
        <w:pStyle w:val="32"/>
        <w:ind w:left="480" w:firstLine="480"/>
        <w:rPr>
          <w:lang w:val="zh-CN"/>
        </w:rPr>
      </w:pPr>
    </w:p>
    <w:p w14:paraId="2E6620FB">
      <w:pPr>
        <w:ind w:firstLine="480"/>
        <w:rPr>
          <w:lang w:val="zh-CN"/>
        </w:rPr>
      </w:pPr>
    </w:p>
    <w:p w14:paraId="667786C4">
      <w:pPr>
        <w:ind w:firstLine="480"/>
      </w:pPr>
      <w:r>
        <w:t>供应商</w:t>
      </w:r>
      <w:r>
        <w:rPr>
          <w:rFonts w:hint="eastAsia"/>
        </w:rPr>
        <w:t>名称（</w:t>
      </w:r>
      <w:r>
        <w:t>盖单位公章</w:t>
      </w:r>
      <w:r>
        <w:rPr>
          <w:rFonts w:hint="eastAsia"/>
        </w:rPr>
        <w:t>）</w:t>
      </w:r>
      <w:r>
        <w:t xml:space="preserve">：                             </w:t>
      </w:r>
    </w:p>
    <w:p w14:paraId="63B90010">
      <w:pPr>
        <w:ind w:firstLine="480"/>
      </w:pPr>
      <w:r>
        <w:rPr>
          <w:rFonts w:hint="eastAsia"/>
          <w:lang w:val="zh-CN"/>
        </w:rPr>
        <w:t>法定代表人或授权委托人（签字或盖章）：</w:t>
      </w:r>
    </w:p>
    <w:p w14:paraId="66992A68">
      <w:pPr>
        <w:ind w:firstLine="480"/>
      </w:pPr>
      <w:r>
        <w:t>日期：</w:t>
      </w:r>
      <w:r>
        <w:rPr>
          <w:rFonts w:hint="eastAsia"/>
        </w:rPr>
        <w:t xml:space="preserve">   年   月  日</w:t>
      </w:r>
    </w:p>
    <w:p w14:paraId="3A84EB89">
      <w:pPr>
        <w:widowControl/>
        <w:spacing w:line="240" w:lineRule="auto"/>
        <w:ind w:firstLine="0" w:firstLineChars="0"/>
        <w:jc w:val="left"/>
        <w:rPr>
          <w:rFonts w:hint="eastAsia" w:eastAsia="宋体"/>
          <w:sz w:val="21"/>
          <w:szCs w:val="21"/>
          <w:lang w:eastAsia="zh-CN"/>
        </w:rPr>
      </w:pPr>
      <w:r>
        <w:rPr>
          <w:sz w:val="21"/>
          <w:szCs w:val="21"/>
        </w:rPr>
        <w:br w:type="page"/>
      </w:r>
      <w:r>
        <w:rPr>
          <w:sz w:val="21"/>
          <w:szCs w:val="21"/>
        </w:rPr>
        <w:t>附件</w:t>
      </w:r>
      <w:r>
        <w:rPr>
          <w:rFonts w:hint="eastAsia"/>
          <w:sz w:val="21"/>
          <w:szCs w:val="21"/>
          <w:lang w:val="en-US" w:eastAsia="zh-CN"/>
        </w:rPr>
        <w:t>9</w:t>
      </w:r>
    </w:p>
    <w:p w14:paraId="4A49DAC9">
      <w:pPr>
        <w:pStyle w:val="10"/>
        <w:ind w:firstLine="643"/>
        <w:jc w:val="center"/>
        <w:rPr>
          <w:sz w:val="21"/>
          <w:szCs w:val="21"/>
        </w:rPr>
      </w:pPr>
      <w:bookmarkStart w:id="587" w:name="_Toc6177"/>
      <w:bookmarkStart w:id="588" w:name="_Toc883"/>
      <w:bookmarkStart w:id="589" w:name="_Toc6103"/>
      <w:bookmarkStart w:id="590" w:name="_Toc21866"/>
      <w:bookmarkStart w:id="591" w:name="_Toc12193"/>
      <w:bookmarkStart w:id="592" w:name="_Toc21210"/>
      <w:bookmarkStart w:id="593" w:name="_Toc25444"/>
      <w:bookmarkStart w:id="594" w:name="_Toc30771"/>
      <w:r>
        <w:t>拟派本项目团队人员配备一览表</w:t>
      </w:r>
      <w:bookmarkEnd w:id="587"/>
      <w:bookmarkEnd w:id="588"/>
      <w:bookmarkEnd w:id="589"/>
      <w:bookmarkEnd w:id="590"/>
      <w:bookmarkEnd w:id="591"/>
      <w:bookmarkEnd w:id="592"/>
      <w:bookmarkEnd w:id="593"/>
      <w:bookmarkEnd w:id="594"/>
    </w:p>
    <w:tbl>
      <w:tblPr>
        <w:tblStyle w:val="77"/>
        <w:tblW w:w="9099" w:type="dxa"/>
        <w:tblInd w:w="-13" w:type="dxa"/>
        <w:tblLayout w:type="fixed"/>
        <w:tblCellMar>
          <w:top w:w="0" w:type="dxa"/>
          <w:left w:w="109" w:type="dxa"/>
          <w:bottom w:w="0" w:type="dxa"/>
          <w:right w:w="107" w:type="dxa"/>
        </w:tblCellMar>
      </w:tblPr>
      <w:tblGrid>
        <w:gridCol w:w="696"/>
        <w:gridCol w:w="1247"/>
        <w:gridCol w:w="867"/>
        <w:gridCol w:w="932"/>
        <w:gridCol w:w="2917"/>
        <w:gridCol w:w="2440"/>
      </w:tblGrid>
      <w:tr w14:paraId="0A6C659F">
        <w:tblPrEx>
          <w:tblCellMar>
            <w:top w:w="0" w:type="dxa"/>
            <w:left w:w="109" w:type="dxa"/>
            <w:bottom w:w="0" w:type="dxa"/>
            <w:right w:w="107" w:type="dxa"/>
          </w:tblCellMar>
        </w:tblPrEx>
        <w:trPr>
          <w:trHeight w:val="790"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326FE860">
            <w:pPr>
              <w:pStyle w:val="42"/>
            </w:pPr>
            <w:r>
              <w:t>序号</w:t>
            </w:r>
          </w:p>
        </w:tc>
        <w:tc>
          <w:tcPr>
            <w:tcW w:w="1247" w:type="dxa"/>
            <w:tcBorders>
              <w:top w:val="single" w:color="000000" w:sz="4" w:space="0"/>
              <w:left w:val="single" w:color="000000" w:sz="4" w:space="0"/>
              <w:bottom w:val="single" w:color="000000" w:sz="4" w:space="0"/>
              <w:right w:val="single" w:color="000000" w:sz="4" w:space="0"/>
            </w:tcBorders>
            <w:vAlign w:val="center"/>
          </w:tcPr>
          <w:p w14:paraId="6766A5BD">
            <w:pPr>
              <w:pStyle w:val="42"/>
            </w:pPr>
            <w:r>
              <w:t>姓名</w:t>
            </w:r>
          </w:p>
        </w:tc>
        <w:tc>
          <w:tcPr>
            <w:tcW w:w="867" w:type="dxa"/>
            <w:tcBorders>
              <w:top w:val="single" w:color="000000" w:sz="4" w:space="0"/>
              <w:left w:val="single" w:color="000000" w:sz="4" w:space="0"/>
              <w:bottom w:val="single" w:color="000000" w:sz="4" w:space="0"/>
              <w:right w:val="single" w:color="000000" w:sz="4" w:space="0"/>
            </w:tcBorders>
            <w:vAlign w:val="center"/>
          </w:tcPr>
          <w:p w14:paraId="1A73A4E7">
            <w:pPr>
              <w:pStyle w:val="42"/>
            </w:pPr>
            <w:r>
              <w:rPr>
                <w:rFonts w:hint="eastAsia"/>
              </w:rPr>
              <w:t>性别</w:t>
            </w:r>
          </w:p>
        </w:tc>
        <w:tc>
          <w:tcPr>
            <w:tcW w:w="932" w:type="dxa"/>
            <w:tcBorders>
              <w:top w:val="single" w:color="000000" w:sz="4" w:space="0"/>
              <w:left w:val="single" w:color="000000" w:sz="4" w:space="0"/>
              <w:bottom w:val="single" w:color="000000" w:sz="4" w:space="0"/>
              <w:right w:val="single" w:color="000000" w:sz="4" w:space="0"/>
            </w:tcBorders>
            <w:vAlign w:val="center"/>
          </w:tcPr>
          <w:p w14:paraId="0BF5B353">
            <w:pPr>
              <w:pStyle w:val="42"/>
            </w:pPr>
            <w:r>
              <w:t>年龄</w:t>
            </w:r>
          </w:p>
        </w:tc>
        <w:tc>
          <w:tcPr>
            <w:tcW w:w="2917" w:type="dxa"/>
            <w:tcBorders>
              <w:top w:val="single" w:color="000000" w:sz="4" w:space="0"/>
              <w:left w:val="single" w:color="000000" w:sz="4" w:space="0"/>
              <w:bottom w:val="single" w:color="000000" w:sz="4" w:space="0"/>
              <w:right w:val="single" w:color="000000" w:sz="4" w:space="0"/>
            </w:tcBorders>
            <w:vAlign w:val="center"/>
          </w:tcPr>
          <w:p w14:paraId="21F2D758">
            <w:pPr>
              <w:pStyle w:val="42"/>
            </w:pPr>
            <w:r>
              <w:t>证书名称</w:t>
            </w:r>
          </w:p>
        </w:tc>
        <w:tc>
          <w:tcPr>
            <w:tcW w:w="2440" w:type="dxa"/>
            <w:tcBorders>
              <w:top w:val="single" w:color="000000" w:sz="4" w:space="0"/>
              <w:left w:val="single" w:color="000000" w:sz="4" w:space="0"/>
              <w:bottom w:val="single" w:color="000000" w:sz="4" w:space="0"/>
              <w:right w:val="single" w:color="000000" w:sz="4" w:space="0"/>
            </w:tcBorders>
            <w:vAlign w:val="center"/>
          </w:tcPr>
          <w:p w14:paraId="3C9327DD">
            <w:pPr>
              <w:pStyle w:val="42"/>
            </w:pPr>
            <w:r>
              <w:t>职务</w:t>
            </w:r>
          </w:p>
        </w:tc>
      </w:tr>
      <w:tr w14:paraId="64530B2B">
        <w:tblPrEx>
          <w:tblCellMar>
            <w:top w:w="0" w:type="dxa"/>
            <w:left w:w="109" w:type="dxa"/>
            <w:bottom w:w="0" w:type="dxa"/>
            <w:right w:w="107" w:type="dxa"/>
          </w:tblCellMar>
        </w:tblPrEx>
        <w:trPr>
          <w:trHeight w:val="634"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53EB1BEE">
            <w:pPr>
              <w:pStyle w:val="42"/>
            </w:pPr>
            <w:r>
              <w:t>1</w:t>
            </w:r>
          </w:p>
        </w:tc>
        <w:tc>
          <w:tcPr>
            <w:tcW w:w="1247" w:type="dxa"/>
            <w:tcBorders>
              <w:top w:val="single" w:color="000000" w:sz="4" w:space="0"/>
              <w:left w:val="single" w:color="000000" w:sz="4" w:space="0"/>
              <w:bottom w:val="single" w:color="000000" w:sz="4" w:space="0"/>
              <w:right w:val="single" w:color="000000" w:sz="4" w:space="0"/>
            </w:tcBorders>
          </w:tcPr>
          <w:p w14:paraId="65E752B8">
            <w:pPr>
              <w:pStyle w:val="42"/>
            </w:pPr>
          </w:p>
        </w:tc>
        <w:tc>
          <w:tcPr>
            <w:tcW w:w="867" w:type="dxa"/>
            <w:tcBorders>
              <w:top w:val="single" w:color="000000" w:sz="4" w:space="0"/>
              <w:left w:val="single" w:color="000000" w:sz="4" w:space="0"/>
              <w:bottom w:val="single" w:color="000000" w:sz="4" w:space="0"/>
              <w:right w:val="single" w:color="000000" w:sz="4" w:space="0"/>
            </w:tcBorders>
          </w:tcPr>
          <w:p w14:paraId="49FDEAC9">
            <w:pPr>
              <w:pStyle w:val="42"/>
            </w:pPr>
          </w:p>
        </w:tc>
        <w:tc>
          <w:tcPr>
            <w:tcW w:w="932" w:type="dxa"/>
            <w:tcBorders>
              <w:top w:val="single" w:color="000000" w:sz="4" w:space="0"/>
              <w:left w:val="single" w:color="000000" w:sz="4" w:space="0"/>
              <w:bottom w:val="single" w:color="000000" w:sz="4" w:space="0"/>
              <w:right w:val="single" w:color="000000" w:sz="4" w:space="0"/>
            </w:tcBorders>
          </w:tcPr>
          <w:p w14:paraId="1C4DE817">
            <w:pPr>
              <w:pStyle w:val="42"/>
            </w:pPr>
          </w:p>
        </w:tc>
        <w:tc>
          <w:tcPr>
            <w:tcW w:w="2917" w:type="dxa"/>
            <w:tcBorders>
              <w:top w:val="single" w:color="000000" w:sz="4" w:space="0"/>
              <w:left w:val="single" w:color="000000" w:sz="4" w:space="0"/>
              <w:bottom w:val="single" w:color="000000" w:sz="4" w:space="0"/>
              <w:right w:val="single" w:color="000000" w:sz="4" w:space="0"/>
            </w:tcBorders>
          </w:tcPr>
          <w:p w14:paraId="67079FDC">
            <w:pPr>
              <w:pStyle w:val="42"/>
            </w:pPr>
          </w:p>
        </w:tc>
        <w:tc>
          <w:tcPr>
            <w:tcW w:w="2440" w:type="dxa"/>
            <w:tcBorders>
              <w:top w:val="single" w:color="000000" w:sz="4" w:space="0"/>
              <w:left w:val="single" w:color="000000" w:sz="4" w:space="0"/>
              <w:bottom w:val="single" w:color="000000" w:sz="4" w:space="0"/>
              <w:right w:val="single" w:color="000000" w:sz="4" w:space="0"/>
            </w:tcBorders>
          </w:tcPr>
          <w:p w14:paraId="729900A7">
            <w:pPr>
              <w:pStyle w:val="42"/>
            </w:pPr>
          </w:p>
        </w:tc>
      </w:tr>
      <w:tr w14:paraId="2F35A9E8">
        <w:tblPrEx>
          <w:tblCellMar>
            <w:top w:w="0" w:type="dxa"/>
            <w:left w:w="109" w:type="dxa"/>
            <w:bottom w:w="0" w:type="dxa"/>
            <w:right w:w="107" w:type="dxa"/>
          </w:tblCellMar>
        </w:tblPrEx>
        <w:trPr>
          <w:trHeight w:val="634"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47668EF8">
            <w:pPr>
              <w:pStyle w:val="42"/>
            </w:pPr>
            <w:r>
              <w:t>2</w:t>
            </w:r>
          </w:p>
        </w:tc>
        <w:tc>
          <w:tcPr>
            <w:tcW w:w="1247" w:type="dxa"/>
            <w:tcBorders>
              <w:top w:val="single" w:color="000000" w:sz="4" w:space="0"/>
              <w:left w:val="single" w:color="000000" w:sz="4" w:space="0"/>
              <w:bottom w:val="single" w:color="000000" w:sz="4" w:space="0"/>
              <w:right w:val="single" w:color="000000" w:sz="4" w:space="0"/>
            </w:tcBorders>
          </w:tcPr>
          <w:p w14:paraId="61CAD577">
            <w:pPr>
              <w:pStyle w:val="42"/>
            </w:pPr>
          </w:p>
        </w:tc>
        <w:tc>
          <w:tcPr>
            <w:tcW w:w="867" w:type="dxa"/>
            <w:tcBorders>
              <w:top w:val="single" w:color="000000" w:sz="4" w:space="0"/>
              <w:left w:val="single" w:color="000000" w:sz="4" w:space="0"/>
              <w:bottom w:val="single" w:color="000000" w:sz="4" w:space="0"/>
              <w:right w:val="single" w:color="000000" w:sz="4" w:space="0"/>
            </w:tcBorders>
          </w:tcPr>
          <w:p w14:paraId="332EDC36">
            <w:pPr>
              <w:pStyle w:val="42"/>
            </w:pPr>
          </w:p>
        </w:tc>
        <w:tc>
          <w:tcPr>
            <w:tcW w:w="932" w:type="dxa"/>
            <w:tcBorders>
              <w:top w:val="single" w:color="000000" w:sz="4" w:space="0"/>
              <w:left w:val="single" w:color="000000" w:sz="4" w:space="0"/>
              <w:bottom w:val="single" w:color="000000" w:sz="4" w:space="0"/>
              <w:right w:val="single" w:color="000000" w:sz="4" w:space="0"/>
            </w:tcBorders>
          </w:tcPr>
          <w:p w14:paraId="1FD0F34E">
            <w:pPr>
              <w:pStyle w:val="42"/>
            </w:pPr>
          </w:p>
        </w:tc>
        <w:tc>
          <w:tcPr>
            <w:tcW w:w="2917" w:type="dxa"/>
            <w:tcBorders>
              <w:top w:val="single" w:color="000000" w:sz="4" w:space="0"/>
              <w:left w:val="single" w:color="000000" w:sz="4" w:space="0"/>
              <w:bottom w:val="single" w:color="000000" w:sz="4" w:space="0"/>
              <w:right w:val="single" w:color="000000" w:sz="4" w:space="0"/>
            </w:tcBorders>
          </w:tcPr>
          <w:p w14:paraId="1962540E">
            <w:pPr>
              <w:pStyle w:val="42"/>
            </w:pPr>
          </w:p>
        </w:tc>
        <w:tc>
          <w:tcPr>
            <w:tcW w:w="2440" w:type="dxa"/>
            <w:tcBorders>
              <w:top w:val="single" w:color="000000" w:sz="4" w:space="0"/>
              <w:left w:val="single" w:color="000000" w:sz="4" w:space="0"/>
              <w:bottom w:val="single" w:color="000000" w:sz="4" w:space="0"/>
              <w:right w:val="single" w:color="000000" w:sz="4" w:space="0"/>
            </w:tcBorders>
          </w:tcPr>
          <w:p w14:paraId="71CF157C">
            <w:pPr>
              <w:pStyle w:val="42"/>
            </w:pPr>
          </w:p>
        </w:tc>
      </w:tr>
      <w:tr w14:paraId="59C8AAC7">
        <w:tblPrEx>
          <w:tblCellMar>
            <w:top w:w="0" w:type="dxa"/>
            <w:left w:w="109" w:type="dxa"/>
            <w:bottom w:w="0" w:type="dxa"/>
            <w:right w:w="107" w:type="dxa"/>
          </w:tblCellMar>
        </w:tblPrEx>
        <w:trPr>
          <w:trHeight w:val="634"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49DFC702">
            <w:pPr>
              <w:pStyle w:val="42"/>
            </w:pPr>
            <w:r>
              <w:t>3</w:t>
            </w:r>
          </w:p>
        </w:tc>
        <w:tc>
          <w:tcPr>
            <w:tcW w:w="1247" w:type="dxa"/>
            <w:tcBorders>
              <w:top w:val="single" w:color="000000" w:sz="4" w:space="0"/>
              <w:left w:val="single" w:color="000000" w:sz="4" w:space="0"/>
              <w:bottom w:val="single" w:color="000000" w:sz="4" w:space="0"/>
              <w:right w:val="single" w:color="000000" w:sz="4" w:space="0"/>
            </w:tcBorders>
          </w:tcPr>
          <w:p w14:paraId="5A87AEED">
            <w:pPr>
              <w:pStyle w:val="42"/>
            </w:pPr>
          </w:p>
        </w:tc>
        <w:tc>
          <w:tcPr>
            <w:tcW w:w="867" w:type="dxa"/>
            <w:tcBorders>
              <w:top w:val="single" w:color="000000" w:sz="4" w:space="0"/>
              <w:left w:val="single" w:color="000000" w:sz="4" w:space="0"/>
              <w:bottom w:val="single" w:color="000000" w:sz="4" w:space="0"/>
              <w:right w:val="single" w:color="000000" w:sz="4" w:space="0"/>
            </w:tcBorders>
          </w:tcPr>
          <w:p w14:paraId="4BE1B113">
            <w:pPr>
              <w:pStyle w:val="42"/>
            </w:pPr>
          </w:p>
        </w:tc>
        <w:tc>
          <w:tcPr>
            <w:tcW w:w="932" w:type="dxa"/>
            <w:tcBorders>
              <w:top w:val="single" w:color="000000" w:sz="4" w:space="0"/>
              <w:left w:val="single" w:color="000000" w:sz="4" w:space="0"/>
              <w:bottom w:val="single" w:color="000000" w:sz="4" w:space="0"/>
              <w:right w:val="single" w:color="000000" w:sz="4" w:space="0"/>
            </w:tcBorders>
          </w:tcPr>
          <w:p w14:paraId="2FA28081">
            <w:pPr>
              <w:pStyle w:val="42"/>
            </w:pPr>
          </w:p>
        </w:tc>
        <w:tc>
          <w:tcPr>
            <w:tcW w:w="2917" w:type="dxa"/>
            <w:tcBorders>
              <w:top w:val="single" w:color="000000" w:sz="4" w:space="0"/>
              <w:left w:val="single" w:color="000000" w:sz="4" w:space="0"/>
              <w:bottom w:val="single" w:color="000000" w:sz="4" w:space="0"/>
              <w:right w:val="single" w:color="000000" w:sz="4" w:space="0"/>
            </w:tcBorders>
          </w:tcPr>
          <w:p w14:paraId="63BD8318">
            <w:pPr>
              <w:pStyle w:val="42"/>
            </w:pPr>
          </w:p>
        </w:tc>
        <w:tc>
          <w:tcPr>
            <w:tcW w:w="2440" w:type="dxa"/>
            <w:tcBorders>
              <w:top w:val="single" w:color="000000" w:sz="4" w:space="0"/>
              <w:left w:val="single" w:color="000000" w:sz="4" w:space="0"/>
              <w:bottom w:val="single" w:color="000000" w:sz="4" w:space="0"/>
              <w:right w:val="single" w:color="000000" w:sz="4" w:space="0"/>
            </w:tcBorders>
          </w:tcPr>
          <w:p w14:paraId="2B77FC21">
            <w:pPr>
              <w:pStyle w:val="42"/>
            </w:pPr>
          </w:p>
        </w:tc>
      </w:tr>
      <w:tr w14:paraId="708D6E28">
        <w:tblPrEx>
          <w:tblCellMar>
            <w:top w:w="0" w:type="dxa"/>
            <w:left w:w="109" w:type="dxa"/>
            <w:bottom w:w="0" w:type="dxa"/>
            <w:right w:w="107" w:type="dxa"/>
          </w:tblCellMar>
        </w:tblPrEx>
        <w:trPr>
          <w:trHeight w:val="634"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2551B499">
            <w:pPr>
              <w:pStyle w:val="42"/>
            </w:pPr>
            <w:r>
              <w:t>4</w:t>
            </w:r>
          </w:p>
        </w:tc>
        <w:tc>
          <w:tcPr>
            <w:tcW w:w="1247" w:type="dxa"/>
            <w:tcBorders>
              <w:top w:val="single" w:color="000000" w:sz="4" w:space="0"/>
              <w:left w:val="single" w:color="000000" w:sz="4" w:space="0"/>
              <w:bottom w:val="single" w:color="000000" w:sz="4" w:space="0"/>
              <w:right w:val="single" w:color="000000" w:sz="4" w:space="0"/>
            </w:tcBorders>
          </w:tcPr>
          <w:p w14:paraId="079AADA7">
            <w:pPr>
              <w:pStyle w:val="42"/>
            </w:pPr>
          </w:p>
        </w:tc>
        <w:tc>
          <w:tcPr>
            <w:tcW w:w="867" w:type="dxa"/>
            <w:tcBorders>
              <w:top w:val="single" w:color="000000" w:sz="4" w:space="0"/>
              <w:left w:val="single" w:color="000000" w:sz="4" w:space="0"/>
              <w:bottom w:val="single" w:color="000000" w:sz="4" w:space="0"/>
              <w:right w:val="single" w:color="000000" w:sz="4" w:space="0"/>
            </w:tcBorders>
          </w:tcPr>
          <w:p w14:paraId="6DC20B8C">
            <w:pPr>
              <w:pStyle w:val="42"/>
            </w:pPr>
          </w:p>
        </w:tc>
        <w:tc>
          <w:tcPr>
            <w:tcW w:w="932" w:type="dxa"/>
            <w:tcBorders>
              <w:top w:val="single" w:color="000000" w:sz="4" w:space="0"/>
              <w:left w:val="single" w:color="000000" w:sz="4" w:space="0"/>
              <w:bottom w:val="single" w:color="000000" w:sz="4" w:space="0"/>
              <w:right w:val="single" w:color="000000" w:sz="4" w:space="0"/>
            </w:tcBorders>
          </w:tcPr>
          <w:p w14:paraId="286E74B8">
            <w:pPr>
              <w:pStyle w:val="42"/>
            </w:pPr>
          </w:p>
        </w:tc>
        <w:tc>
          <w:tcPr>
            <w:tcW w:w="2917" w:type="dxa"/>
            <w:tcBorders>
              <w:top w:val="single" w:color="000000" w:sz="4" w:space="0"/>
              <w:left w:val="single" w:color="000000" w:sz="4" w:space="0"/>
              <w:bottom w:val="single" w:color="000000" w:sz="4" w:space="0"/>
              <w:right w:val="single" w:color="000000" w:sz="4" w:space="0"/>
            </w:tcBorders>
          </w:tcPr>
          <w:p w14:paraId="2A5B72E8">
            <w:pPr>
              <w:pStyle w:val="42"/>
            </w:pPr>
          </w:p>
        </w:tc>
        <w:tc>
          <w:tcPr>
            <w:tcW w:w="2440" w:type="dxa"/>
            <w:tcBorders>
              <w:top w:val="single" w:color="000000" w:sz="4" w:space="0"/>
              <w:left w:val="single" w:color="000000" w:sz="4" w:space="0"/>
              <w:bottom w:val="single" w:color="000000" w:sz="4" w:space="0"/>
              <w:right w:val="single" w:color="000000" w:sz="4" w:space="0"/>
            </w:tcBorders>
          </w:tcPr>
          <w:p w14:paraId="453FD9D6">
            <w:pPr>
              <w:pStyle w:val="42"/>
            </w:pPr>
          </w:p>
        </w:tc>
      </w:tr>
      <w:tr w14:paraId="55ED0896">
        <w:tblPrEx>
          <w:tblCellMar>
            <w:top w:w="0" w:type="dxa"/>
            <w:left w:w="109" w:type="dxa"/>
            <w:bottom w:w="0" w:type="dxa"/>
            <w:right w:w="107" w:type="dxa"/>
          </w:tblCellMar>
        </w:tblPrEx>
        <w:trPr>
          <w:trHeight w:val="634"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19AFF3D6">
            <w:pPr>
              <w:pStyle w:val="42"/>
            </w:pPr>
            <w:r>
              <w:t>5</w:t>
            </w:r>
          </w:p>
        </w:tc>
        <w:tc>
          <w:tcPr>
            <w:tcW w:w="1247" w:type="dxa"/>
            <w:tcBorders>
              <w:top w:val="single" w:color="000000" w:sz="4" w:space="0"/>
              <w:left w:val="single" w:color="000000" w:sz="4" w:space="0"/>
              <w:bottom w:val="single" w:color="000000" w:sz="4" w:space="0"/>
              <w:right w:val="single" w:color="000000" w:sz="4" w:space="0"/>
            </w:tcBorders>
          </w:tcPr>
          <w:p w14:paraId="70411E93">
            <w:pPr>
              <w:pStyle w:val="42"/>
            </w:pPr>
          </w:p>
        </w:tc>
        <w:tc>
          <w:tcPr>
            <w:tcW w:w="867" w:type="dxa"/>
            <w:tcBorders>
              <w:top w:val="single" w:color="000000" w:sz="4" w:space="0"/>
              <w:left w:val="single" w:color="000000" w:sz="4" w:space="0"/>
              <w:bottom w:val="single" w:color="000000" w:sz="4" w:space="0"/>
              <w:right w:val="single" w:color="000000" w:sz="4" w:space="0"/>
            </w:tcBorders>
          </w:tcPr>
          <w:p w14:paraId="5851380E">
            <w:pPr>
              <w:pStyle w:val="42"/>
            </w:pPr>
          </w:p>
        </w:tc>
        <w:tc>
          <w:tcPr>
            <w:tcW w:w="932" w:type="dxa"/>
            <w:tcBorders>
              <w:top w:val="single" w:color="000000" w:sz="4" w:space="0"/>
              <w:left w:val="single" w:color="000000" w:sz="4" w:space="0"/>
              <w:bottom w:val="single" w:color="000000" w:sz="4" w:space="0"/>
              <w:right w:val="single" w:color="000000" w:sz="4" w:space="0"/>
            </w:tcBorders>
          </w:tcPr>
          <w:p w14:paraId="48D311A6">
            <w:pPr>
              <w:pStyle w:val="42"/>
            </w:pPr>
          </w:p>
        </w:tc>
        <w:tc>
          <w:tcPr>
            <w:tcW w:w="2917" w:type="dxa"/>
            <w:tcBorders>
              <w:top w:val="single" w:color="000000" w:sz="4" w:space="0"/>
              <w:left w:val="single" w:color="000000" w:sz="4" w:space="0"/>
              <w:bottom w:val="single" w:color="000000" w:sz="4" w:space="0"/>
              <w:right w:val="single" w:color="000000" w:sz="4" w:space="0"/>
            </w:tcBorders>
          </w:tcPr>
          <w:p w14:paraId="6FF7D4DF">
            <w:pPr>
              <w:pStyle w:val="42"/>
            </w:pPr>
          </w:p>
        </w:tc>
        <w:tc>
          <w:tcPr>
            <w:tcW w:w="2440" w:type="dxa"/>
            <w:tcBorders>
              <w:top w:val="single" w:color="000000" w:sz="4" w:space="0"/>
              <w:left w:val="single" w:color="000000" w:sz="4" w:space="0"/>
              <w:bottom w:val="single" w:color="000000" w:sz="4" w:space="0"/>
              <w:right w:val="single" w:color="000000" w:sz="4" w:space="0"/>
            </w:tcBorders>
          </w:tcPr>
          <w:p w14:paraId="103625CA">
            <w:pPr>
              <w:pStyle w:val="42"/>
            </w:pPr>
          </w:p>
        </w:tc>
      </w:tr>
      <w:tr w14:paraId="0B8E6B8A">
        <w:tblPrEx>
          <w:tblCellMar>
            <w:top w:w="0" w:type="dxa"/>
            <w:left w:w="109" w:type="dxa"/>
            <w:bottom w:w="0" w:type="dxa"/>
            <w:right w:w="107" w:type="dxa"/>
          </w:tblCellMar>
        </w:tblPrEx>
        <w:trPr>
          <w:trHeight w:val="634"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68A3FEAF">
            <w:pPr>
              <w:pStyle w:val="42"/>
            </w:pPr>
            <w:r>
              <w:t>6</w:t>
            </w:r>
          </w:p>
        </w:tc>
        <w:tc>
          <w:tcPr>
            <w:tcW w:w="1247" w:type="dxa"/>
            <w:tcBorders>
              <w:top w:val="single" w:color="000000" w:sz="4" w:space="0"/>
              <w:left w:val="single" w:color="000000" w:sz="4" w:space="0"/>
              <w:bottom w:val="single" w:color="000000" w:sz="4" w:space="0"/>
              <w:right w:val="single" w:color="000000" w:sz="4" w:space="0"/>
            </w:tcBorders>
          </w:tcPr>
          <w:p w14:paraId="2B6487D4">
            <w:pPr>
              <w:pStyle w:val="42"/>
            </w:pPr>
          </w:p>
        </w:tc>
        <w:tc>
          <w:tcPr>
            <w:tcW w:w="867" w:type="dxa"/>
            <w:tcBorders>
              <w:top w:val="single" w:color="000000" w:sz="4" w:space="0"/>
              <w:left w:val="single" w:color="000000" w:sz="4" w:space="0"/>
              <w:bottom w:val="single" w:color="000000" w:sz="4" w:space="0"/>
              <w:right w:val="single" w:color="000000" w:sz="4" w:space="0"/>
            </w:tcBorders>
          </w:tcPr>
          <w:p w14:paraId="4840E440">
            <w:pPr>
              <w:pStyle w:val="42"/>
            </w:pPr>
          </w:p>
        </w:tc>
        <w:tc>
          <w:tcPr>
            <w:tcW w:w="932" w:type="dxa"/>
            <w:tcBorders>
              <w:top w:val="single" w:color="000000" w:sz="4" w:space="0"/>
              <w:left w:val="single" w:color="000000" w:sz="4" w:space="0"/>
              <w:bottom w:val="single" w:color="000000" w:sz="4" w:space="0"/>
              <w:right w:val="single" w:color="000000" w:sz="4" w:space="0"/>
            </w:tcBorders>
          </w:tcPr>
          <w:p w14:paraId="346B4753">
            <w:pPr>
              <w:pStyle w:val="42"/>
            </w:pPr>
          </w:p>
        </w:tc>
        <w:tc>
          <w:tcPr>
            <w:tcW w:w="2917" w:type="dxa"/>
            <w:tcBorders>
              <w:top w:val="single" w:color="000000" w:sz="4" w:space="0"/>
              <w:left w:val="single" w:color="000000" w:sz="4" w:space="0"/>
              <w:bottom w:val="single" w:color="000000" w:sz="4" w:space="0"/>
              <w:right w:val="single" w:color="000000" w:sz="4" w:space="0"/>
            </w:tcBorders>
          </w:tcPr>
          <w:p w14:paraId="6B2CD89C">
            <w:pPr>
              <w:pStyle w:val="42"/>
            </w:pPr>
          </w:p>
        </w:tc>
        <w:tc>
          <w:tcPr>
            <w:tcW w:w="2440" w:type="dxa"/>
            <w:tcBorders>
              <w:top w:val="single" w:color="000000" w:sz="4" w:space="0"/>
              <w:left w:val="single" w:color="000000" w:sz="4" w:space="0"/>
              <w:bottom w:val="single" w:color="000000" w:sz="4" w:space="0"/>
              <w:right w:val="single" w:color="000000" w:sz="4" w:space="0"/>
            </w:tcBorders>
          </w:tcPr>
          <w:p w14:paraId="454DA64D">
            <w:pPr>
              <w:pStyle w:val="42"/>
            </w:pPr>
          </w:p>
        </w:tc>
      </w:tr>
      <w:tr w14:paraId="1859E911">
        <w:tblPrEx>
          <w:tblCellMar>
            <w:top w:w="0" w:type="dxa"/>
            <w:left w:w="109" w:type="dxa"/>
            <w:bottom w:w="0" w:type="dxa"/>
            <w:right w:w="107" w:type="dxa"/>
          </w:tblCellMar>
        </w:tblPrEx>
        <w:trPr>
          <w:trHeight w:val="634"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3902EC78">
            <w:pPr>
              <w:pStyle w:val="42"/>
            </w:pPr>
            <w:r>
              <w:t>7</w:t>
            </w:r>
          </w:p>
        </w:tc>
        <w:tc>
          <w:tcPr>
            <w:tcW w:w="1247" w:type="dxa"/>
            <w:tcBorders>
              <w:top w:val="single" w:color="000000" w:sz="4" w:space="0"/>
              <w:left w:val="single" w:color="000000" w:sz="4" w:space="0"/>
              <w:bottom w:val="single" w:color="000000" w:sz="4" w:space="0"/>
              <w:right w:val="single" w:color="000000" w:sz="4" w:space="0"/>
            </w:tcBorders>
          </w:tcPr>
          <w:p w14:paraId="406BAC4D">
            <w:pPr>
              <w:pStyle w:val="42"/>
            </w:pPr>
          </w:p>
        </w:tc>
        <w:tc>
          <w:tcPr>
            <w:tcW w:w="867" w:type="dxa"/>
            <w:tcBorders>
              <w:top w:val="single" w:color="000000" w:sz="4" w:space="0"/>
              <w:left w:val="single" w:color="000000" w:sz="4" w:space="0"/>
              <w:bottom w:val="single" w:color="000000" w:sz="4" w:space="0"/>
              <w:right w:val="single" w:color="000000" w:sz="4" w:space="0"/>
            </w:tcBorders>
          </w:tcPr>
          <w:p w14:paraId="66F02EFE">
            <w:pPr>
              <w:pStyle w:val="42"/>
            </w:pPr>
          </w:p>
        </w:tc>
        <w:tc>
          <w:tcPr>
            <w:tcW w:w="932" w:type="dxa"/>
            <w:tcBorders>
              <w:top w:val="single" w:color="000000" w:sz="4" w:space="0"/>
              <w:left w:val="single" w:color="000000" w:sz="4" w:space="0"/>
              <w:bottom w:val="single" w:color="000000" w:sz="4" w:space="0"/>
              <w:right w:val="single" w:color="000000" w:sz="4" w:space="0"/>
            </w:tcBorders>
          </w:tcPr>
          <w:p w14:paraId="1E2BE1FF">
            <w:pPr>
              <w:pStyle w:val="42"/>
            </w:pPr>
          </w:p>
        </w:tc>
        <w:tc>
          <w:tcPr>
            <w:tcW w:w="2917" w:type="dxa"/>
            <w:tcBorders>
              <w:top w:val="single" w:color="000000" w:sz="4" w:space="0"/>
              <w:left w:val="single" w:color="000000" w:sz="4" w:space="0"/>
              <w:bottom w:val="single" w:color="000000" w:sz="4" w:space="0"/>
              <w:right w:val="single" w:color="000000" w:sz="4" w:space="0"/>
            </w:tcBorders>
          </w:tcPr>
          <w:p w14:paraId="46B5BBF8">
            <w:pPr>
              <w:pStyle w:val="42"/>
            </w:pPr>
          </w:p>
        </w:tc>
        <w:tc>
          <w:tcPr>
            <w:tcW w:w="2440" w:type="dxa"/>
            <w:tcBorders>
              <w:top w:val="single" w:color="000000" w:sz="4" w:space="0"/>
              <w:left w:val="single" w:color="000000" w:sz="4" w:space="0"/>
              <w:bottom w:val="single" w:color="000000" w:sz="4" w:space="0"/>
              <w:right w:val="single" w:color="000000" w:sz="4" w:space="0"/>
            </w:tcBorders>
          </w:tcPr>
          <w:p w14:paraId="1C8A856B">
            <w:pPr>
              <w:pStyle w:val="42"/>
            </w:pPr>
          </w:p>
        </w:tc>
      </w:tr>
      <w:tr w14:paraId="47FAF896">
        <w:tblPrEx>
          <w:tblCellMar>
            <w:top w:w="0" w:type="dxa"/>
            <w:left w:w="109" w:type="dxa"/>
            <w:bottom w:w="0" w:type="dxa"/>
            <w:right w:w="107" w:type="dxa"/>
          </w:tblCellMar>
        </w:tblPrEx>
        <w:trPr>
          <w:trHeight w:val="634"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4A6935EA">
            <w:pPr>
              <w:pStyle w:val="42"/>
            </w:pPr>
            <w:r>
              <w:t>8</w:t>
            </w:r>
          </w:p>
        </w:tc>
        <w:tc>
          <w:tcPr>
            <w:tcW w:w="1247" w:type="dxa"/>
            <w:tcBorders>
              <w:top w:val="single" w:color="000000" w:sz="4" w:space="0"/>
              <w:left w:val="single" w:color="000000" w:sz="4" w:space="0"/>
              <w:bottom w:val="single" w:color="000000" w:sz="4" w:space="0"/>
              <w:right w:val="single" w:color="000000" w:sz="4" w:space="0"/>
            </w:tcBorders>
          </w:tcPr>
          <w:p w14:paraId="23E7592B">
            <w:pPr>
              <w:pStyle w:val="42"/>
            </w:pPr>
          </w:p>
        </w:tc>
        <w:tc>
          <w:tcPr>
            <w:tcW w:w="867" w:type="dxa"/>
            <w:tcBorders>
              <w:top w:val="single" w:color="000000" w:sz="4" w:space="0"/>
              <w:left w:val="single" w:color="000000" w:sz="4" w:space="0"/>
              <w:bottom w:val="single" w:color="000000" w:sz="4" w:space="0"/>
              <w:right w:val="single" w:color="000000" w:sz="4" w:space="0"/>
            </w:tcBorders>
          </w:tcPr>
          <w:p w14:paraId="249BEC1A">
            <w:pPr>
              <w:pStyle w:val="42"/>
            </w:pPr>
          </w:p>
        </w:tc>
        <w:tc>
          <w:tcPr>
            <w:tcW w:w="932" w:type="dxa"/>
            <w:tcBorders>
              <w:top w:val="single" w:color="000000" w:sz="4" w:space="0"/>
              <w:left w:val="single" w:color="000000" w:sz="4" w:space="0"/>
              <w:bottom w:val="single" w:color="000000" w:sz="4" w:space="0"/>
              <w:right w:val="single" w:color="000000" w:sz="4" w:space="0"/>
            </w:tcBorders>
          </w:tcPr>
          <w:p w14:paraId="57FD8B93">
            <w:pPr>
              <w:pStyle w:val="42"/>
            </w:pPr>
          </w:p>
        </w:tc>
        <w:tc>
          <w:tcPr>
            <w:tcW w:w="2917" w:type="dxa"/>
            <w:tcBorders>
              <w:top w:val="single" w:color="000000" w:sz="4" w:space="0"/>
              <w:left w:val="single" w:color="000000" w:sz="4" w:space="0"/>
              <w:bottom w:val="single" w:color="000000" w:sz="4" w:space="0"/>
              <w:right w:val="single" w:color="000000" w:sz="4" w:space="0"/>
            </w:tcBorders>
          </w:tcPr>
          <w:p w14:paraId="2816F527">
            <w:pPr>
              <w:pStyle w:val="42"/>
            </w:pPr>
          </w:p>
        </w:tc>
        <w:tc>
          <w:tcPr>
            <w:tcW w:w="2440" w:type="dxa"/>
            <w:tcBorders>
              <w:top w:val="single" w:color="000000" w:sz="4" w:space="0"/>
              <w:left w:val="single" w:color="000000" w:sz="4" w:space="0"/>
              <w:bottom w:val="single" w:color="000000" w:sz="4" w:space="0"/>
              <w:right w:val="single" w:color="000000" w:sz="4" w:space="0"/>
            </w:tcBorders>
          </w:tcPr>
          <w:p w14:paraId="2EE5AF64">
            <w:pPr>
              <w:pStyle w:val="42"/>
            </w:pPr>
          </w:p>
        </w:tc>
      </w:tr>
      <w:tr w14:paraId="2C821C5C">
        <w:tblPrEx>
          <w:tblCellMar>
            <w:top w:w="0" w:type="dxa"/>
            <w:left w:w="109" w:type="dxa"/>
            <w:bottom w:w="0" w:type="dxa"/>
            <w:right w:w="107" w:type="dxa"/>
          </w:tblCellMar>
        </w:tblPrEx>
        <w:trPr>
          <w:trHeight w:val="634"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723DB81F">
            <w:pPr>
              <w:pStyle w:val="42"/>
            </w:pPr>
            <w:r>
              <w:t>9</w:t>
            </w:r>
          </w:p>
        </w:tc>
        <w:tc>
          <w:tcPr>
            <w:tcW w:w="1247" w:type="dxa"/>
            <w:tcBorders>
              <w:top w:val="single" w:color="000000" w:sz="4" w:space="0"/>
              <w:left w:val="single" w:color="000000" w:sz="4" w:space="0"/>
              <w:bottom w:val="single" w:color="000000" w:sz="4" w:space="0"/>
              <w:right w:val="single" w:color="000000" w:sz="4" w:space="0"/>
            </w:tcBorders>
          </w:tcPr>
          <w:p w14:paraId="0287DBB9">
            <w:pPr>
              <w:pStyle w:val="42"/>
            </w:pPr>
          </w:p>
        </w:tc>
        <w:tc>
          <w:tcPr>
            <w:tcW w:w="867" w:type="dxa"/>
            <w:tcBorders>
              <w:top w:val="single" w:color="000000" w:sz="4" w:space="0"/>
              <w:left w:val="single" w:color="000000" w:sz="4" w:space="0"/>
              <w:bottom w:val="single" w:color="000000" w:sz="4" w:space="0"/>
              <w:right w:val="single" w:color="000000" w:sz="4" w:space="0"/>
            </w:tcBorders>
          </w:tcPr>
          <w:p w14:paraId="0E0367AB">
            <w:pPr>
              <w:pStyle w:val="42"/>
            </w:pPr>
          </w:p>
        </w:tc>
        <w:tc>
          <w:tcPr>
            <w:tcW w:w="932" w:type="dxa"/>
            <w:tcBorders>
              <w:top w:val="single" w:color="000000" w:sz="4" w:space="0"/>
              <w:left w:val="single" w:color="000000" w:sz="4" w:space="0"/>
              <w:bottom w:val="single" w:color="000000" w:sz="4" w:space="0"/>
              <w:right w:val="single" w:color="000000" w:sz="4" w:space="0"/>
            </w:tcBorders>
          </w:tcPr>
          <w:p w14:paraId="13EE2BAC">
            <w:pPr>
              <w:pStyle w:val="42"/>
            </w:pPr>
          </w:p>
        </w:tc>
        <w:tc>
          <w:tcPr>
            <w:tcW w:w="2917" w:type="dxa"/>
            <w:tcBorders>
              <w:top w:val="single" w:color="000000" w:sz="4" w:space="0"/>
              <w:left w:val="single" w:color="000000" w:sz="4" w:space="0"/>
              <w:bottom w:val="single" w:color="000000" w:sz="4" w:space="0"/>
              <w:right w:val="single" w:color="000000" w:sz="4" w:space="0"/>
            </w:tcBorders>
          </w:tcPr>
          <w:p w14:paraId="56096CA0">
            <w:pPr>
              <w:pStyle w:val="42"/>
            </w:pPr>
          </w:p>
        </w:tc>
        <w:tc>
          <w:tcPr>
            <w:tcW w:w="2440" w:type="dxa"/>
            <w:tcBorders>
              <w:top w:val="single" w:color="000000" w:sz="4" w:space="0"/>
              <w:left w:val="single" w:color="000000" w:sz="4" w:space="0"/>
              <w:bottom w:val="single" w:color="000000" w:sz="4" w:space="0"/>
              <w:right w:val="single" w:color="000000" w:sz="4" w:space="0"/>
            </w:tcBorders>
          </w:tcPr>
          <w:p w14:paraId="4A82192E">
            <w:pPr>
              <w:pStyle w:val="42"/>
            </w:pPr>
          </w:p>
        </w:tc>
      </w:tr>
      <w:tr w14:paraId="6E5A8FAB">
        <w:tblPrEx>
          <w:tblCellMar>
            <w:top w:w="0" w:type="dxa"/>
            <w:left w:w="109" w:type="dxa"/>
            <w:bottom w:w="0" w:type="dxa"/>
            <w:right w:w="107" w:type="dxa"/>
          </w:tblCellMar>
        </w:tblPrEx>
        <w:trPr>
          <w:trHeight w:val="634"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3320953A">
            <w:pPr>
              <w:pStyle w:val="42"/>
            </w:pPr>
            <w:r>
              <w:t>……</w:t>
            </w:r>
          </w:p>
        </w:tc>
        <w:tc>
          <w:tcPr>
            <w:tcW w:w="1247" w:type="dxa"/>
            <w:tcBorders>
              <w:top w:val="single" w:color="000000" w:sz="4" w:space="0"/>
              <w:left w:val="single" w:color="000000" w:sz="4" w:space="0"/>
              <w:bottom w:val="single" w:color="000000" w:sz="4" w:space="0"/>
              <w:right w:val="single" w:color="000000" w:sz="4" w:space="0"/>
            </w:tcBorders>
          </w:tcPr>
          <w:p w14:paraId="2274641E">
            <w:pPr>
              <w:pStyle w:val="42"/>
            </w:pPr>
          </w:p>
        </w:tc>
        <w:tc>
          <w:tcPr>
            <w:tcW w:w="867" w:type="dxa"/>
            <w:tcBorders>
              <w:top w:val="single" w:color="000000" w:sz="4" w:space="0"/>
              <w:left w:val="single" w:color="000000" w:sz="4" w:space="0"/>
              <w:bottom w:val="single" w:color="000000" w:sz="4" w:space="0"/>
              <w:right w:val="single" w:color="000000" w:sz="4" w:space="0"/>
            </w:tcBorders>
          </w:tcPr>
          <w:p w14:paraId="103F716C">
            <w:pPr>
              <w:pStyle w:val="42"/>
            </w:pPr>
          </w:p>
        </w:tc>
        <w:tc>
          <w:tcPr>
            <w:tcW w:w="932" w:type="dxa"/>
            <w:tcBorders>
              <w:top w:val="single" w:color="000000" w:sz="4" w:space="0"/>
              <w:left w:val="single" w:color="000000" w:sz="4" w:space="0"/>
              <w:bottom w:val="single" w:color="000000" w:sz="4" w:space="0"/>
              <w:right w:val="single" w:color="000000" w:sz="4" w:space="0"/>
            </w:tcBorders>
          </w:tcPr>
          <w:p w14:paraId="6537EEBE">
            <w:pPr>
              <w:pStyle w:val="42"/>
            </w:pPr>
          </w:p>
        </w:tc>
        <w:tc>
          <w:tcPr>
            <w:tcW w:w="2917" w:type="dxa"/>
            <w:tcBorders>
              <w:top w:val="single" w:color="000000" w:sz="4" w:space="0"/>
              <w:left w:val="single" w:color="000000" w:sz="4" w:space="0"/>
              <w:bottom w:val="single" w:color="000000" w:sz="4" w:space="0"/>
              <w:right w:val="single" w:color="000000" w:sz="4" w:space="0"/>
            </w:tcBorders>
          </w:tcPr>
          <w:p w14:paraId="771C7AC9">
            <w:pPr>
              <w:pStyle w:val="42"/>
            </w:pPr>
          </w:p>
        </w:tc>
        <w:tc>
          <w:tcPr>
            <w:tcW w:w="2440" w:type="dxa"/>
            <w:tcBorders>
              <w:top w:val="single" w:color="000000" w:sz="4" w:space="0"/>
              <w:left w:val="single" w:color="000000" w:sz="4" w:space="0"/>
              <w:bottom w:val="single" w:color="000000" w:sz="4" w:space="0"/>
              <w:right w:val="single" w:color="000000" w:sz="4" w:space="0"/>
            </w:tcBorders>
          </w:tcPr>
          <w:p w14:paraId="16E7B15A">
            <w:pPr>
              <w:pStyle w:val="42"/>
            </w:pPr>
          </w:p>
        </w:tc>
      </w:tr>
    </w:tbl>
    <w:p w14:paraId="05E9867E">
      <w:pPr>
        <w:widowControl/>
        <w:ind w:firstLine="0" w:firstLineChars="0"/>
        <w:jc w:val="left"/>
        <w:rPr>
          <w:sz w:val="21"/>
          <w:szCs w:val="21"/>
        </w:rPr>
      </w:pPr>
    </w:p>
    <w:p w14:paraId="2990B326">
      <w:pPr>
        <w:widowControl/>
        <w:spacing w:line="240" w:lineRule="auto"/>
        <w:ind w:firstLine="0" w:firstLineChars="0"/>
        <w:jc w:val="left"/>
        <w:rPr>
          <w:szCs w:val="21"/>
        </w:rPr>
      </w:pPr>
    </w:p>
    <w:p w14:paraId="4BA10E55">
      <w:pPr>
        <w:ind w:firstLine="480"/>
      </w:pPr>
    </w:p>
    <w:p w14:paraId="40E1A95B">
      <w:pPr>
        <w:ind w:firstLine="480"/>
      </w:pPr>
      <w:r>
        <w:t>供应商</w:t>
      </w:r>
      <w:r>
        <w:rPr>
          <w:rFonts w:hint="eastAsia"/>
        </w:rPr>
        <w:t>名称（</w:t>
      </w:r>
      <w:r>
        <w:t>盖单位公章</w:t>
      </w:r>
      <w:r>
        <w:rPr>
          <w:rFonts w:hint="eastAsia"/>
        </w:rPr>
        <w:t>）</w:t>
      </w:r>
      <w:r>
        <w:t xml:space="preserve">：                             </w:t>
      </w:r>
    </w:p>
    <w:p w14:paraId="68C204D8">
      <w:pPr>
        <w:ind w:firstLine="480"/>
      </w:pPr>
      <w:r>
        <w:rPr>
          <w:rFonts w:hint="eastAsia"/>
          <w:lang w:val="zh-CN"/>
        </w:rPr>
        <w:t>法定代表人或授权委托人（签字或盖章）：</w:t>
      </w:r>
    </w:p>
    <w:p w14:paraId="082E9F9B">
      <w:pPr>
        <w:ind w:firstLine="480"/>
      </w:pPr>
      <w:r>
        <w:t>日期：</w:t>
      </w:r>
      <w:r>
        <w:rPr>
          <w:rFonts w:hint="eastAsia"/>
        </w:rPr>
        <w:t xml:space="preserve">   年   月  日</w:t>
      </w:r>
    </w:p>
    <w:p w14:paraId="648DF093">
      <w:pPr>
        <w:widowControl/>
        <w:spacing w:line="240" w:lineRule="auto"/>
        <w:ind w:firstLine="0" w:firstLineChars="0"/>
        <w:jc w:val="left"/>
        <w:rPr>
          <w:rFonts w:ascii="宋体" w:hAnsi="宋体" w:cs="Arial"/>
          <w:spacing w:val="20"/>
          <w:szCs w:val="21"/>
        </w:rPr>
      </w:pPr>
      <w:r>
        <w:rPr>
          <w:rFonts w:ascii="宋体" w:hAnsi="宋体" w:cs="Arial"/>
          <w:spacing w:val="20"/>
          <w:szCs w:val="21"/>
        </w:rPr>
        <w:br w:type="page"/>
      </w:r>
    </w:p>
    <w:p w14:paraId="2D0C3E4E">
      <w:pPr>
        <w:rPr>
          <w:rFonts w:hint="eastAsia"/>
        </w:rPr>
      </w:pPr>
      <w:bookmarkStart w:id="595" w:name="_Toc350453720"/>
      <w:bookmarkStart w:id="596" w:name="_Toc336683581"/>
      <w:bookmarkStart w:id="597" w:name="_Toc345575543"/>
      <w:bookmarkStart w:id="598" w:name="_Toc462229891"/>
      <w:bookmarkStart w:id="599" w:name="_Toc427610950"/>
    </w:p>
    <w:p w14:paraId="69D96D25">
      <w:pPr>
        <w:rPr>
          <w:rFonts w:hint="eastAsia"/>
        </w:rPr>
      </w:pPr>
    </w:p>
    <w:p w14:paraId="2642EAD1">
      <w:pPr>
        <w:rPr>
          <w:rFonts w:hint="eastAsia"/>
        </w:rPr>
      </w:pPr>
    </w:p>
    <w:p w14:paraId="1EAE9AD9">
      <w:pPr>
        <w:pStyle w:val="9"/>
        <w:bidi w:val="0"/>
        <w:rPr>
          <w:rFonts w:hint="default"/>
          <w:lang w:val="en-US" w:eastAsia="zh-CN"/>
        </w:rPr>
      </w:pPr>
      <w:bookmarkStart w:id="600" w:name="_Toc6415"/>
      <w:r>
        <w:rPr>
          <w:rFonts w:hint="eastAsia"/>
          <w:lang w:val="en-US" w:eastAsia="zh-CN"/>
        </w:rPr>
        <w:t>报价文件</w:t>
      </w:r>
      <w:bookmarkEnd w:id="600"/>
    </w:p>
    <w:p w14:paraId="664D8FDE">
      <w:pPr>
        <w:ind w:left="1296" w:leftChars="540" w:firstLine="480"/>
        <w:rPr>
          <w:rFonts w:ascii="Arial" w:hAnsi="Arial" w:cs="Arial"/>
          <w:kern w:val="0"/>
          <w:szCs w:val="21"/>
        </w:rPr>
      </w:pPr>
    </w:p>
    <w:p w14:paraId="524938AA">
      <w:pPr>
        <w:ind w:left="1296" w:leftChars="540" w:firstLine="400"/>
        <w:rPr>
          <w:rFonts w:ascii="Arial" w:hAnsi="Arial" w:cs="Arial"/>
          <w:kern w:val="0"/>
          <w:sz w:val="20"/>
        </w:rPr>
      </w:pPr>
    </w:p>
    <w:p w14:paraId="0BF00C35">
      <w:pPr>
        <w:pStyle w:val="32"/>
        <w:ind w:left="480" w:firstLine="400"/>
        <w:rPr>
          <w:rFonts w:ascii="Arial" w:hAnsi="Arial" w:cs="Arial"/>
          <w:kern w:val="0"/>
          <w:sz w:val="20"/>
        </w:rPr>
      </w:pPr>
    </w:p>
    <w:p w14:paraId="117F6EDE">
      <w:pPr>
        <w:ind w:firstLine="480"/>
      </w:pPr>
    </w:p>
    <w:p w14:paraId="5C4094EE">
      <w:pPr>
        <w:ind w:firstLine="1200" w:firstLineChars="50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项目名称：龙游县公证处公证派驻法院执行辅助人员</w:t>
      </w:r>
    </w:p>
    <w:p w14:paraId="38D1EBCE">
      <w:pPr>
        <w:ind w:firstLine="1200" w:firstLineChars="50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项目编号：LYJY2024072</w:t>
      </w:r>
    </w:p>
    <w:p w14:paraId="73635A13">
      <w:pPr>
        <w:ind w:firstLine="1050" w:firstLineChars="500"/>
        <w:rPr>
          <w:rFonts w:ascii="宋体" w:hAnsi="宋体"/>
          <w:sz w:val="21"/>
          <w:szCs w:val="21"/>
        </w:rPr>
      </w:pPr>
    </w:p>
    <w:p w14:paraId="74B5FE2E">
      <w:pPr>
        <w:ind w:firstLine="1050" w:firstLineChars="500"/>
        <w:rPr>
          <w:rFonts w:ascii="宋体" w:hAnsi="宋体"/>
          <w:sz w:val="21"/>
          <w:szCs w:val="21"/>
        </w:rPr>
      </w:pPr>
    </w:p>
    <w:p w14:paraId="0773ED11">
      <w:pPr>
        <w:ind w:left="1296" w:leftChars="540" w:firstLine="400"/>
        <w:rPr>
          <w:rFonts w:ascii="Arial" w:hAnsi="Arial" w:cs="Arial"/>
          <w:kern w:val="0"/>
          <w:sz w:val="20"/>
        </w:rPr>
      </w:pPr>
    </w:p>
    <w:p w14:paraId="1493C96E">
      <w:pPr>
        <w:ind w:left="1296" w:leftChars="540" w:firstLine="400"/>
        <w:rPr>
          <w:rFonts w:ascii="Arial" w:hAnsi="Arial" w:cs="Arial"/>
          <w:kern w:val="0"/>
          <w:sz w:val="20"/>
        </w:rPr>
      </w:pPr>
    </w:p>
    <w:p w14:paraId="3856B5E7">
      <w:pPr>
        <w:ind w:left="1296" w:leftChars="540" w:firstLine="400"/>
        <w:rPr>
          <w:rFonts w:ascii="Arial" w:hAnsi="Arial" w:cs="Arial"/>
          <w:kern w:val="0"/>
          <w:sz w:val="20"/>
        </w:rPr>
      </w:pPr>
    </w:p>
    <w:p w14:paraId="5AD802AC">
      <w:pPr>
        <w:ind w:left="1296" w:leftChars="540" w:firstLine="400"/>
        <w:rPr>
          <w:rFonts w:ascii="Arial" w:hAnsi="Arial" w:cs="Arial"/>
          <w:kern w:val="0"/>
          <w:sz w:val="20"/>
        </w:rPr>
      </w:pPr>
    </w:p>
    <w:p w14:paraId="2DE2F836">
      <w:pPr>
        <w:ind w:firstLine="480"/>
        <w:rPr>
          <w:rFonts w:hint="default" w:eastAsia="宋体"/>
          <w:lang w:val="en-US" w:eastAsia="zh-CN"/>
        </w:rPr>
      </w:pPr>
      <w:r>
        <w:rPr>
          <w:rFonts w:hint="eastAsia"/>
        </w:rPr>
        <w:t>供应商名称（盖章）：</w:t>
      </w:r>
      <w:r>
        <w:rPr>
          <w:rFonts w:hint="eastAsia"/>
          <w:lang w:val="en-US" w:eastAsia="zh-CN"/>
        </w:rPr>
        <w:t xml:space="preserve">      </w:t>
      </w:r>
    </w:p>
    <w:p w14:paraId="3C6418F0">
      <w:pPr>
        <w:ind w:firstLine="480"/>
        <w:rPr>
          <w:rFonts w:hint="default" w:eastAsia="宋体"/>
          <w:lang w:val="en-US" w:eastAsia="zh-CN"/>
        </w:rPr>
      </w:pPr>
      <w:r>
        <w:rPr>
          <w:rFonts w:hint="eastAsia"/>
        </w:rPr>
        <w:t>法定代表人或其授权代表（签字或盖章）：</w:t>
      </w:r>
      <w:r>
        <w:rPr>
          <w:rFonts w:hint="eastAsia"/>
          <w:lang w:val="en-US" w:eastAsia="zh-CN"/>
        </w:rPr>
        <w:t xml:space="preserve">     </w:t>
      </w:r>
    </w:p>
    <w:p w14:paraId="163936FF">
      <w:pPr>
        <w:ind w:firstLine="480"/>
        <w:rPr>
          <w:rFonts w:ascii="宋体" w:hAnsi="宋体"/>
          <w:sz w:val="21"/>
          <w:szCs w:val="21"/>
        </w:rPr>
      </w:pPr>
      <w:r>
        <w:rPr>
          <w:rFonts w:hint="eastAsia"/>
        </w:rPr>
        <w:t>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p w14:paraId="6582DF08">
      <w:pPr>
        <w:ind w:firstLine="2744" w:firstLineChars="911"/>
        <w:rPr>
          <w:rFonts w:ascii="宋体" w:hAnsi="宋体" w:cs="宋体"/>
          <w:b/>
          <w:kern w:val="0"/>
          <w:sz w:val="30"/>
          <w:szCs w:val="30"/>
        </w:rPr>
      </w:pPr>
    </w:p>
    <w:p w14:paraId="25C1B67D">
      <w:pPr>
        <w:rPr>
          <w:rFonts w:hint="eastAsia"/>
        </w:rPr>
      </w:pPr>
    </w:p>
    <w:p w14:paraId="485B6A19">
      <w:pPr>
        <w:rPr>
          <w:rFonts w:hint="eastAsia"/>
        </w:rPr>
      </w:pPr>
    </w:p>
    <w:p w14:paraId="57FC444D">
      <w:pPr>
        <w:rPr>
          <w:rFonts w:hint="eastAsia"/>
        </w:rPr>
      </w:pPr>
      <w:r>
        <w:rPr>
          <w:rFonts w:hint="eastAsia"/>
        </w:rPr>
        <w:br w:type="page"/>
      </w:r>
    </w:p>
    <w:p w14:paraId="4021AA5D">
      <w:pPr>
        <w:pStyle w:val="10"/>
        <w:spacing w:after="168"/>
        <w:ind w:left="10" w:right="142"/>
        <w:jc w:val="center"/>
      </w:pPr>
      <w:bookmarkStart w:id="601" w:name="_Toc26277"/>
      <w:r>
        <w:rPr>
          <w:sz w:val="36"/>
        </w:rPr>
        <w:t>目录</w:t>
      </w:r>
      <w:bookmarkEnd w:id="601"/>
    </w:p>
    <w:p w14:paraId="21F60DFF">
      <w:pPr>
        <w:ind w:firstLine="480"/>
        <w:rPr>
          <w:rFonts w:hint="eastAsia"/>
        </w:rPr>
      </w:pPr>
      <w:r>
        <w:rPr>
          <w:rFonts w:hint="eastAsia"/>
        </w:rPr>
        <w:t>【根据响应文件组成内容、顺序、附件格式编制响应文件，编制目录】</w:t>
      </w:r>
    </w:p>
    <w:p w14:paraId="2705D083">
      <w:pPr>
        <w:rPr>
          <w:rFonts w:hint="eastAsia"/>
        </w:rPr>
      </w:pPr>
      <w:r>
        <w:rPr>
          <w:rFonts w:hint="eastAsia"/>
        </w:rPr>
        <w:br w:type="page"/>
      </w:r>
    </w:p>
    <w:p w14:paraId="45D1FCF8">
      <w:pPr>
        <w:ind w:firstLine="480"/>
        <w:rPr>
          <w:rFonts w:hint="eastAsia" w:eastAsia="宋体"/>
          <w:lang w:eastAsia="zh-CN"/>
        </w:rPr>
      </w:pPr>
      <w:r>
        <w:rPr>
          <w:rFonts w:hint="eastAsia"/>
        </w:rPr>
        <w:t>附件1</w:t>
      </w:r>
      <w:bookmarkEnd w:id="595"/>
      <w:bookmarkEnd w:id="596"/>
      <w:bookmarkEnd w:id="597"/>
      <w:bookmarkEnd w:id="598"/>
      <w:bookmarkEnd w:id="599"/>
      <w:r>
        <w:rPr>
          <w:rFonts w:hint="eastAsia"/>
          <w:lang w:val="en-US" w:eastAsia="zh-CN"/>
        </w:rPr>
        <w:t>0</w:t>
      </w:r>
    </w:p>
    <w:p w14:paraId="346CFCEA">
      <w:pPr>
        <w:pStyle w:val="10"/>
        <w:ind w:firstLine="643"/>
        <w:jc w:val="center"/>
      </w:pPr>
      <w:bookmarkStart w:id="602" w:name="_Toc24686"/>
      <w:bookmarkStart w:id="603" w:name="_Toc29121"/>
      <w:bookmarkStart w:id="604" w:name="_Toc18933"/>
      <w:bookmarkStart w:id="605" w:name="_Toc14959"/>
      <w:bookmarkStart w:id="606" w:name="_Toc25538"/>
      <w:bookmarkStart w:id="607" w:name="_Toc26596"/>
      <w:bookmarkStart w:id="608" w:name="_Toc15976"/>
      <w:bookmarkStart w:id="609" w:name="_Toc2822"/>
      <w:r>
        <w:rPr>
          <w:rFonts w:hint="eastAsia"/>
        </w:rPr>
        <w:t>报价一览表</w:t>
      </w:r>
      <w:bookmarkEnd w:id="602"/>
      <w:bookmarkEnd w:id="603"/>
      <w:bookmarkEnd w:id="604"/>
      <w:bookmarkEnd w:id="605"/>
      <w:bookmarkEnd w:id="606"/>
      <w:bookmarkEnd w:id="607"/>
      <w:bookmarkEnd w:id="608"/>
      <w:bookmarkEnd w:id="609"/>
    </w:p>
    <w:p w14:paraId="1986C7CC">
      <w:pPr>
        <w:ind w:left="1680" w:leftChars="200" w:hanging="1200" w:hangingChars="500"/>
        <w:rPr>
          <w:rFonts w:hint="eastAsia" w:eastAsia="宋体"/>
          <w:lang w:eastAsia="zh-CN"/>
        </w:rPr>
      </w:pPr>
      <w:r>
        <w:t>项目名称</w:t>
      </w:r>
      <w:r>
        <w:rPr>
          <w:rFonts w:hint="eastAsia"/>
        </w:rPr>
        <w:t>：</w:t>
      </w:r>
      <w:r>
        <w:rPr>
          <w:rFonts w:hint="eastAsia"/>
          <w:u w:val="single"/>
          <w:lang w:eastAsia="zh-CN"/>
        </w:rPr>
        <w:t>龙游县公证处公证派驻法院执行辅助人员</w:t>
      </w:r>
    </w:p>
    <w:p w14:paraId="5031F07E">
      <w:pPr>
        <w:ind w:firstLine="480"/>
        <w:rPr>
          <w:rFonts w:hint="eastAsia" w:eastAsia="宋体"/>
          <w:lang w:eastAsia="zh-CN"/>
        </w:rPr>
      </w:pPr>
      <w:r>
        <w:t>项目编号</w:t>
      </w:r>
      <w:r>
        <w:rPr>
          <w:rFonts w:hint="eastAsia"/>
        </w:rPr>
        <w:t>：</w:t>
      </w:r>
      <w:r>
        <w:rPr>
          <w:rFonts w:hint="eastAsia"/>
          <w:u w:val="single"/>
          <w:lang w:eastAsia="zh-CN"/>
        </w:rPr>
        <w:t>LYJY2024072</w:t>
      </w:r>
    </w:p>
    <w:p w14:paraId="20FC87C2">
      <w:pPr>
        <w:ind w:firstLine="480"/>
      </w:pPr>
    </w:p>
    <w:p w14:paraId="01B51507">
      <w:pPr>
        <w:pStyle w:val="17"/>
        <w:ind w:firstLine="480"/>
        <w:rPr>
          <w:rFonts w:hint="eastAsia"/>
        </w:rPr>
      </w:pPr>
    </w:p>
    <w:tbl>
      <w:tblPr>
        <w:tblStyle w:val="33"/>
        <w:tblW w:w="6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8"/>
        <w:gridCol w:w="850"/>
        <w:gridCol w:w="2238"/>
      </w:tblGrid>
      <w:tr w14:paraId="69351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288" w:type="dxa"/>
            <w:vAlign w:val="center"/>
          </w:tcPr>
          <w:p w14:paraId="05EFD5CD">
            <w:pPr>
              <w:spacing w:line="240" w:lineRule="auto"/>
              <w:ind w:firstLine="0" w:firstLineChars="0"/>
            </w:pPr>
            <w:r>
              <w:rPr>
                <w:rFonts w:hint="eastAsia"/>
              </w:rPr>
              <w:t>项目名称</w:t>
            </w:r>
          </w:p>
        </w:tc>
        <w:tc>
          <w:tcPr>
            <w:tcW w:w="850" w:type="dxa"/>
            <w:vAlign w:val="center"/>
          </w:tcPr>
          <w:p w14:paraId="48397C27">
            <w:pPr>
              <w:spacing w:line="240" w:lineRule="auto"/>
              <w:ind w:firstLine="0" w:firstLineChars="0"/>
            </w:pPr>
            <w:r>
              <w:rPr>
                <w:rFonts w:hint="eastAsia"/>
              </w:rPr>
              <w:t>数量</w:t>
            </w:r>
          </w:p>
        </w:tc>
        <w:tc>
          <w:tcPr>
            <w:tcW w:w="2238" w:type="dxa"/>
            <w:vAlign w:val="center"/>
          </w:tcPr>
          <w:p w14:paraId="40593AF9">
            <w:pPr>
              <w:spacing w:line="240" w:lineRule="auto"/>
              <w:ind w:firstLine="0" w:firstLineChars="0"/>
              <w:rPr>
                <w:rFonts w:hint="eastAsia"/>
              </w:rPr>
            </w:pPr>
            <w:r>
              <w:rPr>
                <w:rFonts w:hint="eastAsia"/>
              </w:rPr>
              <w:t>投标报价/元</w:t>
            </w:r>
          </w:p>
        </w:tc>
      </w:tr>
      <w:tr w14:paraId="49D82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288" w:type="dxa"/>
            <w:vAlign w:val="center"/>
          </w:tcPr>
          <w:p w14:paraId="624ACD90">
            <w:pPr>
              <w:spacing w:line="240" w:lineRule="auto"/>
              <w:ind w:firstLine="0" w:firstLineChars="0"/>
              <w:rPr>
                <w:rFonts w:hint="eastAsia" w:eastAsia="宋体"/>
                <w:lang w:eastAsia="zh-CN"/>
              </w:rPr>
            </w:pPr>
            <w:r>
              <w:rPr>
                <w:rFonts w:hint="eastAsia"/>
                <w:lang w:eastAsia="zh-CN"/>
              </w:rPr>
              <w:t>龙游县公证处公证派驻法院执行辅助人员</w:t>
            </w:r>
          </w:p>
        </w:tc>
        <w:tc>
          <w:tcPr>
            <w:tcW w:w="850" w:type="dxa"/>
            <w:vAlign w:val="center"/>
          </w:tcPr>
          <w:p w14:paraId="3A4E899E">
            <w:pPr>
              <w:spacing w:line="240" w:lineRule="auto"/>
              <w:ind w:firstLine="0" w:firstLineChars="0"/>
            </w:pPr>
            <w:r>
              <w:rPr>
                <w:rFonts w:hint="eastAsia"/>
              </w:rPr>
              <w:t>1</w:t>
            </w:r>
          </w:p>
        </w:tc>
        <w:tc>
          <w:tcPr>
            <w:tcW w:w="2238" w:type="dxa"/>
            <w:vAlign w:val="center"/>
          </w:tcPr>
          <w:p w14:paraId="7A20DEF2">
            <w:pPr>
              <w:spacing w:line="240" w:lineRule="auto"/>
              <w:ind w:firstLine="0" w:firstLineChars="0"/>
            </w:pPr>
            <w:r>
              <w:rPr>
                <w:rFonts w:hint="eastAsia"/>
              </w:rPr>
              <w:t>小写：</w:t>
            </w:r>
          </w:p>
          <w:p w14:paraId="1F85A87E">
            <w:pPr>
              <w:pStyle w:val="17"/>
              <w:ind w:firstLine="0" w:firstLineChars="0"/>
              <w:rPr>
                <w:rFonts w:hint="eastAsia"/>
              </w:rPr>
            </w:pPr>
            <w:r>
              <w:rPr>
                <w:rFonts w:hint="eastAsia"/>
              </w:rPr>
              <w:t>大写：</w:t>
            </w:r>
          </w:p>
        </w:tc>
      </w:tr>
    </w:tbl>
    <w:p w14:paraId="5E8B353B">
      <w:pPr>
        <w:pStyle w:val="32"/>
        <w:ind w:left="480"/>
        <w:rPr>
          <w:rFonts w:ascii="宋体" w:hAnsi="宋体" w:cs="宋体"/>
          <w:sz w:val="21"/>
          <w:szCs w:val="21"/>
          <w:u w:val="single"/>
        </w:rPr>
      </w:pPr>
    </w:p>
    <w:p w14:paraId="416169A6">
      <w:pPr>
        <w:ind w:firstLine="480"/>
        <w:rPr>
          <w:lang w:val="zh-CN"/>
        </w:rPr>
      </w:pPr>
      <w:r>
        <w:rPr>
          <w:rFonts w:hint="eastAsia"/>
          <w:lang w:val="zh-CN"/>
        </w:rPr>
        <w:t>注：</w:t>
      </w:r>
    </w:p>
    <w:p w14:paraId="2FBC03FB">
      <w:pPr>
        <w:ind w:firstLine="480"/>
      </w:pPr>
      <w:r>
        <w:rPr>
          <w:rFonts w:hint="eastAsia"/>
          <w:lang w:val="zh-CN"/>
        </w:rPr>
        <w:t>1</w:t>
      </w:r>
      <w:r>
        <w:rPr>
          <w:rFonts w:hint="eastAsia"/>
        </w:rPr>
        <w:t>.</w:t>
      </w:r>
      <w:r>
        <w:rPr>
          <w:rFonts w:hint="eastAsia"/>
          <w:lang w:val="zh-CN"/>
        </w:rPr>
        <w:t>本表由磋商响应供应商填写。供磋商小组参考所用。</w:t>
      </w:r>
      <w:r>
        <w:rPr>
          <w:rFonts w:hint="eastAsia"/>
        </w:rPr>
        <w:t>▲报价填写必须为印刷体打印，手写无效报价</w:t>
      </w:r>
      <w:r>
        <w:rPr>
          <w:rFonts w:hint="eastAsia"/>
          <w:lang w:val="zh-CN"/>
        </w:rPr>
        <w:t>。</w:t>
      </w:r>
    </w:p>
    <w:p w14:paraId="34635D73">
      <w:pPr>
        <w:ind w:firstLine="480"/>
      </w:pPr>
      <w:r>
        <w:rPr>
          <w:rFonts w:hint="eastAsia"/>
        </w:rPr>
        <w:t>2.包括员工工资：含基本工资、岗位补贴、加班补贴、福利费、含社会保险、人身意外保险、医疗互助费用、餐费补贴、项目管理费、税费、服装、利润、雇主责任险、交通险及完成合同所需的一切本身和不可或缺的其它开支、政策性文件规定及所有风险、责任等各项费用、代理费及合同实施过程中的应预见和不可预见费用等，报价单中不得漏填项目如有漏项，视同已包含在其总项目中，合同总价不作调整。</w:t>
      </w:r>
    </w:p>
    <w:p w14:paraId="23C103C6">
      <w:pPr>
        <w:ind w:firstLine="480"/>
      </w:pPr>
      <w:r>
        <w:t>3</w:t>
      </w:r>
      <w:r>
        <w:rPr>
          <w:rFonts w:hint="eastAsia"/>
        </w:rPr>
        <w:t>.合同执行期间，如人数有调整，付款按照实际人数根据中标单价（工资、管理费用）结算。</w:t>
      </w:r>
    </w:p>
    <w:p w14:paraId="09EE05CB">
      <w:pPr>
        <w:ind w:firstLine="480"/>
        <w:rPr>
          <w:lang w:val="zh-CN"/>
        </w:rPr>
      </w:pPr>
      <w:r>
        <w:t>4</w:t>
      </w:r>
      <w:r>
        <w:rPr>
          <w:rFonts w:hint="eastAsia"/>
        </w:rPr>
        <w:t>.</w:t>
      </w:r>
      <w:r>
        <w:rPr>
          <w:rFonts w:hint="eastAsia"/>
          <w:lang w:val="zh-CN"/>
        </w:rPr>
        <w:t>本次报价仅做磋商参考，不做成交依据。</w:t>
      </w:r>
    </w:p>
    <w:p w14:paraId="6E45AD72">
      <w:pPr>
        <w:ind w:firstLine="480"/>
      </w:pPr>
      <w:r>
        <w:t>5</w:t>
      </w:r>
      <w:r>
        <w:rPr>
          <w:rFonts w:hint="eastAsia"/>
        </w:rPr>
        <w:t>.</w:t>
      </w:r>
      <w:r>
        <w:rPr>
          <w:rFonts w:hint="eastAsia"/>
          <w:lang w:val="zh-CN"/>
        </w:rPr>
        <w:t>报价不得超过总限价。</w:t>
      </w:r>
    </w:p>
    <w:p w14:paraId="5666E870">
      <w:pPr>
        <w:ind w:firstLine="480"/>
        <w:rPr>
          <w:color w:val="000000" w:themeColor="text1"/>
          <w:lang w:val="zh-CN"/>
          <w14:textFill>
            <w14:solidFill>
              <w14:schemeClr w14:val="tx1"/>
            </w14:solidFill>
          </w14:textFill>
        </w:rPr>
      </w:pPr>
      <w:r>
        <w:rPr>
          <w:rFonts w:hint="eastAsia"/>
        </w:rPr>
        <w:t>▲此表不得自行增减内容，不提供此表格将被视为没有实质性响应招标文件。</w:t>
      </w:r>
    </w:p>
    <w:p w14:paraId="209E11C7">
      <w:pPr>
        <w:ind w:firstLine="480"/>
        <w:rPr>
          <w:color w:val="000000" w:themeColor="text1"/>
          <w:lang w:val="zh-CN"/>
          <w14:textFill>
            <w14:solidFill>
              <w14:schemeClr w14:val="tx1"/>
            </w14:solidFill>
          </w14:textFill>
        </w:rPr>
      </w:pPr>
    </w:p>
    <w:p w14:paraId="2EF123FD">
      <w:pPr>
        <w:ind w:firstLine="480"/>
        <w:rPr>
          <w:lang w:val="zh-CN"/>
        </w:rPr>
      </w:pPr>
    </w:p>
    <w:p w14:paraId="399BCC3D">
      <w:pPr>
        <w:ind w:firstLine="480"/>
      </w:pPr>
      <w:r>
        <w:t>供应商</w:t>
      </w:r>
      <w:r>
        <w:rPr>
          <w:rFonts w:hint="eastAsia"/>
        </w:rPr>
        <w:t>名称（</w:t>
      </w:r>
      <w:r>
        <w:t>盖单位公章</w:t>
      </w:r>
      <w:r>
        <w:rPr>
          <w:rFonts w:hint="eastAsia"/>
        </w:rPr>
        <w:t>）</w:t>
      </w:r>
      <w:r>
        <w:t xml:space="preserve">：                             </w:t>
      </w:r>
    </w:p>
    <w:p w14:paraId="2A0C0027">
      <w:pPr>
        <w:ind w:firstLine="480"/>
      </w:pPr>
      <w:r>
        <w:rPr>
          <w:rFonts w:hint="eastAsia"/>
          <w:lang w:val="zh-CN"/>
        </w:rPr>
        <w:t>法定代表人或授权委托人（签字或盖章）：</w:t>
      </w:r>
    </w:p>
    <w:p w14:paraId="3755BCD2">
      <w:pPr>
        <w:ind w:firstLine="480"/>
      </w:pPr>
      <w:r>
        <w:t>日期：</w:t>
      </w:r>
      <w:r>
        <w:rPr>
          <w:rFonts w:hint="eastAsia"/>
        </w:rPr>
        <w:t xml:space="preserve">   年   月  日</w:t>
      </w:r>
    </w:p>
    <w:p w14:paraId="732D416D">
      <w:pPr>
        <w:widowControl/>
        <w:spacing w:line="240" w:lineRule="auto"/>
        <w:ind w:firstLine="0" w:firstLineChars="0"/>
        <w:jc w:val="left"/>
        <w:rPr>
          <w:rFonts w:ascii="宋体" w:hAnsi="宋体"/>
          <w:b/>
        </w:rPr>
      </w:pPr>
      <w:r>
        <w:rPr>
          <w:rFonts w:ascii="宋体" w:hAnsi="宋体"/>
          <w:b/>
        </w:rPr>
        <w:br w:type="page"/>
      </w:r>
    </w:p>
    <w:p w14:paraId="1458A2EA">
      <w:pPr>
        <w:ind w:firstLine="600" w:firstLineChars="250"/>
      </w:pPr>
    </w:p>
    <w:p w14:paraId="34C7E26D">
      <w:pPr>
        <w:ind w:firstLine="480"/>
      </w:pPr>
      <w:r>
        <w:rPr>
          <w:rFonts w:hint="eastAsia"/>
        </w:rPr>
        <w:t>投标人认为需要提供的其他资料</w:t>
      </w:r>
    </w:p>
    <w:p w14:paraId="1270CF73">
      <w:pPr>
        <w:pStyle w:val="32"/>
        <w:ind w:left="480" w:firstLine="480"/>
      </w:pPr>
    </w:p>
    <w:p w14:paraId="42B27527">
      <w:pPr>
        <w:pStyle w:val="32"/>
        <w:ind w:left="480" w:firstLine="480"/>
      </w:pPr>
    </w:p>
    <w:p w14:paraId="66A91964">
      <w:pPr>
        <w:ind w:firstLine="480"/>
      </w:pPr>
      <w:r>
        <w:rPr>
          <w:rFonts w:hint="eastAsia"/>
        </w:rPr>
        <w:t>（格式自拟，按采购文件要求及打分条款内容自行编制）</w:t>
      </w:r>
    </w:p>
    <w:p w14:paraId="0359BAA0">
      <w:pPr>
        <w:widowControl/>
        <w:spacing w:line="240" w:lineRule="auto"/>
        <w:ind w:firstLine="0" w:firstLineChars="0"/>
        <w:jc w:val="left"/>
      </w:pPr>
    </w:p>
    <w:sectPr>
      <w:footerReference r:id="rId20" w:type="first"/>
      <w:footerReference r:id="rId19" w:type="default"/>
      <w:pgSz w:w="11906" w:h="16838"/>
      <w:pgMar w:top="1440" w:right="1800" w:bottom="1440" w:left="1800" w:header="1020" w:footer="992" w:gutter="0"/>
      <w:cols w:space="425"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FuturaA Bk BT">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兰亭纤黑简体">
    <w:altName w:val="黑体"/>
    <w:panose1 w:val="00000000000000000000"/>
    <w:charset w:val="00"/>
    <w:family w:val="auto"/>
    <w:pitch w:val="default"/>
    <w:sig w:usb0="00000000" w:usb1="00000000" w:usb2="00000000" w:usb3="00000000" w:csb0="00040001" w:csb1="00000000"/>
  </w:font>
  <w:font w:name="文鼎小标宋简">
    <w:altName w:val="微软雅黑"/>
    <w:panose1 w:val="00000000000000000000"/>
    <w:charset w:val="01"/>
    <w:family w:val="roman"/>
    <w:pitch w:val="default"/>
    <w:sig w:usb0="00000000" w:usb1="00000000" w:usb2="00000000" w:usb3="00000000" w:csb0="000001FF" w:csb1="00000000"/>
  </w:font>
  <w:font w:name="Plantagenet Cherokee">
    <w:altName w:val="Segoe Print"/>
    <w:panose1 w:val="02020602070100000000"/>
    <w:charset w:val="00"/>
    <w:family w:val="auto"/>
    <w:pitch w:val="default"/>
    <w:sig w:usb0="00000000" w:usb1="00000000" w:usb2="00001000" w:usb3="00000000" w:csb0="00000001" w:csb1="00000000"/>
  </w:font>
  <w:font w:name="-webkit-standard">
    <w:altName w:val="Times New Roma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024E8">
    <w:pPr>
      <w:pStyle w:val="23"/>
      <w:pBdr>
        <w:top w:val="single" w:color="auto" w:sz="4" w:space="1"/>
      </w:pBdr>
      <w:ind w:firstLine="0" w:firstLineChars="0"/>
      <w:rPr>
        <w:sz w:val="21"/>
        <w:szCs w:val="21"/>
      </w:rPr>
    </w:pPr>
    <w:r>
      <w:rPr>
        <w:rFonts w:hint="eastAsia"/>
        <w:sz w:val="21"/>
        <w:szCs w:val="21"/>
      </w:rPr>
      <w:t>龙游久圆工程管理有限公司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B43CB">
    <w:pPr>
      <w:pStyle w:val="23"/>
      <w:pBdr>
        <w:top w:val="single" w:color="auto" w:sz="4" w:space="1"/>
      </w:pBdr>
      <w:ind w:firstLine="0" w:firstLineChars="0"/>
      <w:rPr>
        <w:sz w:val="21"/>
        <w:szCs w:val="21"/>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F467C9">
                          <w:pPr>
                            <w:pStyle w:val="23"/>
                            <w:ind w:firstLine="36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14:paraId="39F467C9">
                    <w:pPr>
                      <w:pStyle w:val="23"/>
                      <w:ind w:firstLine="360"/>
                    </w:pPr>
                    <w:r>
                      <w:fldChar w:fldCharType="begin"/>
                    </w:r>
                    <w:r>
                      <w:instrText xml:space="preserve"> PAGE  \* MERGEFORMAT </w:instrText>
                    </w:r>
                    <w:r>
                      <w:fldChar w:fldCharType="separate"/>
                    </w:r>
                    <w:r>
                      <w:t>21</w:t>
                    </w:r>
                    <w:r>
                      <w:fldChar w:fldCharType="end"/>
                    </w:r>
                  </w:p>
                </w:txbxContent>
              </v:textbox>
            </v:shape>
          </w:pict>
        </mc:Fallback>
      </mc:AlternateContent>
    </w:r>
    <w:r>
      <w:rPr>
        <w:rFonts w:hint="eastAsia"/>
        <w:sz w:val="21"/>
        <w:szCs w:val="21"/>
      </w:rPr>
      <w:t>龙游久圆工程管理有限公司</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6F1AE">
    <w:pPr>
      <w:pStyle w:val="23"/>
      <w:pBdr>
        <w:top w:val="single" w:color="auto" w:sz="4" w:space="1"/>
        <w:left w:val="none" w:color="auto" w:sz="0" w:space="4"/>
        <w:bottom w:val="none" w:color="auto" w:sz="0" w:space="1"/>
        <w:right w:val="none" w:color="auto" w:sz="0" w:space="4"/>
      </w:pBdr>
      <w:ind w:firstLine="0" w:firstLineChars="0"/>
      <w:rPr>
        <w:sz w:val="21"/>
        <w:szCs w:val="21"/>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2A7E85">
                          <w:pPr>
                            <w:pStyle w:val="23"/>
                            <w:ind w:firstLine="36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462A7E85">
                    <w:pPr>
                      <w:pStyle w:val="23"/>
                      <w:ind w:firstLine="360"/>
                    </w:pPr>
                    <w:r>
                      <w:fldChar w:fldCharType="begin"/>
                    </w:r>
                    <w:r>
                      <w:instrText xml:space="preserve"> PAGE  \* MERGEFORMAT </w:instrText>
                    </w:r>
                    <w:r>
                      <w:fldChar w:fldCharType="separate"/>
                    </w:r>
                    <w:r>
                      <w:t>20</w:t>
                    </w:r>
                    <w:r>
                      <w:fldChar w:fldCharType="end"/>
                    </w:r>
                  </w:p>
                </w:txbxContent>
              </v:textbox>
            </v:shape>
          </w:pict>
        </mc:Fallback>
      </mc:AlternateContent>
    </w:r>
    <w:r>
      <w:rPr>
        <w:rFonts w:hint="eastAsia"/>
        <w:sz w:val="21"/>
        <w:szCs w:val="21"/>
      </w:rPr>
      <w:t>龙游久圆工程管理有限公司</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49EEC">
    <w:pPr>
      <w:pStyle w:val="23"/>
      <w:pBdr>
        <w:top w:val="single" w:color="auto" w:sz="4" w:space="1"/>
        <w:left w:val="none" w:color="auto" w:sz="0" w:space="4"/>
        <w:bottom w:val="none" w:color="auto" w:sz="0" w:space="1"/>
        <w:right w:val="none" w:color="auto" w:sz="0" w:space="4"/>
      </w:pBdr>
      <w:ind w:firstLine="0" w:firstLineChars="0"/>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538FB0">
                          <w:pPr>
                            <w:pStyle w:val="23"/>
                            <w:ind w:firstLine="36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7C538FB0">
                    <w:pPr>
                      <w:pStyle w:val="23"/>
                      <w:ind w:firstLine="360"/>
                    </w:pPr>
                    <w:r>
                      <w:fldChar w:fldCharType="begin"/>
                    </w:r>
                    <w:r>
                      <w:instrText xml:space="preserve"> PAGE  \* MERGEFORMAT </w:instrText>
                    </w:r>
                    <w:r>
                      <w:fldChar w:fldCharType="separate"/>
                    </w:r>
                    <w:r>
                      <w:t>31</w:t>
                    </w:r>
                    <w:r>
                      <w:fldChar w:fldCharType="end"/>
                    </w:r>
                  </w:p>
                </w:txbxContent>
              </v:textbox>
            </v:shape>
          </w:pict>
        </mc:Fallback>
      </mc:AlternateContent>
    </w:r>
    <w:r>
      <w:rPr>
        <w:rFonts w:hint="eastAsia"/>
        <w:sz w:val="21"/>
        <w:szCs w:val="21"/>
      </w:rPr>
      <w:t>龙游久圆工程管理有限公司</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90DB2">
    <w:pPr>
      <w:pStyle w:val="23"/>
      <w:pBdr>
        <w:top w:val="single" w:color="auto" w:sz="4" w:space="1"/>
        <w:left w:val="none" w:color="auto" w:sz="0" w:space="4"/>
        <w:bottom w:val="none" w:color="auto" w:sz="0" w:space="1"/>
        <w:right w:val="none" w:color="auto" w:sz="0" w:space="4"/>
      </w:pBdr>
      <w:ind w:firstLine="0" w:firstLineChars="0"/>
      <w:rPr>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790D2">
                          <w:pPr>
                            <w:pStyle w:val="23"/>
                            <w:ind w:firstLine="36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0C2790D2">
                    <w:pPr>
                      <w:pStyle w:val="23"/>
                      <w:ind w:firstLine="360"/>
                    </w:pPr>
                    <w:r>
                      <w:fldChar w:fldCharType="begin"/>
                    </w:r>
                    <w:r>
                      <w:instrText xml:space="preserve"> PAGE  \* MERGEFORMAT </w:instrText>
                    </w:r>
                    <w:r>
                      <w:fldChar w:fldCharType="separate"/>
                    </w:r>
                    <w:r>
                      <w:t>21</w:t>
                    </w:r>
                    <w:r>
                      <w:fldChar w:fldCharType="end"/>
                    </w:r>
                  </w:p>
                </w:txbxContent>
              </v:textbox>
            </v:shape>
          </w:pict>
        </mc:Fallback>
      </mc:AlternateContent>
    </w:r>
    <w:r>
      <w:rPr>
        <w:rFonts w:hint="eastAsia"/>
        <w:sz w:val="21"/>
        <w:szCs w:val="21"/>
      </w:rPr>
      <w:t>龙游久圆工程管理有限公司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9CB4B">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7F4EA">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27ABD">
    <w:pPr>
      <w:pStyle w:val="23"/>
      <w:pBdr>
        <w:top w:val="single" w:color="auto" w:sz="4" w:space="1"/>
      </w:pBdr>
      <w:ind w:firstLine="0" w:firstLineChars="0"/>
      <w:rPr>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317974">
                          <w:pPr>
                            <w:pStyle w:val="23"/>
                            <w:ind w:firstLine="360"/>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5D317974">
                    <w:pPr>
                      <w:pStyle w:val="23"/>
                      <w:ind w:firstLine="360"/>
                    </w:pPr>
                    <w:r>
                      <w:fldChar w:fldCharType="begin"/>
                    </w:r>
                    <w:r>
                      <w:instrText xml:space="preserve"> PAGE  \* MERGEFORMAT </w:instrText>
                    </w:r>
                    <w:r>
                      <w:fldChar w:fldCharType="separate"/>
                    </w:r>
                    <w:r>
                      <w:t>III</w:t>
                    </w:r>
                    <w:r>
                      <w:fldChar w:fldCharType="end"/>
                    </w:r>
                  </w:p>
                </w:txbxContent>
              </v:textbox>
            </v:shape>
          </w:pict>
        </mc:Fallback>
      </mc:AlternateContent>
    </w:r>
    <w:r>
      <w:rPr>
        <w:rFonts w:hint="eastAsia"/>
        <w:sz w:val="21"/>
        <w:szCs w:val="21"/>
      </w:rPr>
      <w:t>龙游久圆工程管理有限公司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808FD">
    <w:pPr>
      <w:pStyle w:val="2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7E23CD">
                          <w:pPr>
                            <w:pStyle w:val="23"/>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87E23CD">
                    <w:pPr>
                      <w:pStyle w:val="23"/>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511B6">
    <w:pPr>
      <w:pStyle w:val="23"/>
      <w:pBdr>
        <w:top w:val="single" w:color="auto" w:sz="4" w:space="1"/>
        <w:left w:val="none" w:color="auto" w:sz="0" w:space="4"/>
        <w:bottom w:val="none" w:color="auto" w:sz="0" w:space="1"/>
        <w:right w:val="none" w:color="auto" w:sz="0" w:space="4"/>
      </w:pBdr>
      <w:ind w:firstLine="0" w:firstLineChars="0"/>
      <w:rPr>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F4784C">
                          <w:pPr>
                            <w:pStyle w:val="23"/>
                            <w:ind w:firstLine="36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4CF4784C">
                    <w:pPr>
                      <w:pStyle w:val="23"/>
                      <w:ind w:firstLine="360"/>
                    </w:pPr>
                    <w:r>
                      <w:fldChar w:fldCharType="begin"/>
                    </w:r>
                    <w:r>
                      <w:instrText xml:space="preserve"> PAGE  \* MERGEFORMAT </w:instrText>
                    </w:r>
                    <w:r>
                      <w:fldChar w:fldCharType="separate"/>
                    </w:r>
                    <w:r>
                      <w:t>9</w:t>
                    </w:r>
                    <w:r>
                      <w:fldChar w:fldCharType="end"/>
                    </w:r>
                  </w:p>
                </w:txbxContent>
              </v:textbox>
            </v:shape>
          </w:pict>
        </mc:Fallback>
      </mc:AlternateContent>
    </w:r>
    <w:r>
      <w:rPr>
        <w:rFonts w:hint="eastAsia"/>
        <w:sz w:val="21"/>
        <w:szCs w:val="21"/>
      </w:rPr>
      <w:t>龙游久圆工程管理有限公司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2BE50">
    <w:pPr>
      <w:pStyle w:val="23"/>
      <w:pBdr>
        <w:top w:val="single" w:color="auto" w:sz="4" w:space="1"/>
        <w:left w:val="none" w:color="auto" w:sz="0" w:space="4"/>
        <w:bottom w:val="none" w:color="auto" w:sz="0" w:space="1"/>
        <w:right w:val="none" w:color="auto" w:sz="0" w:space="4"/>
      </w:pBdr>
      <w:ind w:firstLine="0" w:firstLineChars="0"/>
      <w:rPr>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855353">
                          <w:pPr>
                            <w:pStyle w:val="23"/>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2F855353">
                    <w:pPr>
                      <w:pStyle w:val="23"/>
                      <w:ind w:firstLine="36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21"/>
        <w:szCs w:val="21"/>
      </w:rPr>
      <w:t>龙游久圆工程管理有限公司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EE83C">
    <w:pPr>
      <w:pStyle w:val="23"/>
      <w:pBdr>
        <w:top w:val="single" w:color="auto" w:sz="4" w:space="1"/>
        <w:left w:val="none" w:color="auto" w:sz="0" w:space="4"/>
        <w:bottom w:val="none" w:color="auto" w:sz="0" w:space="1"/>
        <w:right w:val="none" w:color="auto" w:sz="0" w:space="4"/>
      </w:pBdr>
      <w:ind w:firstLine="0" w:firstLineChars="0"/>
      <w:rPr>
        <w:sz w:val="21"/>
        <w:szCs w:val="21"/>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651782">
                          <w:pPr>
                            <w:pStyle w:val="23"/>
                            <w:ind w:firstLine="360"/>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05651782">
                    <w:pPr>
                      <w:pStyle w:val="23"/>
                      <w:ind w:firstLine="360"/>
                    </w:pPr>
                    <w:r>
                      <w:fldChar w:fldCharType="begin"/>
                    </w:r>
                    <w:r>
                      <w:instrText xml:space="preserve"> PAGE  \* MERGEFORMAT </w:instrText>
                    </w:r>
                    <w:r>
                      <w:fldChar w:fldCharType="separate"/>
                    </w:r>
                    <w:r>
                      <w:t>19</w:t>
                    </w:r>
                    <w:r>
                      <w:fldChar w:fldCharType="end"/>
                    </w:r>
                  </w:p>
                </w:txbxContent>
              </v:textbox>
            </v:shape>
          </w:pict>
        </mc:Fallback>
      </mc:AlternateContent>
    </w:r>
    <w:r>
      <w:rPr>
        <w:rFonts w:hint="eastAsia"/>
        <w:sz w:val="21"/>
        <w:szCs w:val="21"/>
      </w:rPr>
      <w:t>龙游久圆工程管理有限公司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23C5C">
    <w:pPr>
      <w:pStyle w:val="23"/>
      <w:pBdr>
        <w:top w:val="single" w:color="auto" w:sz="4" w:space="1"/>
        <w:left w:val="none" w:color="auto" w:sz="0" w:space="4"/>
        <w:bottom w:val="none" w:color="auto" w:sz="0" w:space="1"/>
        <w:right w:val="none" w:color="auto" w:sz="0" w:space="4"/>
      </w:pBdr>
      <w:ind w:firstLine="0" w:firstLineChars="0"/>
      <w:rPr>
        <w:sz w:val="21"/>
        <w:szCs w:val="21"/>
      </w:rPr>
    </w:pPr>
    <w:r>
      <w:rPr>
        <w:sz w:val="21"/>
        <w:szCs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DB45E">
                          <w:pPr>
                            <w:pStyle w:val="23"/>
                            <w:ind w:firstLine="36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309DB45E">
                    <w:pPr>
                      <w:pStyle w:val="23"/>
                      <w:ind w:firstLine="360"/>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sz w:val="21"/>
        <w:szCs w:val="21"/>
      </w:rPr>
      <w:t>龙游久圆工程管理有限公司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ind w:firstLine="480"/>
      </w:pPr>
      <w:r>
        <w:separator/>
      </w:r>
    </w:p>
  </w:footnote>
  <w:footnote w:type="continuationSeparator" w:id="1">
    <w:p>
      <w:pPr>
        <w:spacing w:line="312"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70FB9">
    <w:pPr>
      <w:pStyle w:val="24"/>
      <w:ind w:firstLine="420"/>
      <w:rPr>
        <w:rFonts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龙游县公证处公证派驻法院执行辅助人员</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25F60">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8EB2C">
    <w:pPr>
      <w:pStyle w:val="24"/>
      <w:ind w:firstLine="420"/>
    </w:pPr>
    <w:r>
      <w:rPr>
        <w:rFonts w:hint="eastAsia" w:asciiTheme="minorEastAsia" w:hAnsiTheme="minorEastAsia" w:eastAsiaTheme="minorEastAsia"/>
        <w:sz w:val="21"/>
        <w:szCs w:val="21"/>
        <w:lang w:val="zh-CN"/>
      </w:rPr>
      <w:t>龙游县公证处公证派驻法院执行辅助人员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45802B"/>
    <w:multiLevelType w:val="singleLevel"/>
    <w:tmpl w:val="3C45802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wNzBiMmRjOWVjMzIwM2Y3NmY4NjBiNWRjYzQ1YmYifQ=="/>
  </w:docVars>
  <w:rsids>
    <w:rsidRoot w:val="00AD442D"/>
    <w:rsid w:val="00003171"/>
    <w:rsid w:val="00005231"/>
    <w:rsid w:val="0000685D"/>
    <w:rsid w:val="000121E9"/>
    <w:rsid w:val="00014F39"/>
    <w:rsid w:val="00014FF2"/>
    <w:rsid w:val="0003649D"/>
    <w:rsid w:val="0003775C"/>
    <w:rsid w:val="00040CF3"/>
    <w:rsid w:val="000433C0"/>
    <w:rsid w:val="00044638"/>
    <w:rsid w:val="00057A3A"/>
    <w:rsid w:val="00070F8E"/>
    <w:rsid w:val="0007602F"/>
    <w:rsid w:val="00096BE6"/>
    <w:rsid w:val="000A26FC"/>
    <w:rsid w:val="000C064F"/>
    <w:rsid w:val="000E19AA"/>
    <w:rsid w:val="000F016A"/>
    <w:rsid w:val="001013AC"/>
    <w:rsid w:val="001034D3"/>
    <w:rsid w:val="0011158D"/>
    <w:rsid w:val="00123126"/>
    <w:rsid w:val="001367CD"/>
    <w:rsid w:val="00143D4C"/>
    <w:rsid w:val="001542A5"/>
    <w:rsid w:val="00161F81"/>
    <w:rsid w:val="00164F27"/>
    <w:rsid w:val="00170FF8"/>
    <w:rsid w:val="00172FBC"/>
    <w:rsid w:val="00176C1B"/>
    <w:rsid w:val="001836FD"/>
    <w:rsid w:val="00187FA7"/>
    <w:rsid w:val="00192E3D"/>
    <w:rsid w:val="001A18B3"/>
    <w:rsid w:val="001B311F"/>
    <w:rsid w:val="001B743C"/>
    <w:rsid w:val="001D0292"/>
    <w:rsid w:val="001D0835"/>
    <w:rsid w:val="001D563C"/>
    <w:rsid w:val="001D74B4"/>
    <w:rsid w:val="001F2F96"/>
    <w:rsid w:val="00201904"/>
    <w:rsid w:val="002022BA"/>
    <w:rsid w:val="002074D1"/>
    <w:rsid w:val="00212102"/>
    <w:rsid w:val="0021743D"/>
    <w:rsid w:val="002307C1"/>
    <w:rsid w:val="002378D1"/>
    <w:rsid w:val="002414A7"/>
    <w:rsid w:val="00244317"/>
    <w:rsid w:val="002543B0"/>
    <w:rsid w:val="00292AB7"/>
    <w:rsid w:val="002B0DA7"/>
    <w:rsid w:val="002B1DE4"/>
    <w:rsid w:val="002C43B2"/>
    <w:rsid w:val="002C5A38"/>
    <w:rsid w:val="002D2AB2"/>
    <w:rsid w:val="002E230C"/>
    <w:rsid w:val="00300713"/>
    <w:rsid w:val="003105E7"/>
    <w:rsid w:val="00312C4A"/>
    <w:rsid w:val="0031521A"/>
    <w:rsid w:val="00320C71"/>
    <w:rsid w:val="00330B01"/>
    <w:rsid w:val="003314A3"/>
    <w:rsid w:val="00332FFC"/>
    <w:rsid w:val="00341904"/>
    <w:rsid w:val="00343E1E"/>
    <w:rsid w:val="003460B5"/>
    <w:rsid w:val="003462F8"/>
    <w:rsid w:val="003A601C"/>
    <w:rsid w:val="003A6EB4"/>
    <w:rsid w:val="003B2EC9"/>
    <w:rsid w:val="003C6DB8"/>
    <w:rsid w:val="003D06EE"/>
    <w:rsid w:val="003D32F2"/>
    <w:rsid w:val="003D3FC5"/>
    <w:rsid w:val="003D6BC8"/>
    <w:rsid w:val="003E6178"/>
    <w:rsid w:val="0040003D"/>
    <w:rsid w:val="00413713"/>
    <w:rsid w:val="004151C2"/>
    <w:rsid w:val="0042032C"/>
    <w:rsid w:val="00425388"/>
    <w:rsid w:val="00427AD6"/>
    <w:rsid w:val="00430F62"/>
    <w:rsid w:val="00447CBB"/>
    <w:rsid w:val="00447E00"/>
    <w:rsid w:val="00450BB2"/>
    <w:rsid w:val="004531AB"/>
    <w:rsid w:val="00453D11"/>
    <w:rsid w:val="00462FE6"/>
    <w:rsid w:val="00475443"/>
    <w:rsid w:val="00475656"/>
    <w:rsid w:val="004759A3"/>
    <w:rsid w:val="00480CE2"/>
    <w:rsid w:val="004A06FC"/>
    <w:rsid w:val="004B52AC"/>
    <w:rsid w:val="004E3AC8"/>
    <w:rsid w:val="004E4752"/>
    <w:rsid w:val="004F2103"/>
    <w:rsid w:val="004F6294"/>
    <w:rsid w:val="004F636B"/>
    <w:rsid w:val="00501B57"/>
    <w:rsid w:val="0051206F"/>
    <w:rsid w:val="00512F37"/>
    <w:rsid w:val="005443A8"/>
    <w:rsid w:val="005577F9"/>
    <w:rsid w:val="00563D70"/>
    <w:rsid w:val="005735C4"/>
    <w:rsid w:val="005818F3"/>
    <w:rsid w:val="00582B45"/>
    <w:rsid w:val="00590BF3"/>
    <w:rsid w:val="005A6584"/>
    <w:rsid w:val="005B5683"/>
    <w:rsid w:val="005B6DCD"/>
    <w:rsid w:val="005C48B8"/>
    <w:rsid w:val="005D2CF9"/>
    <w:rsid w:val="005E09D3"/>
    <w:rsid w:val="005F48D2"/>
    <w:rsid w:val="005F57C8"/>
    <w:rsid w:val="00606F8B"/>
    <w:rsid w:val="00610AD7"/>
    <w:rsid w:val="0063181D"/>
    <w:rsid w:val="006327C8"/>
    <w:rsid w:val="00644B69"/>
    <w:rsid w:val="00655AA4"/>
    <w:rsid w:val="00660EA9"/>
    <w:rsid w:val="006659CA"/>
    <w:rsid w:val="006665DF"/>
    <w:rsid w:val="006808E4"/>
    <w:rsid w:val="00686F93"/>
    <w:rsid w:val="0069501E"/>
    <w:rsid w:val="006A40D9"/>
    <w:rsid w:val="006A75B1"/>
    <w:rsid w:val="006B187F"/>
    <w:rsid w:val="006C77D6"/>
    <w:rsid w:val="006D2E75"/>
    <w:rsid w:val="006D45A7"/>
    <w:rsid w:val="006D5F9A"/>
    <w:rsid w:val="006D6833"/>
    <w:rsid w:val="006E1F1F"/>
    <w:rsid w:val="006E2618"/>
    <w:rsid w:val="00703B61"/>
    <w:rsid w:val="0070490A"/>
    <w:rsid w:val="00706F3D"/>
    <w:rsid w:val="0071408D"/>
    <w:rsid w:val="007168C2"/>
    <w:rsid w:val="007329B0"/>
    <w:rsid w:val="00736C67"/>
    <w:rsid w:val="0074669B"/>
    <w:rsid w:val="0075234D"/>
    <w:rsid w:val="00753EC8"/>
    <w:rsid w:val="00755D36"/>
    <w:rsid w:val="007776CD"/>
    <w:rsid w:val="00786AA5"/>
    <w:rsid w:val="007968BC"/>
    <w:rsid w:val="0079763D"/>
    <w:rsid w:val="007A3C79"/>
    <w:rsid w:val="007A4ABE"/>
    <w:rsid w:val="007B3E33"/>
    <w:rsid w:val="007B6B3B"/>
    <w:rsid w:val="007D0D68"/>
    <w:rsid w:val="007D1188"/>
    <w:rsid w:val="007D41F0"/>
    <w:rsid w:val="007D43A3"/>
    <w:rsid w:val="007D52F8"/>
    <w:rsid w:val="007E621B"/>
    <w:rsid w:val="00811C89"/>
    <w:rsid w:val="00823036"/>
    <w:rsid w:val="008247EA"/>
    <w:rsid w:val="00831BB9"/>
    <w:rsid w:val="008329BE"/>
    <w:rsid w:val="00857BDC"/>
    <w:rsid w:val="00863B65"/>
    <w:rsid w:val="00871453"/>
    <w:rsid w:val="008732CB"/>
    <w:rsid w:val="00873605"/>
    <w:rsid w:val="0087571C"/>
    <w:rsid w:val="00896C98"/>
    <w:rsid w:val="008A13AC"/>
    <w:rsid w:val="008B3D8A"/>
    <w:rsid w:val="008C3FA3"/>
    <w:rsid w:val="008C755D"/>
    <w:rsid w:val="008E3B42"/>
    <w:rsid w:val="008F249F"/>
    <w:rsid w:val="008F27C6"/>
    <w:rsid w:val="00902464"/>
    <w:rsid w:val="00912423"/>
    <w:rsid w:val="00923593"/>
    <w:rsid w:val="00951826"/>
    <w:rsid w:val="00964CFE"/>
    <w:rsid w:val="009668E4"/>
    <w:rsid w:val="00971B44"/>
    <w:rsid w:val="00974F06"/>
    <w:rsid w:val="009968FF"/>
    <w:rsid w:val="009A7262"/>
    <w:rsid w:val="009B12E9"/>
    <w:rsid w:val="009B5626"/>
    <w:rsid w:val="009B63AD"/>
    <w:rsid w:val="009D0510"/>
    <w:rsid w:val="009E224D"/>
    <w:rsid w:val="009E3B6F"/>
    <w:rsid w:val="009E6919"/>
    <w:rsid w:val="009F7F44"/>
    <w:rsid w:val="00A05B0D"/>
    <w:rsid w:val="00A10EA2"/>
    <w:rsid w:val="00A14D5A"/>
    <w:rsid w:val="00A17E30"/>
    <w:rsid w:val="00A244E3"/>
    <w:rsid w:val="00A44890"/>
    <w:rsid w:val="00A71FC5"/>
    <w:rsid w:val="00A87C6E"/>
    <w:rsid w:val="00A91966"/>
    <w:rsid w:val="00A932B6"/>
    <w:rsid w:val="00AB7E3E"/>
    <w:rsid w:val="00AC1323"/>
    <w:rsid w:val="00AC3081"/>
    <w:rsid w:val="00AD442D"/>
    <w:rsid w:val="00AE59AA"/>
    <w:rsid w:val="00AF2C2A"/>
    <w:rsid w:val="00B00D60"/>
    <w:rsid w:val="00B018F6"/>
    <w:rsid w:val="00B0363F"/>
    <w:rsid w:val="00B1164E"/>
    <w:rsid w:val="00B13D53"/>
    <w:rsid w:val="00B545BC"/>
    <w:rsid w:val="00B57330"/>
    <w:rsid w:val="00B602AB"/>
    <w:rsid w:val="00B67429"/>
    <w:rsid w:val="00B74E97"/>
    <w:rsid w:val="00B74F65"/>
    <w:rsid w:val="00B81FAC"/>
    <w:rsid w:val="00B846ED"/>
    <w:rsid w:val="00B87BAE"/>
    <w:rsid w:val="00BA54B5"/>
    <w:rsid w:val="00BB15C1"/>
    <w:rsid w:val="00BC3650"/>
    <w:rsid w:val="00BC763A"/>
    <w:rsid w:val="00BD7514"/>
    <w:rsid w:val="00BF2742"/>
    <w:rsid w:val="00BF30F7"/>
    <w:rsid w:val="00BF3F55"/>
    <w:rsid w:val="00C11040"/>
    <w:rsid w:val="00C213A4"/>
    <w:rsid w:val="00C24B08"/>
    <w:rsid w:val="00C405A9"/>
    <w:rsid w:val="00C57980"/>
    <w:rsid w:val="00C65D3E"/>
    <w:rsid w:val="00C749C0"/>
    <w:rsid w:val="00C75388"/>
    <w:rsid w:val="00C76B77"/>
    <w:rsid w:val="00C7713B"/>
    <w:rsid w:val="00C8092A"/>
    <w:rsid w:val="00C85823"/>
    <w:rsid w:val="00C9454B"/>
    <w:rsid w:val="00C963A6"/>
    <w:rsid w:val="00C967DD"/>
    <w:rsid w:val="00C96EAE"/>
    <w:rsid w:val="00CA177D"/>
    <w:rsid w:val="00CA3523"/>
    <w:rsid w:val="00CB3172"/>
    <w:rsid w:val="00CB34B4"/>
    <w:rsid w:val="00CE44D7"/>
    <w:rsid w:val="00CF64BC"/>
    <w:rsid w:val="00D03031"/>
    <w:rsid w:val="00D06FC0"/>
    <w:rsid w:val="00D07C0B"/>
    <w:rsid w:val="00D10F01"/>
    <w:rsid w:val="00D17559"/>
    <w:rsid w:val="00D207FA"/>
    <w:rsid w:val="00D22F3D"/>
    <w:rsid w:val="00D32460"/>
    <w:rsid w:val="00D5236C"/>
    <w:rsid w:val="00D71C14"/>
    <w:rsid w:val="00D734FF"/>
    <w:rsid w:val="00D75C4F"/>
    <w:rsid w:val="00D84082"/>
    <w:rsid w:val="00DA25AA"/>
    <w:rsid w:val="00DA5F38"/>
    <w:rsid w:val="00DC0D87"/>
    <w:rsid w:val="00E06041"/>
    <w:rsid w:val="00E15097"/>
    <w:rsid w:val="00E240BB"/>
    <w:rsid w:val="00E35DA0"/>
    <w:rsid w:val="00E4736D"/>
    <w:rsid w:val="00E6374C"/>
    <w:rsid w:val="00E670EC"/>
    <w:rsid w:val="00E706BC"/>
    <w:rsid w:val="00E748FC"/>
    <w:rsid w:val="00E756FF"/>
    <w:rsid w:val="00E81FDF"/>
    <w:rsid w:val="00EA026D"/>
    <w:rsid w:val="00EA15AF"/>
    <w:rsid w:val="00EB0228"/>
    <w:rsid w:val="00EB02A4"/>
    <w:rsid w:val="00EB129E"/>
    <w:rsid w:val="00EB39A9"/>
    <w:rsid w:val="00EC4258"/>
    <w:rsid w:val="00EC5BE2"/>
    <w:rsid w:val="00F005D5"/>
    <w:rsid w:val="00F04FDB"/>
    <w:rsid w:val="00F268BA"/>
    <w:rsid w:val="00F273ED"/>
    <w:rsid w:val="00F3021A"/>
    <w:rsid w:val="00F51993"/>
    <w:rsid w:val="00F60CD7"/>
    <w:rsid w:val="00F73A43"/>
    <w:rsid w:val="00F74B17"/>
    <w:rsid w:val="00F93832"/>
    <w:rsid w:val="00F96C15"/>
    <w:rsid w:val="00FB16CB"/>
    <w:rsid w:val="00FD4077"/>
    <w:rsid w:val="00FE33C3"/>
    <w:rsid w:val="00FE4663"/>
    <w:rsid w:val="00FE46A6"/>
    <w:rsid w:val="00FE5F8B"/>
    <w:rsid w:val="00FF6FF4"/>
    <w:rsid w:val="013C690E"/>
    <w:rsid w:val="029C6837"/>
    <w:rsid w:val="02E206A7"/>
    <w:rsid w:val="02F715E8"/>
    <w:rsid w:val="032675B7"/>
    <w:rsid w:val="03D0258B"/>
    <w:rsid w:val="03FD1E0D"/>
    <w:rsid w:val="043354D2"/>
    <w:rsid w:val="047878DC"/>
    <w:rsid w:val="05B178F5"/>
    <w:rsid w:val="05BB5160"/>
    <w:rsid w:val="068E09C2"/>
    <w:rsid w:val="082A0F4F"/>
    <w:rsid w:val="08EB0A15"/>
    <w:rsid w:val="08FF5BAE"/>
    <w:rsid w:val="09EC3B8D"/>
    <w:rsid w:val="0A036F3E"/>
    <w:rsid w:val="0A286225"/>
    <w:rsid w:val="0AB70C51"/>
    <w:rsid w:val="0AFC2356"/>
    <w:rsid w:val="0B9702B7"/>
    <w:rsid w:val="0BB109CB"/>
    <w:rsid w:val="0C9431C0"/>
    <w:rsid w:val="0DC664A8"/>
    <w:rsid w:val="0E896644"/>
    <w:rsid w:val="0EEB5E84"/>
    <w:rsid w:val="0FB75289"/>
    <w:rsid w:val="0FD05C09"/>
    <w:rsid w:val="10126D79"/>
    <w:rsid w:val="10192846"/>
    <w:rsid w:val="101D515C"/>
    <w:rsid w:val="10B70FCF"/>
    <w:rsid w:val="10BB784F"/>
    <w:rsid w:val="116C00E2"/>
    <w:rsid w:val="11A2456B"/>
    <w:rsid w:val="11E971D3"/>
    <w:rsid w:val="12031614"/>
    <w:rsid w:val="12270EBA"/>
    <w:rsid w:val="131A4FC5"/>
    <w:rsid w:val="132D6B62"/>
    <w:rsid w:val="137D78D9"/>
    <w:rsid w:val="13A97E33"/>
    <w:rsid w:val="153F17E5"/>
    <w:rsid w:val="15B8610B"/>
    <w:rsid w:val="1639016C"/>
    <w:rsid w:val="166F0C7A"/>
    <w:rsid w:val="16C50DD7"/>
    <w:rsid w:val="18241530"/>
    <w:rsid w:val="183467AF"/>
    <w:rsid w:val="1A4B1203"/>
    <w:rsid w:val="1A580458"/>
    <w:rsid w:val="1A621740"/>
    <w:rsid w:val="1B4350CC"/>
    <w:rsid w:val="1D1E53EE"/>
    <w:rsid w:val="1D21754C"/>
    <w:rsid w:val="1D6E4FE8"/>
    <w:rsid w:val="1E1201EA"/>
    <w:rsid w:val="1E29333F"/>
    <w:rsid w:val="1E316639"/>
    <w:rsid w:val="1E857F63"/>
    <w:rsid w:val="1EEFD3E8"/>
    <w:rsid w:val="1F230533"/>
    <w:rsid w:val="2067199D"/>
    <w:rsid w:val="20A9058E"/>
    <w:rsid w:val="212B26B1"/>
    <w:rsid w:val="21FC034B"/>
    <w:rsid w:val="221862AB"/>
    <w:rsid w:val="22E97F18"/>
    <w:rsid w:val="23105BAE"/>
    <w:rsid w:val="23164DB9"/>
    <w:rsid w:val="233D4F39"/>
    <w:rsid w:val="24C96914"/>
    <w:rsid w:val="260A5617"/>
    <w:rsid w:val="27AE3812"/>
    <w:rsid w:val="2804198D"/>
    <w:rsid w:val="285B013A"/>
    <w:rsid w:val="28A713F5"/>
    <w:rsid w:val="29340703"/>
    <w:rsid w:val="2A227168"/>
    <w:rsid w:val="2A607352"/>
    <w:rsid w:val="2B84641F"/>
    <w:rsid w:val="2C094F50"/>
    <w:rsid w:val="2D12039F"/>
    <w:rsid w:val="2EC77B2C"/>
    <w:rsid w:val="2ED32036"/>
    <w:rsid w:val="2EE93507"/>
    <w:rsid w:val="2FAA6BC5"/>
    <w:rsid w:val="30AB1FF6"/>
    <w:rsid w:val="311763EB"/>
    <w:rsid w:val="31545EF3"/>
    <w:rsid w:val="31726C09"/>
    <w:rsid w:val="31757605"/>
    <w:rsid w:val="31D01E70"/>
    <w:rsid w:val="33CE1F01"/>
    <w:rsid w:val="33D765A1"/>
    <w:rsid w:val="35575A87"/>
    <w:rsid w:val="355B3010"/>
    <w:rsid w:val="3577501F"/>
    <w:rsid w:val="36006B53"/>
    <w:rsid w:val="36693878"/>
    <w:rsid w:val="36753CE8"/>
    <w:rsid w:val="368C334C"/>
    <w:rsid w:val="37287063"/>
    <w:rsid w:val="37AD7EC0"/>
    <w:rsid w:val="37B5146C"/>
    <w:rsid w:val="38436219"/>
    <w:rsid w:val="38B03123"/>
    <w:rsid w:val="39162B6F"/>
    <w:rsid w:val="3B7E0668"/>
    <w:rsid w:val="3C1D7CFF"/>
    <w:rsid w:val="3C331D70"/>
    <w:rsid w:val="3C611123"/>
    <w:rsid w:val="3C875AED"/>
    <w:rsid w:val="3D4C78D3"/>
    <w:rsid w:val="3DBB6D88"/>
    <w:rsid w:val="3DE537C3"/>
    <w:rsid w:val="3E0B0BF5"/>
    <w:rsid w:val="3FDC1819"/>
    <w:rsid w:val="40311172"/>
    <w:rsid w:val="409E6419"/>
    <w:rsid w:val="40A73B8C"/>
    <w:rsid w:val="410C1CDC"/>
    <w:rsid w:val="423B0C32"/>
    <w:rsid w:val="42810BCA"/>
    <w:rsid w:val="42B33D02"/>
    <w:rsid w:val="432F5A9A"/>
    <w:rsid w:val="435B1A92"/>
    <w:rsid w:val="438F3899"/>
    <w:rsid w:val="440C0C13"/>
    <w:rsid w:val="443708ED"/>
    <w:rsid w:val="450D562C"/>
    <w:rsid w:val="45A943D2"/>
    <w:rsid w:val="461944C0"/>
    <w:rsid w:val="46224BDF"/>
    <w:rsid w:val="4823556A"/>
    <w:rsid w:val="485B5636"/>
    <w:rsid w:val="491944CD"/>
    <w:rsid w:val="4A9330E1"/>
    <w:rsid w:val="4AA30810"/>
    <w:rsid w:val="4B4323EB"/>
    <w:rsid w:val="4B9E4618"/>
    <w:rsid w:val="4BE8025A"/>
    <w:rsid w:val="4C5551C1"/>
    <w:rsid w:val="4CFC691B"/>
    <w:rsid w:val="4D7542DB"/>
    <w:rsid w:val="4D7C7E2A"/>
    <w:rsid w:val="4D85602B"/>
    <w:rsid w:val="4DE85D46"/>
    <w:rsid w:val="4E7870BD"/>
    <w:rsid w:val="4E830CA5"/>
    <w:rsid w:val="4F69202E"/>
    <w:rsid w:val="4F7B3806"/>
    <w:rsid w:val="4F880A73"/>
    <w:rsid w:val="50897318"/>
    <w:rsid w:val="51C73A68"/>
    <w:rsid w:val="52214A5D"/>
    <w:rsid w:val="528B0652"/>
    <w:rsid w:val="5309508B"/>
    <w:rsid w:val="53AC1121"/>
    <w:rsid w:val="54B02769"/>
    <w:rsid w:val="550028D5"/>
    <w:rsid w:val="55AA7799"/>
    <w:rsid w:val="56D85400"/>
    <w:rsid w:val="570237F9"/>
    <w:rsid w:val="58524E01"/>
    <w:rsid w:val="592F4C99"/>
    <w:rsid w:val="5A8663D9"/>
    <w:rsid w:val="5AA71877"/>
    <w:rsid w:val="5B9238F2"/>
    <w:rsid w:val="5BEC21A3"/>
    <w:rsid w:val="5CB77B5B"/>
    <w:rsid w:val="5CC15BF4"/>
    <w:rsid w:val="5CF87F3D"/>
    <w:rsid w:val="5D2201BB"/>
    <w:rsid w:val="5D2604F4"/>
    <w:rsid w:val="5E572B92"/>
    <w:rsid w:val="5E715F75"/>
    <w:rsid w:val="5E9665A7"/>
    <w:rsid w:val="5F730366"/>
    <w:rsid w:val="5FEF5487"/>
    <w:rsid w:val="60672A96"/>
    <w:rsid w:val="609A17EF"/>
    <w:rsid w:val="61CA0A3D"/>
    <w:rsid w:val="62D46007"/>
    <w:rsid w:val="62F44E30"/>
    <w:rsid w:val="64AD0668"/>
    <w:rsid w:val="650024AE"/>
    <w:rsid w:val="65CC0289"/>
    <w:rsid w:val="66EA5F3C"/>
    <w:rsid w:val="67097D3D"/>
    <w:rsid w:val="67101F1F"/>
    <w:rsid w:val="67E4351B"/>
    <w:rsid w:val="68CA30B7"/>
    <w:rsid w:val="69A44F08"/>
    <w:rsid w:val="69E57386"/>
    <w:rsid w:val="6A3733AE"/>
    <w:rsid w:val="6AFA6E60"/>
    <w:rsid w:val="6B693081"/>
    <w:rsid w:val="6B6F4633"/>
    <w:rsid w:val="6BC86FB6"/>
    <w:rsid w:val="6BEF6F32"/>
    <w:rsid w:val="6C410EEF"/>
    <w:rsid w:val="6C8F1CC3"/>
    <w:rsid w:val="6DD79324"/>
    <w:rsid w:val="6DF32D55"/>
    <w:rsid w:val="6EA15275"/>
    <w:rsid w:val="6F4F789F"/>
    <w:rsid w:val="6FD81647"/>
    <w:rsid w:val="700478B9"/>
    <w:rsid w:val="7154491D"/>
    <w:rsid w:val="71B717AD"/>
    <w:rsid w:val="71D32CB8"/>
    <w:rsid w:val="7232487C"/>
    <w:rsid w:val="734C3CB7"/>
    <w:rsid w:val="7362379D"/>
    <w:rsid w:val="73992AF6"/>
    <w:rsid w:val="73D90DA3"/>
    <w:rsid w:val="749F5273"/>
    <w:rsid w:val="75157379"/>
    <w:rsid w:val="752913AF"/>
    <w:rsid w:val="75530FE6"/>
    <w:rsid w:val="75A128F3"/>
    <w:rsid w:val="765B0A08"/>
    <w:rsid w:val="770147B7"/>
    <w:rsid w:val="773A690F"/>
    <w:rsid w:val="784A6BD2"/>
    <w:rsid w:val="78850D41"/>
    <w:rsid w:val="78B67568"/>
    <w:rsid w:val="79E3136F"/>
    <w:rsid w:val="7A8C140A"/>
    <w:rsid w:val="7AC74440"/>
    <w:rsid w:val="7AF16E13"/>
    <w:rsid w:val="7B8D3FBD"/>
    <w:rsid w:val="7BA27F9D"/>
    <w:rsid w:val="7BA824F1"/>
    <w:rsid w:val="7D11323D"/>
    <w:rsid w:val="7D73334C"/>
    <w:rsid w:val="7D857E63"/>
    <w:rsid w:val="7DBA9066"/>
    <w:rsid w:val="7F4F8ACE"/>
    <w:rsid w:val="7FBF570E"/>
    <w:rsid w:val="7FCB7C32"/>
    <w:rsid w:val="7FFF4EE2"/>
    <w:rsid w:val="A6DFCA34"/>
    <w:rsid w:val="BDFF9B7E"/>
    <w:rsid w:val="D3CF22EB"/>
    <w:rsid w:val="DE71C381"/>
    <w:rsid w:val="F3F37766"/>
    <w:rsid w:val="FC7DFC5F"/>
    <w:rsid w:val="FEBFE5E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12"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9">
    <w:name w:val="heading 1"/>
    <w:basedOn w:val="10"/>
    <w:next w:val="1"/>
    <w:link w:val="44"/>
    <w:qFormat/>
    <w:uiPriority w:val="0"/>
    <w:pPr>
      <w:tabs>
        <w:tab w:val="left" w:pos="480"/>
      </w:tabs>
      <w:spacing w:line="360" w:lineRule="auto"/>
      <w:jc w:val="center"/>
      <w:outlineLvl w:val="0"/>
    </w:pPr>
    <w:rPr>
      <w:sz w:val="44"/>
      <w:szCs w:val="20"/>
    </w:rPr>
  </w:style>
  <w:style w:type="paragraph" w:styleId="10">
    <w:name w:val="heading 2"/>
    <w:basedOn w:val="1"/>
    <w:next w:val="1"/>
    <w:link w:val="40"/>
    <w:unhideWhenUsed/>
    <w:qFormat/>
    <w:uiPriority w:val="9"/>
    <w:pPr>
      <w:keepNext/>
      <w:keepLines/>
      <w:ind w:firstLine="0" w:firstLineChars="0"/>
      <w:jc w:val="left"/>
      <w:outlineLvl w:val="1"/>
    </w:pPr>
    <w:rPr>
      <w:rFonts w:asciiTheme="majorHAnsi" w:hAnsiTheme="majorHAnsi" w:cstheme="majorBidi"/>
      <w:b/>
      <w:bCs/>
      <w:sz w:val="32"/>
      <w:szCs w:val="32"/>
    </w:rPr>
  </w:style>
  <w:style w:type="paragraph" w:styleId="11">
    <w:name w:val="heading 3"/>
    <w:basedOn w:val="1"/>
    <w:next w:val="1"/>
    <w:link w:val="38"/>
    <w:unhideWhenUsed/>
    <w:qFormat/>
    <w:uiPriority w:val="9"/>
    <w:pPr>
      <w:keepNext/>
      <w:keepLines/>
      <w:spacing w:line="240" w:lineRule="auto"/>
      <w:ind w:firstLine="0" w:firstLineChars="0"/>
      <w:outlineLvl w:val="2"/>
    </w:pPr>
    <w:rPr>
      <w:b/>
      <w:bCs/>
      <w:sz w:val="28"/>
      <w:szCs w:val="32"/>
    </w:rPr>
  </w:style>
  <w:style w:type="paragraph" w:styleId="12">
    <w:name w:val="heading 4"/>
    <w:basedOn w:val="1"/>
    <w:next w:val="1"/>
    <w:link w:val="47"/>
    <w:unhideWhenUsed/>
    <w:qFormat/>
    <w:uiPriority w:val="9"/>
    <w:pPr>
      <w:keepNext/>
      <w:keepLines/>
      <w:spacing w:line="240" w:lineRule="auto"/>
      <w:ind w:firstLine="0" w:firstLineChars="0"/>
      <w:outlineLvl w:val="3"/>
    </w:pPr>
    <w:rPr>
      <w:rFonts w:asciiTheme="majorHAnsi" w:hAnsiTheme="majorHAnsi" w:eastAsiaTheme="majorEastAsia" w:cstheme="majorBidi"/>
      <w:b/>
      <w:bCs/>
      <w:sz w:val="28"/>
      <w:szCs w:val="28"/>
    </w:rPr>
  </w:style>
  <w:style w:type="paragraph" w:styleId="13">
    <w:name w:val="heading 5"/>
    <w:basedOn w:val="1"/>
    <w:next w:val="1"/>
    <w:unhideWhenUsed/>
    <w:qFormat/>
    <w:uiPriority w:val="9"/>
    <w:pPr>
      <w:keepNext/>
      <w:keepLines/>
      <w:spacing w:line="240" w:lineRule="auto"/>
      <w:ind w:firstLine="0" w:firstLineChars="0"/>
      <w:outlineLvl w:val="4"/>
    </w:pPr>
    <w:rPr>
      <w:b/>
      <w:sz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4"/>
    <w:qFormat/>
    <w:uiPriority w:val="0"/>
    <w:pPr>
      <w:spacing w:after="120"/>
    </w:pPr>
    <w:rPr>
      <w:rFonts w:asciiTheme="minorHAnsi" w:hAnsiTheme="minorHAnsi" w:eastAsiaTheme="minorEastAsia" w:cstheme="minorBidi"/>
      <w:sz w:val="21"/>
    </w:rPr>
  </w:style>
  <w:style w:type="paragraph" w:customStyle="1" w:styleId="3">
    <w:name w:val="样式 表格正文 + 两端对齐"/>
    <w:basedOn w:val="1"/>
    <w:next w:val="4"/>
    <w:qFormat/>
    <w:uiPriority w:val="0"/>
    <w:pPr>
      <w:spacing w:line="300" w:lineRule="auto"/>
      <w:ind w:firstLine="0"/>
    </w:pPr>
  </w:style>
  <w:style w:type="paragraph" w:customStyle="1" w:styleId="4">
    <w:name w:val="正文1"/>
    <w:basedOn w:val="5"/>
    <w:next w:val="6"/>
    <w:qFormat/>
    <w:uiPriority w:val="0"/>
    <w:pPr>
      <w:widowControl/>
      <w:tabs>
        <w:tab w:val="right" w:leader="dot" w:pos="9060"/>
      </w:tabs>
      <w:snapToGrid w:val="0"/>
      <w:spacing w:line="500" w:lineRule="exact"/>
      <w:ind w:firstLine="567"/>
    </w:pPr>
    <w:rPr>
      <w:rFonts w:ascii="楷体_GB2312" w:eastAsia="楷体_GB2312"/>
      <w:kern w:val="0"/>
      <w:sz w:val="28"/>
      <w:szCs w:val="20"/>
    </w:rPr>
  </w:style>
  <w:style w:type="paragraph" w:styleId="5">
    <w:name w:val="toc 3"/>
    <w:basedOn w:val="1"/>
    <w:next w:val="1"/>
    <w:unhideWhenUsed/>
    <w:qFormat/>
    <w:uiPriority w:val="0"/>
    <w:pPr>
      <w:tabs>
        <w:tab w:val="right" w:leader="dot" w:pos="9060"/>
      </w:tabs>
      <w:spacing w:line="264" w:lineRule="auto"/>
      <w:ind w:left="680"/>
      <w:jc w:val="left"/>
    </w:pPr>
    <w:rPr>
      <w:rFonts w:hAnsi="宋体" w:cs="宋体"/>
      <w:iCs/>
      <w:sz w:val="22"/>
    </w:rPr>
  </w:style>
  <w:style w:type="paragraph" w:customStyle="1" w:styleId="6">
    <w:name w:val="自动更正"/>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xl39"/>
    <w:basedOn w:val="1"/>
    <w:next w:val="8"/>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8">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styleId="14">
    <w:name w:val="Normal Indent"/>
    <w:basedOn w:val="1"/>
    <w:next w:val="15"/>
    <w:unhideWhenUsed/>
    <w:qFormat/>
    <w:uiPriority w:val="0"/>
    <w:pPr>
      <w:spacing w:line="240" w:lineRule="auto"/>
      <w:ind w:firstLine="420"/>
    </w:pPr>
    <w:rPr>
      <w:sz w:val="21"/>
    </w:rPr>
  </w:style>
  <w:style w:type="paragraph" w:styleId="15">
    <w:name w:val="Body Text Indent"/>
    <w:basedOn w:val="1"/>
    <w:next w:val="14"/>
    <w:link w:val="46"/>
    <w:unhideWhenUsed/>
    <w:qFormat/>
    <w:uiPriority w:val="99"/>
    <w:pPr>
      <w:spacing w:after="120"/>
      <w:ind w:left="420" w:leftChars="200"/>
    </w:pPr>
  </w:style>
  <w:style w:type="paragraph" w:styleId="16">
    <w:name w:val="Document Map"/>
    <w:basedOn w:val="1"/>
    <w:link w:val="57"/>
    <w:qFormat/>
    <w:uiPriority w:val="0"/>
    <w:pPr>
      <w:spacing w:line="240" w:lineRule="auto"/>
      <w:ind w:firstLine="0" w:firstLineChars="0"/>
    </w:pPr>
    <w:rPr>
      <w:rFonts w:ascii="宋体" w:hAnsi="Calibri"/>
      <w:sz w:val="18"/>
      <w:szCs w:val="18"/>
    </w:rPr>
  </w:style>
  <w:style w:type="paragraph" w:styleId="17">
    <w:name w:val="toa heading"/>
    <w:basedOn w:val="1"/>
    <w:next w:val="1"/>
    <w:qFormat/>
    <w:uiPriority w:val="0"/>
    <w:pPr>
      <w:spacing w:before="120"/>
    </w:pPr>
    <w:rPr>
      <w:rFonts w:ascii="Arial" w:hAnsi="Arial"/>
    </w:rPr>
  </w:style>
  <w:style w:type="paragraph" w:styleId="18">
    <w:name w:val="annotation text"/>
    <w:basedOn w:val="1"/>
    <w:unhideWhenUsed/>
    <w:qFormat/>
    <w:uiPriority w:val="99"/>
    <w:pPr>
      <w:jc w:val="left"/>
    </w:pPr>
  </w:style>
  <w:style w:type="paragraph" w:styleId="19">
    <w:name w:val="Plain Text"/>
    <w:basedOn w:val="1"/>
    <w:link w:val="60"/>
    <w:qFormat/>
    <w:uiPriority w:val="99"/>
    <w:pPr>
      <w:spacing w:line="240" w:lineRule="auto"/>
      <w:ind w:firstLine="0" w:firstLineChars="0"/>
    </w:pPr>
    <w:rPr>
      <w:rFonts w:ascii="宋体" w:hAnsi="Courier New"/>
      <w:sz w:val="21"/>
    </w:rPr>
  </w:style>
  <w:style w:type="paragraph" w:styleId="20">
    <w:name w:val="Date"/>
    <w:basedOn w:val="1"/>
    <w:next w:val="1"/>
    <w:link w:val="55"/>
    <w:unhideWhenUsed/>
    <w:qFormat/>
    <w:uiPriority w:val="99"/>
    <w:pPr>
      <w:ind w:left="100" w:leftChars="2500"/>
    </w:pPr>
  </w:style>
  <w:style w:type="paragraph" w:styleId="21">
    <w:name w:val="Body Text Indent 2"/>
    <w:basedOn w:val="1"/>
    <w:link w:val="67"/>
    <w:unhideWhenUsed/>
    <w:qFormat/>
    <w:uiPriority w:val="99"/>
    <w:pPr>
      <w:spacing w:after="120" w:line="480" w:lineRule="auto"/>
      <w:ind w:left="420" w:leftChars="200"/>
    </w:pPr>
  </w:style>
  <w:style w:type="paragraph" w:styleId="22">
    <w:name w:val="Balloon Text"/>
    <w:basedOn w:val="1"/>
    <w:link w:val="83"/>
    <w:semiHidden/>
    <w:unhideWhenUsed/>
    <w:qFormat/>
    <w:uiPriority w:val="99"/>
    <w:pPr>
      <w:spacing w:line="240" w:lineRule="auto"/>
    </w:pPr>
    <w:rPr>
      <w:sz w:val="18"/>
      <w:szCs w:val="18"/>
    </w:rPr>
  </w:style>
  <w:style w:type="paragraph" w:styleId="23">
    <w:name w:val="footer"/>
    <w:basedOn w:val="1"/>
    <w:link w:val="53"/>
    <w:unhideWhenUsed/>
    <w:qFormat/>
    <w:uiPriority w:val="99"/>
    <w:pPr>
      <w:tabs>
        <w:tab w:val="center" w:pos="4153"/>
        <w:tab w:val="right" w:pos="8306"/>
      </w:tabs>
      <w:snapToGrid w:val="0"/>
      <w:jc w:val="left"/>
    </w:pPr>
    <w:rPr>
      <w:sz w:val="18"/>
      <w:szCs w:val="18"/>
    </w:rPr>
  </w:style>
  <w:style w:type="paragraph" w:styleId="24">
    <w:name w:val="header"/>
    <w:basedOn w:val="1"/>
    <w:link w:val="52"/>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pPr>
      <w:tabs>
        <w:tab w:val="left" w:pos="1470"/>
        <w:tab w:val="right" w:leader="dot" w:pos="8296"/>
      </w:tabs>
      <w:spacing w:line="300" w:lineRule="exact"/>
      <w:ind w:firstLine="480"/>
    </w:pPr>
  </w:style>
  <w:style w:type="paragraph" w:styleId="26">
    <w:name w:val="Subtitle"/>
    <w:basedOn w:val="1"/>
    <w:next w:val="1"/>
    <w:qFormat/>
    <w:uiPriority w:val="11"/>
    <w:pPr>
      <w:spacing w:before="240" w:after="60"/>
      <w:jc w:val="center"/>
      <w:outlineLvl w:val="1"/>
    </w:pPr>
    <w:rPr>
      <w:b/>
      <w:bCs/>
      <w:kern w:val="28"/>
      <w:sz w:val="32"/>
      <w:szCs w:val="32"/>
    </w:rPr>
  </w:style>
  <w:style w:type="paragraph" w:styleId="27">
    <w:name w:val="List"/>
    <w:basedOn w:val="1"/>
    <w:qFormat/>
    <w:uiPriority w:val="0"/>
    <w:pPr>
      <w:spacing w:line="240" w:lineRule="auto"/>
      <w:ind w:left="200" w:hanging="200" w:hangingChars="200"/>
    </w:pPr>
    <w:rPr>
      <w:rFonts w:ascii="仿宋_GB2312" w:eastAsia="仿宋_GB2312"/>
      <w:sz w:val="28"/>
      <w:szCs w:val="28"/>
    </w:rPr>
  </w:style>
  <w:style w:type="paragraph" w:styleId="28">
    <w:name w:val="Body Text Indent 3"/>
    <w:basedOn w:val="1"/>
    <w:link w:val="68"/>
    <w:unhideWhenUsed/>
    <w:qFormat/>
    <w:uiPriority w:val="99"/>
    <w:pPr>
      <w:spacing w:after="120"/>
      <w:ind w:left="420" w:leftChars="200"/>
    </w:pPr>
    <w:rPr>
      <w:sz w:val="16"/>
      <w:szCs w:val="16"/>
    </w:rPr>
  </w:style>
  <w:style w:type="paragraph" w:styleId="29">
    <w:name w:val="toc 2"/>
    <w:basedOn w:val="1"/>
    <w:next w:val="1"/>
    <w:unhideWhenUsed/>
    <w:qFormat/>
    <w:uiPriority w:val="39"/>
    <w:pPr>
      <w:ind w:left="420" w:leftChars="200"/>
    </w:pPr>
  </w:style>
  <w:style w:type="paragraph" w:styleId="30">
    <w:name w:val="Title"/>
    <w:basedOn w:val="1"/>
    <w:next w:val="1"/>
    <w:qFormat/>
    <w:uiPriority w:val="0"/>
    <w:pPr>
      <w:spacing w:before="240" w:after="60"/>
      <w:jc w:val="center"/>
      <w:outlineLvl w:val="0"/>
    </w:pPr>
    <w:rPr>
      <w:rFonts w:ascii="Cambria" w:hAnsi="Cambria"/>
      <w:b/>
      <w:bCs/>
      <w:sz w:val="32"/>
      <w:szCs w:val="32"/>
    </w:rPr>
  </w:style>
  <w:style w:type="paragraph" w:styleId="31">
    <w:name w:val="Body Text First Indent"/>
    <w:basedOn w:val="2"/>
    <w:next w:val="1"/>
    <w:link w:val="74"/>
    <w:unhideWhenUsed/>
    <w:qFormat/>
    <w:uiPriority w:val="99"/>
    <w:pPr>
      <w:ind w:firstLine="420" w:firstLineChars="100"/>
    </w:pPr>
    <w:rPr>
      <w:rFonts w:ascii="Times New Roman" w:hAnsi="Times New Roman" w:eastAsia="宋体" w:cs="Times New Roman"/>
      <w:sz w:val="24"/>
    </w:rPr>
  </w:style>
  <w:style w:type="paragraph" w:styleId="32">
    <w:name w:val="Body Text First Indent 2"/>
    <w:basedOn w:val="15"/>
    <w:next w:val="1"/>
    <w:link w:val="45"/>
    <w:unhideWhenUsed/>
    <w:qFormat/>
    <w:uiPriority w:val="99"/>
    <w:pPr>
      <w:ind w:firstLine="420"/>
    </w:pPr>
  </w:style>
  <w:style w:type="table" w:styleId="34">
    <w:name w:val="Table Grid"/>
    <w:basedOn w:val="3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6">
    <w:name w:val="Hyperlink"/>
    <w:basedOn w:val="35"/>
    <w:unhideWhenUsed/>
    <w:qFormat/>
    <w:uiPriority w:val="99"/>
    <w:rPr>
      <w:color w:val="0000FF" w:themeColor="hyperlink"/>
      <w:u w:val="single"/>
      <w14:textFill>
        <w14:solidFill>
          <w14:schemeClr w14:val="hlink"/>
        </w14:solidFill>
      </w14:textFill>
    </w:rPr>
  </w:style>
  <w:style w:type="character" w:styleId="37">
    <w:name w:val="annotation reference"/>
    <w:basedOn w:val="35"/>
    <w:semiHidden/>
    <w:unhideWhenUsed/>
    <w:qFormat/>
    <w:uiPriority w:val="99"/>
    <w:rPr>
      <w:sz w:val="21"/>
      <w:szCs w:val="21"/>
    </w:rPr>
  </w:style>
  <w:style w:type="character" w:customStyle="1" w:styleId="38">
    <w:name w:val="标题 3 字符"/>
    <w:basedOn w:val="35"/>
    <w:link w:val="11"/>
    <w:semiHidden/>
    <w:qFormat/>
    <w:uiPriority w:val="9"/>
    <w:rPr>
      <w:rFonts w:ascii="Times New Roman" w:hAnsi="Times New Roman" w:eastAsia="宋体" w:cs="Times New Roman"/>
      <w:b/>
      <w:bCs/>
      <w:sz w:val="28"/>
      <w:szCs w:val="32"/>
    </w:rPr>
  </w:style>
  <w:style w:type="character" w:customStyle="1" w:styleId="39">
    <w:name w:val="正文文本 Char"/>
    <w:qFormat/>
    <w:uiPriority w:val="0"/>
    <w:rPr>
      <w:szCs w:val="24"/>
    </w:rPr>
  </w:style>
  <w:style w:type="character" w:customStyle="1" w:styleId="40">
    <w:name w:val="标题 2 字符"/>
    <w:basedOn w:val="35"/>
    <w:link w:val="10"/>
    <w:qFormat/>
    <w:uiPriority w:val="9"/>
    <w:rPr>
      <w:rFonts w:eastAsia="宋体" w:asciiTheme="majorHAnsi" w:hAnsiTheme="majorHAnsi" w:cstheme="majorBidi"/>
      <w:b/>
      <w:bCs/>
      <w:sz w:val="32"/>
      <w:szCs w:val="32"/>
    </w:rPr>
  </w:style>
  <w:style w:type="paragraph" w:customStyle="1" w:styleId="41">
    <w:name w:val="表格"/>
    <w:basedOn w:val="1"/>
    <w:qFormat/>
    <w:uiPriority w:val="0"/>
    <w:pPr>
      <w:adjustRightInd w:val="0"/>
      <w:spacing w:line="240" w:lineRule="auto"/>
      <w:ind w:firstLine="0" w:firstLineChars="0"/>
    </w:pPr>
    <w:rPr>
      <w:rFonts w:hint="eastAsia" w:ascii="宋体" w:hAnsi="宋体" w:cs="宋体"/>
      <w:bCs/>
    </w:rPr>
  </w:style>
  <w:style w:type="paragraph" w:customStyle="1" w:styleId="42">
    <w:name w:val="表格2"/>
    <w:basedOn w:val="1"/>
    <w:qFormat/>
    <w:uiPriority w:val="0"/>
    <w:pPr>
      <w:spacing w:line="240" w:lineRule="auto"/>
      <w:ind w:firstLine="0" w:firstLineChars="0"/>
    </w:pPr>
    <w:rPr>
      <w:rFonts w:ascii="宋体" w:hAnsi="宋体"/>
      <w:szCs w:val="32"/>
      <w:lang w:val="zh-CN"/>
    </w:rPr>
  </w:style>
  <w:style w:type="paragraph" w:customStyle="1" w:styleId="43">
    <w:name w:val="表格新"/>
    <w:basedOn w:val="1"/>
    <w:qFormat/>
    <w:uiPriority w:val="0"/>
    <w:pPr>
      <w:adjustRightInd w:val="0"/>
      <w:spacing w:line="240" w:lineRule="auto"/>
      <w:ind w:firstLine="0" w:firstLineChars="0"/>
    </w:pPr>
    <w:rPr>
      <w:rFonts w:hint="eastAsia" w:ascii="宋体" w:hAnsi="宋体" w:cs="宋体"/>
      <w:bCs/>
      <w:szCs w:val="21"/>
    </w:rPr>
  </w:style>
  <w:style w:type="character" w:customStyle="1" w:styleId="44">
    <w:name w:val="标题 1 字符"/>
    <w:basedOn w:val="35"/>
    <w:link w:val="9"/>
    <w:qFormat/>
    <w:uiPriority w:val="0"/>
    <w:rPr>
      <w:rFonts w:ascii="Times New Roman" w:hAnsi="Times New Roman" w:eastAsia="宋体" w:cs="Times New Roman"/>
      <w:b/>
      <w:sz w:val="44"/>
      <w:szCs w:val="20"/>
    </w:rPr>
  </w:style>
  <w:style w:type="character" w:customStyle="1" w:styleId="45">
    <w:name w:val="正文首行缩进 2 字符"/>
    <w:basedOn w:val="46"/>
    <w:link w:val="32"/>
    <w:qFormat/>
    <w:uiPriority w:val="99"/>
    <w:rPr>
      <w:rFonts w:ascii="Times New Roman" w:hAnsi="Times New Roman" w:eastAsia="宋体" w:cs="Times New Roman"/>
      <w:sz w:val="24"/>
      <w:szCs w:val="24"/>
    </w:rPr>
  </w:style>
  <w:style w:type="character" w:customStyle="1" w:styleId="46">
    <w:name w:val="正文文本缩进 字符"/>
    <w:basedOn w:val="35"/>
    <w:link w:val="15"/>
    <w:qFormat/>
    <w:uiPriority w:val="99"/>
    <w:rPr>
      <w:rFonts w:ascii="Times New Roman" w:hAnsi="Times New Roman" w:eastAsia="宋体" w:cs="Times New Roman"/>
      <w:sz w:val="24"/>
      <w:szCs w:val="24"/>
    </w:rPr>
  </w:style>
  <w:style w:type="character" w:customStyle="1" w:styleId="47">
    <w:name w:val="标题 4 字符"/>
    <w:basedOn w:val="35"/>
    <w:link w:val="12"/>
    <w:semiHidden/>
    <w:qFormat/>
    <w:uiPriority w:val="9"/>
    <w:rPr>
      <w:rFonts w:asciiTheme="majorHAnsi" w:hAnsiTheme="majorHAnsi" w:eastAsiaTheme="majorEastAsia" w:cstheme="majorBidi"/>
      <w:b/>
      <w:bCs/>
      <w:sz w:val="28"/>
      <w:szCs w:val="28"/>
    </w:rPr>
  </w:style>
  <w:style w:type="paragraph" w:customStyle="1" w:styleId="48">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49">
    <w:name w:val="BodyText"/>
    <w:basedOn w:val="1"/>
    <w:next w:val="1"/>
    <w:qFormat/>
    <w:uiPriority w:val="0"/>
    <w:pPr>
      <w:widowControl/>
      <w:spacing w:after="120"/>
      <w:jc w:val="left"/>
    </w:pPr>
    <w:rPr>
      <w:rFonts w:ascii="FuturaA Bk BT" w:hAnsi="FuturaA Bk BT" w:eastAsia="仿宋_GB2312"/>
      <w:kern w:val="0"/>
      <w:sz w:val="20"/>
    </w:rPr>
  </w:style>
  <w:style w:type="paragraph" w:customStyle="1" w:styleId="50">
    <w:name w:val="无间隔1"/>
    <w:qFormat/>
    <w:uiPriority w:val="0"/>
    <w:pPr>
      <w:widowControl w:val="0"/>
      <w:suppressAutoHyphens/>
      <w:jc w:val="both"/>
    </w:pPr>
    <w:rPr>
      <w:rFonts w:ascii="Times New Roman" w:hAnsi="Times New Roman" w:eastAsia="宋体" w:cs="Times New Roman"/>
      <w:kern w:val="1"/>
      <w:sz w:val="21"/>
      <w:szCs w:val="24"/>
      <w:lang w:val="en-US" w:eastAsia="ar-SA" w:bidi="ar-SA"/>
    </w:rPr>
  </w:style>
  <w:style w:type="paragraph" w:styleId="5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52">
    <w:name w:val="页眉 字符"/>
    <w:basedOn w:val="35"/>
    <w:link w:val="24"/>
    <w:semiHidden/>
    <w:qFormat/>
    <w:uiPriority w:val="99"/>
    <w:rPr>
      <w:sz w:val="18"/>
      <w:szCs w:val="18"/>
    </w:rPr>
  </w:style>
  <w:style w:type="character" w:customStyle="1" w:styleId="53">
    <w:name w:val="页脚 字符"/>
    <w:basedOn w:val="35"/>
    <w:link w:val="23"/>
    <w:qFormat/>
    <w:uiPriority w:val="99"/>
    <w:rPr>
      <w:sz w:val="18"/>
      <w:szCs w:val="18"/>
    </w:rPr>
  </w:style>
  <w:style w:type="character" w:customStyle="1" w:styleId="54">
    <w:name w:val="正文文本 字符"/>
    <w:basedOn w:val="35"/>
    <w:link w:val="2"/>
    <w:semiHidden/>
    <w:qFormat/>
    <w:uiPriority w:val="99"/>
    <w:rPr>
      <w:rFonts w:ascii="Times New Roman" w:hAnsi="Times New Roman" w:eastAsia="宋体" w:cs="Times New Roman"/>
      <w:sz w:val="24"/>
      <w:szCs w:val="24"/>
    </w:rPr>
  </w:style>
  <w:style w:type="character" w:customStyle="1" w:styleId="55">
    <w:name w:val="日期 字符"/>
    <w:basedOn w:val="35"/>
    <w:link w:val="20"/>
    <w:semiHidden/>
    <w:qFormat/>
    <w:uiPriority w:val="99"/>
    <w:rPr>
      <w:rFonts w:ascii="Times New Roman" w:hAnsi="Times New Roman" w:eastAsia="宋体" w:cs="Times New Roman"/>
      <w:sz w:val="24"/>
      <w:szCs w:val="24"/>
    </w:rPr>
  </w:style>
  <w:style w:type="paragraph" w:customStyle="1" w:styleId="56">
    <w:name w:val="列出段落1"/>
    <w:basedOn w:val="1"/>
    <w:qFormat/>
    <w:uiPriority w:val="34"/>
    <w:pPr>
      <w:ind w:firstLine="420"/>
    </w:pPr>
  </w:style>
  <w:style w:type="character" w:customStyle="1" w:styleId="57">
    <w:name w:val="文档结构图 字符"/>
    <w:basedOn w:val="35"/>
    <w:link w:val="16"/>
    <w:qFormat/>
    <w:uiPriority w:val="0"/>
    <w:rPr>
      <w:rFonts w:ascii="宋体" w:hAnsi="Calibri" w:eastAsia="宋体" w:cs="Times New Roman"/>
      <w:sz w:val="18"/>
      <w:szCs w:val="18"/>
    </w:rPr>
  </w:style>
  <w:style w:type="character" w:customStyle="1" w:styleId="58">
    <w:name w:val="bookmark-item"/>
    <w:basedOn w:val="35"/>
    <w:qFormat/>
    <w:uiPriority w:val="0"/>
  </w:style>
  <w:style w:type="character" w:customStyle="1" w:styleId="59">
    <w:name w:val="纯文本 Char"/>
    <w:basedOn w:val="35"/>
    <w:qFormat/>
    <w:uiPriority w:val="0"/>
    <w:rPr>
      <w:rFonts w:ascii="宋体" w:hAnsi="Courier New" w:eastAsia="宋体" w:cs="Courier New"/>
      <w:szCs w:val="21"/>
    </w:rPr>
  </w:style>
  <w:style w:type="character" w:customStyle="1" w:styleId="60">
    <w:name w:val="纯文本 字符1"/>
    <w:basedOn w:val="35"/>
    <w:link w:val="19"/>
    <w:qFormat/>
    <w:uiPriority w:val="99"/>
    <w:rPr>
      <w:rFonts w:ascii="宋体" w:hAnsi="Courier New" w:eastAsia="宋体" w:cs="Times New Roman"/>
      <w:szCs w:val="24"/>
    </w:rPr>
  </w:style>
  <w:style w:type="character" w:customStyle="1" w:styleId="61">
    <w:name w:val="纯文本 字符"/>
    <w:qFormat/>
    <w:uiPriority w:val="0"/>
    <w:rPr>
      <w:rFonts w:ascii="宋体" w:hAnsi="Courier New"/>
      <w:kern w:val="2"/>
      <w:sz w:val="21"/>
    </w:rPr>
  </w:style>
  <w:style w:type="character" w:customStyle="1" w:styleId="62">
    <w:name w:val="样式1 Char Char"/>
    <w:link w:val="63"/>
    <w:qFormat/>
    <w:uiPriority w:val="0"/>
    <w:rPr>
      <w:rFonts w:ascii="Arial" w:hAnsi="Arial"/>
      <w:szCs w:val="24"/>
    </w:rPr>
  </w:style>
  <w:style w:type="paragraph" w:customStyle="1" w:styleId="63">
    <w:name w:val="样式1"/>
    <w:basedOn w:val="1"/>
    <w:link w:val="62"/>
    <w:qFormat/>
    <w:uiPriority w:val="0"/>
    <w:pPr>
      <w:spacing w:line="360" w:lineRule="exact"/>
    </w:pPr>
    <w:rPr>
      <w:rFonts w:ascii="Arial" w:hAnsi="Arial" w:eastAsiaTheme="minorEastAsia" w:cstheme="minorBidi"/>
      <w:sz w:val="21"/>
    </w:rPr>
  </w:style>
  <w:style w:type="character" w:customStyle="1" w:styleId="64">
    <w:name w:val="正文文本缩进 3 Char1"/>
    <w:semiHidden/>
    <w:qFormat/>
    <w:uiPriority w:val="99"/>
    <w:rPr>
      <w:rFonts w:ascii="Times New Roman" w:hAnsi="Times New Roman" w:eastAsia="宋体" w:cs="Times New Roman"/>
      <w:sz w:val="16"/>
      <w:szCs w:val="16"/>
    </w:rPr>
  </w:style>
  <w:style w:type="character" w:customStyle="1" w:styleId="65">
    <w:name w:val="font71"/>
    <w:qFormat/>
    <w:uiPriority w:val="0"/>
    <w:rPr>
      <w:rFonts w:hint="eastAsia" w:ascii="宋体" w:hAnsi="宋体" w:eastAsia="宋体" w:cs="宋体"/>
      <w:b/>
      <w:color w:val="000000"/>
      <w:sz w:val="21"/>
      <w:szCs w:val="21"/>
      <w:u w:val="none"/>
    </w:rPr>
  </w:style>
  <w:style w:type="paragraph" w:customStyle="1" w:styleId="66">
    <w:name w:val="批注框文本1"/>
    <w:basedOn w:val="1"/>
    <w:qFormat/>
    <w:uiPriority w:val="0"/>
    <w:pPr>
      <w:spacing w:line="240" w:lineRule="auto"/>
      <w:ind w:firstLine="0" w:firstLineChars="0"/>
    </w:pPr>
    <w:rPr>
      <w:rFonts w:ascii="Calibri" w:hAnsi="Calibri"/>
      <w:sz w:val="18"/>
      <w:szCs w:val="18"/>
    </w:rPr>
  </w:style>
  <w:style w:type="character" w:customStyle="1" w:styleId="67">
    <w:name w:val="正文文本缩进 2 字符"/>
    <w:basedOn w:val="35"/>
    <w:link w:val="21"/>
    <w:semiHidden/>
    <w:qFormat/>
    <w:uiPriority w:val="99"/>
    <w:rPr>
      <w:rFonts w:ascii="Times New Roman" w:hAnsi="Times New Roman" w:eastAsia="宋体" w:cs="Times New Roman"/>
      <w:sz w:val="24"/>
      <w:szCs w:val="24"/>
    </w:rPr>
  </w:style>
  <w:style w:type="character" w:customStyle="1" w:styleId="68">
    <w:name w:val="正文文本缩进 3 字符"/>
    <w:basedOn w:val="35"/>
    <w:link w:val="28"/>
    <w:semiHidden/>
    <w:qFormat/>
    <w:uiPriority w:val="99"/>
    <w:rPr>
      <w:rFonts w:ascii="Times New Roman" w:hAnsi="Times New Roman" w:eastAsia="宋体" w:cs="Times New Roman"/>
      <w:sz w:val="16"/>
      <w:szCs w:val="16"/>
    </w:rPr>
  </w:style>
  <w:style w:type="paragraph" w:customStyle="1" w:styleId="69">
    <w:name w:val="表内文字"/>
    <w:basedOn w:val="1"/>
    <w:qFormat/>
    <w:uiPriority w:val="0"/>
    <w:pPr>
      <w:tabs>
        <w:tab w:val="left" w:pos="1418"/>
      </w:tabs>
      <w:spacing w:line="360" w:lineRule="auto"/>
      <w:ind w:firstLine="0" w:firstLineChars="0"/>
      <w:jc w:val="center"/>
    </w:pPr>
    <w:rPr>
      <w:rFonts w:hint="eastAsia" w:ascii="仿宋_GB2312" w:eastAsia="仿宋_GB2312"/>
      <w:spacing w:val="-20"/>
      <w:kern w:val="0"/>
    </w:rPr>
  </w:style>
  <w:style w:type="character" w:customStyle="1" w:styleId="70">
    <w:name w:val="gray s"/>
    <w:basedOn w:val="35"/>
    <w:qFormat/>
    <w:uiPriority w:val="0"/>
  </w:style>
  <w:style w:type="paragraph" w:customStyle="1" w:styleId="71">
    <w:name w:val="Proposals body"/>
    <w:basedOn w:val="1"/>
    <w:next w:val="1"/>
    <w:qFormat/>
    <w:uiPriority w:val="0"/>
    <w:pPr>
      <w:widowControl/>
      <w:adjustRightInd w:val="0"/>
      <w:snapToGrid w:val="0"/>
      <w:spacing w:after="200" w:line="360" w:lineRule="auto"/>
      <w:ind w:firstLine="0" w:firstLineChars="0"/>
      <w:jc w:val="left"/>
    </w:pPr>
    <w:rPr>
      <w:rFonts w:ascii="宋体" w:hAnsi="Tahoma" w:eastAsia="仿宋_GB2312"/>
      <w:snapToGrid w:val="0"/>
      <w:color w:val="000000"/>
      <w:kern w:val="0"/>
      <w:sz w:val="22"/>
      <w:szCs w:val="22"/>
    </w:rPr>
  </w:style>
  <w:style w:type="character" w:customStyle="1" w:styleId="72">
    <w:name w:val="gonggao-downline1"/>
    <w:qFormat/>
    <w:uiPriority w:val="0"/>
    <w:rPr>
      <w:b/>
      <w:u w:val="single"/>
    </w:rPr>
  </w:style>
  <w:style w:type="character" w:customStyle="1" w:styleId="73">
    <w:name w:val="font11"/>
    <w:basedOn w:val="35"/>
    <w:qFormat/>
    <w:uiPriority w:val="0"/>
    <w:rPr>
      <w:rFonts w:ascii="宋体" w:hAnsi="宋体" w:eastAsia="宋体" w:cs="宋体"/>
      <w:b/>
      <w:color w:val="000000"/>
      <w:sz w:val="20"/>
      <w:szCs w:val="20"/>
      <w:u w:val="none"/>
    </w:rPr>
  </w:style>
  <w:style w:type="character" w:customStyle="1" w:styleId="74">
    <w:name w:val="正文首行缩进 字符"/>
    <w:basedOn w:val="39"/>
    <w:link w:val="31"/>
    <w:semiHidden/>
    <w:qFormat/>
    <w:uiPriority w:val="99"/>
    <w:rPr>
      <w:rFonts w:ascii="Times New Roman" w:hAnsi="Times New Roman" w:eastAsia="宋体" w:cs="Times New Roman"/>
      <w:sz w:val="24"/>
      <w:szCs w:val="24"/>
    </w:rPr>
  </w:style>
  <w:style w:type="character" w:customStyle="1" w:styleId="75">
    <w:name w:val="font112"/>
    <w:qFormat/>
    <w:uiPriority w:val="0"/>
    <w:rPr>
      <w:rFonts w:hint="default" w:ascii="方正兰亭纤黑简体" w:hAnsi="方正兰亭纤黑简体" w:eastAsia="方正兰亭纤黑简体" w:cs="方正兰亭纤黑简体"/>
      <w:color w:val="000000"/>
      <w:sz w:val="22"/>
      <w:szCs w:val="22"/>
      <w:u w:val="none"/>
    </w:rPr>
  </w:style>
  <w:style w:type="character" w:customStyle="1" w:styleId="76">
    <w:name w:val="large1"/>
    <w:qFormat/>
    <w:uiPriority w:val="0"/>
    <w:rPr>
      <w:rFonts w:hint="eastAsia" w:ascii="宋体" w:hAnsi="宋体" w:eastAsia="宋体"/>
      <w:sz w:val="21"/>
      <w:szCs w:val="21"/>
    </w:rPr>
  </w:style>
  <w:style w:type="table" w:customStyle="1" w:styleId="77">
    <w:name w:val="TableGrid"/>
    <w:qFormat/>
    <w:uiPriority w:val="0"/>
    <w:tblPr>
      <w:tblCellMar>
        <w:top w:w="0" w:type="dxa"/>
        <w:left w:w="0" w:type="dxa"/>
        <w:bottom w:w="0" w:type="dxa"/>
        <w:right w:w="0" w:type="dxa"/>
      </w:tblCellMar>
    </w:tblPr>
  </w:style>
  <w:style w:type="character" w:customStyle="1" w:styleId="78">
    <w:name w:val="font81"/>
    <w:qFormat/>
    <w:uiPriority w:val="0"/>
    <w:rPr>
      <w:rFonts w:hint="eastAsia" w:ascii="宋体" w:hAnsi="宋体" w:eastAsia="宋体"/>
      <w:color w:val="000000"/>
      <w:sz w:val="21"/>
      <w:szCs w:val="21"/>
      <w:u w:val="none"/>
    </w:rPr>
  </w:style>
  <w:style w:type="character" w:customStyle="1" w:styleId="79">
    <w:name w:val="批注文字 Char Char"/>
    <w:qFormat/>
    <w:uiPriority w:val="0"/>
    <w:rPr>
      <w:kern w:val="2"/>
      <w:sz w:val="21"/>
      <w:szCs w:val="24"/>
    </w:rPr>
  </w:style>
  <w:style w:type="character" w:customStyle="1" w:styleId="80">
    <w:name w:val="标题 2 Char Char Char"/>
    <w:qFormat/>
    <w:uiPriority w:val="0"/>
    <w:rPr>
      <w:rFonts w:ascii="文鼎小标宋简" w:hAnsi="Times New Roman" w:eastAsia="文鼎小标宋简" w:cs="Times New Roman"/>
      <w:b/>
      <w:sz w:val="36"/>
      <w:lang w:val="en-US" w:eastAsia="zh-CN" w:bidi="ar-SA"/>
    </w:rPr>
  </w:style>
  <w:style w:type="character" w:customStyle="1" w:styleId="81">
    <w:name w:val="fontstyle01"/>
    <w:basedOn w:val="35"/>
    <w:qFormat/>
    <w:uiPriority w:val="0"/>
    <w:rPr>
      <w:rFonts w:hint="eastAsia" w:ascii="宋体" w:hAnsi="宋体" w:eastAsia="宋体" w:cs="Times New Roman"/>
      <w:color w:val="000000"/>
      <w:sz w:val="22"/>
      <w:szCs w:val="22"/>
    </w:rPr>
  </w:style>
  <w:style w:type="paragraph" w:customStyle="1" w:styleId="82">
    <w:name w:val="Table Paragraph"/>
    <w:basedOn w:val="1"/>
    <w:qFormat/>
    <w:uiPriority w:val="1"/>
    <w:rPr>
      <w:rFonts w:ascii="宋体" w:hAnsi="宋体" w:cs="宋体"/>
    </w:rPr>
  </w:style>
  <w:style w:type="character" w:customStyle="1" w:styleId="83">
    <w:name w:val="批注框文本 字符"/>
    <w:basedOn w:val="35"/>
    <w:link w:val="22"/>
    <w:semiHidden/>
    <w:qFormat/>
    <w:uiPriority w:val="99"/>
    <w:rPr>
      <w:kern w:val="2"/>
      <w:sz w:val="18"/>
      <w:szCs w:val="18"/>
    </w:rPr>
  </w:style>
  <w:style w:type="character" w:customStyle="1" w:styleId="84">
    <w:name w:val="font51"/>
    <w:basedOn w:val="35"/>
    <w:qFormat/>
    <w:uiPriority w:val="0"/>
    <w:rPr>
      <w:rFonts w:hint="eastAsia" w:ascii="宋体" w:hAnsi="宋体" w:eastAsia="宋体" w:cs="宋体"/>
      <w:color w:val="000000"/>
      <w:sz w:val="32"/>
      <w:szCs w:val="32"/>
      <w:u w:val="none"/>
    </w:rPr>
  </w:style>
  <w:style w:type="character" w:customStyle="1" w:styleId="85">
    <w:name w:val="font91"/>
    <w:basedOn w:val="35"/>
    <w:qFormat/>
    <w:uiPriority w:val="0"/>
    <w:rPr>
      <w:rFonts w:hint="eastAsia" w:ascii="宋体" w:hAnsi="宋体" w:eastAsia="宋体" w:cs="宋体"/>
      <w:color w:val="000000"/>
      <w:sz w:val="32"/>
      <w:szCs w:val="32"/>
      <w:u w:val="none"/>
    </w:rPr>
  </w:style>
  <w:style w:type="character" w:customStyle="1" w:styleId="86">
    <w:name w:val="font101"/>
    <w:basedOn w:val="35"/>
    <w:qFormat/>
    <w:uiPriority w:val="0"/>
    <w:rPr>
      <w:rFonts w:hint="eastAsia" w:ascii="宋体" w:hAnsi="宋体" w:eastAsia="宋体" w:cs="宋体"/>
      <w:color w:val="FF0000"/>
      <w:sz w:val="32"/>
      <w:szCs w:val="32"/>
      <w:u w:val="none"/>
    </w:rPr>
  </w:style>
  <w:style w:type="character" w:customStyle="1" w:styleId="87">
    <w:name w:val="font111"/>
    <w:basedOn w:val="35"/>
    <w:qFormat/>
    <w:uiPriority w:val="0"/>
    <w:rPr>
      <w:rFonts w:hint="eastAsia" w:ascii="宋体" w:hAnsi="宋体" w:eastAsia="宋体" w:cs="宋体"/>
      <w:color w:val="000000"/>
      <w:sz w:val="21"/>
      <w:szCs w:val="21"/>
      <w:u w:val="none"/>
    </w:rPr>
  </w:style>
  <w:style w:type="character" w:customStyle="1" w:styleId="88">
    <w:name w:val="font122"/>
    <w:basedOn w:val="35"/>
    <w:qFormat/>
    <w:uiPriority w:val="0"/>
    <w:rPr>
      <w:rFonts w:hint="default" w:ascii="Times New Roman" w:hAnsi="Times New Roman" w:cs="Times New Roman"/>
      <w:color w:val="000000"/>
      <w:sz w:val="32"/>
      <w:szCs w:val="32"/>
      <w:u w:val="none"/>
    </w:rPr>
  </w:style>
  <w:style w:type="character" w:customStyle="1" w:styleId="89">
    <w:name w:val="font131"/>
    <w:basedOn w:val="35"/>
    <w:qFormat/>
    <w:uiPriority w:val="0"/>
    <w:rPr>
      <w:rFonts w:hint="default" w:ascii="Times New Roman" w:hAnsi="Times New Roman" w:cs="Times New Roman"/>
      <w:color w:val="000000"/>
      <w:sz w:val="21"/>
      <w:szCs w:val="21"/>
      <w:u w:val="none"/>
    </w:rPr>
  </w:style>
  <w:style w:type="character" w:customStyle="1" w:styleId="90">
    <w:name w:val="font141"/>
    <w:basedOn w:val="35"/>
    <w:qFormat/>
    <w:uiPriority w:val="0"/>
    <w:rPr>
      <w:rFonts w:hint="default" w:ascii="Times New Roman" w:hAnsi="Times New Roman" w:cs="Times New Roman"/>
      <w:color w:val="000000"/>
      <w:sz w:val="21"/>
      <w:szCs w:val="21"/>
      <w:u w:val="none"/>
    </w:rPr>
  </w:style>
  <w:style w:type="character" w:customStyle="1" w:styleId="91">
    <w:name w:val="font161"/>
    <w:basedOn w:val="35"/>
    <w:qFormat/>
    <w:uiPriority w:val="0"/>
    <w:rPr>
      <w:rFonts w:hint="eastAsia" w:ascii="宋体" w:hAnsi="宋体" w:eastAsia="宋体" w:cs="宋体"/>
      <w:color w:val="003366"/>
      <w:sz w:val="21"/>
      <w:szCs w:val="21"/>
      <w:u w:val="none"/>
    </w:rPr>
  </w:style>
  <w:style w:type="character" w:customStyle="1" w:styleId="92">
    <w:name w:val="font151"/>
    <w:basedOn w:val="35"/>
    <w:qFormat/>
    <w:uiPriority w:val="0"/>
    <w:rPr>
      <w:rFonts w:hint="default" w:ascii="Times New Roman" w:hAnsi="Times New Roman" w:cs="Times New Roman"/>
      <w:color w:val="000000"/>
      <w:sz w:val="32"/>
      <w:szCs w:val="32"/>
      <w:u w:val="none"/>
    </w:rPr>
  </w:style>
  <w:style w:type="character" w:customStyle="1" w:styleId="93">
    <w:name w:val="font121"/>
    <w:basedOn w:val="35"/>
    <w:qFormat/>
    <w:uiPriority w:val="0"/>
    <w:rPr>
      <w:rFonts w:hint="eastAsia" w:ascii="宋体" w:hAnsi="宋体" w:eastAsia="宋体" w:cs="宋体"/>
      <w:color w:val="FF0000"/>
      <w:sz w:val="32"/>
      <w:szCs w:val="32"/>
      <w:u w:val="none"/>
    </w:rPr>
  </w:style>
  <w:style w:type="character" w:customStyle="1" w:styleId="94">
    <w:name w:val="font31"/>
    <w:basedOn w:val="35"/>
    <w:qFormat/>
    <w:uiPriority w:val="0"/>
    <w:rPr>
      <w:rFonts w:hint="eastAsia" w:ascii="宋体" w:hAnsi="宋体" w:eastAsia="宋体" w:cs="宋体"/>
      <w:color w:val="003366"/>
      <w:sz w:val="21"/>
      <w:szCs w:val="21"/>
      <w:u w:val="none"/>
    </w:rPr>
  </w:style>
  <w:style w:type="paragraph" w:customStyle="1" w:styleId="95">
    <w:name w:val="Body A"/>
    <w:qFormat/>
    <w:uiPriority w:val="0"/>
    <w:pPr>
      <w:spacing w:line="360" w:lineRule="auto"/>
    </w:pPr>
    <w:rPr>
      <w:rFonts w:ascii="Times New Roman" w:hAnsi="Times New Roman" w:eastAsia="Times New Roman" w:cs="Times New Roman"/>
      <w:color w:val="000000"/>
      <w:sz w:val="28"/>
      <w:szCs w:val="28"/>
      <w:u w:color="000000"/>
      <w:lang w:val="en-US" w:eastAsia="zh-CN" w:bidi="ar-SA"/>
    </w:rPr>
  </w:style>
  <w:style w:type="table" w:customStyle="1" w:styleId="96">
    <w:name w:val="网格型1"/>
    <w:basedOn w:val="3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97">
    <w:name w:val="样式6"/>
    <w:basedOn w:val="19"/>
    <w:qFormat/>
    <w:uiPriority w:val="0"/>
    <w:pPr>
      <w:adjustRightInd w:val="0"/>
      <w:spacing w:line="460" w:lineRule="exact"/>
      <w:outlineLvl w:val="2"/>
    </w:pPr>
    <w:rPr>
      <w:rFonts w:ascii="仿宋_GB2312" w:hAnsi="宋体" w:eastAsia="仿宋_GB2312"/>
      <w:b/>
      <w:bCs/>
      <w:sz w:val="24"/>
    </w:rPr>
  </w:style>
  <w:style w:type="paragraph" w:styleId="98">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887574-1727-4611-AD91-107E7C08E5F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54</Pages>
  <Words>24010</Words>
  <Characters>25621</Characters>
  <Lines>242</Lines>
  <Paragraphs>68</Paragraphs>
  <TotalTime>4</TotalTime>
  <ScaleCrop>false</ScaleCrop>
  <LinksUpToDate>false</LinksUpToDate>
  <CharactersWithSpaces>26501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2021-04-27T16:27:00Z</dcterms:created>
  <dc:creator>JM</dc:creator>
  <cp:lastModifiedBy>Administrator</cp:lastModifiedBy>
  <cp:lastPrinted>2023-03-10T11:12:00Z</cp:lastPrinted>
  <dcterms:modified xsi:type="dcterms:W3CDTF">2024-09-19T07:01:34Z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AD7B6ACA59D24752912DB2F259EEE338</vt:lpwstr>
  </property>
  <property fmtid="{D5CDD505-2E9C-101B-9397-08002B2CF9AE}" pid="4" name="commondata">
    <vt:lpwstr>eyJoZGlkIjoiNTgzMzFmYzEwMGEwYzNjNzhmY2ZhZTJiMTZhZDFkN2EifQ==</vt:lpwstr>
  </property>
</Properties>
</file>