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firstLine="0"/>
        <w:rPr>
          <w:rFonts w:hint="eastAsia" w:ascii="宋体" w:hAnsi="宋体" w:cs="宋体"/>
          <w:color w:val="auto"/>
          <w:highlight w:val="none"/>
        </w:rPr>
      </w:pPr>
      <w:r>
        <w:rPr>
          <w:rFonts w:hint="eastAsia" w:ascii="宋体" w:hAnsi="宋体" w:cs="宋体"/>
          <w:b/>
          <w:color w:val="auto"/>
          <w:sz w:val="28"/>
          <w:szCs w:val="28"/>
          <w:highlight w:val="none"/>
        </w:rPr>
        <w:t xml:space="preserve"> </w:t>
      </w:r>
    </w:p>
    <w:p>
      <w:pPr>
        <w:spacing w:before="600" w:beforeLines="250" w:line="240" w:lineRule="auto"/>
        <w:ind w:left="0" w:firstLine="0"/>
        <w:jc w:val="center"/>
        <w:rPr>
          <w:rFonts w:hint="eastAsia" w:ascii="宋体" w:hAnsi="宋体" w:cs="宋体"/>
          <w:b/>
          <w:color w:val="auto"/>
          <w:sz w:val="20"/>
          <w:highlight w:val="none"/>
        </w:rPr>
      </w:pPr>
    </w:p>
    <w:p>
      <w:pPr>
        <w:spacing w:line="240" w:lineRule="auto"/>
        <w:ind w:left="0" w:firstLine="0"/>
        <w:jc w:val="center"/>
        <w:rPr>
          <w:rFonts w:hint="eastAsia" w:ascii="宋体" w:hAnsi="宋体" w:cs="宋体"/>
          <w:b/>
          <w:color w:val="auto"/>
          <w:sz w:val="56"/>
          <w:szCs w:val="56"/>
          <w:highlight w:val="none"/>
        </w:rPr>
      </w:pPr>
    </w:p>
    <w:p>
      <w:pPr>
        <w:spacing w:line="240" w:lineRule="auto"/>
        <w:ind w:left="0" w:firstLine="0"/>
        <w:rPr>
          <w:rFonts w:hint="eastAsia" w:ascii="宋体" w:hAnsi="宋体" w:cs="宋体"/>
          <w:b/>
          <w:color w:val="auto"/>
          <w:sz w:val="56"/>
          <w:szCs w:val="56"/>
          <w:highlight w:val="none"/>
        </w:rPr>
      </w:pPr>
    </w:p>
    <w:p>
      <w:pPr>
        <w:spacing w:line="240" w:lineRule="auto"/>
        <w:ind w:left="0" w:firstLine="0"/>
        <w:jc w:val="center"/>
        <w:rPr>
          <w:rFonts w:hint="eastAsia" w:ascii="宋体" w:hAnsi="宋体" w:eastAsia="宋体" w:cs="宋体"/>
          <w:b/>
          <w:color w:val="auto"/>
          <w:sz w:val="56"/>
          <w:szCs w:val="56"/>
          <w:highlight w:val="none"/>
          <w:lang w:eastAsia="zh-CN"/>
        </w:rPr>
      </w:pPr>
      <w:r>
        <w:rPr>
          <w:rFonts w:hint="eastAsia" w:ascii="宋体" w:hAnsi="宋体" w:cs="宋体"/>
          <w:b/>
          <w:color w:val="auto"/>
          <w:sz w:val="56"/>
          <w:szCs w:val="56"/>
          <w:highlight w:val="none"/>
          <w:lang w:eastAsia="zh-CN"/>
        </w:rPr>
        <w:t>2024“宋韵儒风 南孔琴韵”第三届“敦煌杯”古琴室内乐新作品展演活动</w:t>
      </w:r>
    </w:p>
    <w:p>
      <w:pPr>
        <w:spacing w:before="480" w:beforeLines="200" w:line="240" w:lineRule="auto"/>
        <w:ind w:left="0" w:firstLine="0"/>
        <w:jc w:val="center"/>
        <w:rPr>
          <w:rFonts w:hint="eastAsia" w:ascii="宋体" w:hAnsi="宋体" w:cs="宋体"/>
          <w:b/>
          <w:color w:val="auto"/>
          <w:sz w:val="28"/>
          <w:szCs w:val="28"/>
          <w:highlight w:val="none"/>
        </w:rPr>
      </w:pPr>
    </w:p>
    <w:p>
      <w:pPr>
        <w:spacing w:before="600" w:beforeLines="250" w:line="240" w:lineRule="auto"/>
        <w:ind w:left="0" w:firstLine="0"/>
        <w:jc w:val="center"/>
        <w:rPr>
          <w:rFonts w:hint="eastAsia" w:ascii="宋体" w:hAnsi="宋体" w:cs="宋体"/>
          <w:b/>
          <w:color w:val="auto"/>
          <w:sz w:val="96"/>
          <w:szCs w:val="96"/>
          <w:highlight w:val="none"/>
        </w:rPr>
      </w:pPr>
      <w:r>
        <w:rPr>
          <w:rFonts w:hint="eastAsia" w:ascii="宋体" w:hAnsi="宋体" w:cs="宋体"/>
          <w:b/>
          <w:color w:val="auto"/>
          <w:sz w:val="72"/>
          <w:szCs w:val="72"/>
          <w:highlight w:val="none"/>
        </w:rPr>
        <w:t>竞争性磋商文件</w:t>
      </w:r>
    </w:p>
    <w:p>
      <w:pPr>
        <w:spacing w:line="600" w:lineRule="auto"/>
        <w:ind w:left="0" w:firstLine="0"/>
        <w:jc w:val="center"/>
        <w:rPr>
          <w:rFonts w:hint="eastAsia" w:ascii="宋体" w:hAnsi="宋体" w:cs="宋体"/>
          <w:b/>
          <w:color w:val="auto"/>
          <w:sz w:val="32"/>
          <w:szCs w:val="32"/>
          <w:highlight w:val="none"/>
        </w:rPr>
      </w:pPr>
    </w:p>
    <w:p>
      <w:pPr>
        <w:spacing w:line="600" w:lineRule="auto"/>
        <w:ind w:left="0" w:firstLine="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QZGZ2024015CS</w:t>
      </w:r>
      <w:r>
        <w:rPr>
          <w:rFonts w:hint="eastAsia" w:ascii="宋体" w:hAnsi="宋体" w:cs="宋体"/>
          <w:b/>
          <w:color w:val="auto"/>
          <w:sz w:val="32"/>
          <w:szCs w:val="32"/>
          <w:highlight w:val="none"/>
        </w:rPr>
        <w:t>）</w:t>
      </w:r>
    </w:p>
    <w:p>
      <w:pPr>
        <w:spacing w:line="720" w:lineRule="auto"/>
        <w:ind w:left="0" w:leftChars="0" w:firstLine="0" w:firstLineChars="0"/>
        <w:jc w:val="both"/>
        <w:rPr>
          <w:rFonts w:hint="eastAsia" w:ascii="宋体" w:hAnsi="宋体" w:cs="宋体"/>
          <w:b/>
          <w:color w:val="auto"/>
          <w:sz w:val="36"/>
          <w:szCs w:val="36"/>
          <w:highlight w:val="none"/>
          <w:lang w:eastAsia="zh-CN"/>
        </w:rPr>
      </w:pPr>
    </w:p>
    <w:p>
      <w:pPr>
        <w:spacing w:line="720" w:lineRule="auto"/>
        <w:ind w:left="485" w:leftChars="100" w:hanging="275" w:hangingChars="76"/>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lang w:eastAsia="zh-CN"/>
        </w:rPr>
        <w:t>中共衢州市委宣传部</w:t>
      </w:r>
    </w:p>
    <w:p>
      <w:pPr>
        <w:spacing w:line="720" w:lineRule="auto"/>
        <w:ind w:left="485" w:leftChars="100" w:hanging="275" w:hangingChars="76"/>
        <w:jc w:val="center"/>
        <w:rPr>
          <w:rFonts w:hint="eastAsia" w:ascii="宋体" w:hAnsi="宋体" w:cs="宋体"/>
          <w:b/>
          <w:bCs/>
          <w:color w:val="auto"/>
          <w:sz w:val="36"/>
          <w:szCs w:val="36"/>
          <w:highlight w:val="none"/>
        </w:rPr>
      </w:pPr>
      <w:r>
        <w:rPr>
          <w:rFonts w:hint="eastAsia" w:ascii="宋体" w:hAnsi="宋体" w:cs="宋体"/>
          <w:b/>
          <w:color w:val="auto"/>
          <w:sz w:val="36"/>
          <w:szCs w:val="36"/>
          <w:highlight w:val="none"/>
        </w:rPr>
        <w:t>衢州广泽商务秘书有限责任公司</w:t>
      </w:r>
    </w:p>
    <w:p>
      <w:pPr>
        <w:pStyle w:val="18"/>
        <w:tabs>
          <w:tab w:val="right" w:leader="dot" w:pos="9496"/>
        </w:tabs>
        <w:spacing w:before="240" w:beforeLines="100" w:after="120" w:afterLines="50" w:line="360" w:lineRule="auto"/>
        <w:jc w:val="center"/>
        <w:rPr>
          <w:rFonts w:hint="eastAsia" w:ascii="宋体" w:hAnsi="宋体" w:cs="宋体"/>
          <w:color w:val="auto"/>
          <w:highlight w:val="none"/>
        </w:rPr>
      </w:pPr>
      <w:r>
        <w:rPr>
          <w:rFonts w:hint="eastAsia" w:ascii="宋体" w:hAnsi="宋体" w:cs="宋体"/>
          <w:b/>
          <w:bCs/>
          <w:color w:val="auto"/>
          <w:sz w:val="36"/>
          <w:szCs w:val="36"/>
          <w:highlight w:val="none"/>
        </w:rPr>
        <w:t>二〇二四年</w:t>
      </w:r>
      <w:r>
        <w:rPr>
          <w:rFonts w:hint="eastAsia" w:ascii="宋体" w:hAnsi="宋体" w:cs="宋体"/>
          <w:b/>
          <w:bCs/>
          <w:color w:val="auto"/>
          <w:sz w:val="36"/>
          <w:szCs w:val="36"/>
          <w:highlight w:val="none"/>
          <w:lang w:val="en-US" w:eastAsia="zh-CN"/>
        </w:rPr>
        <w:t>六</w:t>
      </w:r>
      <w:r>
        <w:rPr>
          <w:rFonts w:hint="eastAsia" w:ascii="宋体" w:hAnsi="宋体" w:cs="宋体"/>
          <w:b/>
          <w:bCs/>
          <w:color w:val="auto"/>
          <w:sz w:val="36"/>
          <w:szCs w:val="36"/>
          <w:highlight w:val="none"/>
        </w:rPr>
        <w:t>月</w:t>
      </w:r>
      <w:bookmarkStart w:id="0" w:name="_Toc18615"/>
      <w:bookmarkStart w:id="1" w:name="_Toc21057"/>
      <w:bookmarkStart w:id="2" w:name="_Toc17787"/>
      <w:r>
        <w:rPr>
          <w:rFonts w:hint="eastAsia" w:ascii="宋体" w:hAnsi="宋体" w:cs="宋体"/>
          <w:b/>
          <w:bCs/>
          <w:color w:val="auto"/>
          <w:sz w:val="36"/>
          <w:szCs w:val="36"/>
          <w:highlight w:val="none"/>
          <w:lang w:val="zh-CN"/>
        </w:rPr>
        <w:br w:type="page"/>
      </w:r>
      <w:r>
        <w:rPr>
          <w:rFonts w:hint="eastAsia" w:ascii="宋体" w:hAnsi="宋体" w:cs="宋体"/>
          <w:b/>
          <w:bCs/>
          <w:color w:val="auto"/>
          <w:sz w:val="36"/>
          <w:szCs w:val="36"/>
          <w:highlight w:val="none"/>
          <w:lang w:val="zh-CN"/>
        </w:rPr>
        <w:t>目</w:t>
      </w:r>
      <w:r>
        <w:rPr>
          <w:rFonts w:hint="eastAsia" w:ascii="宋体" w:hAnsi="宋体" w:cs="宋体"/>
          <w:b/>
          <w:bCs/>
          <w:color w:val="auto"/>
          <w:sz w:val="36"/>
          <w:szCs w:val="36"/>
          <w:highlight w:val="none"/>
        </w:rPr>
        <w:t xml:space="preserve"> </w:t>
      </w:r>
      <w:r>
        <w:rPr>
          <w:rFonts w:hint="eastAsia" w:ascii="宋体" w:hAnsi="宋体" w:cs="宋体"/>
          <w:b/>
          <w:bCs/>
          <w:color w:val="auto"/>
          <w:sz w:val="36"/>
          <w:szCs w:val="36"/>
          <w:highlight w:val="none"/>
          <w:lang w:val="zh-CN"/>
        </w:rPr>
        <w:t xml:space="preserve"> 录</w:t>
      </w:r>
      <w:bookmarkEnd w:id="0"/>
      <w:bookmarkEnd w:id="1"/>
      <w:bookmarkEnd w:id="2"/>
      <w:r>
        <w:rPr>
          <w:rFonts w:hint="eastAsia" w:ascii="宋体" w:hAnsi="宋体" w:cs="宋体"/>
          <w:b/>
          <w:bCs/>
          <w:caps/>
          <w:color w:val="auto"/>
          <w:sz w:val="21"/>
          <w:szCs w:val="22"/>
          <w:highlight w:val="none"/>
        </w:rPr>
        <w:fldChar w:fldCharType="begin"/>
      </w:r>
      <w:r>
        <w:rPr>
          <w:rFonts w:hint="eastAsia" w:ascii="宋体" w:hAnsi="宋体" w:cs="宋体"/>
          <w:b/>
          <w:bCs/>
          <w:caps/>
          <w:color w:val="auto"/>
          <w:sz w:val="21"/>
          <w:szCs w:val="22"/>
          <w:highlight w:val="none"/>
        </w:rPr>
        <w:instrText xml:space="preserve">TOC \o "1-2" \h \u </w:instrText>
      </w:r>
      <w:r>
        <w:rPr>
          <w:rFonts w:hint="eastAsia" w:ascii="宋体" w:hAnsi="宋体" w:cs="宋体"/>
          <w:b/>
          <w:bCs/>
          <w:caps/>
          <w:color w:val="auto"/>
          <w:sz w:val="21"/>
          <w:szCs w:val="22"/>
          <w:highlight w:val="none"/>
        </w:rPr>
        <w:fldChar w:fldCharType="separate"/>
      </w:r>
    </w:p>
    <w:p>
      <w:pPr>
        <w:pStyle w:val="11"/>
        <w:tabs>
          <w:tab w:val="right" w:leader="dot" w:pos="9486"/>
        </w:tabs>
        <w:spacing w:before="120" w:beforeLines="50" w:after="120" w:afterLines="50"/>
        <w:ind w:hanging="567"/>
        <w:rPr>
          <w:rFonts w:hint="eastAsia" w:ascii="宋体" w:hAnsi="宋体" w:cs="宋体"/>
          <w:b w:val="0"/>
          <w:bCs w:val="0"/>
          <w: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"_Toc51872067"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第一章  竞争性磋商公告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_Toc51872067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1"/>
        <w:tabs>
          <w:tab w:val="right" w:leader="dot" w:pos="9486"/>
        </w:tabs>
        <w:spacing w:before="120" w:beforeLines="50" w:after="120" w:afterLines="50"/>
        <w:ind w:hanging="567"/>
        <w:rPr>
          <w:rFonts w:hint="eastAsia" w:ascii="宋体" w:hAnsi="宋体" w:cs="宋体"/>
          <w:b w:val="0"/>
          <w:bCs w:val="0"/>
          <w: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"_Toc51872081"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xml:space="preserve">第二章  </w:t>
      </w:r>
      <w:bookmarkStart w:id="3" w:name="_Hlt60657998"/>
      <w:r>
        <w:rPr>
          <w:rFonts w:hint="eastAsia" w:ascii="宋体" w:hAnsi="宋体" w:cs="宋体"/>
          <w:color w:val="auto"/>
          <w:sz w:val="24"/>
          <w:szCs w:val="24"/>
          <w:highlight w:val="none"/>
        </w:rPr>
        <w:t>磋</w:t>
      </w:r>
      <w:bookmarkEnd w:id="3"/>
      <w:r>
        <w:rPr>
          <w:rFonts w:hint="eastAsia" w:ascii="宋体" w:hAnsi="宋体" w:cs="宋体"/>
          <w:color w:val="auto"/>
          <w:sz w:val="24"/>
          <w:szCs w:val="24"/>
          <w:highlight w:val="none"/>
        </w:rPr>
        <w:t>商须</w:t>
      </w:r>
      <w:bookmarkStart w:id="4" w:name="_Hlt51872172"/>
      <w:r>
        <w:rPr>
          <w:rFonts w:hint="eastAsia" w:ascii="宋体" w:hAnsi="宋体" w:cs="宋体"/>
          <w:color w:val="auto"/>
          <w:sz w:val="24"/>
          <w:szCs w:val="24"/>
          <w:highlight w:val="none"/>
        </w:rPr>
        <w:t>知</w:t>
      </w:r>
      <w:bookmarkEnd w:id="4"/>
      <w:r>
        <w:rPr>
          <w:rFonts w:hint="eastAsia" w:ascii="宋体" w:hAnsi="宋体" w:cs="宋体"/>
          <w:color w:val="auto"/>
          <w:sz w:val="24"/>
          <w:szCs w:val="24"/>
          <w:highlight w:val="none"/>
        </w:rPr>
        <w:t>前附表及磋商须知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_Toc51872081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3"/>
        <w:tabs>
          <w:tab w:val="right" w:leader="dot" w:pos="9486"/>
        </w:tabs>
        <w:spacing w:before="120" w:beforeLines="50" w:after="120" w:afterLines="50"/>
        <w:ind w:left="777" w:right="210" w:hanging="567"/>
        <w:rPr>
          <w:rFonts w:hint="eastAsia" w:ascii="宋体" w:hAnsi="宋体" w:cs="宋体"/>
          <w:small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"_Toc51872082"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一、磋</w:t>
      </w:r>
      <w:bookmarkStart w:id="5" w:name="_Hlt59130989"/>
      <w:r>
        <w:rPr>
          <w:rFonts w:hint="eastAsia" w:ascii="宋体" w:hAnsi="宋体" w:cs="宋体"/>
          <w:color w:val="auto"/>
          <w:sz w:val="24"/>
          <w:szCs w:val="24"/>
          <w:highlight w:val="none"/>
        </w:rPr>
        <w:t>商</w:t>
      </w:r>
      <w:bookmarkEnd w:id="5"/>
      <w:r>
        <w:rPr>
          <w:rFonts w:hint="eastAsia" w:ascii="宋体" w:hAnsi="宋体" w:cs="宋体"/>
          <w:color w:val="auto"/>
          <w:sz w:val="24"/>
          <w:szCs w:val="24"/>
          <w:highlight w:val="none"/>
        </w:rPr>
        <w:t>须知前附表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_Toc51872082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3"/>
        <w:tabs>
          <w:tab w:val="right" w:leader="dot" w:pos="9486"/>
        </w:tabs>
        <w:spacing w:before="120" w:beforeLines="50" w:after="120" w:afterLines="50"/>
        <w:ind w:left="777" w:right="210" w:hanging="567"/>
        <w:rPr>
          <w:rFonts w:hint="eastAsia" w:ascii="宋体" w:hAnsi="宋体" w:cs="宋体"/>
          <w:small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"_Toc51872084"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二、磋商须</w:t>
      </w:r>
      <w:bookmarkStart w:id="6" w:name="_Hlt61889026"/>
      <w:r>
        <w:rPr>
          <w:rFonts w:hint="eastAsia" w:ascii="宋体" w:hAnsi="宋体" w:cs="宋体"/>
          <w:color w:val="auto"/>
          <w:sz w:val="24"/>
          <w:szCs w:val="24"/>
          <w:highlight w:val="none"/>
        </w:rPr>
        <w:t>知</w:t>
      </w:r>
      <w:bookmarkEnd w:id="6"/>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_Toc51872084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1"/>
        <w:tabs>
          <w:tab w:val="right" w:leader="dot" w:pos="9486"/>
        </w:tabs>
        <w:spacing w:before="120" w:beforeLines="50" w:after="120" w:afterLines="50"/>
        <w:ind w:hanging="567"/>
        <w:rPr>
          <w:rFonts w:hint="eastAsia" w:ascii="宋体" w:hAnsi="宋体" w:cs="宋体"/>
          <w:b w:val="0"/>
          <w:bCs w:val="0"/>
          <w: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"_Toc51872085"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第三章  采购</w:t>
      </w:r>
      <w:bookmarkStart w:id="7" w:name="_Hlt58075970"/>
      <w:bookmarkStart w:id="8" w:name="_Hlt58075969"/>
      <w:r>
        <w:rPr>
          <w:rFonts w:hint="eastAsia" w:ascii="宋体" w:hAnsi="宋体" w:cs="宋体"/>
          <w:color w:val="auto"/>
          <w:sz w:val="24"/>
          <w:szCs w:val="24"/>
          <w:highlight w:val="none"/>
        </w:rPr>
        <w:t>内</w:t>
      </w:r>
      <w:bookmarkEnd w:id="7"/>
      <w:bookmarkEnd w:id="8"/>
      <w:bookmarkStart w:id="9" w:name="_Hlt58760357"/>
      <w:bookmarkStart w:id="10" w:name="_Hlt58760356"/>
      <w:r>
        <w:rPr>
          <w:rFonts w:hint="eastAsia" w:ascii="宋体" w:hAnsi="宋体" w:cs="宋体"/>
          <w:color w:val="auto"/>
          <w:sz w:val="24"/>
          <w:szCs w:val="24"/>
          <w:highlight w:val="none"/>
        </w:rPr>
        <w:t>容</w:t>
      </w:r>
      <w:bookmarkEnd w:id="9"/>
      <w:bookmarkEnd w:id="10"/>
      <w:bookmarkStart w:id="11" w:name="_Hlt59721766"/>
      <w:bookmarkStart w:id="12" w:name="_Hlt59721765"/>
      <w:r>
        <w:rPr>
          <w:rFonts w:hint="eastAsia" w:ascii="宋体" w:hAnsi="宋体" w:cs="宋体"/>
          <w:color w:val="auto"/>
          <w:sz w:val="24"/>
          <w:szCs w:val="24"/>
          <w:highlight w:val="none"/>
        </w:rPr>
        <w:t>及</w:t>
      </w:r>
      <w:bookmarkEnd w:id="11"/>
      <w:bookmarkEnd w:id="12"/>
      <w:r>
        <w:rPr>
          <w:rFonts w:hint="eastAsia" w:ascii="宋体" w:hAnsi="宋体" w:cs="宋体"/>
          <w:color w:val="auto"/>
          <w:sz w:val="24"/>
          <w:szCs w:val="24"/>
          <w:highlight w:val="none"/>
        </w:rPr>
        <w:t>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_Toc51872085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1"/>
        <w:tabs>
          <w:tab w:val="right" w:leader="dot" w:pos="9486"/>
        </w:tabs>
        <w:spacing w:before="120" w:beforeLines="50" w:after="120" w:afterLines="50"/>
        <w:ind w:hanging="567"/>
        <w:rPr>
          <w:rFonts w:hint="eastAsia" w:ascii="宋体" w:hAnsi="宋体" w:cs="宋体"/>
          <w:b w:val="0"/>
          <w:bCs w:val="0"/>
          <w: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"_Toc51872088"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第四章  合同的主要</w:t>
      </w:r>
      <w:bookmarkStart w:id="13" w:name="_Hlt60658004"/>
      <w:r>
        <w:rPr>
          <w:rFonts w:hint="eastAsia" w:ascii="宋体" w:hAnsi="宋体" w:cs="宋体"/>
          <w:color w:val="auto"/>
          <w:sz w:val="24"/>
          <w:szCs w:val="24"/>
          <w:highlight w:val="none"/>
        </w:rPr>
        <w:t>条</w:t>
      </w:r>
      <w:bookmarkEnd w:id="13"/>
      <w:r>
        <w:rPr>
          <w:rFonts w:hint="eastAsia" w:ascii="宋体" w:hAnsi="宋体" w:cs="宋体"/>
          <w:color w:val="auto"/>
          <w:sz w:val="24"/>
          <w:szCs w:val="24"/>
          <w:highlight w:val="none"/>
        </w:rPr>
        <w:t>款</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_Toc51872088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1"/>
        <w:tabs>
          <w:tab w:val="right" w:leader="dot" w:pos="9486"/>
        </w:tabs>
        <w:spacing w:before="120" w:beforeLines="50" w:after="120" w:afterLines="50"/>
        <w:ind w:hanging="567"/>
        <w:rPr>
          <w:rFonts w:hint="eastAsia" w:ascii="宋体" w:hAnsi="宋体" w:cs="宋体"/>
          <w:b w:val="0"/>
          <w:bCs w:val="0"/>
          <w: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"_Toc51872090"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第五章  磋商办法及评分标准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_Toc51872090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val="en-US" w:eastAsia="zh-CN"/>
        </w:rPr>
        <w:t>36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3"/>
        <w:tabs>
          <w:tab w:val="right" w:leader="dot" w:pos="9486"/>
        </w:tabs>
        <w:spacing w:before="120" w:beforeLines="50" w:after="120" w:afterLines="50"/>
        <w:ind w:left="777" w:right="210" w:hanging="567"/>
        <w:rPr>
          <w:rFonts w:hint="eastAsia" w:ascii="宋体" w:hAnsi="宋体" w:cs="宋体"/>
          <w:small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"_Toc51872092"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一、总则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_Toc51872092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val="en-US" w:eastAsia="zh-CN"/>
        </w:rPr>
        <w:t>36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3"/>
        <w:tabs>
          <w:tab w:val="right" w:leader="dot" w:pos="9486"/>
        </w:tabs>
        <w:spacing w:before="120" w:beforeLines="50" w:after="120" w:afterLines="50"/>
        <w:ind w:left="777" w:right="210" w:hanging="567"/>
        <w:rPr>
          <w:rFonts w:hint="eastAsia" w:ascii="宋体" w:hAnsi="宋体" w:cs="宋体"/>
          <w:small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"_Toc51872129"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二、磋商办法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_Toc51872129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val="en-US" w:eastAsia="zh-CN"/>
        </w:rPr>
        <w:t>37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3"/>
        <w:tabs>
          <w:tab w:val="right" w:leader="dot" w:pos="9486"/>
        </w:tabs>
        <w:spacing w:before="120" w:beforeLines="50" w:after="120" w:afterLines="50"/>
        <w:ind w:left="777" w:right="210" w:hanging="567"/>
        <w:rPr>
          <w:rFonts w:hint="eastAsia" w:ascii="宋体" w:hAnsi="宋体" w:cs="宋体"/>
          <w:small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"_Toc51872133"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三、评分细</w:t>
      </w:r>
      <w:bookmarkStart w:id="14" w:name="_Hlt59125584"/>
      <w:bookmarkStart w:id="15" w:name="_Hlt59125585"/>
      <w:r>
        <w:rPr>
          <w:rFonts w:hint="eastAsia" w:ascii="宋体" w:hAnsi="宋体" w:cs="宋体"/>
          <w:color w:val="auto"/>
          <w:sz w:val="24"/>
          <w:szCs w:val="24"/>
          <w:highlight w:val="none"/>
        </w:rPr>
        <w:t>则</w:t>
      </w:r>
      <w:bookmarkEnd w:id="14"/>
      <w:bookmarkEnd w:id="15"/>
      <w:r>
        <w:rPr>
          <w:rFonts w:hint="eastAsia" w:ascii="宋体" w:hAnsi="宋体" w:cs="宋体"/>
          <w:color w:val="auto"/>
          <w:sz w:val="24"/>
          <w:szCs w:val="24"/>
          <w:highlight w:val="none"/>
        </w:rPr>
        <w:t>及标准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_Toc51872133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val="en-US" w:eastAsia="zh-CN"/>
        </w:rPr>
        <w:t>38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3"/>
        <w:tabs>
          <w:tab w:val="right" w:leader="dot" w:pos="9486"/>
        </w:tabs>
        <w:spacing w:before="120" w:beforeLines="50" w:after="120" w:afterLines="50"/>
        <w:ind w:left="777" w:right="210" w:hanging="567"/>
        <w:rPr>
          <w:rFonts w:hint="eastAsia" w:ascii="宋体" w:hAnsi="宋体" w:cs="宋体"/>
          <w:small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"_Toc51872134"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四、磋商结果及公示</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_Toc51872134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1"/>
        <w:tabs>
          <w:tab w:val="right" w:leader="dot" w:pos="9486"/>
        </w:tabs>
        <w:spacing w:before="120" w:beforeLines="50" w:after="120" w:afterLines="50"/>
        <w:ind w:hanging="567"/>
        <w:rPr>
          <w:rFonts w:hint="eastAsia" w:ascii="宋体" w:hAnsi="宋体" w:cs="宋体"/>
          <w:b w:val="0"/>
          <w:bCs w:val="0"/>
          <w:caps w:val="0"/>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"_Toc51872135"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第六章  磋商响应</w:t>
      </w:r>
      <w:bookmarkStart w:id="16" w:name="_Hlt61888988"/>
      <w:bookmarkStart w:id="17" w:name="_Hlt61888989"/>
      <w:r>
        <w:rPr>
          <w:rFonts w:hint="eastAsia" w:ascii="宋体" w:hAnsi="宋体" w:cs="宋体"/>
          <w:color w:val="auto"/>
          <w:sz w:val="24"/>
          <w:szCs w:val="24"/>
          <w:highlight w:val="none"/>
        </w:rPr>
        <w:t>文</w:t>
      </w:r>
      <w:bookmarkEnd w:id="16"/>
      <w:bookmarkEnd w:id="17"/>
      <w:r>
        <w:rPr>
          <w:rFonts w:hint="eastAsia" w:ascii="宋体" w:hAnsi="宋体" w:cs="宋体"/>
          <w:color w:val="auto"/>
          <w:sz w:val="24"/>
          <w:szCs w:val="24"/>
          <w:highlight w:val="none"/>
        </w:rPr>
        <w:t>件相关格式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_Toc51872135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val="en-US" w:eastAsia="zh-CN"/>
        </w:rPr>
        <w:t>44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3"/>
        <w:tabs>
          <w:tab w:val="right" w:leader="dot" w:pos="9496"/>
        </w:tabs>
        <w:ind w:left="770" w:right="210"/>
        <w:rPr>
          <w:rFonts w:hint="eastAsia" w:ascii="宋体" w:hAnsi="宋体" w:cs="宋体"/>
          <w:b/>
          <w:bCs/>
          <w:caps/>
          <w:color w:val="auto"/>
          <w:sz w:val="21"/>
          <w:szCs w:val="22"/>
          <w:highlight w:val="none"/>
        </w:rPr>
      </w:pPr>
      <w:r>
        <w:rPr>
          <w:rFonts w:hint="eastAsia" w:ascii="宋体" w:hAnsi="宋体" w:cs="宋体"/>
          <w:b/>
          <w:bCs/>
          <w:caps/>
          <w:color w:val="auto"/>
          <w:szCs w:val="22"/>
          <w:highlight w:val="none"/>
        </w:rPr>
        <w:fldChar w:fldCharType="end"/>
      </w:r>
    </w:p>
    <w:p>
      <w:pPr>
        <w:rPr>
          <w:rFonts w:hint="eastAsia" w:ascii="宋体" w:hAnsi="宋体" w:cs="宋体"/>
          <w:color w:val="auto"/>
          <w:highlight w:val="none"/>
        </w:rPr>
      </w:pPr>
    </w:p>
    <w:p>
      <w:pPr>
        <w:pStyle w:val="3"/>
        <w:rPr>
          <w:rFonts w:hint="eastAsia" w:ascii="宋体" w:hAnsi="宋体" w:cs="宋体"/>
          <w:color w:val="auto"/>
          <w:highlight w:val="none"/>
        </w:rPr>
        <w:sectPr>
          <w:headerReference r:id="rId6" w:type="first"/>
          <w:footerReference r:id="rId8" w:type="first"/>
          <w:headerReference r:id="rId5" w:type="default"/>
          <w:footerReference r:id="rId7" w:type="default"/>
          <w:pgSz w:w="11900" w:h="16840"/>
          <w:pgMar w:top="1497" w:right="1128" w:bottom="1701" w:left="1276" w:header="510" w:footer="510" w:gutter="0"/>
          <w:pgNumType w:start="1"/>
          <w:cols w:space="720" w:num="1"/>
          <w:docGrid w:linePitch="360" w:charSpace="0"/>
        </w:sectPr>
      </w:pPr>
      <w:bookmarkStart w:id="18" w:name="_Toc322352981"/>
      <w:bookmarkStart w:id="19" w:name="_Toc354491895"/>
      <w:bookmarkStart w:id="20" w:name="_Toc493411132"/>
      <w:bookmarkStart w:id="21" w:name="_Toc356371429"/>
      <w:bookmarkStart w:id="22" w:name="_Toc457934621"/>
      <w:bookmarkStart w:id="23" w:name="_Toc493362975"/>
      <w:bookmarkStart w:id="24" w:name="_Toc477171595"/>
      <w:bookmarkStart w:id="25" w:name="_Toc499984967"/>
      <w:bookmarkStart w:id="26" w:name="_Toc5543941"/>
      <w:bookmarkStart w:id="27" w:name="_Toc9777569"/>
      <w:bookmarkStart w:id="28" w:name="_Toc5543925"/>
    </w:p>
    <w:p>
      <w:pPr>
        <w:pStyle w:val="3"/>
        <w:spacing w:before="240" w:beforeLines="100" w:after="120" w:afterLines="50"/>
        <w:ind w:left="0" w:firstLine="0"/>
        <w:rPr>
          <w:rFonts w:hint="eastAsia" w:ascii="宋体" w:hAnsi="宋体" w:cs="宋体"/>
          <w:color w:val="auto"/>
          <w:highlight w:val="none"/>
        </w:rPr>
      </w:pPr>
      <w:bookmarkStart w:id="29" w:name="_Toc51872067"/>
      <w:bookmarkStart w:id="30" w:name="_Toc2678"/>
      <w:bookmarkStart w:id="31" w:name="_Toc8640"/>
      <w:r>
        <w:rPr>
          <w:rFonts w:hint="eastAsia" w:ascii="宋体" w:hAnsi="宋体" w:cs="宋体"/>
          <w:color w:val="auto"/>
          <w:highlight w:val="none"/>
        </w:rPr>
        <w:t>第一章</w:t>
      </w:r>
      <w:bookmarkEnd w:id="18"/>
      <w:bookmarkEnd w:id="19"/>
      <w:r>
        <w:rPr>
          <w:rFonts w:hint="eastAsia" w:ascii="宋体" w:hAnsi="宋体" w:cs="宋体"/>
          <w:color w:val="auto"/>
          <w:highlight w:val="none"/>
        </w:rPr>
        <w:t xml:space="preserve">  </w:t>
      </w:r>
      <w:bookmarkEnd w:id="20"/>
      <w:bookmarkEnd w:id="21"/>
      <w:bookmarkEnd w:id="22"/>
      <w:bookmarkEnd w:id="23"/>
      <w:bookmarkEnd w:id="24"/>
      <w:bookmarkEnd w:id="25"/>
      <w:r>
        <w:rPr>
          <w:rFonts w:hint="eastAsia" w:ascii="宋体" w:hAnsi="宋体" w:cs="宋体"/>
          <w:color w:val="auto"/>
          <w:highlight w:val="none"/>
        </w:rPr>
        <w:t>竞争性磋商公告</w:t>
      </w:r>
      <w:bookmarkEnd w:id="26"/>
      <w:bookmarkEnd w:id="27"/>
      <w:bookmarkEnd w:id="28"/>
      <w:bookmarkEnd w:id="29"/>
      <w:bookmarkEnd w:id="30"/>
      <w:bookmarkEnd w:id="31"/>
    </w:p>
    <w:tbl>
      <w:tblPr>
        <w:tblStyle w:val="16"/>
        <w:tblpPr w:leftFromText="180" w:rightFromText="180" w:vertAnchor="text" w:horzAnchor="margin" w:tblpY="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noWrap w:val="0"/>
            <w:vAlign w:val="top"/>
          </w:tcPr>
          <w:p>
            <w:pPr>
              <w:pStyle w:val="8"/>
              <w:ind w:left="0" w:firstLine="0"/>
              <w:rPr>
                <w:rFonts w:hint="eastAsia" w:hAnsi="宋体" w:cs="宋体"/>
                <w:b/>
                <w:color w:val="auto"/>
                <w:sz w:val="24"/>
                <w:highlight w:val="none"/>
              </w:rPr>
            </w:pPr>
            <w:r>
              <w:rPr>
                <w:rFonts w:hint="eastAsia" w:hAnsi="宋体" w:cs="宋体"/>
                <w:b/>
                <w:color w:val="auto"/>
                <w:sz w:val="24"/>
                <w:highlight w:val="none"/>
              </w:rPr>
              <w:t>项目概况</w:t>
            </w:r>
          </w:p>
          <w:p>
            <w:pPr>
              <w:pStyle w:val="8"/>
              <w:ind w:left="0" w:firstLine="0"/>
              <w:rPr>
                <w:rFonts w:hint="eastAsia" w:hAnsi="宋体" w:cs="宋体"/>
                <w:color w:val="auto"/>
                <w:sz w:val="24"/>
                <w:highlight w:val="none"/>
              </w:rPr>
            </w:pPr>
            <w:r>
              <w:rPr>
                <w:rFonts w:hint="eastAsia" w:hAnsi="宋体" w:cs="宋体"/>
                <w:color w:val="auto"/>
                <w:sz w:val="24"/>
                <w:szCs w:val="24"/>
                <w:highlight w:val="none"/>
                <w:lang w:eastAsia="zh-CN"/>
              </w:rPr>
              <w:t>2024“宋韵儒风 南孔琴韵”第三届“敦煌杯”古琴室内乐新作品展演活动</w:t>
            </w:r>
            <w:r>
              <w:rPr>
                <w:rFonts w:hint="eastAsia" w:hAnsi="宋体" w:cs="宋体"/>
                <w:color w:val="auto"/>
                <w:sz w:val="24"/>
                <w:szCs w:val="24"/>
                <w:highlight w:val="none"/>
              </w:rPr>
              <w:t>的潜在供应商应在登录浙江政府采购网（http://www.zcygov.cn）申请获取采购文件获取（下载）采购文件，并于</w:t>
            </w:r>
            <w:r>
              <w:rPr>
                <w:rFonts w:hint="eastAsia" w:hAnsi="宋体" w:cs="宋体"/>
                <w:color w:val="auto"/>
                <w:sz w:val="24"/>
                <w:szCs w:val="24"/>
                <w:highlight w:val="none"/>
                <w:lang w:eastAsia="zh-CN"/>
              </w:rPr>
              <w:t>2024年6月18日</w:t>
            </w:r>
            <w:r>
              <w:rPr>
                <w:rFonts w:hint="eastAsia" w:hAnsi="宋体" w:cs="宋体"/>
                <w:color w:val="auto"/>
                <w:sz w:val="24"/>
                <w:szCs w:val="24"/>
                <w:highlight w:val="none"/>
              </w:rPr>
              <w:t xml:space="preserve"> 09:30</w:t>
            </w:r>
            <w:r>
              <w:rPr>
                <w:rFonts w:hint="eastAsia" w:hAnsi="宋体" w:cs="宋体"/>
                <w:color w:val="auto"/>
                <w:sz w:val="24"/>
                <w:szCs w:val="24"/>
                <w:highlight w:val="none"/>
              </w:rPr>
              <w:t>（北京时间）前提交（上传）响应文件。</w:t>
            </w:r>
          </w:p>
        </w:tc>
      </w:tr>
    </w:tbl>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一、项目基本情况</w:t>
      </w:r>
    </w:p>
    <w:p>
      <w:pPr>
        <w:ind w:left="0"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QZGZ2024015CS</w:t>
      </w:r>
    </w:p>
    <w:p>
      <w:pPr>
        <w:ind w:left="0"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2024“宋韵儒风 南孔琴韵”第三届“敦煌杯”古琴室内乐新作品展演活动</w:t>
      </w:r>
    </w:p>
    <w:p>
      <w:pPr>
        <w:ind w:left="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采购方式：</w:t>
      </w:r>
      <w:r>
        <w:rPr>
          <w:rFonts w:hint="eastAsia" w:ascii="宋体" w:hAnsi="宋体" w:cs="宋体"/>
          <w:color w:val="auto"/>
          <w:sz w:val="24"/>
          <w:highlight w:val="none"/>
        </w:rPr>
        <w:t>竞争性磋商</w:t>
      </w:r>
    </w:p>
    <w:p>
      <w:pPr>
        <w:pStyle w:val="4"/>
        <w:spacing w:line="360" w:lineRule="auto"/>
        <w:ind w:left="0" w:firstLine="482" w:firstLineChars="200"/>
        <w:rPr>
          <w:rFonts w:hAnsi="宋体" w:cs="宋体"/>
          <w:b/>
          <w:color w:val="auto"/>
          <w:sz w:val="24"/>
          <w:highlight w:val="none"/>
        </w:rPr>
      </w:pPr>
      <w:r>
        <w:rPr>
          <w:rFonts w:hint="eastAsia" w:hAnsi="宋体" w:cs="宋体"/>
          <w:b/>
          <w:color w:val="auto"/>
          <w:sz w:val="24"/>
          <w:highlight w:val="none"/>
        </w:rPr>
        <w:t>预算金额（元）：</w:t>
      </w:r>
      <w:r>
        <w:rPr>
          <w:rFonts w:hint="eastAsia" w:hAnsi="宋体" w:cs="宋体"/>
          <w:bCs/>
          <w:color w:val="auto"/>
          <w:sz w:val="24"/>
          <w:highlight w:val="none"/>
          <w:lang w:eastAsia="zh-CN"/>
        </w:rPr>
        <w:t>750000.00</w:t>
      </w:r>
    </w:p>
    <w:p>
      <w:pPr>
        <w:pStyle w:val="4"/>
        <w:spacing w:line="360" w:lineRule="auto"/>
        <w:ind w:left="0" w:firstLine="482" w:firstLineChars="200"/>
        <w:rPr>
          <w:rFonts w:hint="eastAsia" w:hAnsi="宋体" w:cs="宋体"/>
          <w:bCs/>
          <w:color w:val="auto"/>
          <w:sz w:val="24"/>
          <w:highlight w:val="none"/>
        </w:rPr>
      </w:pPr>
      <w:r>
        <w:rPr>
          <w:rFonts w:hint="eastAsia" w:hAnsi="宋体" w:cs="宋体"/>
          <w:b/>
          <w:color w:val="auto"/>
          <w:sz w:val="24"/>
          <w:highlight w:val="none"/>
        </w:rPr>
        <w:t>最高限价（元）：</w:t>
      </w:r>
      <w:r>
        <w:rPr>
          <w:rFonts w:hint="eastAsia" w:hAnsi="宋体" w:cs="宋体"/>
          <w:bCs/>
          <w:color w:val="auto"/>
          <w:sz w:val="24"/>
          <w:highlight w:val="none"/>
          <w:lang w:eastAsia="zh-CN"/>
        </w:rPr>
        <w:t>750000.00</w:t>
      </w:r>
    </w:p>
    <w:p>
      <w:pPr>
        <w:pStyle w:val="4"/>
        <w:spacing w:line="360" w:lineRule="auto"/>
        <w:ind w:left="0" w:firstLine="482" w:firstLineChars="200"/>
        <w:rPr>
          <w:rFonts w:hint="eastAsia" w:hAnsi="宋体" w:cs="宋体"/>
          <w:b/>
          <w:color w:val="auto"/>
          <w:sz w:val="24"/>
          <w:highlight w:val="none"/>
        </w:rPr>
      </w:pPr>
      <w:r>
        <w:rPr>
          <w:rFonts w:hint="eastAsia" w:hAnsi="宋体" w:cs="宋体"/>
          <w:b/>
          <w:color w:val="auto"/>
          <w:sz w:val="24"/>
          <w:highlight w:val="none"/>
        </w:rPr>
        <w:t>采购需求：</w:t>
      </w:r>
    </w:p>
    <w:p>
      <w:pPr>
        <w:pStyle w:val="4"/>
        <w:spacing w:line="360" w:lineRule="auto"/>
        <w:ind w:left="0" w:firstLine="482" w:firstLineChars="200"/>
        <w:rPr>
          <w:rFonts w:hint="eastAsia" w:hAnsi="宋体" w:cs="宋体"/>
          <w:b/>
          <w:color w:val="auto"/>
          <w:sz w:val="24"/>
          <w:highlight w:val="none"/>
        </w:rPr>
      </w:pPr>
      <w:r>
        <w:rPr>
          <w:rFonts w:hint="eastAsia" w:hAnsi="宋体" w:cs="宋体"/>
          <w:b/>
          <w:color w:val="auto"/>
          <w:sz w:val="24"/>
          <w:highlight w:val="none"/>
        </w:rPr>
        <w:t>数量：1</w:t>
      </w:r>
    </w:p>
    <w:p>
      <w:pPr>
        <w:pStyle w:val="4"/>
        <w:tabs>
          <w:tab w:val="left" w:pos="6827"/>
        </w:tabs>
        <w:spacing w:line="360" w:lineRule="auto"/>
        <w:ind w:left="0" w:firstLine="482" w:firstLineChars="200"/>
        <w:rPr>
          <w:rFonts w:hAnsi="宋体" w:cs="宋体"/>
          <w:b/>
          <w:color w:val="auto"/>
          <w:sz w:val="24"/>
          <w:highlight w:val="none"/>
        </w:rPr>
      </w:pPr>
      <w:r>
        <w:rPr>
          <w:rFonts w:hint="eastAsia" w:hAnsi="宋体" w:cs="宋体"/>
          <w:b/>
          <w:color w:val="auto"/>
          <w:sz w:val="24"/>
          <w:highlight w:val="none"/>
        </w:rPr>
        <w:t>预算金额（元）：</w:t>
      </w:r>
      <w:r>
        <w:rPr>
          <w:rFonts w:hint="eastAsia" w:hAnsi="宋体" w:cs="宋体"/>
          <w:bCs/>
          <w:color w:val="auto"/>
          <w:sz w:val="24"/>
          <w:highlight w:val="none"/>
          <w:lang w:eastAsia="zh-CN"/>
        </w:rPr>
        <w:t>750000.00</w:t>
      </w:r>
      <w:r>
        <w:rPr>
          <w:rFonts w:hint="eastAsia" w:hAnsi="宋体" w:cs="宋体"/>
          <w:bCs/>
          <w:color w:val="auto"/>
          <w:sz w:val="24"/>
          <w:highlight w:val="none"/>
        </w:rPr>
        <w:tab/>
      </w:r>
    </w:p>
    <w:p>
      <w:pPr>
        <w:pStyle w:val="4"/>
        <w:spacing w:line="360" w:lineRule="auto"/>
        <w:ind w:left="0" w:firstLine="482" w:firstLineChars="200"/>
        <w:rPr>
          <w:rFonts w:hint="eastAsia" w:hAnsi="宋体" w:cs="宋体"/>
          <w:b/>
          <w:color w:val="auto"/>
          <w:sz w:val="24"/>
          <w:highlight w:val="none"/>
        </w:rPr>
      </w:pPr>
      <w:r>
        <w:rPr>
          <w:rFonts w:hint="eastAsia" w:hAnsi="宋体" w:cs="宋体"/>
          <w:b/>
          <w:color w:val="auto"/>
          <w:sz w:val="24"/>
          <w:highlight w:val="none"/>
        </w:rPr>
        <w:t>最高限价（元）：</w:t>
      </w:r>
      <w:r>
        <w:rPr>
          <w:rFonts w:hint="eastAsia" w:hAnsi="宋体" w:cs="宋体"/>
          <w:bCs/>
          <w:color w:val="auto"/>
          <w:sz w:val="24"/>
          <w:highlight w:val="none"/>
          <w:lang w:eastAsia="zh-CN"/>
        </w:rPr>
        <w:t>750000.00</w:t>
      </w:r>
    </w:p>
    <w:p>
      <w:pPr>
        <w:pStyle w:val="4"/>
        <w:spacing w:line="360" w:lineRule="auto"/>
        <w:ind w:left="0" w:firstLine="482" w:firstLineChars="200"/>
        <w:rPr>
          <w:rFonts w:hint="eastAsia" w:hAnsi="宋体" w:cs="宋体"/>
          <w:b/>
          <w:color w:val="auto"/>
          <w:highlight w:val="none"/>
        </w:rPr>
      </w:pPr>
      <w:r>
        <w:rPr>
          <w:rFonts w:hint="eastAsia" w:hAnsi="宋体" w:cs="宋体"/>
          <w:b/>
          <w:color w:val="auto"/>
          <w:sz w:val="24"/>
          <w:highlight w:val="none"/>
        </w:rPr>
        <w:t>单位：</w:t>
      </w:r>
      <w:r>
        <w:rPr>
          <w:rFonts w:hint="eastAsia" w:hAnsi="宋体" w:cs="宋体"/>
          <w:b/>
          <w:color w:val="auto"/>
          <w:sz w:val="24"/>
          <w:highlight w:val="none"/>
          <w:lang w:val="en-US" w:eastAsia="zh-CN"/>
        </w:rPr>
        <w:t>项</w:t>
      </w:r>
      <w:r>
        <w:rPr>
          <w:rFonts w:hint="eastAsia" w:hAnsi="宋体" w:cs="宋体"/>
          <w:b/>
          <w:color w:val="auto"/>
          <w:sz w:val="24"/>
          <w:highlight w:val="none"/>
        </w:rPr>
        <w:t xml:space="preserve"> </w:t>
      </w:r>
    </w:p>
    <w:p>
      <w:pPr>
        <w:pStyle w:val="4"/>
        <w:spacing w:line="360" w:lineRule="auto"/>
        <w:ind w:left="0" w:firstLine="482" w:firstLineChars="200"/>
        <w:rPr>
          <w:rFonts w:hint="eastAsia" w:hAnsi="宋体" w:cs="宋体"/>
          <w:b/>
          <w:color w:val="auto"/>
          <w:sz w:val="24"/>
          <w:highlight w:val="none"/>
        </w:rPr>
      </w:pPr>
      <w:r>
        <w:rPr>
          <w:rFonts w:hint="eastAsia" w:hAnsi="宋体" w:cs="宋体"/>
          <w:b/>
          <w:color w:val="auto"/>
          <w:sz w:val="24"/>
          <w:highlight w:val="none"/>
        </w:rPr>
        <w:t>简要规格描述：</w:t>
      </w:r>
      <w:r>
        <w:rPr>
          <w:rFonts w:hint="eastAsia" w:hAnsi="宋体" w:cs="宋体"/>
          <w:bCs/>
          <w:color w:val="auto"/>
          <w:sz w:val="24"/>
          <w:highlight w:val="none"/>
        </w:rPr>
        <w:t xml:space="preserve">详见磋商文件“第三章 采购内容及要求”。 </w:t>
      </w:r>
    </w:p>
    <w:p>
      <w:pPr>
        <w:pStyle w:val="4"/>
        <w:spacing w:line="360" w:lineRule="auto"/>
        <w:ind w:left="0" w:firstLine="482" w:firstLineChars="200"/>
        <w:rPr>
          <w:rFonts w:hint="eastAsia" w:hAnsi="宋体" w:cs="宋体"/>
          <w:b/>
          <w:color w:val="auto"/>
          <w:sz w:val="24"/>
          <w:highlight w:val="none"/>
        </w:rPr>
      </w:pPr>
      <w:r>
        <w:rPr>
          <w:rFonts w:hint="eastAsia" w:hAnsi="宋体" w:cs="宋体"/>
          <w:b/>
          <w:color w:val="auto"/>
          <w:sz w:val="24"/>
          <w:highlight w:val="none"/>
        </w:rPr>
        <w:t>备注：</w:t>
      </w:r>
      <w:r>
        <w:rPr>
          <w:rFonts w:hint="eastAsia" w:hAnsi="宋体" w:cs="宋体"/>
          <w:bCs/>
          <w:color w:val="auto"/>
          <w:sz w:val="24"/>
          <w:highlight w:val="none"/>
        </w:rPr>
        <w:t>/</w:t>
      </w:r>
      <w:r>
        <w:rPr>
          <w:rFonts w:hint="eastAsia" w:hAnsi="宋体" w:cs="宋体"/>
          <w:b/>
          <w:color w:val="auto"/>
          <w:sz w:val="24"/>
          <w:highlight w:val="none"/>
        </w:rPr>
        <w:t xml:space="preserve"> </w:t>
      </w:r>
    </w:p>
    <w:p>
      <w:pPr>
        <w:pStyle w:val="4"/>
        <w:spacing w:line="360" w:lineRule="auto"/>
        <w:ind w:left="0" w:firstLine="482" w:firstLineChars="200"/>
        <w:rPr>
          <w:rFonts w:hAnsi="宋体" w:cs="宋体"/>
          <w:bCs/>
          <w:color w:val="auto"/>
          <w:highlight w:val="none"/>
        </w:rPr>
      </w:pPr>
      <w:r>
        <w:rPr>
          <w:rFonts w:hint="eastAsia" w:hAnsi="宋体" w:cs="宋体"/>
          <w:b/>
          <w:color w:val="auto"/>
          <w:sz w:val="24"/>
          <w:highlight w:val="none"/>
        </w:rPr>
        <w:t>合同履约期限</w:t>
      </w:r>
      <w:r>
        <w:rPr>
          <w:rFonts w:hint="eastAsia" w:hAnsi="宋体" w:cs="宋体"/>
          <w:b/>
          <w:color w:val="auto"/>
          <w:highlight w:val="none"/>
        </w:rPr>
        <w:t>：</w:t>
      </w:r>
      <w:r>
        <w:rPr>
          <w:rFonts w:hint="eastAsia" w:hAnsi="宋体" w:cs="宋体"/>
          <w:bCs/>
          <w:color w:val="auto"/>
          <w:sz w:val="24"/>
          <w:highlight w:val="none"/>
        </w:rPr>
        <w:t>自合同签订后</w:t>
      </w:r>
      <w:r>
        <w:rPr>
          <w:rFonts w:hint="eastAsia" w:hAnsi="宋体" w:cs="宋体"/>
          <w:bCs/>
          <w:color w:val="auto"/>
          <w:sz w:val="24"/>
          <w:highlight w:val="none"/>
          <w:lang w:val="en-US" w:eastAsia="zh-CN"/>
        </w:rPr>
        <w:t>至2024年11月30日止</w:t>
      </w:r>
      <w:r>
        <w:rPr>
          <w:rFonts w:hint="eastAsia" w:hAnsi="宋体" w:cs="宋体"/>
          <w:bCs/>
          <w:color w:val="auto"/>
          <w:sz w:val="24"/>
          <w:highlight w:val="none"/>
        </w:rPr>
        <w:t>。</w:t>
      </w:r>
    </w:p>
    <w:p>
      <w:pPr>
        <w:ind w:left="0" w:firstLine="482" w:firstLineChars="200"/>
        <w:jc w:val="left"/>
        <w:rPr>
          <w:rFonts w:hint="eastAsia" w:ascii="宋体" w:hAnsi="宋体" w:cs="宋体"/>
          <w:color w:val="auto"/>
          <w:kern w:val="0"/>
          <w:sz w:val="24"/>
          <w:highlight w:val="none"/>
        </w:rPr>
      </w:pPr>
      <w:r>
        <w:rPr>
          <w:rFonts w:hint="eastAsia" w:ascii="宋体" w:hAnsi="宋体" w:cs="宋体"/>
          <w:b/>
          <w:color w:val="auto"/>
          <w:sz w:val="24"/>
          <w:highlight w:val="none"/>
        </w:rPr>
        <w:t>本项目接受联合体投标：</w:t>
      </w:r>
      <w:r>
        <w:rPr>
          <w:rFonts w:hint="eastAsia" w:ascii="宋体" w:hAnsi="宋体" w:cs="宋体"/>
          <w:color w:val="auto"/>
          <w:kern w:val="0"/>
          <w:sz w:val="24"/>
          <w:highlight w:val="none"/>
        </w:rPr>
        <w:sym w:font="Wingdings" w:char="00FE"/>
      </w:r>
      <w:r>
        <w:rPr>
          <w:rFonts w:hint="eastAsia" w:ascii="宋体" w:hAnsi="宋体" w:cs="宋体"/>
          <w:b/>
          <w:color w:val="auto"/>
          <w:sz w:val="24"/>
          <w:highlight w:val="none"/>
        </w:rPr>
        <w:t>是，</w:t>
      </w:r>
      <w:r>
        <w:rPr>
          <w:rFonts w:hint="eastAsia" w:ascii="宋体" w:hAnsi="宋体" w:cs="宋体"/>
          <w:color w:val="auto"/>
          <w:kern w:val="0"/>
          <w:sz w:val="24"/>
          <w:highlight w:val="none"/>
        </w:rPr>
        <w:sym w:font="Wingdings" w:char="00A8"/>
      </w:r>
      <w:r>
        <w:rPr>
          <w:rFonts w:hint="eastAsia" w:ascii="宋体" w:hAnsi="宋体" w:cs="宋体"/>
          <w:b/>
          <w:color w:val="auto"/>
          <w:sz w:val="24"/>
          <w:highlight w:val="none"/>
        </w:rPr>
        <w:t>否</w:t>
      </w:r>
      <w:r>
        <w:rPr>
          <w:rFonts w:hint="eastAsia" w:ascii="宋体" w:hAnsi="宋体" w:cs="宋体"/>
          <w:color w:val="auto"/>
          <w:kern w:val="0"/>
          <w:sz w:val="24"/>
          <w:highlight w:val="none"/>
        </w:rPr>
        <w:t>。</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二、申请人的资格要求：</w:t>
      </w:r>
    </w:p>
    <w:p>
      <w:pPr>
        <w:widowControl/>
        <w:ind w:left="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1.满足《中华人民共和国政府采购法》第二十二条规定；未被“信用中国”（www.creditchina.gov.cn</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、中国政府采购网（www.ccgp.gov.cn）列入失信被执行人、重大税收违法案件当事人名单、政府采购严重违法失信行为记录名单。</w:t>
      </w:r>
    </w:p>
    <w:p>
      <w:pPr>
        <w:widowControl/>
        <w:ind w:left="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2.落实政府采购政策需满足的资格要求：</w:t>
      </w:r>
    </w:p>
    <w:p>
      <w:pPr>
        <w:widowControl/>
        <w:ind w:left="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本项目专门面向中小企业采购，提供本项目的服务应全部由中小企业、监狱企业或残疾人福利性单位承接（请单独上传中小企业声明函或《残疾人福利性单位声明函》或属于监狱企业的证明材料）。</w:t>
      </w:r>
    </w:p>
    <w:p>
      <w:pPr>
        <w:widowControl/>
        <w:ind w:left="0" w:firstLine="480" w:firstLineChars="200"/>
        <w:jc w:val="left"/>
        <w:rPr>
          <w:rFonts w:hint="eastAsia" w:ascii="宋体" w:hAnsi="宋体" w:cs="宋体"/>
          <w:color w:val="auto"/>
          <w:kern w:val="0"/>
          <w:sz w:val="24"/>
          <w:szCs w:val="24"/>
          <w:highlight w:val="none"/>
        </w:rPr>
      </w:pPr>
      <w:bookmarkStart w:id="32" w:name="_Toc13757"/>
      <w:bookmarkStart w:id="33" w:name="_Toc19791"/>
      <w:bookmarkStart w:id="34" w:name="_Toc7893"/>
      <w:r>
        <w:rPr>
          <w:rFonts w:hint="eastAsia" w:ascii="宋体" w:hAnsi="宋体" w:cs="宋体"/>
          <w:color w:val="auto"/>
          <w:kern w:val="0"/>
          <w:sz w:val="24"/>
          <w:szCs w:val="24"/>
          <w:highlight w:val="none"/>
        </w:rPr>
        <w:t>3.特定的资格要求：</w:t>
      </w:r>
    </w:p>
    <w:p>
      <w:pPr>
        <w:widowControl/>
        <w:ind w:left="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无</w:t>
      </w:r>
      <w:r>
        <w:rPr>
          <w:rFonts w:hint="eastAsia" w:ascii="宋体" w:hAnsi="宋体" w:cs="宋体"/>
          <w:color w:val="auto"/>
          <w:kern w:val="0"/>
          <w:sz w:val="24"/>
          <w:szCs w:val="24"/>
          <w:highlight w:val="none"/>
        </w:rPr>
        <w:t>。</w:t>
      </w:r>
    </w:p>
    <w:bookmarkEnd w:id="32"/>
    <w:bookmarkEnd w:id="33"/>
    <w:bookmarkEnd w:id="34"/>
    <w:p>
      <w:pPr>
        <w:ind w:left="0" w:firstLine="482" w:firstLineChars="200"/>
        <w:jc w:val="left"/>
        <w:rPr>
          <w:rFonts w:hint="eastAsia" w:ascii="宋体" w:hAnsi="宋体" w:cs="宋体"/>
          <w:b/>
          <w:color w:val="auto"/>
          <w:sz w:val="24"/>
          <w:szCs w:val="24"/>
          <w:highlight w:val="none"/>
        </w:rPr>
      </w:pPr>
      <w:bookmarkStart w:id="35" w:name="_Toc51872068"/>
      <w:bookmarkStart w:id="36" w:name="_Toc28532"/>
      <w:bookmarkStart w:id="37" w:name="_Toc23366"/>
      <w:bookmarkStart w:id="38" w:name="_Toc13315"/>
      <w:r>
        <w:rPr>
          <w:rFonts w:hint="eastAsia" w:ascii="宋体" w:hAnsi="宋体" w:cs="宋体"/>
          <w:b/>
          <w:color w:val="auto"/>
          <w:sz w:val="24"/>
          <w:szCs w:val="24"/>
          <w:highlight w:val="none"/>
        </w:rPr>
        <w:t>三、获取（下载）采购文件</w:t>
      </w:r>
      <w:bookmarkEnd w:id="35"/>
    </w:p>
    <w:p>
      <w:pPr>
        <w:widowControl/>
        <w:ind w:left="0" w:firstLine="480" w:firstLineChars="200"/>
        <w:jc w:val="left"/>
        <w:rPr>
          <w:rFonts w:hint="eastAsia" w:ascii="宋体" w:hAnsi="宋体" w:cs="宋体"/>
          <w:color w:val="auto"/>
          <w:kern w:val="0"/>
          <w:sz w:val="24"/>
          <w:szCs w:val="24"/>
          <w:highlight w:val="none"/>
        </w:rPr>
      </w:pPr>
      <w:bookmarkStart w:id="39" w:name="_Toc51872069"/>
      <w:r>
        <w:rPr>
          <w:rFonts w:hint="eastAsia" w:ascii="宋体" w:hAnsi="宋体" w:cs="宋体"/>
          <w:color w:val="auto"/>
          <w:kern w:val="0"/>
          <w:sz w:val="24"/>
          <w:szCs w:val="24"/>
          <w:highlight w:val="none"/>
        </w:rPr>
        <w:t>1.获取时间：/至</w:t>
      </w:r>
      <w:r>
        <w:rPr>
          <w:rFonts w:hint="eastAsia" w:ascii="宋体" w:hAnsi="宋体" w:cs="宋体"/>
          <w:color w:val="auto"/>
          <w:kern w:val="0"/>
          <w:sz w:val="24"/>
          <w:szCs w:val="24"/>
          <w:highlight w:val="none"/>
          <w:lang w:eastAsia="zh-CN"/>
        </w:rPr>
        <w:t>2024年6月18日</w:t>
      </w:r>
      <w:r>
        <w:rPr>
          <w:rFonts w:hint="eastAsia" w:ascii="宋体" w:hAnsi="宋体" w:cs="宋体"/>
          <w:color w:val="auto"/>
          <w:kern w:val="0"/>
          <w:sz w:val="24"/>
          <w:szCs w:val="24"/>
          <w:highlight w:val="none"/>
        </w:rPr>
        <w:t>，每天上午00:00至12:00，下午12:00至23:59（北京时间，线上获取法定节假日均可，线下获取文件法定节假日除外）</w:t>
      </w:r>
      <w:bookmarkEnd w:id="39"/>
    </w:p>
    <w:p>
      <w:pPr>
        <w:widowControl/>
        <w:ind w:left="0" w:firstLine="480" w:firstLineChars="200"/>
        <w:jc w:val="left"/>
        <w:rPr>
          <w:rFonts w:hint="eastAsia" w:ascii="宋体" w:hAnsi="宋体" w:cs="宋体"/>
          <w:color w:val="auto"/>
          <w:kern w:val="0"/>
          <w:sz w:val="24"/>
          <w:szCs w:val="24"/>
          <w:highlight w:val="none"/>
        </w:rPr>
      </w:pPr>
      <w:bookmarkStart w:id="40" w:name="_Toc51872070"/>
      <w:r>
        <w:rPr>
          <w:rFonts w:hint="eastAsia" w:ascii="宋体" w:hAnsi="宋体" w:cs="宋体"/>
          <w:color w:val="auto"/>
          <w:kern w:val="0"/>
          <w:sz w:val="24"/>
          <w:szCs w:val="24"/>
          <w:highlight w:val="none"/>
        </w:rPr>
        <w:t>2.获取地点（网址）：</w:t>
      </w:r>
      <w:bookmarkEnd w:id="40"/>
      <w:r>
        <w:rPr>
          <w:rFonts w:hint="eastAsia" w:ascii="宋体" w:hAnsi="宋体" w:cs="宋体"/>
          <w:color w:val="auto"/>
          <w:kern w:val="0"/>
          <w:sz w:val="24"/>
          <w:szCs w:val="24"/>
          <w:highlight w:val="none"/>
        </w:rPr>
        <w:t>政采云平台（https://www.zcygov.cn/）</w:t>
      </w:r>
    </w:p>
    <w:p>
      <w:pPr>
        <w:widowControl/>
        <w:ind w:left="0" w:firstLine="480" w:firstLineChars="200"/>
        <w:jc w:val="left"/>
        <w:rPr>
          <w:rFonts w:hint="eastAsia" w:ascii="宋体" w:hAnsi="宋体" w:cs="宋体"/>
          <w:color w:val="auto"/>
          <w:kern w:val="0"/>
          <w:sz w:val="24"/>
          <w:szCs w:val="24"/>
          <w:highlight w:val="none"/>
        </w:rPr>
      </w:pPr>
      <w:bookmarkStart w:id="41" w:name="_Toc51872071"/>
      <w:r>
        <w:rPr>
          <w:rFonts w:hint="eastAsia" w:ascii="宋体" w:hAnsi="宋体" w:cs="宋体"/>
          <w:color w:val="auto"/>
          <w:kern w:val="0"/>
          <w:sz w:val="24"/>
          <w:szCs w:val="24"/>
          <w:highlight w:val="none"/>
        </w:rPr>
        <w:t>3.获取方式：</w:t>
      </w:r>
      <w:bookmarkEnd w:id="41"/>
      <w:r>
        <w:rPr>
          <w:rFonts w:hint="eastAsia" w:ascii="宋体" w:hAnsi="宋体" w:cs="宋体"/>
          <w:color w:val="auto"/>
          <w:kern w:val="0"/>
          <w:sz w:val="24"/>
          <w:szCs w:val="24"/>
          <w:highlight w:val="none"/>
        </w:rPr>
        <w:t xml:space="preserve">供应商登录政采云平台https://www.zcygov.cn/在线申请获取采购文件（进入“项目采购”应用，在获取采购文件菜单中选择项目，申请获取采购文件） </w:t>
      </w:r>
    </w:p>
    <w:bookmarkEnd w:id="36"/>
    <w:bookmarkEnd w:id="37"/>
    <w:bookmarkEnd w:id="38"/>
    <w:p>
      <w:pPr>
        <w:widowControl/>
        <w:ind w:left="0" w:firstLine="480" w:firstLineChars="200"/>
        <w:jc w:val="left"/>
        <w:rPr>
          <w:rFonts w:hint="eastAsia" w:ascii="宋体" w:hAnsi="宋体" w:cs="宋体"/>
          <w:color w:val="auto"/>
          <w:kern w:val="0"/>
          <w:sz w:val="24"/>
          <w:szCs w:val="24"/>
          <w:highlight w:val="none"/>
        </w:rPr>
      </w:pPr>
      <w:bookmarkStart w:id="42" w:name="_Toc51872072"/>
      <w:r>
        <w:rPr>
          <w:rFonts w:hint="eastAsia" w:ascii="宋体" w:hAnsi="宋体" w:cs="宋体"/>
          <w:color w:val="auto"/>
          <w:kern w:val="0"/>
          <w:sz w:val="24"/>
          <w:szCs w:val="24"/>
          <w:highlight w:val="none"/>
        </w:rPr>
        <w:t>4.售价（元）：</w:t>
      </w:r>
      <w:bookmarkEnd w:id="42"/>
      <w:r>
        <w:rPr>
          <w:rFonts w:hint="eastAsia" w:ascii="宋体" w:hAnsi="宋体" w:cs="宋体"/>
          <w:color w:val="auto"/>
          <w:kern w:val="0"/>
          <w:sz w:val="24"/>
          <w:szCs w:val="24"/>
          <w:highlight w:val="none"/>
        </w:rPr>
        <w:t>0</w:t>
      </w:r>
    </w:p>
    <w:p>
      <w:pPr>
        <w:ind w:left="0" w:firstLine="482" w:firstLineChars="200"/>
        <w:jc w:val="left"/>
        <w:rPr>
          <w:rFonts w:hint="eastAsia" w:ascii="宋体" w:hAnsi="宋体" w:cs="宋体"/>
          <w:b/>
          <w:color w:val="auto"/>
          <w:sz w:val="24"/>
          <w:szCs w:val="24"/>
          <w:highlight w:val="none"/>
        </w:rPr>
      </w:pPr>
      <w:bookmarkStart w:id="43" w:name="_Toc51872073"/>
      <w:r>
        <w:rPr>
          <w:rFonts w:hint="eastAsia" w:ascii="宋体" w:hAnsi="宋体" w:cs="宋体"/>
          <w:b/>
          <w:color w:val="auto"/>
          <w:sz w:val="24"/>
          <w:szCs w:val="24"/>
          <w:highlight w:val="none"/>
        </w:rPr>
        <w:t>四、响应文件提交（上传）</w:t>
      </w:r>
      <w:bookmarkEnd w:id="43"/>
      <w:r>
        <w:rPr>
          <w:rFonts w:hint="eastAsia" w:ascii="宋体" w:hAnsi="宋体" w:cs="宋体"/>
          <w:b/>
          <w:color w:val="auto"/>
          <w:sz w:val="24"/>
          <w:szCs w:val="24"/>
          <w:highlight w:val="none"/>
        </w:rPr>
        <w:t xml:space="preserve"> </w:t>
      </w:r>
    </w:p>
    <w:p>
      <w:pPr>
        <w:widowControl/>
        <w:ind w:left="0" w:firstLine="480" w:firstLineChars="200"/>
        <w:jc w:val="left"/>
        <w:rPr>
          <w:rFonts w:hint="eastAsia" w:ascii="宋体" w:hAnsi="宋体" w:cs="宋体"/>
          <w:color w:val="auto"/>
          <w:kern w:val="0"/>
          <w:sz w:val="24"/>
          <w:szCs w:val="24"/>
          <w:highlight w:val="none"/>
        </w:rPr>
      </w:pPr>
      <w:bookmarkStart w:id="44" w:name="_Toc51872074"/>
      <w:r>
        <w:rPr>
          <w:rFonts w:hint="eastAsia" w:ascii="宋体" w:hAnsi="宋体" w:cs="宋体"/>
          <w:color w:val="auto"/>
          <w:kern w:val="0"/>
          <w:sz w:val="24"/>
          <w:szCs w:val="24"/>
          <w:highlight w:val="none"/>
        </w:rPr>
        <w:t>1.提交磋商响应文件截止时间：</w:t>
      </w:r>
      <w:r>
        <w:rPr>
          <w:rFonts w:hint="eastAsia" w:ascii="宋体" w:hAnsi="宋体" w:cs="宋体"/>
          <w:color w:val="auto"/>
          <w:kern w:val="0"/>
          <w:sz w:val="24"/>
          <w:szCs w:val="24"/>
          <w:highlight w:val="none"/>
          <w:lang w:eastAsia="zh-CN"/>
        </w:rPr>
        <w:t>2024年6月18日</w:t>
      </w:r>
      <w:r>
        <w:rPr>
          <w:rFonts w:hint="eastAsia" w:ascii="宋体" w:hAnsi="宋体" w:cs="宋体"/>
          <w:color w:val="auto"/>
          <w:kern w:val="0"/>
          <w:sz w:val="24"/>
          <w:szCs w:val="24"/>
          <w:highlight w:val="none"/>
        </w:rPr>
        <w:t>09:30:00（北京时间）。</w:t>
      </w:r>
      <w:bookmarkEnd w:id="44"/>
    </w:p>
    <w:p>
      <w:pPr>
        <w:widowControl/>
        <w:ind w:left="0" w:firstLine="480" w:firstLineChars="200"/>
        <w:jc w:val="left"/>
        <w:rPr>
          <w:rFonts w:hint="eastAsia" w:ascii="宋体" w:hAnsi="宋体" w:cs="宋体"/>
          <w:color w:val="auto"/>
          <w:kern w:val="0"/>
          <w:sz w:val="24"/>
          <w:szCs w:val="24"/>
          <w:highlight w:val="none"/>
        </w:rPr>
      </w:pPr>
      <w:bookmarkStart w:id="45" w:name="_Toc51872075"/>
      <w:r>
        <w:rPr>
          <w:rFonts w:hint="eastAsia" w:ascii="宋体" w:hAnsi="宋体" w:cs="宋体"/>
          <w:color w:val="auto"/>
          <w:kern w:val="0"/>
          <w:sz w:val="24"/>
          <w:szCs w:val="24"/>
          <w:highlight w:val="none"/>
        </w:rPr>
        <w:t>2.地点（网址）：</w:t>
      </w:r>
      <w:bookmarkEnd w:id="45"/>
      <w:r>
        <w:rPr>
          <w:rFonts w:hint="eastAsia" w:ascii="宋体" w:hAnsi="宋体" w:cs="宋体"/>
          <w:color w:val="auto"/>
          <w:kern w:val="0"/>
          <w:sz w:val="24"/>
          <w:szCs w:val="24"/>
          <w:highlight w:val="none"/>
        </w:rPr>
        <w:t>政采云平台（https://www.zcygov.cn/）</w:t>
      </w:r>
    </w:p>
    <w:p>
      <w:pPr>
        <w:ind w:left="0"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五、响应文件开启</w:t>
      </w:r>
    </w:p>
    <w:p>
      <w:pPr>
        <w:widowControl/>
        <w:ind w:left="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1.开启时间：</w:t>
      </w:r>
      <w:r>
        <w:rPr>
          <w:rFonts w:hint="eastAsia" w:ascii="宋体" w:hAnsi="宋体" w:cs="宋体"/>
          <w:color w:val="auto"/>
          <w:kern w:val="0"/>
          <w:sz w:val="24"/>
          <w:szCs w:val="24"/>
          <w:highlight w:val="none"/>
          <w:lang w:eastAsia="zh-CN"/>
        </w:rPr>
        <w:t>2024年6月18日</w:t>
      </w:r>
      <w:r>
        <w:rPr>
          <w:rFonts w:hint="eastAsia" w:ascii="宋体" w:hAnsi="宋体" w:cs="宋体"/>
          <w:color w:val="auto"/>
          <w:kern w:val="0"/>
          <w:sz w:val="24"/>
          <w:szCs w:val="24"/>
          <w:highlight w:val="none"/>
        </w:rPr>
        <w:t>09:30:00（北京时间）。</w:t>
      </w:r>
    </w:p>
    <w:p>
      <w:pPr>
        <w:widowControl/>
        <w:ind w:left="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2.地点：（网址）：政采云平台（https://www.zcygov.cn/）（评标地址：衢州广泽商务秘书有限责任公司（衢州市衢江区东迹大道198号东城华庭）四楼评标厅）。</w:t>
      </w:r>
    </w:p>
    <w:p>
      <w:pPr>
        <w:ind w:left="0" w:firstLine="482" w:firstLineChars="200"/>
        <w:jc w:val="left"/>
        <w:rPr>
          <w:rFonts w:hint="eastAsia" w:ascii="宋体" w:hAnsi="宋体" w:cs="宋体"/>
          <w:b/>
          <w:color w:val="auto"/>
          <w:sz w:val="24"/>
          <w:highlight w:val="none"/>
        </w:rPr>
      </w:pPr>
      <w:r>
        <w:rPr>
          <w:rFonts w:hint="eastAsia" w:ascii="宋体" w:hAnsi="宋体" w:cs="宋体"/>
          <w:b/>
          <w:bCs/>
          <w:color w:val="auto"/>
          <w:sz w:val="24"/>
          <w:szCs w:val="24"/>
          <w:highlight w:val="none"/>
        </w:rPr>
        <w:t>六、</w:t>
      </w:r>
      <w:r>
        <w:rPr>
          <w:rFonts w:hint="eastAsia" w:ascii="宋体" w:hAnsi="宋体" w:cs="宋体"/>
          <w:b/>
          <w:color w:val="auto"/>
          <w:sz w:val="24"/>
          <w:highlight w:val="none"/>
        </w:rPr>
        <w:t>公告期限</w:t>
      </w:r>
    </w:p>
    <w:p>
      <w:pPr>
        <w:widowControl/>
        <w:ind w:left="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pPr>
        <w:ind w:left="0" w:firstLine="482" w:firstLineChars="200"/>
        <w:jc w:val="left"/>
        <w:rPr>
          <w:rFonts w:hint="eastAsia" w:ascii="宋体" w:hAnsi="宋体" w:cs="宋体"/>
          <w:b/>
          <w:color w:val="auto"/>
          <w:sz w:val="24"/>
          <w:szCs w:val="24"/>
          <w:highlight w:val="none"/>
        </w:rPr>
      </w:pPr>
      <w:bookmarkStart w:id="46" w:name="_Toc51872076"/>
      <w:r>
        <w:rPr>
          <w:rFonts w:hint="eastAsia" w:ascii="宋体" w:hAnsi="宋体" w:cs="宋体"/>
          <w:b/>
          <w:color w:val="auto"/>
          <w:sz w:val="24"/>
          <w:szCs w:val="24"/>
          <w:highlight w:val="none"/>
        </w:rPr>
        <w:t>七、其他补充事宜</w:t>
      </w:r>
      <w:bookmarkEnd w:id="46"/>
    </w:p>
    <w:p>
      <w:pPr>
        <w:widowControl/>
        <w:ind w:left="0" w:firstLine="480" w:firstLineChars="200"/>
        <w:jc w:val="left"/>
        <w:rPr>
          <w:rFonts w:hint="eastAsia" w:ascii="宋体" w:hAnsi="宋体" w:cs="宋体"/>
          <w:color w:val="auto"/>
          <w:kern w:val="0"/>
          <w:sz w:val="24"/>
          <w:szCs w:val="24"/>
          <w:highlight w:val="none"/>
        </w:rPr>
      </w:pPr>
      <w:bookmarkStart w:id="47" w:name="_Toc51872077"/>
      <w:r>
        <w:rPr>
          <w:rFonts w:hint="eastAsia" w:ascii="宋体" w:hAnsi="宋体"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widowControl/>
        <w:ind w:left="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ind w:left="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9"/>
        <w:ind w:left="0" w:firstLine="482" w:firstLineChars="200"/>
        <w:rPr>
          <w:rFonts w:hint="eastAsia" w:ascii="宋体" w:eastAsia="宋体"/>
          <w:b/>
          <w:color w:val="auto"/>
          <w:sz w:val="24"/>
          <w:highlight w:val="none"/>
        </w:rPr>
      </w:pPr>
      <w:r>
        <w:rPr>
          <w:rFonts w:hint="eastAsia" w:ascii="宋体" w:eastAsia="宋体"/>
          <w:b/>
          <w:color w:val="auto"/>
          <w:sz w:val="24"/>
          <w:highlight w:val="none"/>
        </w:rPr>
        <w:t>4.</w:t>
      </w:r>
      <w:bookmarkEnd w:id="47"/>
      <w:r>
        <w:rPr>
          <w:rFonts w:hint="eastAsia" w:ascii="宋体" w:eastAsia="宋体"/>
          <w:b/>
          <w:color w:val="auto"/>
          <w:sz w:val="24"/>
          <w:highlight w:val="none"/>
        </w:rPr>
        <w:t>其他事项</w:t>
      </w:r>
    </w:p>
    <w:p>
      <w:pPr>
        <w:ind w:left="0"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（1）采购项目需要落实的政府采购政策</w:t>
      </w:r>
    </w:p>
    <w:p>
      <w:pPr>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pPr>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磋商响应人发放贷款的一种融资方式。磋商响应人可登录浙江政府采购（http:/www zizfcg gov.cn）的中小企业信用融资栏目了解相关信息。供应商可以通过浙江政府采购网（https://zfcg. czt.zj. gov.cn/）首页的“浙江政采贷”模块进入申请，还可以通过政府采购云平台（https://www. zcygov.cn/）首页的“金融服务”模块进入申请。衢州地区政府采购中标的中小企业还可以通过“浙江政务网”登录到“衢融通”平台，发起政府采购质押融资申请。</w:t>
      </w:r>
    </w:p>
    <w:p>
      <w:pPr>
        <w:pStyle w:val="15"/>
        <w:numPr>
          <w:ilvl w:val="0"/>
          <w:numId w:val="1"/>
        </w:numPr>
        <w:spacing w:after="0" w:line="360" w:lineRule="auto"/>
        <w:ind w:left="0" w:leftChars="0" w:firstLine="482" w:firstLineChars="200"/>
        <w:rPr>
          <w:rFonts w:hint="eastAsia" w:ascii="宋体" w:hAnsi="宋体" w:eastAsia="宋体" w:cs="宋体"/>
          <w:b/>
          <w:bCs/>
          <w:color w:val="auto"/>
          <w:sz w:val="24"/>
          <w:szCs w:val="24"/>
          <w:highlight w:val="none"/>
        </w:rPr>
      </w:pPr>
      <w:bookmarkStart w:id="48" w:name="_Toc51872078"/>
      <w:r>
        <w:rPr>
          <w:rFonts w:hint="eastAsia" w:ascii="宋体" w:hAnsi="宋体" w:eastAsia="宋体" w:cs="宋体"/>
          <w:b/>
          <w:bCs/>
          <w:color w:val="auto"/>
          <w:sz w:val="24"/>
          <w:szCs w:val="24"/>
          <w:highlight w:val="none"/>
        </w:rPr>
        <w:t>电子招投标的说明：</w:t>
      </w:r>
    </w:p>
    <w:p>
      <w:pPr>
        <w:pStyle w:val="15"/>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：本项目以数据电文形式，依托“政府采购云平台（www.zcygov.cn）”进行</w:t>
      </w:r>
      <w:r>
        <w:rPr>
          <w:rFonts w:hint="eastAsia" w:ascii="宋体" w:hAnsi="宋体" w:eastAsia="宋体" w:cs="宋体"/>
          <w:color w:val="auto"/>
          <w:sz w:val="24"/>
          <w:szCs w:val="24"/>
          <w:highlight w:val="none"/>
          <w:lang w:val="en-US" w:eastAsia="zh-CN"/>
        </w:rPr>
        <w:t>磋商采购活动</w:t>
      </w:r>
      <w:r>
        <w:rPr>
          <w:rFonts w:hint="eastAsia" w:ascii="宋体" w:hAnsi="宋体" w:eastAsia="宋体" w:cs="宋体"/>
          <w:color w:val="auto"/>
          <w:sz w:val="24"/>
          <w:szCs w:val="24"/>
          <w:highlight w:val="none"/>
        </w:rPr>
        <w:t>，不接受纸质</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文件；</w:t>
      </w:r>
    </w:p>
    <w:p>
      <w:pPr>
        <w:pStyle w:val="15"/>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磋商响应前</w:t>
      </w:r>
      <w:r>
        <w:rPr>
          <w:rFonts w:hint="eastAsia" w:ascii="宋体" w:hAnsi="宋体" w:eastAsia="宋体" w:cs="宋体"/>
          <w:color w:val="auto"/>
          <w:sz w:val="24"/>
          <w:szCs w:val="24"/>
          <w:highlight w:val="none"/>
        </w:rPr>
        <w:t>准备：注册账号--点击“</w:t>
      </w:r>
      <w:r>
        <w:rPr>
          <w:rFonts w:hint="eastAsia" w:ascii="宋体" w:hAnsi="宋体" w:eastAsia="宋体" w:cs="宋体"/>
          <w:color w:val="auto"/>
          <w:sz w:val="24"/>
          <w:szCs w:val="24"/>
          <w:highlight w:val="none"/>
          <w:lang w:val="en-US" w:eastAsia="zh-CN"/>
        </w:rPr>
        <w:t>用户</w:t>
      </w:r>
      <w:r>
        <w:rPr>
          <w:rFonts w:hint="eastAsia" w:ascii="宋体" w:hAnsi="宋体" w:eastAsia="宋体" w:cs="宋体"/>
          <w:color w:val="auto"/>
          <w:sz w:val="24"/>
          <w:szCs w:val="24"/>
          <w:highlight w:val="none"/>
        </w:rPr>
        <w:t>入驻”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用户注册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“供应商登记”</w:t>
      </w:r>
      <w:r>
        <w:rPr>
          <w:rFonts w:hint="eastAsia" w:ascii="宋体" w:hAnsi="宋体" w:eastAsia="宋体" w:cs="宋体"/>
          <w:color w:val="auto"/>
          <w:sz w:val="24"/>
          <w:szCs w:val="24"/>
          <w:highlight w:val="none"/>
        </w:rPr>
        <w:t>，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pStyle w:val="15"/>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文件的获取：使用账号登录或者使用CA登录政采云平台；进入“项目采购”应用，在获取采购文件菜单中选择项目，获取</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w:t>
      </w:r>
    </w:p>
    <w:p>
      <w:pPr>
        <w:pStyle w:val="15"/>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文件的制作：在“政采云电子交易客户端”中完成“填写基本信息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导入</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标书关联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标书检查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生成电子标书”等操作；</w:t>
      </w:r>
    </w:p>
    <w:p>
      <w:pPr>
        <w:pStyle w:val="15"/>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⑤采购人、采购机构将依托政采云平台完成本项目的电子交易活动，平台不</w:t>
      </w:r>
      <w:r>
        <w:rPr>
          <w:rFonts w:hint="eastAsia" w:ascii="宋体" w:hAnsi="宋体" w:eastAsia="宋体" w:cs="宋体"/>
          <w:color w:val="auto"/>
          <w:sz w:val="24"/>
          <w:szCs w:val="24"/>
          <w:highlight w:val="none"/>
          <w:lang w:eastAsia="zh-CN"/>
        </w:rPr>
        <w:t>接受</w:t>
      </w:r>
      <w:r>
        <w:rPr>
          <w:rFonts w:hint="eastAsia" w:ascii="宋体" w:hAnsi="宋体" w:eastAsia="宋体" w:cs="宋体"/>
          <w:color w:val="auto"/>
          <w:sz w:val="24"/>
          <w:szCs w:val="24"/>
          <w:highlight w:val="none"/>
        </w:rPr>
        <w:t>未按上述方式获取</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文件的供应商进行</w:t>
      </w:r>
      <w:r>
        <w:rPr>
          <w:rFonts w:hint="eastAsia" w:ascii="宋体" w:hAnsi="宋体" w:eastAsia="宋体" w:cs="宋体"/>
          <w:color w:val="auto"/>
          <w:sz w:val="24"/>
          <w:szCs w:val="24"/>
          <w:highlight w:val="none"/>
          <w:lang w:val="en-US" w:eastAsia="zh-CN"/>
        </w:rPr>
        <w:t>采购响应</w:t>
      </w:r>
      <w:r>
        <w:rPr>
          <w:rFonts w:hint="eastAsia" w:ascii="宋体" w:hAnsi="宋体" w:eastAsia="宋体" w:cs="宋体"/>
          <w:color w:val="auto"/>
          <w:sz w:val="24"/>
          <w:szCs w:val="24"/>
          <w:highlight w:val="none"/>
        </w:rPr>
        <w:t>活动；</w:t>
      </w:r>
    </w:p>
    <w:p>
      <w:pPr>
        <w:pStyle w:val="15"/>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⑥对未按上述方式获取</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文件的供应商对该文件提出的质疑，采购人或采购代理机构将不予处理；</w:t>
      </w:r>
    </w:p>
    <w:p>
      <w:pPr>
        <w:pStyle w:val="15"/>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⑦不提供</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文件纸质版；</w:t>
      </w:r>
    </w:p>
    <w:p>
      <w:pPr>
        <w:pStyle w:val="15"/>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文件的传输递交：</w:t>
      </w:r>
      <w:r>
        <w:rPr>
          <w:rFonts w:hint="eastAsia" w:ascii="宋体" w:hAnsi="宋体" w:eastAsia="宋体" w:cs="宋体"/>
          <w:color w:val="auto"/>
          <w:sz w:val="24"/>
          <w:szCs w:val="24"/>
          <w:highlight w:val="none"/>
          <w:lang w:eastAsia="zh-CN"/>
        </w:rPr>
        <w:t>磋商响应人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截止时间前将加密的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上传至政府采购云平台，还可以在</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截止时间前直接提交或者以</w:t>
      </w:r>
      <w:r>
        <w:rPr>
          <w:rFonts w:hint="eastAsia" w:ascii="宋体" w:hAnsi="宋体" w:eastAsia="宋体" w:cs="宋体"/>
          <w:color w:val="auto"/>
          <w:sz w:val="24"/>
          <w:szCs w:val="24"/>
          <w:highlight w:val="none"/>
          <w:lang w:eastAsia="zh-CN"/>
        </w:rPr>
        <w:t>快递方式</w:t>
      </w:r>
      <w:r>
        <w:rPr>
          <w:rFonts w:hint="eastAsia" w:ascii="宋体" w:hAnsi="宋体" w:eastAsia="宋体" w:cs="宋体"/>
          <w:color w:val="auto"/>
          <w:sz w:val="24"/>
          <w:szCs w:val="24"/>
          <w:highlight w:val="none"/>
        </w:rPr>
        <w:t>递交备份</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1份。备份</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的制作、存储、密封详见</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文件第</w:t>
      </w:r>
      <w:r>
        <w:rPr>
          <w:rFonts w:hint="eastAsia" w:ascii="宋体" w:hAnsi="宋体" w:eastAsia="宋体" w:cs="宋体"/>
          <w:color w:val="auto"/>
          <w:sz w:val="24"/>
          <w:szCs w:val="24"/>
          <w:highlight w:val="none"/>
          <w:lang w:val="en-US" w:eastAsia="zh-CN"/>
        </w:rPr>
        <w:t>二章磋商须知前附表</w:t>
      </w:r>
      <w:r>
        <w:rPr>
          <w:rFonts w:hint="eastAsia" w:ascii="宋体" w:hAnsi="宋体" w:eastAsia="宋体" w:cs="宋体"/>
          <w:color w:val="auto"/>
          <w:sz w:val="24"/>
          <w:szCs w:val="24"/>
          <w:highlight w:val="none"/>
        </w:rPr>
        <w:t>—“电子备份磋商响应文件的递交”；</w:t>
      </w:r>
    </w:p>
    <w:p>
      <w:pPr>
        <w:pStyle w:val="15"/>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的解密：</w:t>
      </w:r>
      <w:r>
        <w:rPr>
          <w:rFonts w:hint="eastAsia" w:ascii="宋体" w:hAnsi="宋体" w:eastAsia="宋体" w:cs="宋体"/>
          <w:color w:val="auto"/>
          <w:sz w:val="24"/>
          <w:szCs w:val="24"/>
          <w:highlight w:val="none"/>
          <w:lang w:eastAsia="zh-CN"/>
        </w:rPr>
        <w:t>磋商响应人</w:t>
      </w:r>
      <w:r>
        <w:rPr>
          <w:rFonts w:hint="eastAsia" w:ascii="宋体" w:hAnsi="宋体" w:eastAsia="宋体" w:cs="宋体"/>
          <w:color w:val="auto"/>
          <w:sz w:val="24"/>
          <w:szCs w:val="24"/>
          <w:highlight w:val="none"/>
        </w:rPr>
        <w:t>按照平台提示和</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文件的规定在半小时内完成在线解密。通过“政府采购云平台”上传递交的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无法按时解密，供应商递交了备份</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的，以备份</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为依据，否则视为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撤回。通过“政府采购云平台”上传递交的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已按时解密的，备份</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自动失效。</w:t>
      </w:r>
      <w:r>
        <w:rPr>
          <w:rFonts w:hint="eastAsia" w:ascii="宋体" w:hAnsi="宋体" w:eastAsia="宋体" w:cs="宋体"/>
          <w:color w:val="auto"/>
          <w:sz w:val="24"/>
          <w:szCs w:val="24"/>
          <w:highlight w:val="none"/>
          <w:lang w:eastAsia="zh-CN"/>
        </w:rPr>
        <w:t>磋商响应人</w:t>
      </w:r>
      <w:r>
        <w:rPr>
          <w:rFonts w:hint="eastAsia" w:ascii="宋体" w:hAnsi="宋体" w:eastAsia="宋体" w:cs="宋体"/>
          <w:color w:val="auto"/>
          <w:sz w:val="24"/>
          <w:szCs w:val="24"/>
          <w:highlight w:val="none"/>
        </w:rPr>
        <w:t>仅提交备份</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，没有在电子交易平台传输递交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无效；</w:t>
      </w:r>
    </w:p>
    <w:p>
      <w:pPr>
        <w:pStyle w:val="15"/>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⑩具体操作指南：详见政采云平台“服务中心-帮助文档-项目采购-操作流程-电子招投标-政府采购项目电子交易管理操作指南-供应商”。</w:t>
      </w:r>
    </w:p>
    <w:bookmarkEnd w:id="48"/>
    <w:p>
      <w:pPr>
        <w:ind w:left="0"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八、凡对本次采购提出询问，请按以下方式联系。</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1.采购人信息</w:t>
      </w:r>
    </w:p>
    <w:p>
      <w:pPr>
        <w:ind w:left="0" w:firstLine="48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名    称：</w:t>
      </w:r>
      <w:r>
        <w:rPr>
          <w:rFonts w:hint="eastAsia" w:ascii="宋体" w:hAnsi="宋体" w:cs="宋体"/>
          <w:color w:val="auto"/>
          <w:sz w:val="24"/>
          <w:szCs w:val="22"/>
          <w:highlight w:val="none"/>
          <w:lang w:eastAsia="zh-CN"/>
        </w:rPr>
        <w:t>中共衢州市委宣传部</w:t>
      </w:r>
    </w:p>
    <w:p>
      <w:pPr>
        <w:ind w:left="0" w:firstLine="48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地    址：</w:t>
      </w:r>
      <w:r>
        <w:rPr>
          <w:rFonts w:hint="eastAsia" w:ascii="宋体" w:hAnsi="宋体" w:cs="宋体"/>
          <w:color w:val="auto"/>
          <w:sz w:val="24"/>
          <w:szCs w:val="22"/>
          <w:highlight w:val="none"/>
          <w:lang w:eastAsia="zh-CN"/>
        </w:rPr>
        <w:t>衢州市三江东路28号</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传    真：/</w:t>
      </w:r>
    </w:p>
    <w:p>
      <w:pPr>
        <w:ind w:left="0" w:firstLine="48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项目联系人（询问）：</w:t>
      </w:r>
      <w:r>
        <w:rPr>
          <w:rFonts w:hint="eastAsia" w:ascii="宋体" w:hAnsi="宋体" w:cs="宋体"/>
          <w:color w:val="auto"/>
          <w:sz w:val="24"/>
          <w:szCs w:val="22"/>
          <w:highlight w:val="none"/>
          <w:lang w:eastAsia="zh-CN"/>
        </w:rPr>
        <w:t>洪先生</w:t>
      </w:r>
    </w:p>
    <w:p>
      <w:pPr>
        <w:ind w:left="0" w:firstLine="48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项目联系方式（询问）：</w:t>
      </w:r>
      <w:r>
        <w:rPr>
          <w:rFonts w:hint="eastAsia" w:ascii="宋体" w:hAnsi="宋体" w:cs="宋体"/>
          <w:color w:val="auto"/>
          <w:sz w:val="24"/>
          <w:szCs w:val="22"/>
          <w:highlight w:val="none"/>
          <w:lang w:eastAsia="zh-CN"/>
        </w:rPr>
        <w:t>0570-3310853</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质疑联系人：</w:t>
      </w:r>
      <w:r>
        <w:rPr>
          <w:rFonts w:hint="eastAsia" w:ascii="宋体" w:hAnsi="宋体" w:cs="宋体"/>
          <w:color w:val="auto"/>
          <w:sz w:val="24"/>
          <w:szCs w:val="22"/>
          <w:highlight w:val="none"/>
          <w:lang w:eastAsia="zh-CN"/>
        </w:rPr>
        <w:t>朱女士</w:t>
      </w:r>
      <w:r>
        <w:rPr>
          <w:rFonts w:hint="eastAsia" w:ascii="宋体" w:hAnsi="宋体" w:cs="宋体"/>
          <w:color w:val="auto"/>
          <w:sz w:val="24"/>
          <w:szCs w:val="22"/>
          <w:highlight w:val="none"/>
        </w:rPr>
        <w:t xml:space="preserve"> </w:t>
      </w:r>
    </w:p>
    <w:p>
      <w:pPr>
        <w:ind w:left="0" w:firstLine="48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质疑联系方式：</w:t>
      </w:r>
      <w:r>
        <w:rPr>
          <w:rFonts w:hint="eastAsia" w:ascii="宋体" w:hAnsi="宋体" w:cs="宋体"/>
          <w:color w:val="auto"/>
          <w:sz w:val="24"/>
          <w:szCs w:val="22"/>
          <w:highlight w:val="none"/>
          <w:lang w:eastAsia="zh-CN"/>
        </w:rPr>
        <w:t>0570-3310853</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2.采购代理机构信息 </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名    称：衢州广泽商务秘书有限责任公司 </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地    址：衢州市衢江区东迹大道198号东城华庭420室 </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传    真：0570-2932377 </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项目联系人（询问）：余女士 </w:t>
      </w:r>
    </w:p>
    <w:p>
      <w:pPr>
        <w:ind w:left="0" w:firstLine="480" w:firstLineChars="200"/>
        <w:rPr>
          <w:rFonts w:hint="default" w:ascii="宋体" w:hAnsi="宋体" w:eastAsia="宋体" w:cs="宋体"/>
          <w:color w:val="auto"/>
          <w:sz w:val="24"/>
          <w:szCs w:val="22"/>
          <w:highlight w:val="none"/>
          <w:lang w:val="en-US" w:eastAsia="zh-CN"/>
        </w:rPr>
      </w:pPr>
      <w:r>
        <w:rPr>
          <w:rFonts w:hint="eastAsia" w:ascii="宋体" w:hAnsi="宋体" w:cs="宋体"/>
          <w:color w:val="auto"/>
          <w:sz w:val="24"/>
          <w:szCs w:val="22"/>
          <w:highlight w:val="none"/>
        </w:rPr>
        <w:t>项目联系方式（询问）：0570-</w:t>
      </w:r>
      <w:r>
        <w:rPr>
          <w:rFonts w:hint="eastAsia" w:ascii="宋体" w:hAnsi="宋体" w:cs="宋体"/>
          <w:color w:val="auto"/>
          <w:sz w:val="24"/>
          <w:szCs w:val="22"/>
          <w:highlight w:val="none"/>
          <w:lang w:val="en-US" w:eastAsia="zh-CN"/>
        </w:rPr>
        <w:t>2933128</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质疑联系人：叶筱珍</w:t>
      </w:r>
    </w:p>
    <w:p>
      <w:pPr>
        <w:ind w:left="0" w:firstLine="480" w:firstLineChars="200"/>
        <w:rPr>
          <w:rFonts w:hint="eastAsia" w:ascii="宋体" w:hAnsi="宋体" w:cs="宋体"/>
          <w:color w:val="auto"/>
          <w:sz w:val="24"/>
          <w:szCs w:val="22"/>
          <w:highlight w:val="none"/>
          <w:lang w:val="en-US" w:eastAsia="zh-CN"/>
        </w:rPr>
      </w:pPr>
      <w:r>
        <w:rPr>
          <w:rFonts w:hint="eastAsia" w:ascii="宋体" w:hAnsi="宋体" w:cs="宋体"/>
          <w:color w:val="auto"/>
          <w:sz w:val="24"/>
          <w:szCs w:val="22"/>
          <w:highlight w:val="none"/>
        </w:rPr>
        <w:t>质疑联系方式：0570-</w:t>
      </w:r>
      <w:r>
        <w:rPr>
          <w:rFonts w:hint="eastAsia" w:ascii="宋体" w:hAnsi="宋体" w:cs="宋体"/>
          <w:color w:val="auto"/>
          <w:sz w:val="24"/>
          <w:szCs w:val="22"/>
          <w:highlight w:val="none"/>
          <w:lang w:val="en-US" w:eastAsia="zh-CN"/>
        </w:rPr>
        <w:t>3025811</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3.同级财政采购监督管理部门</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名    称：衢州市财政局</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地    址：衢州市三江东路28号</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传    真：0570-8757615</w:t>
      </w:r>
    </w:p>
    <w:p>
      <w:pPr>
        <w:ind w:left="0" w:firstLine="48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联系人 ：</w:t>
      </w:r>
      <w:r>
        <w:rPr>
          <w:rFonts w:hint="eastAsia" w:ascii="宋体" w:hAnsi="宋体" w:cs="宋体"/>
          <w:color w:val="auto"/>
          <w:sz w:val="24"/>
          <w:szCs w:val="22"/>
          <w:highlight w:val="none"/>
          <w:lang w:val="en-US" w:eastAsia="zh-CN"/>
        </w:rPr>
        <w:t>徐</w:t>
      </w:r>
      <w:r>
        <w:rPr>
          <w:rFonts w:hint="eastAsia" w:ascii="宋体" w:hAnsi="宋体" w:cs="宋体"/>
          <w:color w:val="auto"/>
          <w:sz w:val="24"/>
          <w:szCs w:val="22"/>
          <w:highlight w:val="none"/>
          <w:lang w:eastAsia="zh-CN"/>
        </w:rPr>
        <w:t>先生</w:t>
      </w:r>
    </w:p>
    <w:p>
      <w:pPr>
        <w:ind w:left="0"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监督投诉电话：0570-8757615</w:t>
      </w:r>
    </w:p>
    <w:p>
      <w:pPr>
        <w:spacing w:line="480" w:lineRule="auto"/>
        <w:ind w:left="0" w:firstLine="480" w:firstLineChars="200"/>
        <w:jc w:val="right"/>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lang w:eastAsia="zh-CN"/>
        </w:rPr>
        <w:t>中共衢州市委宣传部</w:t>
      </w:r>
    </w:p>
    <w:p>
      <w:pPr>
        <w:spacing w:line="480" w:lineRule="auto"/>
        <w:ind w:left="0" w:firstLine="480" w:firstLineChars="200"/>
        <w:jc w:val="right"/>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 </w:t>
      </w:r>
      <w:bookmarkStart w:id="49" w:name="_Toc51872080"/>
      <w:r>
        <w:rPr>
          <w:rFonts w:hint="eastAsia" w:ascii="宋体" w:hAnsi="宋体" w:cs="宋体"/>
          <w:color w:val="auto"/>
          <w:sz w:val="24"/>
          <w:szCs w:val="22"/>
          <w:highlight w:val="none"/>
        </w:rPr>
        <w:t>衢州广泽商务秘书有限责任公司</w:t>
      </w:r>
      <w:bookmarkEnd w:id="49"/>
    </w:p>
    <w:p>
      <w:pPr>
        <w:spacing w:line="480" w:lineRule="auto"/>
        <w:ind w:left="0" w:firstLine="480" w:firstLineChars="200"/>
        <w:jc w:val="right"/>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 xml:space="preserve">                                               </w:t>
      </w:r>
      <w:bookmarkStart w:id="50" w:name="_Toc499984968"/>
      <w:bookmarkStart w:id="51" w:name="_Toc5186985"/>
      <w:bookmarkStart w:id="52" w:name="_Toc9777571"/>
      <w:bookmarkStart w:id="53" w:name="_Toc477171596"/>
      <w:bookmarkStart w:id="54" w:name="_Toc5543926"/>
      <w:bookmarkStart w:id="55" w:name="_Toc24615"/>
      <w:bookmarkStart w:id="56" w:name="_Toc5543942"/>
      <w:bookmarkStart w:id="57" w:name="_Toc51872081"/>
      <w:r>
        <w:rPr>
          <w:rFonts w:hint="eastAsia" w:ascii="宋体" w:hAnsi="宋体" w:cs="宋体"/>
          <w:color w:val="auto"/>
          <w:sz w:val="24"/>
          <w:szCs w:val="22"/>
          <w:highlight w:val="none"/>
          <w:lang w:eastAsia="zh-CN"/>
        </w:rPr>
        <w:t>2024年6月</w:t>
      </w:r>
      <w:r>
        <w:rPr>
          <w:rFonts w:hint="eastAsia" w:ascii="宋体" w:hAnsi="宋体" w:cs="宋体"/>
          <w:color w:val="auto"/>
          <w:sz w:val="24"/>
          <w:szCs w:val="22"/>
          <w:highlight w:val="none"/>
          <w:lang w:val="en-US" w:eastAsia="zh-CN"/>
        </w:rPr>
        <w:t>7</w:t>
      </w:r>
      <w:r>
        <w:rPr>
          <w:rFonts w:hint="eastAsia" w:ascii="宋体" w:hAnsi="宋体" w:cs="宋体"/>
          <w:color w:val="auto"/>
          <w:sz w:val="24"/>
          <w:szCs w:val="22"/>
          <w:highlight w:val="none"/>
          <w:lang w:eastAsia="zh-CN"/>
        </w:rPr>
        <w:t>日</w:t>
      </w:r>
    </w:p>
    <w:p>
      <w:pPr>
        <w:pStyle w:val="3"/>
        <w:spacing w:before="240" w:beforeLines="100" w:after="120" w:afterLines="50"/>
        <w:ind w:left="0" w:firstLine="0"/>
        <w:rPr>
          <w:rFonts w:hint="eastAsia" w:ascii="宋体" w:hAnsi="宋体" w:cs="宋体"/>
          <w:color w:val="auto"/>
          <w:highlight w:val="none"/>
          <w:lang w:val="en-US" w:eastAsia="zh-CN"/>
        </w:rPr>
      </w:pPr>
      <w:r>
        <w:rPr>
          <w:rFonts w:hint="eastAsia" w:ascii="宋体" w:hAnsi="宋体" w:cs="宋体"/>
          <w:color w:val="auto"/>
          <w:highlight w:val="none"/>
          <w:lang w:val="en-US" w:eastAsia="zh-CN"/>
        </w:rPr>
        <w:br w:type="page"/>
      </w:r>
      <w:r>
        <w:rPr>
          <w:rFonts w:hint="eastAsia" w:ascii="宋体" w:hAnsi="宋体" w:cs="宋体"/>
          <w:color w:val="auto"/>
          <w:highlight w:val="none"/>
          <w:lang w:val="en-US" w:eastAsia="zh-CN"/>
        </w:rPr>
        <w:t>第二章  磋商须知前附表及磋商须知</w:t>
      </w:r>
      <w:bookmarkEnd w:id="50"/>
      <w:bookmarkEnd w:id="51"/>
      <w:bookmarkEnd w:id="52"/>
      <w:bookmarkEnd w:id="53"/>
      <w:bookmarkEnd w:id="54"/>
      <w:bookmarkEnd w:id="55"/>
      <w:bookmarkEnd w:id="56"/>
      <w:bookmarkEnd w:id="57"/>
    </w:p>
    <w:p>
      <w:pPr>
        <w:pStyle w:val="2"/>
        <w:spacing w:line="0" w:lineRule="atLeast"/>
        <w:ind w:left="0" w:firstLine="0"/>
        <w:rPr>
          <w:rFonts w:hint="eastAsia" w:eastAsia="宋体" w:cs="宋体"/>
          <w:b/>
          <w:bCs w:val="0"/>
          <w:color w:val="auto"/>
          <w:szCs w:val="24"/>
          <w:highlight w:val="none"/>
        </w:rPr>
      </w:pPr>
      <w:bookmarkStart w:id="58" w:name="_Toc9777572"/>
      <w:bookmarkStart w:id="59" w:name="_Toc477171597"/>
      <w:bookmarkStart w:id="60" w:name="_Toc493411133"/>
      <w:bookmarkStart w:id="61" w:name="_Toc356371431"/>
      <w:bookmarkStart w:id="62" w:name="_Toc12468"/>
      <w:bookmarkStart w:id="63" w:name="_Toc457934623"/>
      <w:bookmarkStart w:id="64" w:name="_Toc493362976"/>
      <w:bookmarkStart w:id="65" w:name="_Toc5543943"/>
      <w:bookmarkStart w:id="66" w:name="_Toc51872082"/>
      <w:r>
        <w:rPr>
          <w:rFonts w:hint="eastAsia" w:eastAsia="宋体" w:cs="宋体"/>
          <w:b/>
          <w:bCs w:val="0"/>
          <w:color w:val="auto"/>
          <w:szCs w:val="24"/>
          <w:highlight w:val="none"/>
        </w:rPr>
        <w:t>一、磋商须知前附表</w:t>
      </w:r>
      <w:bookmarkEnd w:id="58"/>
      <w:bookmarkEnd w:id="59"/>
      <w:bookmarkEnd w:id="60"/>
      <w:bookmarkEnd w:id="61"/>
      <w:bookmarkEnd w:id="62"/>
      <w:bookmarkEnd w:id="63"/>
      <w:bookmarkEnd w:id="64"/>
      <w:bookmarkEnd w:id="65"/>
      <w:bookmarkEnd w:id="66"/>
    </w:p>
    <w:tbl>
      <w:tblPr>
        <w:tblStyle w:val="16"/>
        <w:tblW w:w="0" w:type="auto"/>
        <w:tblInd w:w="-4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6"/>
        <w:gridCol w:w="1682"/>
        <w:gridCol w:w="73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b/>
                <w:color w:val="auto"/>
                <w:sz w:val="24"/>
                <w:szCs w:val="24"/>
                <w:highlight w:val="none"/>
              </w:rPr>
            </w:pPr>
            <w:r>
              <w:rPr>
                <w:rStyle w:val="20"/>
                <w:rFonts w:hint="default" w:cs="宋体"/>
                <w:b/>
                <w:color w:val="auto"/>
                <w:sz w:val="24"/>
                <w:szCs w:val="24"/>
                <w:highlight w:val="none"/>
              </w:rPr>
              <w:t>序号</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b/>
                <w:color w:val="auto"/>
                <w:sz w:val="24"/>
                <w:szCs w:val="24"/>
                <w:highlight w:val="none"/>
              </w:rPr>
            </w:pPr>
            <w:r>
              <w:rPr>
                <w:rStyle w:val="20"/>
                <w:rFonts w:hint="default" w:cs="宋体"/>
                <w:b/>
                <w:color w:val="auto"/>
                <w:sz w:val="24"/>
                <w:szCs w:val="24"/>
                <w:highlight w:val="none"/>
              </w:rPr>
              <w:t>内容</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b/>
                <w:color w:val="auto"/>
                <w:sz w:val="24"/>
                <w:szCs w:val="24"/>
                <w:highlight w:val="none"/>
              </w:rPr>
            </w:pPr>
            <w:r>
              <w:rPr>
                <w:rStyle w:val="20"/>
                <w:rFonts w:hint="default" w:cs="宋体"/>
                <w:b/>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exac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1</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项目名称</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Style w:val="20"/>
                <w:rFonts w:hint="eastAsia" w:eastAsia="宋体" w:cs="宋体"/>
                <w:color w:val="auto"/>
                <w:sz w:val="24"/>
                <w:szCs w:val="24"/>
                <w:highlight w:val="none"/>
                <w:lang w:eastAsia="zh-CN"/>
              </w:rPr>
            </w:pPr>
            <w:r>
              <w:rPr>
                <w:rFonts w:hint="eastAsia" w:ascii="宋体" w:hAnsi="宋体" w:cs="宋体"/>
                <w:color w:val="auto"/>
                <w:sz w:val="24"/>
                <w:szCs w:val="24"/>
                <w:highlight w:val="none"/>
                <w:lang w:eastAsia="zh-CN"/>
              </w:rPr>
              <w:t>2024“宋韵儒风 南孔琴韵”第三届“敦煌杯”古琴室内乐新作品展演活动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exac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2</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采购人</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rPr>
                <w:rStyle w:val="20"/>
                <w:rFonts w:hint="eastAsia" w:eastAsia="宋体" w:cs="宋体"/>
                <w:color w:val="auto"/>
                <w:sz w:val="24"/>
                <w:szCs w:val="24"/>
                <w:highlight w:val="none"/>
                <w:lang w:eastAsia="zh-CN"/>
              </w:rPr>
            </w:pPr>
            <w:r>
              <w:rPr>
                <w:rFonts w:hint="eastAsia" w:ascii="宋体" w:hAnsi="宋体" w:cs="宋体"/>
                <w:color w:val="auto"/>
                <w:sz w:val="24"/>
                <w:szCs w:val="24"/>
                <w:highlight w:val="none"/>
                <w:lang w:eastAsia="zh-CN"/>
              </w:rPr>
              <w:t>中共衢州市委宣传部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exac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3</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采购代理机构</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Style w:val="20"/>
                <w:rFonts w:hint="default" w:cs="宋体"/>
                <w:color w:val="auto"/>
                <w:sz w:val="24"/>
                <w:szCs w:val="24"/>
                <w:highlight w:val="none"/>
              </w:rPr>
            </w:pPr>
            <w:r>
              <w:rPr>
                <w:rFonts w:hint="eastAsia" w:ascii="宋体" w:hAnsi="宋体" w:cs="宋体"/>
                <w:color w:val="auto"/>
                <w:sz w:val="24"/>
                <w:szCs w:val="24"/>
                <w:highlight w:val="none"/>
                <w:lang w:val="zh-CN"/>
              </w:rPr>
              <w:t>衢州广泽商务秘书有限责任公司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3" w:hRule="exac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4</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项目内容及</w:t>
            </w:r>
            <w:r>
              <w:rPr>
                <w:rStyle w:val="20"/>
                <w:rFonts w:hint="eastAsia" w:eastAsia="宋体" w:cs="宋体"/>
                <w:color w:val="auto"/>
                <w:sz w:val="24"/>
                <w:szCs w:val="24"/>
                <w:highlight w:val="none"/>
                <w:lang w:val="en-US" w:eastAsia="zh-CN"/>
              </w:rPr>
              <w:t>最高限价</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详见磋商文件“第三章 采购内容及要求”。</w:t>
            </w:r>
          </w:p>
          <w:p>
            <w:pPr>
              <w:spacing w:line="0" w:lineRule="atLeast"/>
              <w:ind w:left="0" w:firstLine="0"/>
              <w:jc w:val="left"/>
              <w:rPr>
                <w:rStyle w:val="20"/>
                <w:rFonts w:hint="default" w:cs="宋体"/>
                <w:color w:val="auto"/>
                <w:spacing w:val="-10"/>
                <w:sz w:val="24"/>
                <w:szCs w:val="24"/>
                <w:highlight w:val="none"/>
                <w:lang w:val="zh-CN"/>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eastAsia="zh-CN"/>
              </w:rPr>
              <w:t>750000.00</w:t>
            </w:r>
            <w:r>
              <w:rPr>
                <w:rFonts w:hint="eastAsia" w:ascii="宋体" w:hAnsi="宋体" w:cs="宋体"/>
                <w:color w:val="auto"/>
                <w:sz w:val="24"/>
                <w:szCs w:val="24"/>
                <w:highlight w:val="none"/>
              </w:rPr>
              <w:t>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exac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5</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合同履约期限</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自合同签订后至2024年11月30日止</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6</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采购方式及评审办法</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本项目采用竞争性磋商的方式，评审办法采用综合评分法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exact"/>
        </w:trPr>
        <w:tc>
          <w:tcPr>
            <w:tcW w:w="806" w:type="dxa"/>
            <w:tcBorders>
              <w:top w:val="single" w:color="auto" w:sz="4" w:space="0"/>
              <w:left w:val="single" w:color="auto" w:sz="4" w:space="0"/>
              <w:bottom w:val="single" w:color="auto" w:sz="4" w:space="0"/>
              <w:right w:val="single" w:color="auto" w:sz="4" w:space="0"/>
            </w:tcBorders>
            <w:noWrap w:val="0"/>
            <w:vAlign w:val="center"/>
          </w:tcPr>
          <w:p>
            <w:pPr>
              <w:pStyle w:val="21"/>
              <w:spacing w:line="0" w:lineRule="atLeast"/>
              <w:jc w:val="center"/>
              <w:rPr>
                <w:rFonts w:hint="eastAsia" w:ascii="宋体" w:hAnsi="宋体" w:cs="宋体"/>
                <w:bCs/>
                <w:color w:val="auto"/>
                <w:kern w:val="2"/>
                <w:highlight w:val="none"/>
              </w:rPr>
            </w:pPr>
            <w:r>
              <w:rPr>
                <w:rFonts w:hint="eastAsia" w:ascii="宋体" w:hAnsi="宋体" w:cs="宋体"/>
                <w:bCs/>
                <w:color w:val="auto"/>
                <w:kern w:val="2"/>
                <w:highlight w:val="none"/>
              </w:rPr>
              <w:t>7</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磋商文件获取时间及方式</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8</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质疑投诉</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pStyle w:val="21"/>
              <w:spacing w:line="0" w:lineRule="atLeast"/>
              <w:jc w:val="center"/>
              <w:rPr>
                <w:rFonts w:hint="eastAsia" w:ascii="宋体" w:hAnsi="宋体" w:cs="宋体"/>
                <w:bCs/>
                <w:color w:val="auto"/>
                <w:kern w:val="2"/>
                <w:highlight w:val="none"/>
              </w:rPr>
            </w:pPr>
            <w:r>
              <w:rPr>
                <w:rFonts w:hint="eastAsia" w:ascii="宋体" w:hAnsi="宋体" w:cs="宋体"/>
                <w:bCs/>
                <w:color w:val="auto"/>
                <w:kern w:val="2"/>
                <w:highlight w:val="none"/>
              </w:rPr>
              <w:t>9</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采购文件的澄清与修改</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采购人或者采购代理机构可以对已发出的采购文件进行必要的澄清或者修改。澄清或者修改的内容可能影响磋商响应文件编制的，采购人或者采购代理机构应当在磋商响应截止时间至少五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10</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napToGrid w:val="0"/>
              <w:spacing w:line="0" w:lineRule="atLeast"/>
              <w:ind w:left="0" w:firstLine="0"/>
              <w:jc w:val="center"/>
              <w:rPr>
                <w:rStyle w:val="20"/>
                <w:rFonts w:hint="default" w:cs="宋体"/>
                <w:color w:val="auto"/>
                <w:sz w:val="24"/>
                <w:szCs w:val="24"/>
                <w:highlight w:val="none"/>
              </w:rPr>
            </w:pPr>
            <w:r>
              <w:rPr>
                <w:rFonts w:hint="eastAsia" w:ascii="宋体" w:hAnsi="宋体" w:cs="宋体"/>
                <w:bCs/>
                <w:color w:val="auto"/>
                <w:sz w:val="24"/>
                <w:szCs w:val="24"/>
                <w:highlight w:val="none"/>
              </w:rPr>
              <w:t>磋商响应文件组成</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before="0" w:line="240" w:lineRule="atLeast"/>
              <w:ind w:firstLine="0" w:firstLineChars="0"/>
              <w:rPr>
                <w:rStyle w:val="20"/>
                <w:rFonts w:hint="default" w:cs="宋体"/>
                <w:color w:val="auto"/>
                <w:sz w:val="24"/>
                <w:szCs w:val="24"/>
                <w:highlight w:val="none"/>
                <w:lang w:val="en-US" w:eastAsia="zh-CN"/>
              </w:rPr>
            </w:pPr>
            <w:r>
              <w:rPr>
                <w:rFonts w:hint="eastAsia" w:ascii="宋体" w:hAnsi="宋体" w:cs="宋体"/>
                <w:bCs/>
                <w:color w:val="auto"/>
                <w:highlight w:val="none"/>
                <w:lang w:val="en-US" w:eastAsia="zh-CN"/>
              </w:rPr>
              <w:t>完整的《磋商响应文件》由“资格证明文件”“商务技术文件”和“报价文件”三个部分组成。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11</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napToGrid w:val="0"/>
              <w:spacing w:line="0" w:lineRule="atLeast"/>
              <w:ind w:left="0" w:firstLine="0"/>
              <w:jc w:val="center"/>
              <w:rPr>
                <w:rStyle w:val="20"/>
                <w:rFonts w:hint="default" w:cs="宋体"/>
                <w:color w:val="auto"/>
                <w:sz w:val="24"/>
                <w:szCs w:val="24"/>
                <w:highlight w:val="none"/>
              </w:rPr>
            </w:pPr>
            <w:r>
              <w:rPr>
                <w:rFonts w:hint="eastAsia" w:ascii="宋体" w:hAnsi="宋体" w:cs="宋体"/>
                <w:bCs/>
                <w:color w:val="auto"/>
                <w:sz w:val="24"/>
                <w:szCs w:val="24"/>
                <w:highlight w:val="none"/>
              </w:rPr>
              <w:t>磋商响应文件的编制</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before="0" w:line="0" w:lineRule="atLeast"/>
              <w:ind w:firstLine="0" w:firstLineChars="0"/>
              <w:rPr>
                <w:rStyle w:val="20"/>
                <w:rFonts w:hint="default" w:cs="宋体"/>
                <w:color w:val="auto"/>
                <w:sz w:val="24"/>
                <w:szCs w:val="24"/>
                <w:highlight w:val="none"/>
                <w:lang w:val="en-US" w:eastAsia="zh-CN"/>
              </w:rPr>
            </w:pPr>
            <w:r>
              <w:rPr>
                <w:rFonts w:hint="eastAsia" w:ascii="宋体" w:hAnsi="宋体" w:cs="宋体"/>
                <w:bCs/>
                <w:color w:val="auto"/>
                <w:highlight w:val="none"/>
                <w:lang w:val="en-US" w:eastAsia="zh-CN"/>
              </w:rPr>
              <w:t>供应商应先安装“政采云电子交易客户端”，并按照本磋商文件和“政府采购云平台”的要求，通过“政采云电子交易客户端”完成“填写基本信息”“导入磋商响应文件”“标书关联”“标书检查”“电子签名”“生成电子标书”等操作，完成磋商响应文件的编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供应商如以联合体形式参加政府采购活动的，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文件只需联合体牵头人</w:t>
            </w:r>
            <w:r>
              <w:rPr>
                <w:rFonts w:hint="eastAsia" w:ascii="宋体" w:hAnsi="宋体" w:eastAsia="宋体" w:cs="宋体"/>
                <w:color w:val="auto"/>
                <w:sz w:val="24"/>
                <w:szCs w:val="24"/>
                <w:highlight w:val="none"/>
                <w:lang w:val="en-US" w:eastAsia="zh-CN"/>
              </w:rPr>
              <w:t>负责编制</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12</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磋商响应文件形式</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磋商响应文件分为电子加密磋商响应文件、电子备份响应文件：</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1）电子磋商响应文件，磋商响应人应先安装“政采云电子交易客户端”，并按照本磋商文件要求和政采云平台供应商项目采购-电子招投标操作指南（详见政采云平台“服务中心-帮助文档-项目采购-操作流程-电子招投标-政府采购项目电子交易管理操作指南-供应商”），通过“政采云电子交易客户端”编制并加密磋商响应文件。</w:t>
            </w:r>
          </w:p>
          <w:p>
            <w:pPr>
              <w:spacing w:line="0" w:lineRule="atLeast"/>
              <w:ind w:left="0" w:firstLine="0"/>
              <w:jc w:val="left"/>
              <w:rPr>
                <w:rFonts w:hint="eastAsia" w:ascii="宋体" w:hAnsi="宋体" w:cs="宋体"/>
                <w:color w:val="auto"/>
                <w:sz w:val="24"/>
                <w:szCs w:val="24"/>
                <w:highlight w:val="none"/>
              </w:rPr>
            </w:pPr>
            <w:r>
              <w:rPr>
                <w:rStyle w:val="20"/>
                <w:rFonts w:hint="default" w:cs="宋体"/>
                <w:color w:val="auto"/>
                <w:sz w:val="24"/>
                <w:szCs w:val="24"/>
                <w:highlight w:val="none"/>
              </w:rPr>
              <w:t>（2）电子备份磋商响应文件是指与电子磋商响应文件一同加密形成的备份文件。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13</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响应文件递交截止时间和地点</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响应文件递交截止时间：</w:t>
            </w:r>
            <w:r>
              <w:rPr>
                <w:rFonts w:hint="eastAsia" w:ascii="宋体" w:hAnsi="宋体" w:cs="宋体"/>
                <w:color w:val="auto"/>
                <w:sz w:val="24"/>
                <w:szCs w:val="24"/>
                <w:highlight w:val="none"/>
                <w:lang w:eastAsia="zh-CN"/>
              </w:rPr>
              <w:t>2024年6月18日</w:t>
            </w:r>
            <w:r>
              <w:rPr>
                <w:rFonts w:hint="eastAsia" w:ascii="宋体" w:hAnsi="宋体" w:cs="宋体"/>
                <w:color w:val="auto"/>
                <w:sz w:val="24"/>
                <w:szCs w:val="24"/>
                <w:highlight w:val="none"/>
              </w:rPr>
              <w:t>09:30:00（北京时间）</w:t>
            </w:r>
          </w:p>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响应文件递交地点：政采云平台（https://www.zcygov.cn/）。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14</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磋商响应文件开启时间及磋商地址</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1.时间：</w:t>
            </w:r>
            <w:r>
              <w:rPr>
                <w:rFonts w:hint="eastAsia" w:ascii="宋体" w:hAnsi="宋体" w:cs="宋体"/>
                <w:color w:val="auto"/>
                <w:sz w:val="24"/>
                <w:szCs w:val="24"/>
                <w:highlight w:val="none"/>
                <w:lang w:eastAsia="zh-CN"/>
              </w:rPr>
              <w:t>2024年6月18日</w:t>
            </w:r>
            <w:r>
              <w:rPr>
                <w:rFonts w:hint="eastAsia" w:ascii="宋体" w:hAnsi="宋体" w:cs="宋体"/>
                <w:color w:val="auto"/>
                <w:sz w:val="24"/>
                <w:szCs w:val="24"/>
                <w:highlight w:val="none"/>
              </w:rPr>
              <w:t>09:30:00（北京时间）。</w:t>
            </w:r>
          </w:p>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2.地址（网址）：政采云平台（https://www.zcygov.cn/）（评标地址：衢州广泽商务秘书有限责任公司（衢州市衢江区东迹大道198号东城华庭）四楼评标厅）。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15</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line="0" w:lineRule="atLeast"/>
              <w:ind w:left="0" w:firstLine="0"/>
              <w:jc w:val="center"/>
              <w:rPr>
                <w:rFonts w:hint="eastAsia" w:hAnsi="宋体" w:cs="宋体"/>
                <w:color w:val="auto"/>
                <w:sz w:val="24"/>
                <w:szCs w:val="24"/>
                <w:highlight w:val="none"/>
              </w:rPr>
            </w:pPr>
            <w:r>
              <w:rPr>
                <w:rFonts w:hint="eastAsia" w:hAnsi="宋体" w:cs="宋体"/>
                <w:color w:val="auto"/>
                <w:sz w:val="24"/>
                <w:szCs w:val="24"/>
                <w:highlight w:val="none"/>
              </w:rPr>
              <w:t>电子加密磋商响应文件的传输递交</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磋商响应人应当在磋商响应截止时间前完成电子磋商响应文件的传输递交，磋商响应截止时间前可以补充、修改或者撤回电子磋商响应文件。补充或者修改电子磋商响应文件的，应当先行撤回原文件，补充、修改后重新传输递交。磋商响应截止时间前未完成传输的，视为撤回电子磋商响应文件。磋商响应截止时间后传输递交的磋商响应文件，将被拒收。</w:t>
            </w:r>
          </w:p>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（2）“电子加密磋商响应文件”成功上传递交后，响应人可自行打印响应文件接收回执。</w:t>
            </w:r>
          </w:p>
          <w:p>
            <w:pPr>
              <w:spacing w:line="0" w:lineRule="atLeast"/>
              <w:ind w:left="0" w:firstLine="0"/>
              <w:jc w:val="left"/>
              <w:rPr>
                <w:rFonts w:hint="eastAsia" w:ascii="宋体" w:hAnsi="宋体" w:cs="宋体"/>
                <w:color w:val="auto"/>
                <w:sz w:val="24"/>
                <w:szCs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供应商如以联合体形式参加政府采购活动的，响应</w:t>
            </w:r>
            <w:r>
              <w:rPr>
                <w:rFonts w:hint="eastAsia" w:ascii="宋体" w:hAnsi="宋体" w:eastAsia="宋体" w:cs="宋体"/>
                <w:b/>
                <w:bCs/>
                <w:color w:val="auto"/>
                <w:sz w:val="24"/>
                <w:highlight w:val="none"/>
              </w:rPr>
              <w:t>文件的上传和递交由联合体牵头人负责。）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16</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line="0" w:lineRule="atLeast"/>
              <w:ind w:left="0" w:firstLine="0"/>
              <w:jc w:val="center"/>
              <w:rPr>
                <w:rFonts w:hint="eastAsia" w:hAnsi="宋体" w:cs="宋体"/>
                <w:color w:val="auto"/>
                <w:sz w:val="24"/>
                <w:szCs w:val="24"/>
                <w:highlight w:val="none"/>
              </w:rPr>
            </w:pPr>
            <w:r>
              <w:rPr>
                <w:rFonts w:hint="eastAsia" w:hAnsi="宋体" w:cs="宋体"/>
                <w:color w:val="auto"/>
                <w:sz w:val="24"/>
                <w:szCs w:val="24"/>
                <w:highlight w:val="none"/>
              </w:rPr>
              <w:t>电子备份磋商响应文件的</w:t>
            </w:r>
          </w:p>
          <w:p>
            <w:pPr>
              <w:pStyle w:val="8"/>
              <w:snapToGrid w:val="0"/>
              <w:spacing w:line="0" w:lineRule="atLeast"/>
              <w:ind w:left="0" w:firstLine="0"/>
              <w:jc w:val="center"/>
              <w:rPr>
                <w:rFonts w:hint="eastAsia" w:hAnsi="宋体" w:cs="宋体"/>
                <w:color w:val="auto"/>
                <w:sz w:val="24"/>
                <w:szCs w:val="24"/>
                <w:highlight w:val="none"/>
              </w:rPr>
            </w:pPr>
            <w:r>
              <w:rPr>
                <w:rFonts w:hint="eastAsia" w:hAnsi="宋体" w:cs="宋体"/>
                <w:color w:val="auto"/>
                <w:sz w:val="24"/>
                <w:szCs w:val="24"/>
                <w:highlight w:val="none"/>
              </w:rPr>
              <w:t>递交</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在“政府采购云平台”完成“电子加密磋商响应文件”的上传递交后，磋商响应供应商应当在磋商响应截止时间前将同时生成的电子备份加密磋商响应文件（文件名后缀为bfbs）按要求以直接提交或者以快递方式递交至以下地址。电子加密磋商响应文件在规定时间内解密成功的，电子备份加密磋商响应文件自动失效；如电子加密磋商响应文件解密失败，则在评标现场启用电子备份加密磋商响应文件。</w:t>
            </w:r>
          </w:p>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递交地址：浙江省衢州市衢江区东迹大道198号东城华庭420室</w:t>
            </w:r>
          </w:p>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联系人及电话：余女士 0570-3025811</w:t>
            </w:r>
          </w:p>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递交要求：装有电子备份磋商响应文件的U盘或光盘密封包装并在封口处加盖单位公章。</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供应商如以联合体形式参加政府采购活动的，备份响应</w:t>
            </w:r>
            <w:r>
              <w:rPr>
                <w:rFonts w:hint="eastAsia" w:ascii="宋体" w:hAnsi="宋体" w:eastAsia="宋体" w:cs="宋体"/>
                <w:b/>
                <w:bCs/>
                <w:color w:val="auto"/>
                <w:sz w:val="24"/>
                <w:highlight w:val="none"/>
              </w:rPr>
              <w:t>文件的递交由联合体牵头人负责。）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17</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line="0" w:lineRule="atLeast"/>
              <w:ind w:left="0" w:firstLine="0"/>
              <w:jc w:val="center"/>
              <w:rPr>
                <w:rFonts w:hint="eastAsia" w:hAnsi="宋体" w:cs="宋体"/>
                <w:color w:val="auto"/>
                <w:sz w:val="24"/>
                <w:szCs w:val="24"/>
                <w:highlight w:val="none"/>
              </w:rPr>
            </w:pPr>
            <w:r>
              <w:rPr>
                <w:rStyle w:val="20"/>
                <w:rFonts w:hint="default" w:cs="宋体"/>
                <w:color w:val="auto"/>
                <w:sz w:val="24"/>
                <w:szCs w:val="24"/>
                <w:highlight w:val="none"/>
              </w:rPr>
              <w:t>电子加密磋商响应文件的解密和异常情况处理</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1.开标后，采购代理机构将向各磋商响应人发出“电子加密磋商响应文件”的解密通知，各磋商响应人代表应当在磋商时间后半小时内可以登录“政采云”平台，用“项目采购-开标评标”功能进行解密磋商响应文件，在线解密。</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2.通过“政府采购云平台”成功传输递交的“电子加密磋商响应文件”无法按时解密，磋商响应人如按规定递交了“电子备份磋商响应文件”的，以“电子备份磋商响应文件”为依据（由采购代理机构按“政府采购云平台”操作规范将“电子备份磋商响应文件”上传至“政府采购云平台”，上传成功后，“电子加密磋商响应文件”自动失效），否则视为磋商响应文件撤回。</w:t>
            </w:r>
          </w:p>
          <w:p>
            <w:pPr>
              <w:spacing w:line="0" w:lineRule="atLeast"/>
              <w:ind w:left="0" w:firstLine="0"/>
              <w:jc w:val="left"/>
              <w:rPr>
                <w:rFonts w:hint="eastAsia" w:ascii="宋体" w:hAnsi="宋体" w:cs="宋体"/>
                <w:color w:val="auto"/>
                <w:sz w:val="24"/>
                <w:szCs w:val="24"/>
                <w:highlight w:val="none"/>
                <w:lang w:val="zh-CN"/>
              </w:rPr>
            </w:pPr>
            <w:r>
              <w:rPr>
                <w:rStyle w:val="20"/>
                <w:rFonts w:hint="default" w:cs="宋体"/>
                <w:color w:val="auto"/>
                <w:sz w:val="24"/>
                <w:szCs w:val="24"/>
                <w:highlight w:val="none"/>
              </w:rPr>
              <w:t>3.磋商响应截止时间前，若磋商响应人未按先后顺位进行电子磋商，仅递交了</w:t>
            </w:r>
            <w:r>
              <w:rPr>
                <w:rFonts w:hint="eastAsia" w:ascii="宋体" w:hAnsi="宋体" w:cs="宋体"/>
                <w:color w:val="auto"/>
                <w:sz w:val="24"/>
                <w:szCs w:val="24"/>
                <w:highlight w:val="none"/>
              </w:rPr>
              <w:t>备份磋商响应文件</w:t>
            </w:r>
            <w:r>
              <w:rPr>
                <w:rStyle w:val="20"/>
                <w:rFonts w:hint="default" w:cs="宋体"/>
                <w:color w:val="auto"/>
                <w:sz w:val="24"/>
                <w:szCs w:val="24"/>
                <w:highlight w:val="none"/>
              </w:rPr>
              <w:t>而未将电子加密磋商响应文件上传至“政府采购云平台”的，则磋商无效。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18</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签订合同</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lang w:val="zh-CN"/>
              </w:rPr>
            </w:pPr>
            <w:r>
              <w:rPr>
                <w:rStyle w:val="20"/>
                <w:rFonts w:hint="default" w:cs="宋体"/>
                <w:color w:val="auto"/>
                <w:sz w:val="24"/>
                <w:szCs w:val="24"/>
                <w:highlight w:val="none"/>
              </w:rPr>
              <w:t>成交通知书发出之日起30日内，按照磋商文件确定的事项签订政府采购合同。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ascii="宋体" w:hAnsi="宋体" w:cs="宋体"/>
                <w:color w:val="auto"/>
                <w:sz w:val="24"/>
                <w:szCs w:val="24"/>
                <w:highlight w:val="none"/>
              </w:rPr>
            </w:pPr>
            <w:r>
              <w:rPr>
                <w:rStyle w:val="20"/>
                <w:rFonts w:hint="default" w:cs="宋体"/>
                <w:color w:val="auto"/>
                <w:sz w:val="24"/>
                <w:szCs w:val="24"/>
                <w:highlight w:val="none"/>
              </w:rPr>
              <w:t>19</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磋商有效期</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lang w:val="zh-CN"/>
              </w:rPr>
            </w:pPr>
            <w:r>
              <w:rPr>
                <w:rStyle w:val="20"/>
                <w:rFonts w:hint="default" w:cs="宋体"/>
                <w:color w:val="auto"/>
                <w:sz w:val="24"/>
                <w:szCs w:val="24"/>
                <w:highlight w:val="none"/>
              </w:rPr>
              <w:t>提交磋商响应文件截止日起60天内。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20</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政府采购</w:t>
            </w:r>
          </w:p>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扶持政策</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1.《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pPr>
              <w:spacing w:line="0" w:lineRule="atLeast"/>
              <w:ind w:left="0" w:firstLine="0"/>
              <w:jc w:val="left"/>
              <w:rPr>
                <w:rFonts w:hint="eastAsia" w:ascii="宋体" w:hAnsi="宋体" w:cs="宋体"/>
                <w:bCs/>
                <w:color w:val="auto"/>
                <w:sz w:val="24"/>
                <w:szCs w:val="24"/>
                <w:highlight w:val="none"/>
              </w:rPr>
            </w:pPr>
            <w:r>
              <w:rPr>
                <w:rStyle w:val="20"/>
                <w:rFonts w:hint="default" w:cs="宋体"/>
                <w:color w:val="auto"/>
                <w:sz w:val="24"/>
                <w:szCs w:val="24"/>
                <w:highlight w:val="none"/>
              </w:rPr>
              <w:t>2.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磋商响应人发放贷款的一种融资方式。磋商响应人可登录浙江政府采购（http:/www zizfcg gov.cn）的中小企业信用融资栏目了解相关信息。 供应商可以通过浙江政府采购网（https://zfcg. czt.zj. gov.cn/）首页的“浙江政采贷”模块进入申请，还可以通过政府采购云平台（https://www. zcygov.cn/）首页的“金融服务”模块进入申请。衢州地区政府采购中标的中小企业还可以通过“浙江政务网”登录到“衢融通”平台，发起政府采购质押融资申请。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06" w:type="dxa"/>
            <w:vMerge w:val="restart"/>
            <w:tcBorders>
              <w:top w:val="single" w:color="auto" w:sz="4" w:space="0"/>
              <w:left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2125</w:t>
            </w:r>
          </w:p>
        </w:tc>
        <w:tc>
          <w:tcPr>
            <w:tcW w:w="1682" w:type="dxa"/>
            <w:vMerge w:val="restart"/>
            <w:tcBorders>
              <w:top w:val="single" w:color="auto" w:sz="4" w:space="0"/>
              <w:left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支持中小企业</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Style w:val="20"/>
                <w:rFonts w:hint="default" w:cs="宋体"/>
                <w:b/>
                <w:bCs/>
                <w:color w:val="auto"/>
                <w:sz w:val="24"/>
                <w:szCs w:val="24"/>
                <w:highlight w:val="none"/>
              </w:rPr>
            </w:pPr>
            <w:r>
              <w:rPr>
                <w:rStyle w:val="20"/>
                <w:rFonts w:hint="default" w:cs="宋体"/>
                <w:b/>
                <w:bCs/>
                <w:color w:val="auto"/>
                <w:sz w:val="24"/>
                <w:szCs w:val="24"/>
                <w:highlight w:val="none"/>
              </w:rPr>
              <w:t>一、说明</w:t>
            </w:r>
          </w:p>
          <w:p>
            <w:pPr>
              <w:spacing w:line="0" w:lineRule="atLeast"/>
              <w:ind w:left="0" w:firstLine="0"/>
              <w:jc w:val="left"/>
              <w:rPr>
                <w:rStyle w:val="20"/>
                <w:rFonts w:hint="default" w:cs="宋体"/>
                <w:b/>
                <w:bCs/>
                <w:color w:val="auto"/>
                <w:sz w:val="24"/>
                <w:szCs w:val="24"/>
                <w:highlight w:val="none"/>
              </w:rPr>
            </w:pPr>
            <w:r>
              <w:rPr>
                <w:rStyle w:val="20"/>
                <w:rFonts w:hint="default" w:cs="宋体"/>
                <w:b/>
                <w:bCs/>
                <w:color w:val="auto"/>
                <w:sz w:val="24"/>
                <w:szCs w:val="24"/>
                <w:highlight w:val="none"/>
              </w:rPr>
              <w:t>1、企业类型</w:t>
            </w:r>
          </w:p>
          <w:p>
            <w:pPr>
              <w:spacing w:line="0" w:lineRule="atLeast"/>
              <w:ind w:left="0" w:firstLine="0"/>
              <w:jc w:val="left"/>
              <w:rPr>
                <w:rStyle w:val="20"/>
                <w:rFonts w:hint="default" w:cs="宋体"/>
                <w:b/>
                <w:bCs/>
                <w:color w:val="auto"/>
                <w:sz w:val="24"/>
                <w:szCs w:val="24"/>
                <w:highlight w:val="none"/>
              </w:rPr>
            </w:pPr>
            <w:r>
              <w:rPr>
                <w:rStyle w:val="20"/>
                <w:rFonts w:hint="default" w:cs="宋体"/>
                <w:b/>
                <w:bCs/>
                <w:color w:val="auto"/>
                <w:sz w:val="24"/>
                <w:szCs w:val="24"/>
                <w:highlight w:val="none"/>
              </w:rPr>
              <w:t>（1）中小企业</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符合中小企业划分标准的个体工商户，在政府采购活动中视同中小企业。</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在服务采购项目中，服务由中小企业承接，即提供服务的人员为中小企业依照《中华人民共和国劳动合同法》订立劳动合同的从业人员。可享受相关中小企业扶持政策。</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以联合体形式参加政府采购活动，联合体各方均为中小企业的，联合体视同中小企业。其中，联合体各方均为小微企业的，联合体视同小微企业。</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磋商响应文件中须同时出具《政府采购促进中小企业发展管理办法》【财库（2020）46号】规定的《中小企业声明函》，否则不得享受价格扣除。</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（2）残疾人福利性单位</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符合《关于促进残疾人就业政府采购政策的通知》（财库〔2017〕141号）规定的条件并提供《残疾人福利性单位声明函》的残疾人福利性单位视同小型、微型企业；</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（3）监狱企业</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根据《关于政府采购支持监狱企业发展有关问题的通知》（财库[2014]68号）的规定，磋商响应人提供由省级以上监狱管理局、戒毒管理局（含新疆生产建设兵团）出具的属于监狱企业证明文件的，视同为小型和微型企业。</w:t>
            </w:r>
          </w:p>
          <w:p>
            <w:pPr>
              <w:spacing w:line="0" w:lineRule="atLeast"/>
              <w:ind w:left="0" w:firstLine="0"/>
              <w:jc w:val="left"/>
              <w:rPr>
                <w:rStyle w:val="20"/>
                <w:rFonts w:hint="default" w:cs="宋体"/>
                <w:b/>
                <w:bCs/>
                <w:color w:val="auto"/>
                <w:sz w:val="24"/>
                <w:szCs w:val="24"/>
                <w:highlight w:val="none"/>
              </w:rPr>
            </w:pPr>
            <w:r>
              <w:rPr>
                <w:rStyle w:val="20"/>
                <w:rFonts w:hint="default" w:cs="宋体"/>
                <w:b/>
                <w:bCs/>
                <w:color w:val="auto"/>
                <w:sz w:val="24"/>
                <w:szCs w:val="24"/>
                <w:highlight w:val="none"/>
              </w:rPr>
              <w:t>2.价格扣除有关政策</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根据财政部、工业和信息化部发布的《政府采购促进中小企业发展管理办法》【财库（2020）46号】及财政部关于进一步加大政府采购支持中小企业力度的通知（财库〔2022〕19号）规定，对于经主管预算单位统筹后未预留份额专门面向中小企业采购的采购项目，以及预留份额项目中的非预留部分采购包，采购人、采购代理机构应当对符合本办法规定的小微企业报价给予10%-20%的扣除，用扣除后的价格参加评审。</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pPr>
              <w:spacing w:line="0" w:lineRule="atLeast"/>
              <w:ind w:left="0" w:firstLine="0"/>
              <w:jc w:val="left"/>
              <w:rPr>
                <w:rFonts w:hint="eastAsia" w:ascii="宋体" w:hAnsi="宋体" w:cs="宋体"/>
                <w:color w:val="auto"/>
                <w:sz w:val="24"/>
                <w:szCs w:val="24"/>
                <w:highlight w:val="none"/>
              </w:rPr>
            </w:pPr>
            <w:r>
              <w:rPr>
                <w:rStyle w:val="20"/>
                <w:rFonts w:hint="default" w:cs="宋体"/>
                <w:color w:val="auto"/>
                <w:sz w:val="24"/>
                <w:szCs w:val="24"/>
                <w:highlight w:val="none"/>
              </w:rPr>
              <w:t>组成联合体或者接受分包的小微企业与联合体内其他企业、分包企业之间存在直接控股、管理关系的，不享受价格扣除优惠政策。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806" w:type="dxa"/>
            <w:vMerge w:val="continue"/>
            <w:tcBorders>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p>
        </w:tc>
        <w:tc>
          <w:tcPr>
            <w:tcW w:w="1682" w:type="dxa"/>
            <w:vMerge w:val="continue"/>
            <w:tcBorders>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Style w:val="20"/>
                <w:rFonts w:hint="default" w:cs="宋体"/>
                <w:b/>
                <w:bCs/>
                <w:color w:val="auto"/>
                <w:sz w:val="24"/>
                <w:szCs w:val="24"/>
                <w:highlight w:val="none"/>
              </w:rPr>
            </w:pPr>
            <w:r>
              <w:rPr>
                <w:rStyle w:val="20"/>
                <w:rFonts w:hint="default" w:cs="宋体"/>
                <w:b/>
                <w:bCs/>
                <w:color w:val="auto"/>
                <w:sz w:val="28"/>
                <w:szCs w:val="28"/>
                <w:highlight w:val="none"/>
              </w:rPr>
              <w:t>二、针对本项目的相关规定</w:t>
            </w:r>
          </w:p>
          <w:p>
            <w:pPr>
              <w:spacing w:line="0" w:lineRule="atLeast"/>
              <w:ind w:left="0" w:firstLine="0"/>
              <w:jc w:val="left"/>
              <w:rPr>
                <w:rStyle w:val="20"/>
                <w:rFonts w:hint="default" w:cs="宋体"/>
                <w:b/>
                <w:bCs/>
                <w:color w:val="auto"/>
                <w:sz w:val="24"/>
                <w:szCs w:val="24"/>
                <w:highlight w:val="none"/>
              </w:rPr>
            </w:pPr>
            <w:r>
              <w:rPr>
                <w:rStyle w:val="20"/>
                <w:rFonts w:hint="default" w:cs="宋体"/>
                <w:color w:val="auto"/>
                <w:sz w:val="24"/>
                <w:szCs w:val="24"/>
                <w:highlight w:val="none"/>
              </w:rPr>
              <w:t>1.政府采购目录类别：</w:t>
            </w:r>
            <w:r>
              <w:rPr>
                <w:rStyle w:val="20"/>
                <w:rFonts w:hint="default" w:cs="宋体"/>
                <w:b/>
                <w:bCs/>
                <w:color w:val="auto"/>
                <w:sz w:val="24"/>
                <w:szCs w:val="24"/>
                <w:highlight w:val="none"/>
              </w:rPr>
              <w:t>服务类。</w:t>
            </w:r>
          </w:p>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2.本项目为</w:t>
            </w:r>
            <w:r>
              <w:rPr>
                <w:rStyle w:val="20"/>
                <w:rFonts w:hint="default" w:cs="宋体"/>
                <w:b/>
                <w:bCs/>
                <w:color w:val="auto"/>
                <w:sz w:val="24"/>
                <w:szCs w:val="24"/>
                <w:highlight w:val="none"/>
              </w:rPr>
              <w:t>中小企业整体预留</w:t>
            </w:r>
            <w:r>
              <w:rPr>
                <w:rStyle w:val="20"/>
                <w:rFonts w:hint="default" w:cs="宋体"/>
                <w:color w:val="auto"/>
                <w:sz w:val="24"/>
                <w:szCs w:val="24"/>
                <w:highlight w:val="none"/>
              </w:rPr>
              <w:t>。</w:t>
            </w:r>
          </w:p>
          <w:p>
            <w:pPr>
              <w:spacing w:line="0" w:lineRule="atLeast"/>
              <w:ind w:left="0" w:firstLine="0"/>
              <w:jc w:val="left"/>
              <w:rPr>
                <w:rFonts w:hint="eastAsia" w:ascii="宋体" w:hAnsi="宋体" w:cs="宋体"/>
                <w:color w:val="auto"/>
                <w:sz w:val="24"/>
                <w:szCs w:val="24"/>
                <w:highlight w:val="none"/>
              </w:rPr>
            </w:pPr>
            <w:r>
              <w:rPr>
                <w:rStyle w:val="20"/>
                <w:rFonts w:hint="default" w:cs="宋体"/>
                <w:color w:val="auto"/>
                <w:sz w:val="24"/>
                <w:szCs w:val="24"/>
                <w:highlight w:val="none"/>
              </w:rPr>
              <w:t>3.本项目采购标的对应的中小企业划分标准所属行业为：</w:t>
            </w:r>
            <w:r>
              <w:rPr>
                <w:rStyle w:val="20"/>
                <w:rFonts w:hint="default" w:cs="宋体"/>
                <w:b/>
                <w:bCs/>
                <w:color w:val="auto"/>
                <w:sz w:val="24"/>
                <w:szCs w:val="24"/>
                <w:highlight w:val="none"/>
              </w:rPr>
              <w:t>文化、体育和娱乐业</w:t>
            </w:r>
            <w:r>
              <w:rPr>
                <w:rStyle w:val="20"/>
                <w:rFonts w:hint="default"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806" w:type="dxa"/>
            <w:tcBorders>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22</w:t>
            </w:r>
          </w:p>
        </w:tc>
        <w:tc>
          <w:tcPr>
            <w:tcW w:w="1682" w:type="dxa"/>
            <w:tcBorders>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进口产品</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rPr>
                <w:rFonts w:hint="eastAsia" w:ascii="宋体" w:hAnsi="宋体" w:cs="宋体"/>
                <w:b/>
                <w:bCs/>
                <w:color w:val="auto"/>
                <w:kern w:val="0"/>
                <w:sz w:val="24"/>
                <w:szCs w:val="24"/>
                <w:highlight w:val="none"/>
              </w:rPr>
            </w:pPr>
            <w:r>
              <w:rPr>
                <w:rFonts w:hint="eastAsia" w:ascii="宋体" w:hAnsi="宋体" w:cs="宋体"/>
                <w:color w:val="auto"/>
                <w:kern w:val="0"/>
                <w:sz w:val="24"/>
                <w:szCs w:val="24"/>
                <w:highlight w:val="none"/>
              </w:rPr>
              <w:sym w:font="Wingdings" w:char="00FE"/>
            </w:r>
            <w:r>
              <w:rPr>
                <w:rFonts w:hint="eastAsia" w:ascii="宋体" w:hAnsi="宋体" w:cs="宋体"/>
                <w:b/>
                <w:bCs/>
                <w:color w:val="auto"/>
                <w:kern w:val="0"/>
                <w:sz w:val="24"/>
                <w:szCs w:val="24"/>
                <w:highlight w:val="none"/>
              </w:rPr>
              <w:t>本项目不允许采购进口产品。</w:t>
            </w:r>
          </w:p>
          <w:p>
            <w:pPr>
              <w:snapToGrid w:val="0"/>
              <w:spacing w:line="0" w:lineRule="atLeast"/>
              <w:ind w:left="0" w:firstLine="0"/>
              <w:rPr>
                <w:rStyle w:val="20"/>
                <w:rFonts w:hint="default" w:cs="宋体"/>
                <w:color w:val="auto"/>
                <w:sz w:val="24"/>
                <w:szCs w:val="24"/>
                <w:highlight w:val="none"/>
              </w:rPr>
            </w:pPr>
            <w:r>
              <w:rPr>
                <w:rFonts w:hint="eastAsia" w:ascii="宋体" w:hAnsi="宋体" w:cs="宋体"/>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06" w:type="dxa"/>
            <w:tcBorders>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23</w:t>
            </w:r>
          </w:p>
        </w:tc>
        <w:tc>
          <w:tcPr>
            <w:tcW w:w="1682" w:type="dxa"/>
            <w:tcBorders>
              <w:left w:val="single" w:color="auto" w:sz="4" w:space="0"/>
              <w:bottom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项目属性与核心产品</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rPr>
                <w:rFonts w:hint="eastAsia" w:ascii="宋体" w:hAnsi="宋体" w:cs="宋体"/>
                <w:color w:val="auto"/>
                <w:sz w:val="24"/>
                <w:szCs w:val="24"/>
                <w:highlight w:val="none"/>
              </w:rPr>
            </w:pPr>
            <w:r>
              <w:rPr>
                <w:rFonts w:hint="eastAsia" w:ascii="宋体" w:hAnsi="宋体" w:cs="宋体"/>
                <w:color w:val="auto"/>
                <w:kern w:val="0"/>
                <w:sz w:val="24"/>
                <w:szCs w:val="24"/>
                <w:highlight w:val="none"/>
              </w:rPr>
              <w:sym w:font="Wingdings" w:char="00A8"/>
            </w:r>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货物类，单一产品或</w:t>
            </w:r>
            <w:r>
              <w:rPr>
                <w:rFonts w:hint="eastAsia" w:ascii="宋体" w:hAnsi="宋体" w:cs="宋体"/>
                <w:color w:val="auto"/>
                <w:kern w:val="0"/>
                <w:sz w:val="24"/>
                <w:szCs w:val="24"/>
                <w:highlight w:val="none"/>
              </w:rPr>
              <w:t>核心产品为：</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0" w:lineRule="atLeast"/>
              <w:ind w:left="0" w:firstLine="0"/>
              <w:rPr>
                <w:rStyle w:val="20"/>
                <w:rFonts w:hint="default" w:cs="宋体"/>
                <w:color w:val="auto"/>
                <w:sz w:val="24"/>
                <w:szCs w:val="24"/>
                <w:highlight w:val="none"/>
              </w:rPr>
            </w:pPr>
            <w:r>
              <w:rPr>
                <w:rFonts w:hint="eastAsia" w:ascii="宋体" w:hAnsi="宋体" w:cs="宋体"/>
                <w:color w:val="auto"/>
                <w:kern w:val="0"/>
                <w:sz w:val="24"/>
                <w:szCs w:val="24"/>
                <w:highlight w:val="none"/>
              </w:rPr>
              <w:sym w:font="Wingdings" w:char="00FE"/>
            </w:r>
            <w:r>
              <w:rPr>
                <w:rFonts w:hint="eastAsia" w:ascii="宋体" w:hAnsi="宋体" w:cs="宋体"/>
                <w:color w:val="auto"/>
                <w:kern w:val="0"/>
                <w:sz w:val="24"/>
                <w:szCs w:val="24"/>
                <w:highlight w:val="none"/>
              </w:rPr>
              <w:t>B</w:t>
            </w:r>
            <w:r>
              <w:rPr>
                <w:rFonts w:hint="eastAsia" w:ascii="宋体" w:hAnsi="宋体" w:cs="宋体"/>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exact"/>
        </w:trPr>
        <w:tc>
          <w:tcPr>
            <w:tcW w:w="806" w:type="dxa"/>
            <w:tcBorders>
              <w:top w:val="single" w:color="auto" w:sz="4" w:space="0"/>
              <w:left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24</w:t>
            </w:r>
          </w:p>
        </w:tc>
        <w:tc>
          <w:tcPr>
            <w:tcW w:w="1682" w:type="dxa"/>
            <w:tcBorders>
              <w:top w:val="single" w:color="auto" w:sz="4" w:space="0"/>
              <w:left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演示环节</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left="0" w:firstLine="0"/>
              <w:rPr>
                <w:rFonts w:hint="eastAsia" w:ascii="宋体" w:hAnsi="宋体" w:cs="宋体"/>
                <w:color w:val="auto"/>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pPr>
              <w:snapToGrid w:val="0"/>
              <w:spacing w:line="240" w:lineRule="atLeast"/>
              <w:ind w:left="0" w:firstLine="0"/>
              <w:rPr>
                <w:rFonts w:hint="eastAsia" w:ascii="宋体" w:hAnsi="宋体" w:cs="宋体"/>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2" w:hRule="exact"/>
        </w:trPr>
        <w:tc>
          <w:tcPr>
            <w:tcW w:w="806" w:type="dxa"/>
            <w:vMerge w:val="restart"/>
            <w:tcBorders>
              <w:top w:val="single" w:color="auto" w:sz="4" w:space="0"/>
              <w:left w:val="single" w:color="auto" w:sz="4" w:space="0"/>
              <w:right w:val="single" w:color="auto" w:sz="4" w:space="0"/>
            </w:tcBorders>
            <w:noWrap w:val="0"/>
            <w:vAlign w:val="center"/>
          </w:tcPr>
          <w:p>
            <w:pPr>
              <w:spacing w:line="0" w:lineRule="atLeast"/>
              <w:ind w:left="0"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25</w:t>
            </w:r>
          </w:p>
        </w:tc>
        <w:tc>
          <w:tcPr>
            <w:tcW w:w="1682" w:type="dxa"/>
            <w:vMerge w:val="restart"/>
            <w:tcBorders>
              <w:top w:val="single" w:color="auto" w:sz="4" w:space="0"/>
              <w:left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r>
              <w:rPr>
                <w:rStyle w:val="20"/>
                <w:rFonts w:hint="default" w:cs="宋体"/>
                <w:color w:val="auto"/>
                <w:sz w:val="24"/>
                <w:szCs w:val="24"/>
                <w:highlight w:val="none"/>
              </w:rPr>
              <w:t>磋商响应人信用查询</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rPr>
                <w:rStyle w:val="20"/>
                <w:rFonts w:hint="default" w:cs="宋体"/>
                <w:color w:val="auto"/>
                <w:sz w:val="24"/>
                <w:szCs w:val="24"/>
                <w:highlight w:val="none"/>
              </w:rPr>
            </w:pPr>
            <w:r>
              <w:rPr>
                <w:rFonts w:hint="eastAsia" w:ascii="宋体" w:hAnsi="宋体" w:cs="宋体"/>
                <w:b/>
                <w:color w:val="auto"/>
                <w:sz w:val="24"/>
                <w:szCs w:val="24"/>
                <w:highlight w:val="none"/>
              </w:rPr>
              <w:t>信用信息查询渠道及截止时间：</w:t>
            </w:r>
            <w:r>
              <w:rPr>
                <w:rFonts w:hint="eastAsia" w:ascii="宋体" w:hAnsi="宋体" w:cs="宋体"/>
                <w:color w:val="auto"/>
                <w:sz w:val="24"/>
                <w:szCs w:val="24"/>
                <w:highlight w:val="none"/>
              </w:rPr>
              <w:t>项目评审组织人员将通过“信用中国”网站（www.creditchina.gov.cn）、中国政府采购网（www.ccgp.gov.cn）渠道查询投磋商响应人响应</w:t>
            </w:r>
            <w:r>
              <w:rPr>
                <w:rFonts w:hint="eastAsia" w:ascii="宋体" w:hAnsi="宋体" w:cs="宋体"/>
                <w:b/>
                <w:color w:val="auto"/>
                <w:sz w:val="24"/>
                <w:szCs w:val="24"/>
                <w:highlight w:val="none"/>
              </w:rPr>
              <w:t>截止时间前</w:t>
            </w:r>
            <w:r>
              <w:rPr>
                <w:rFonts w:hint="eastAsia" w:ascii="宋体" w:hAnsi="宋体" w:cs="宋体"/>
                <w:color w:val="auto"/>
                <w:sz w:val="24"/>
                <w:szCs w:val="24"/>
                <w:highlight w:val="none"/>
              </w:rPr>
              <w:t>的信用记录。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exact"/>
        </w:trPr>
        <w:tc>
          <w:tcPr>
            <w:tcW w:w="806" w:type="dxa"/>
            <w:vMerge w:val="continue"/>
            <w:tcBorders>
              <w:left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p>
        </w:tc>
        <w:tc>
          <w:tcPr>
            <w:tcW w:w="1682" w:type="dxa"/>
            <w:vMerge w:val="continue"/>
            <w:tcBorders>
              <w:left w:val="single" w:color="auto" w:sz="4" w:space="0"/>
              <w:right w:val="single" w:color="auto" w:sz="4" w:space="0"/>
            </w:tcBorders>
            <w:noWrap w:val="0"/>
            <w:vAlign w:val="center"/>
          </w:tcPr>
          <w:p>
            <w:pPr>
              <w:spacing w:line="0" w:lineRule="atLeast"/>
              <w:ind w:left="0" w:firstLine="0"/>
              <w:jc w:val="center"/>
              <w:rPr>
                <w:rStyle w:val="20"/>
                <w:rFonts w:hint="default" w:cs="宋体"/>
                <w:color w:val="auto"/>
                <w:sz w:val="24"/>
                <w:szCs w:val="24"/>
                <w:highlight w:val="none"/>
              </w:rPr>
            </w:pPr>
          </w:p>
        </w:tc>
        <w:tc>
          <w:tcPr>
            <w:tcW w:w="73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0" w:lineRule="atLeast"/>
              <w:ind w:left="0" w:firstLine="0"/>
              <w:textAlignment w:val="bottom"/>
              <w:rPr>
                <w:rStyle w:val="20"/>
                <w:rFonts w:hint="default" w:cs="宋体"/>
                <w:color w:val="auto"/>
                <w:sz w:val="24"/>
                <w:szCs w:val="24"/>
                <w:highlight w:val="none"/>
              </w:rPr>
            </w:pPr>
            <w:r>
              <w:rPr>
                <w:rFonts w:hint="eastAsia" w:ascii="宋体" w:hAnsi="宋体" w:cs="宋体"/>
                <w:b/>
                <w:color w:val="auto"/>
                <w:sz w:val="24"/>
                <w:szCs w:val="24"/>
                <w:highlight w:val="none"/>
              </w:rPr>
              <w:t>信用信息查询记录和证据留存的具体方式：</w:t>
            </w:r>
            <w:r>
              <w:rPr>
                <w:rFonts w:hint="eastAsia" w:ascii="宋体" w:hAnsi="宋体" w:cs="宋体"/>
                <w:color w:val="auto"/>
                <w:sz w:val="24"/>
                <w:szCs w:val="24"/>
                <w:highlight w:val="none"/>
              </w:rPr>
              <w:t>项目评审组织人员现场查询磋商响应人的信用记录，查询结果与磋商文件一起存档。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5" w:hRule="exact"/>
        </w:trPr>
        <w:tc>
          <w:tcPr>
            <w:tcW w:w="806" w:type="dxa"/>
            <w:vMerge w:val="continue"/>
            <w:tcBorders>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p>
        </w:tc>
        <w:tc>
          <w:tcPr>
            <w:tcW w:w="1682" w:type="dxa"/>
            <w:vMerge w:val="continue"/>
            <w:tcBorders>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p>
        </w:tc>
        <w:tc>
          <w:tcPr>
            <w:tcW w:w="73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0" w:lineRule="atLeast"/>
              <w:ind w:left="0" w:firstLine="0"/>
              <w:textAlignment w:val="bottom"/>
              <w:rPr>
                <w:rStyle w:val="20"/>
                <w:rFonts w:hint="default" w:cs="宋体"/>
                <w:color w:val="auto"/>
                <w:sz w:val="24"/>
                <w:szCs w:val="24"/>
                <w:highlight w:val="none"/>
              </w:rPr>
            </w:pPr>
            <w:r>
              <w:rPr>
                <w:rFonts w:hint="eastAsia" w:ascii="宋体" w:hAnsi="宋体" w:cs="宋体"/>
                <w:b/>
                <w:color w:val="auto"/>
                <w:sz w:val="24"/>
                <w:szCs w:val="24"/>
                <w:highlight w:val="none"/>
              </w:rPr>
              <w:t>信用信息的使用规则：</w:t>
            </w:r>
            <w:r>
              <w:rPr>
                <w:rFonts w:hint="eastAsia" w:ascii="宋体" w:hAnsi="宋体" w:cs="宋体"/>
                <w:color w:val="auto"/>
                <w:sz w:val="24"/>
                <w:szCs w:val="24"/>
                <w:highlight w:val="none"/>
              </w:rPr>
              <w:t>经查询列入失信被执行人名单、重大税收违法案件当事人名单、政府采购严重违法失信行为记录名单的磋商响应人的磋商响应文件将被拒绝。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7" w:hRule="exac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26</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Style w:val="20"/>
                <w:rFonts w:hint="default" w:cs="宋体"/>
                <w:color w:val="auto"/>
                <w:sz w:val="24"/>
                <w:szCs w:val="24"/>
                <w:highlight w:val="none"/>
              </w:rPr>
              <w:t>其他</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Style w:val="20"/>
                <w:rFonts w:hint="default" w:cs="宋体"/>
                <w:color w:val="auto"/>
                <w:sz w:val="24"/>
                <w:szCs w:val="24"/>
                <w:highlight w:val="none"/>
              </w:rPr>
            </w:pPr>
            <w:r>
              <w:rPr>
                <w:rStyle w:val="20"/>
                <w:rFonts w:hint="default" w:cs="宋体"/>
                <w:color w:val="auto"/>
                <w:sz w:val="24"/>
                <w:szCs w:val="24"/>
                <w:highlight w:val="none"/>
              </w:rPr>
              <w:t>▲1.本项目最高限价</w:t>
            </w:r>
            <w:r>
              <w:rPr>
                <w:rStyle w:val="20"/>
                <w:rFonts w:hint="eastAsia" w:eastAsia="宋体" w:cs="宋体"/>
                <w:color w:val="auto"/>
                <w:sz w:val="24"/>
                <w:szCs w:val="24"/>
                <w:highlight w:val="none"/>
                <w:lang w:val="en-US" w:eastAsia="zh-CN"/>
              </w:rPr>
              <w:t>为</w:t>
            </w:r>
            <w:r>
              <w:rPr>
                <w:rStyle w:val="20"/>
                <w:rFonts w:hint="eastAsia" w:cs="宋体"/>
                <w:color w:val="auto"/>
                <w:sz w:val="24"/>
                <w:szCs w:val="24"/>
                <w:highlight w:val="none"/>
                <w:lang w:val="en-US" w:eastAsia="zh-CN"/>
              </w:rPr>
              <w:t>750000</w:t>
            </w:r>
            <w:r>
              <w:rPr>
                <w:rStyle w:val="20"/>
                <w:rFonts w:hint="eastAsia" w:eastAsia="宋体" w:cs="宋体"/>
                <w:color w:val="auto"/>
                <w:sz w:val="24"/>
                <w:szCs w:val="24"/>
                <w:highlight w:val="none"/>
                <w:lang w:val="en-US" w:eastAsia="zh-CN"/>
              </w:rPr>
              <w:t>元</w:t>
            </w:r>
            <w:r>
              <w:rPr>
                <w:rStyle w:val="20"/>
                <w:rFonts w:hint="default" w:cs="宋体"/>
                <w:color w:val="auto"/>
                <w:sz w:val="24"/>
                <w:szCs w:val="24"/>
                <w:highlight w:val="none"/>
              </w:rPr>
              <w:t>，投标报价超过最高限价的，视为无效标处理。</w:t>
            </w:r>
          </w:p>
          <w:p>
            <w:pPr>
              <w:spacing w:line="0" w:lineRule="atLeast"/>
              <w:ind w:left="0" w:firstLine="0"/>
              <w:jc w:val="left"/>
              <w:rPr>
                <w:rStyle w:val="20"/>
                <w:rFonts w:hint="default" w:cs="宋体"/>
                <w:b/>
                <w:color w:val="auto"/>
                <w:sz w:val="24"/>
                <w:szCs w:val="24"/>
                <w:highlight w:val="none"/>
              </w:rPr>
            </w:pPr>
            <w:r>
              <w:rPr>
                <w:rStyle w:val="20"/>
                <w:rFonts w:hint="default" w:cs="宋体"/>
                <w:color w:val="auto"/>
                <w:sz w:val="24"/>
                <w:szCs w:val="24"/>
                <w:highlight w:val="none"/>
              </w:rPr>
              <w:t>2.本次磋商响应商务报价进行二轮报价，最终报价不得超过初次报价，否则无效。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27</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磋商文件解</w:t>
            </w:r>
          </w:p>
          <w:p>
            <w:pPr>
              <w:spacing w:line="0" w:lineRule="atLeas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释权</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本磋商文件的解释权属于采购人和采购代理机构所有。</w:t>
            </w:r>
          </w:p>
        </w:tc>
      </w:tr>
    </w:tbl>
    <w:p>
      <w:pPr>
        <w:spacing w:line="0" w:lineRule="atLeast"/>
        <w:ind w:left="0" w:firstLine="0"/>
        <w:jc w:val="left"/>
        <w:rPr>
          <w:rStyle w:val="20"/>
          <w:rFonts w:hint="default" w:cs="宋体"/>
          <w:color w:val="auto"/>
          <w:highlight w:val="none"/>
        </w:rPr>
      </w:pPr>
      <w:bookmarkStart w:id="67" w:name="_Toc27861"/>
      <w:bookmarkStart w:id="68" w:name="_Toc26671"/>
      <w:bookmarkStart w:id="69" w:name="_Toc5187013"/>
      <w:bookmarkStart w:id="70" w:name="_Toc9684"/>
      <w:bookmarkStart w:id="71" w:name="_Toc51872083"/>
      <w:bookmarkStart w:id="72" w:name="_Toc5614722"/>
      <w:bookmarkStart w:id="73" w:name="_Toc5544050"/>
      <w:bookmarkStart w:id="74" w:name="_Toc9777573"/>
      <w:bookmarkStart w:id="75" w:name="_Toc5543944"/>
      <w:bookmarkStart w:id="76" w:name="_Toc5619441"/>
      <w:bookmarkStart w:id="77" w:name="_Toc6269040"/>
      <w:bookmarkStart w:id="78" w:name="_Toc457934624"/>
      <w:bookmarkStart w:id="79" w:name="_Toc356371433"/>
      <w:bookmarkStart w:id="80" w:name="_Toc477171598"/>
      <w:bookmarkStart w:id="81" w:name="_Toc477599464"/>
      <w:r>
        <w:rPr>
          <w:rStyle w:val="20"/>
          <w:rFonts w:hint="default" w:cs="宋体"/>
          <w:color w:val="auto"/>
          <w:highlight w:val="none"/>
        </w:rPr>
        <w:t>注：磋商须知前附表内容与本磋商文件后述内容不一致的，以磋商须知前附表为准</w:t>
      </w:r>
      <w:bookmarkEnd w:id="67"/>
      <w:bookmarkEnd w:id="68"/>
      <w:bookmarkEnd w:id="69"/>
      <w:bookmarkEnd w:id="70"/>
      <w:bookmarkEnd w:id="71"/>
      <w:bookmarkEnd w:id="72"/>
      <w:bookmarkEnd w:id="73"/>
      <w:bookmarkEnd w:id="74"/>
      <w:bookmarkEnd w:id="75"/>
      <w:bookmarkEnd w:id="76"/>
      <w:bookmarkEnd w:id="77"/>
      <w:bookmarkStart w:id="82" w:name="_Toc5543945"/>
      <w:bookmarkStart w:id="83" w:name="_Toc9777574"/>
      <w:bookmarkStart w:id="84" w:name="_Toc51872084"/>
      <w:bookmarkStart w:id="85" w:name="_Toc30087"/>
      <w:r>
        <w:rPr>
          <w:rStyle w:val="20"/>
          <w:rFonts w:hint="default" w:cs="宋体"/>
          <w:color w:val="auto"/>
          <w:highlight w:val="none"/>
        </w:rPr>
        <w:t>。</w:t>
      </w:r>
    </w:p>
    <w:p>
      <w:pPr>
        <w:spacing w:before="240" w:beforeLines="100" w:after="120" w:afterLines="50"/>
        <w:ind w:left="0" w:firstLine="0"/>
        <w:jc w:val="center"/>
        <w:outlineLvl w:val="1"/>
        <w:rPr>
          <w:rFonts w:hint="eastAsia" w:ascii="宋体" w:hAnsi="宋体" w:cs="宋体"/>
          <w:b/>
          <w:color w:val="auto"/>
          <w:sz w:val="28"/>
          <w:szCs w:val="24"/>
          <w:highlight w:val="none"/>
        </w:rPr>
      </w:pPr>
      <w:r>
        <w:rPr>
          <w:rFonts w:hint="eastAsia" w:ascii="宋体" w:hAnsi="宋体" w:cs="宋体"/>
          <w:b/>
          <w:color w:val="auto"/>
          <w:sz w:val="28"/>
          <w:szCs w:val="24"/>
          <w:highlight w:val="none"/>
        </w:rPr>
        <w:br w:type="page"/>
      </w:r>
      <w:r>
        <w:rPr>
          <w:rFonts w:hint="eastAsia" w:ascii="宋体" w:hAnsi="宋体" w:cs="宋体"/>
          <w:b/>
          <w:color w:val="auto"/>
          <w:sz w:val="28"/>
          <w:szCs w:val="24"/>
          <w:highlight w:val="none"/>
        </w:rPr>
        <w:t>二、磋商</w:t>
      </w:r>
      <w:bookmarkEnd w:id="78"/>
      <w:bookmarkEnd w:id="79"/>
      <w:bookmarkEnd w:id="80"/>
      <w:bookmarkEnd w:id="81"/>
      <w:r>
        <w:rPr>
          <w:rFonts w:hint="eastAsia" w:ascii="宋体" w:hAnsi="宋体" w:cs="宋体"/>
          <w:b/>
          <w:color w:val="auto"/>
          <w:sz w:val="28"/>
          <w:szCs w:val="24"/>
          <w:highlight w:val="none"/>
        </w:rPr>
        <w:t>须知</w:t>
      </w:r>
      <w:bookmarkEnd w:id="82"/>
      <w:bookmarkEnd w:id="83"/>
      <w:bookmarkEnd w:id="84"/>
      <w:bookmarkEnd w:id="85"/>
    </w:p>
    <w:p>
      <w:pPr>
        <w:autoSpaceDE w:val="0"/>
        <w:autoSpaceDN w:val="0"/>
        <w:ind w:left="0" w:firstLine="482" w:firstLineChars="200"/>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（一）适用范围</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本磋商文件仅适用于2024“宋韵儒风 南孔琴韵”第三届“敦煌杯”古琴室内乐新作品展演活动的磋商、成交、合同履行、付款等行为（法律法规另有规定的，从其规定）。</w:t>
      </w:r>
    </w:p>
    <w:p>
      <w:pPr>
        <w:autoSpaceDE w:val="0"/>
        <w:autoSpaceDN w:val="0"/>
        <w:ind w:left="0" w:firstLine="482" w:firstLineChars="200"/>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（二）定义</w:t>
      </w:r>
    </w:p>
    <w:p>
      <w:pPr>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1.“采购人”系指</w:t>
      </w:r>
      <w:r>
        <w:rPr>
          <w:rFonts w:hint="eastAsia" w:ascii="宋体" w:hAnsi="宋体" w:cs="宋体"/>
          <w:color w:val="auto"/>
          <w:sz w:val="24"/>
          <w:szCs w:val="24"/>
          <w:highlight w:val="none"/>
          <w:lang w:eastAsia="zh-CN"/>
        </w:rPr>
        <w:t>中共衢州市委宣传部</w:t>
      </w:r>
      <w:r>
        <w:rPr>
          <w:rFonts w:hint="eastAsia" w:ascii="宋体" w:hAnsi="宋体" w:cs="宋体"/>
          <w:color w:val="auto"/>
          <w:sz w:val="24"/>
          <w:szCs w:val="24"/>
          <w:highlight w:val="none"/>
          <w:lang w:val="zh-CN"/>
        </w:rPr>
        <w:t>。</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2.“采购代理机构”系指衢州广泽商务秘书有限责任公司。</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3.“磋商响应人”系指邀请本项目采购活动，且符合磋商文件规定资格要求的供应商。</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4.“服务”系指磋商响应人</w:t>
      </w:r>
      <w:r>
        <w:rPr>
          <w:rFonts w:hint="eastAsia" w:ascii="宋体" w:hAnsi="宋体" w:cs="宋体"/>
          <w:bCs/>
          <w:color w:val="auto"/>
          <w:kern w:val="0"/>
          <w:sz w:val="24"/>
          <w:szCs w:val="24"/>
          <w:highlight w:val="none"/>
        </w:rPr>
        <w:t>按磋商文件及合同要求，成交人必须承担的</w:t>
      </w:r>
      <w:r>
        <w:rPr>
          <w:rFonts w:hint="eastAsia" w:ascii="宋体" w:hAnsi="宋体" w:cs="宋体"/>
          <w:bCs/>
          <w:color w:val="auto"/>
          <w:kern w:val="0"/>
          <w:sz w:val="24"/>
          <w:szCs w:val="24"/>
          <w:highlight w:val="none"/>
          <w:lang w:eastAsia="zh-CN"/>
        </w:rPr>
        <w:t>中共衢州市委宣传部</w:t>
      </w:r>
      <w:r>
        <w:rPr>
          <w:rFonts w:hint="eastAsia" w:ascii="宋体" w:hAnsi="宋体" w:cs="宋体"/>
          <w:color w:val="auto"/>
          <w:sz w:val="24"/>
          <w:szCs w:val="24"/>
          <w:highlight w:val="none"/>
          <w:lang w:val="zh-CN"/>
        </w:rPr>
        <w:t>2024“宋韵儒风 南孔琴韵”第三届“敦煌杯”古琴室内乐新作品展演活动</w:t>
      </w:r>
      <w:r>
        <w:rPr>
          <w:rFonts w:hint="eastAsia" w:ascii="宋体" w:hAnsi="宋体" w:cs="宋体"/>
          <w:bCs/>
          <w:color w:val="auto"/>
          <w:kern w:val="0"/>
          <w:sz w:val="24"/>
          <w:szCs w:val="24"/>
          <w:highlight w:val="none"/>
        </w:rPr>
        <w:t>服务以及其他类似的义务。</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5.“</w:t>
      </w:r>
      <w:r>
        <w:rPr>
          <w:rFonts w:hint="eastAsia" w:ascii="宋体" w:hAnsi="宋体" w:cs="宋体"/>
          <w:color w:val="auto"/>
          <w:sz w:val="24"/>
          <w:szCs w:val="24"/>
          <w:highlight w:val="none"/>
        </w:rPr>
        <w:t>货物</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系指磋商响应人按磋商文件及合同要求，经合法途径取得的，在提供服务过程中投入的设备、备品备件、易损件、专用工具等所有货物。</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6.“项目”系指供应商按竞争性磋商文件规定向采购单位提供的设备和服务。</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7.“书面形式”包括信函、传真、电报等。</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8.“电子签章”系指可通过CA驱动正确读取签章信息的电子签章，电子签章包括法人电子签章和法定代表人电子签章。</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 xml:space="preserve">甲方”系指采购人，在项目磋商阶段称为采购人，在签订和执行合同阶段称为甲方。 </w:t>
      </w:r>
    </w:p>
    <w:p>
      <w:pPr>
        <w:autoSpaceDE w:val="0"/>
        <w:autoSpaceDN w:val="0"/>
        <w:ind w:left="0"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zh-CN"/>
        </w:rPr>
        <w:t>“乙方”系指在磋商响应阶段称为磋商响应人，成交后在签订和执行合同阶段称为乙方。</w:t>
      </w:r>
    </w:p>
    <w:p>
      <w:pPr>
        <w:autoSpaceDE w:val="0"/>
        <w:autoSpaceDN w:val="0"/>
        <w:ind w:left="0"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w:t>
      </w:r>
      <w:r>
        <w:rPr>
          <w:rFonts w:hint="eastAsia" w:ascii="宋体" w:hAnsi="宋体" w:cs="宋体"/>
          <w:bCs/>
          <w:color w:val="auto"/>
          <w:sz w:val="24"/>
          <w:highlight w:val="none"/>
        </w:rPr>
        <w:t>系指实质性要求条款，磋商响应人必须作出实质性响应，否则将作无效标处理；“</w:t>
      </w:r>
      <w:r>
        <w:rPr>
          <w:rFonts w:hint="eastAsia" w:ascii="宋体" w:hAnsi="宋体" w:cs="宋体"/>
          <w:color w:val="auto"/>
          <w:kern w:val="0"/>
          <w:sz w:val="24"/>
          <w:szCs w:val="24"/>
          <w:highlight w:val="none"/>
        </w:rPr>
        <w:sym w:font="Wingdings" w:char="00FE"/>
      </w:r>
      <w:r>
        <w:rPr>
          <w:rFonts w:hint="eastAsia" w:ascii="宋体" w:hAnsi="宋体" w:cs="宋体"/>
          <w:bCs/>
          <w:color w:val="auto"/>
          <w:sz w:val="24"/>
          <w:highlight w:val="none"/>
        </w:rPr>
        <w:t>” 系指适用本项目的要求，“☐”系指不适用本项目的要求。</w:t>
      </w:r>
    </w:p>
    <w:p>
      <w:pPr>
        <w:autoSpaceDE w:val="0"/>
        <w:autoSpaceDN w:val="0"/>
        <w:ind w:left="0" w:firstLine="482" w:firstLineChars="200"/>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（三）采购方式及评审办法</w:t>
      </w:r>
    </w:p>
    <w:p>
      <w:pPr>
        <w:autoSpaceDE w:val="0"/>
        <w:autoSpaceDN w:val="0"/>
        <w:adjustRightInd w:val="0"/>
        <w:ind w:left="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本次采购采用竞争性磋商方式、综合评分办法执行。</w:t>
      </w:r>
    </w:p>
    <w:p>
      <w:pPr>
        <w:autoSpaceDE w:val="0"/>
        <w:autoSpaceDN w:val="0"/>
        <w:ind w:left="0" w:firstLine="482" w:firstLineChars="200"/>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（四）磋商费用</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1.无论磋商过程和结果如何，供应商应自行承担所有与磋商有关的全部费用，采购代理机构和采购人均无义务和责任承担这些费用。</w:t>
      </w:r>
    </w:p>
    <w:p>
      <w:pPr>
        <w:autoSpaceDE w:val="0"/>
        <w:autoSpaceDN w:val="0"/>
        <w:ind w:left="0"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2.</w:t>
      </w:r>
      <w:r>
        <w:rPr>
          <w:rFonts w:hint="eastAsia" w:ascii="宋体" w:hAnsi="宋体" w:cs="宋体"/>
          <w:b/>
          <w:bCs/>
          <w:color w:val="auto"/>
          <w:sz w:val="24"/>
          <w:szCs w:val="24"/>
          <w:highlight w:val="none"/>
        </w:rPr>
        <w:t>采购</w:t>
      </w:r>
      <w:r>
        <w:rPr>
          <w:rFonts w:hint="eastAsia" w:ascii="宋体" w:hAnsi="宋体" w:cs="宋体"/>
          <w:b/>
          <w:bCs/>
          <w:color w:val="auto"/>
          <w:sz w:val="24"/>
          <w:szCs w:val="24"/>
          <w:highlight w:val="none"/>
          <w:lang w:val="zh-CN"/>
        </w:rPr>
        <w:t>代理机构将按文件规定向成交单位收取招标代理服务费。招标代理服务费具体按依据国家计委《关于招标代理服务收费管理暂行办法》（计价格[2002]1980号）和国家发改委办公厅《关于招标代理服务费有关问题的通知》（发改办价[2003]857号）规定标准的</w:t>
      </w: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rPr>
        <w:t>0%</w:t>
      </w:r>
      <w:r>
        <w:rPr>
          <w:rFonts w:hint="eastAsia" w:ascii="宋体" w:hAnsi="宋体" w:cs="宋体"/>
          <w:b/>
          <w:bCs/>
          <w:color w:val="auto"/>
          <w:sz w:val="24"/>
          <w:szCs w:val="24"/>
          <w:highlight w:val="none"/>
          <w:lang w:val="zh-CN"/>
        </w:rPr>
        <w:t>计取。</w:t>
      </w:r>
      <w:r>
        <w:rPr>
          <w:rFonts w:hint="eastAsia" w:ascii="宋体" w:hAnsi="宋体" w:cs="宋体"/>
          <w:b/>
          <w:bCs/>
          <w:color w:val="auto"/>
          <w:sz w:val="24"/>
          <w:szCs w:val="24"/>
          <w:highlight w:val="none"/>
        </w:rPr>
        <w:t>不足</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000元按</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000元计取。</w:t>
      </w:r>
    </w:p>
    <w:tbl>
      <w:tblPr>
        <w:tblStyle w:val="16"/>
        <w:tblW w:w="0" w:type="auto"/>
        <w:jc w:val="center"/>
        <w:tblLayout w:type="fixed"/>
        <w:tblCellMar>
          <w:top w:w="0" w:type="dxa"/>
          <w:left w:w="0" w:type="dxa"/>
          <w:bottom w:w="0" w:type="dxa"/>
          <w:right w:w="0" w:type="dxa"/>
        </w:tblCellMar>
      </w:tblPr>
      <w:tblGrid>
        <w:gridCol w:w="2826"/>
        <w:gridCol w:w="1948"/>
        <w:gridCol w:w="1839"/>
        <w:gridCol w:w="1701"/>
      </w:tblGrid>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0"/>
            <w:vAlign w:val="center"/>
          </w:tcPr>
          <w:p>
            <w:pPr>
              <w:widowControl/>
              <w:spacing w:beforeAutospacing="1" w:after="100" w:afterAutospacing="1" w:line="300" w:lineRule="exact"/>
              <w:jc w:val="center"/>
              <w:rPr>
                <w:rFonts w:hint="eastAsia" w:ascii="宋体" w:hAnsi="宋体" w:cs="宋体"/>
                <w:color w:val="auto"/>
                <w:kern w:val="0"/>
                <w:sz w:val="24"/>
                <w:szCs w:val="21"/>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263525</wp:posOffset>
                      </wp:positionV>
                      <wp:extent cx="1740535" cy="447040"/>
                      <wp:effectExtent l="1270" t="4445" r="10795" b="5715"/>
                      <wp:wrapNone/>
                      <wp:docPr id="6" name="直接连接符 6"/>
                      <wp:cNvGraphicFramePr/>
                      <a:graphic xmlns:a="http://schemas.openxmlformats.org/drawingml/2006/main">
                        <a:graphicData uri="http://schemas.microsoft.com/office/word/2010/wordprocessingShape">
                          <wps:wsp>
                            <wps:cNvCnPr/>
                            <wps:spPr>
                              <a:xfrm>
                                <a:off x="0" y="0"/>
                                <a:ext cx="1740535" cy="447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20.75pt;height:35.2pt;width:137.05pt;z-index:251660288;mso-width-relative:page;mso-height-relative:page;" filled="f" stroked="t" coordsize="21600,21600" o:gfxdata="UEsDBAoAAAAAAIdO4kAAAAAAAAAAAAAAAAAEAAAAZHJzL1BLAwQUAAAACACHTuJAyd18x9cAAAAJ&#10;AQAADwAAAGRycy9kb3ducmV2LnhtbE2PS0/DMBCE70j8B2uRuFSt45RniNMDkBsXCojrNl6SiHid&#10;xu4Dfj3LCY6jGc18U66OflB7mmIf2IJZZKCIm+B6bi28vtTzG1AxITscApOFL4qwqk5PSixcOPAz&#10;7depVVLCsUALXUpjoXVsOvIYF2EkFu8jTB6TyKnVbsKDlPtB51l2pT32LAsdjnTfUfO53nkLsX6j&#10;bf09a2bZ+7INlG8fnh7R2vMzk92BSnRMf2H4xRd0qIRpE3bsohoszHMhTxYuzCUo8fNrswS1kaAx&#10;t6CrUv9/UP0AUEsDBBQAAAAIAIdO4kAOUb4R+wEAAOkDAAAOAAAAZHJzL2Uyb0RvYy54bWytU82O&#10;0zAQviPxDpbvNGlpuxA13cOW5YKgEvAAU8dJLPlPHrdpX4IXQOIGJ47ceRuWx2Dsli4slx7IwRl7&#10;xt/M93lmcb03mu1kQOVszcejkjNphWuU7Wr+/t3tk2ecYQTbgHZW1vwgkV8vHz9aDL6SE9c73cjA&#10;CMRiNfia9zH6qihQ9NIAjpyXlpytCwYibUNXNAEGQje6mJTlvBhcaHxwQiLS6ero5CfEcAmga1sl&#10;5MqJrZE2HlGD1BCJEvbKI1/mattWivimbVFGpmtOTGNeKQnZm7QWywVUXQDfK3EqAS4p4QEnA8pS&#10;0jPUCiKwbVD/QBklgkPXxpFwpjgSyYoQi3H5QJu3PXiZuZDU6M+i4/+DFa9368BUU/M5ZxYMPfjd&#10;x28/Pnz++f0TrXdfv7B5EmnwWFHsjV2H0w79OiTG+zaY9CcubJ+FPZyFlfvIBB2Or6bl7OmMM0G+&#10;6fSqnGbli/vbPmB8KZ1hyai5VjYRhwp2rzBSRgr9HZKOtWVDzZ/PJgkTqAtben0yjScmaLt8F51W&#10;za3SOt3A0G1udGA7SJ2Qv8SLcP8KS0lWgP0xLruOPdJLaF7YhsWDJ40sjQZPJRjZcKYlTVKyCBCq&#10;CEpfEkmptaUKkrRHMZO1cc2BXmTrg+p6UmKcq0we6oBc76lbU4v9uc9I9xO6/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3XzH1wAAAAkBAAAPAAAAAAAAAAEAIAAAACIAAABkcnMvZG93bnJldi54&#10;bWxQSwECFAAUAAAACACHTuJADlG+EfsBAADpAwAADgAAAAAAAAABACAAAAAmAQAAZHJzL2Uyb0Rv&#10;Yy54bWxQSwUGAAAAAAYABgBZAQAAkwUAAAAA&#10;">
                      <v:fill on="f" focussize="0,0"/>
                      <v:stroke color="#000000" joinstyle="round"/>
                      <v:imagedata o:title=""/>
                      <o:lock v:ext="edit" aspectratio="f"/>
                    </v:line>
                  </w:pict>
                </mc:Fallback>
              </mc:AlternateContent>
            </w:r>
            <w:r>
              <w:rPr>
                <w:rFonts w:hint="eastAsia"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671195</wp:posOffset>
                      </wp:positionH>
                      <wp:positionV relativeFrom="paragraph">
                        <wp:posOffset>3175</wp:posOffset>
                      </wp:positionV>
                      <wp:extent cx="1085850" cy="681990"/>
                      <wp:effectExtent l="2540" t="3810" r="8890" b="15240"/>
                      <wp:wrapNone/>
                      <wp:docPr id="2" name="直接连接符 2"/>
                      <wp:cNvGraphicFramePr/>
                      <a:graphic xmlns:a="http://schemas.openxmlformats.org/drawingml/2006/main">
                        <a:graphicData uri="http://schemas.microsoft.com/office/word/2010/wordprocessingShape">
                          <wps:wsp>
                            <wps:cNvCnPr/>
                            <wps:spPr>
                              <a:xfrm>
                                <a:off x="0" y="0"/>
                                <a:ext cx="1085850" cy="6819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85pt;margin-top:0.25pt;height:53.7pt;width:85.5pt;z-index:251659264;mso-width-relative:page;mso-height-relative:page;" filled="f" stroked="t" coordsize="21600,21600" o:gfxdata="UEsDBAoAAAAAAIdO4kAAAAAAAAAAAAAAAAAEAAAAZHJzL1BLAwQUAAAACACHTuJAnb23CdUAAAAI&#10;AQAADwAAAGRycy9kb3ducmV2LnhtbE2PvU7DQBCEeyTe4bRINFFyF6PEYHxOAbijIYDSbuzFtvDt&#10;Ob7LDzw9myqU385odiZfnVyvDjSGzrOF+cyAIq583XFj4eO9nN6DChG5xt4zWfihAKvi+irHrPZH&#10;fqPDOjZKQjhkaKGNcci0DlVLDsPMD8SiffnRYRQcG12PeJRw1+vEmKV22LF8aHGgp5aq7/XeWQjl&#10;J+3K30k1MZu7xlOye359QWtvb+bmEVSkU7yY4VxfqkMhnbZ+z3VQvbBZpGK1sAAlcpIuBbfne/oA&#10;usj1/wHFH1BLAwQUAAAACACHTuJAK3FwwPsBAADpAwAADgAAAGRycy9lMm9Eb2MueG1srVPNjtMw&#10;EL4j8Q6W7zRtpa7aqOketiwXBJWAB5g6TmLJf/K4TfsSvAASNzhx5M7bsPsYjJ3Shd1LD5uDM/aM&#10;v5nv88zy+mA028uAytmKT0ZjzqQVrla2rfinj7ev5pxhBFuDdlZW/CiRX69evlj2vpRT1zldy8AI&#10;xGLZ+4p3MfqyKFB00gCOnJeWnI0LBiJtQ1vUAXpCN7qYjsdXRe9C7YMTEpFO14OTnxDDJYCuaZSQ&#10;ayd2Rto4oAapIRIl7JRHvsrVNo0U8X3ToIxMV5yYxrxSErK3aS1WSyjbAL5T4lQCXFLCI04GlKWk&#10;Z6g1RGC7oJ5AGSWCQ9fEkXCmGIhkRYjFZPxImw8deJm5kNToz6Lj88GKd/tNYKqu+JQzC4Ye/O7L&#10;z9+fv93/+krr3Y/vbJpE6j2WFHtjN+G0Q78JifGhCSb9iQs7ZGGPZ2HlITJBh5PxfDafkeaCfFfz&#10;yWKRlS8ebvuA8Y10hiWj4lrZRBxK2L/FSBkp9G9IOtaW9RVfzKYzwgTqwoZen0zjiQnaNt9Fp1V9&#10;q7RONzC02xsd2B5SJ+Qv8SLc/8JSkjVgN8Rl19AjnYT6ta1ZPHrSyNJo8FSCkTVnWtIkJYsAoYyg&#10;9CWRlFpbqiBJO4iZrK2rj/QiOx9U25ESk1xl8lAH5HpP3Zpa7N99RnqY0N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b23CdUAAAAIAQAADwAAAAAAAAABACAAAAAiAAAAZHJzL2Rvd25yZXYueG1s&#10;UEsBAhQAFAAAAAgAh07iQCtxcMD7AQAA6QMAAA4AAAAAAAAAAQAgAAAAJAEAAGRycy9lMm9Eb2Mu&#10;eG1sUEsFBgAAAAAGAAYAWQEAAJEFAAAAAA==&#10;">
                      <v:fill on="f" focussize="0,0"/>
                      <v:stroke color="#000000" joinstyle="round"/>
                      <v:imagedata o:title=""/>
                      <o:lock v:ext="edit" aspectratio="f"/>
                    </v:line>
                  </w:pict>
                </mc:Fallback>
              </mc:AlternateContent>
            </w:r>
            <w:r>
              <w:rPr>
                <w:rFonts w:hint="eastAsia" w:ascii="宋体" w:hAnsi="宋体" w:cs="宋体"/>
                <w:color w:val="auto"/>
                <w:kern w:val="0"/>
                <w:sz w:val="24"/>
                <w:szCs w:val="21"/>
                <w:highlight w:val="none"/>
              </w:rPr>
              <w:t xml:space="preserve">        服务类型</w:t>
            </w:r>
          </w:p>
          <w:p>
            <w:pPr>
              <w:widowControl/>
              <w:spacing w:before="100" w:beforeAutospacing="1" w:after="100" w:afterAutospacing="1" w:line="300" w:lineRule="exact"/>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费率</w:t>
            </w:r>
          </w:p>
          <w:p>
            <w:pPr>
              <w:widowControl/>
              <w:spacing w:before="100" w:beforeAutospacing="1" w:after="100" w:afterAutospacing="1" w:line="300" w:lineRule="exact"/>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中标金额（万元）</w:t>
            </w:r>
          </w:p>
        </w:tc>
        <w:tc>
          <w:tcPr>
            <w:tcW w:w="1948"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货物招标</w:t>
            </w:r>
          </w:p>
        </w:tc>
        <w:tc>
          <w:tcPr>
            <w:tcW w:w="1839"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服务招标</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工程招标</w:t>
            </w:r>
          </w:p>
        </w:tc>
      </w:tr>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100以下</w:t>
            </w:r>
          </w:p>
        </w:tc>
        <w:tc>
          <w:tcPr>
            <w:tcW w:w="1948"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1.50％</w:t>
            </w:r>
          </w:p>
        </w:tc>
        <w:tc>
          <w:tcPr>
            <w:tcW w:w="1839"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1.50％</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1.00％</w:t>
            </w:r>
          </w:p>
        </w:tc>
      </w:tr>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highlight w:val="none"/>
              </w:rPr>
            </w:pPr>
            <w:r>
              <w:rPr>
                <w:rFonts w:hint="eastAsia" w:ascii="宋体" w:hAnsi="宋体" w:cs="宋体"/>
                <w:color w:val="auto"/>
                <w:kern w:val="0"/>
                <w:sz w:val="24"/>
                <w:szCs w:val="21"/>
                <w:highlight w:val="none"/>
              </w:rPr>
              <w:t>100—</w:t>
            </w:r>
            <w:r>
              <w:rPr>
                <w:rFonts w:hint="eastAsia" w:ascii="宋体" w:hAnsi="宋体" w:cs="宋体"/>
                <w:color w:val="auto"/>
                <w:kern w:val="0"/>
                <w:sz w:val="24"/>
                <w:highlight w:val="none"/>
              </w:rPr>
              <w:t>500</w:t>
            </w:r>
          </w:p>
        </w:tc>
        <w:tc>
          <w:tcPr>
            <w:tcW w:w="1948"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1.l0％</w:t>
            </w:r>
          </w:p>
        </w:tc>
        <w:tc>
          <w:tcPr>
            <w:tcW w:w="1839"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0.80％</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0.70％</w:t>
            </w:r>
          </w:p>
        </w:tc>
      </w:tr>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highlight w:val="none"/>
              </w:rPr>
            </w:pPr>
            <w:r>
              <w:rPr>
                <w:rFonts w:hint="eastAsia" w:ascii="宋体" w:hAnsi="宋体" w:cs="宋体"/>
                <w:color w:val="auto"/>
                <w:kern w:val="0"/>
                <w:sz w:val="24"/>
                <w:szCs w:val="21"/>
                <w:highlight w:val="none"/>
              </w:rPr>
              <w:t>500—</w:t>
            </w:r>
            <w:r>
              <w:rPr>
                <w:rFonts w:hint="eastAsia" w:ascii="宋体" w:hAnsi="宋体" w:cs="宋体"/>
                <w:color w:val="auto"/>
                <w:kern w:val="0"/>
                <w:sz w:val="24"/>
                <w:highlight w:val="none"/>
              </w:rPr>
              <w:t>1000</w:t>
            </w:r>
          </w:p>
        </w:tc>
        <w:tc>
          <w:tcPr>
            <w:tcW w:w="1948"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0.80％</w:t>
            </w:r>
          </w:p>
        </w:tc>
        <w:tc>
          <w:tcPr>
            <w:tcW w:w="1839"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0.45％</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0.55％</w:t>
            </w:r>
          </w:p>
        </w:tc>
      </w:tr>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highlight w:val="none"/>
              </w:rPr>
            </w:pPr>
            <w:r>
              <w:rPr>
                <w:rFonts w:hint="eastAsia" w:ascii="宋体" w:hAnsi="宋体" w:cs="宋体"/>
                <w:color w:val="auto"/>
                <w:kern w:val="0"/>
                <w:sz w:val="24"/>
                <w:szCs w:val="21"/>
                <w:highlight w:val="none"/>
              </w:rPr>
              <w:t>1000—</w:t>
            </w:r>
            <w:r>
              <w:rPr>
                <w:rFonts w:hint="eastAsia" w:ascii="宋体" w:hAnsi="宋体" w:cs="宋体"/>
                <w:color w:val="auto"/>
                <w:kern w:val="0"/>
                <w:sz w:val="24"/>
                <w:highlight w:val="none"/>
              </w:rPr>
              <w:t>5000</w:t>
            </w:r>
          </w:p>
        </w:tc>
        <w:tc>
          <w:tcPr>
            <w:tcW w:w="1948"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0.50％</w:t>
            </w:r>
          </w:p>
        </w:tc>
        <w:tc>
          <w:tcPr>
            <w:tcW w:w="1839"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0.25％</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0.35％</w:t>
            </w:r>
          </w:p>
        </w:tc>
      </w:tr>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highlight w:val="none"/>
              </w:rPr>
            </w:pPr>
            <w:r>
              <w:rPr>
                <w:rFonts w:hint="eastAsia" w:ascii="宋体" w:hAnsi="宋体" w:cs="宋体"/>
                <w:color w:val="auto"/>
                <w:kern w:val="0"/>
                <w:sz w:val="24"/>
                <w:szCs w:val="21"/>
                <w:highlight w:val="none"/>
              </w:rPr>
              <w:t>5000—</w:t>
            </w:r>
            <w:r>
              <w:rPr>
                <w:rFonts w:hint="eastAsia" w:ascii="宋体" w:hAnsi="宋体" w:cs="宋体"/>
                <w:color w:val="auto"/>
                <w:kern w:val="0"/>
                <w:sz w:val="24"/>
                <w:highlight w:val="none"/>
              </w:rPr>
              <w:t>10000</w:t>
            </w:r>
          </w:p>
        </w:tc>
        <w:tc>
          <w:tcPr>
            <w:tcW w:w="1948"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0.25％</w:t>
            </w:r>
          </w:p>
        </w:tc>
        <w:tc>
          <w:tcPr>
            <w:tcW w:w="1839"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0.10％</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0.20％</w:t>
            </w:r>
          </w:p>
        </w:tc>
      </w:tr>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highlight w:val="none"/>
              </w:rPr>
            </w:pPr>
            <w:r>
              <w:rPr>
                <w:rFonts w:hint="eastAsia" w:ascii="宋体" w:hAnsi="宋体" w:cs="宋体"/>
                <w:color w:val="auto"/>
                <w:kern w:val="0"/>
                <w:sz w:val="24"/>
                <w:szCs w:val="21"/>
                <w:highlight w:val="none"/>
              </w:rPr>
              <w:t>10000—</w:t>
            </w:r>
            <w:r>
              <w:rPr>
                <w:rFonts w:hint="eastAsia" w:ascii="宋体" w:hAnsi="宋体" w:cs="宋体"/>
                <w:color w:val="auto"/>
                <w:kern w:val="0"/>
                <w:sz w:val="24"/>
                <w:highlight w:val="none"/>
              </w:rPr>
              <w:t>100000</w:t>
            </w:r>
          </w:p>
        </w:tc>
        <w:tc>
          <w:tcPr>
            <w:tcW w:w="1948"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0.05％</w:t>
            </w:r>
          </w:p>
        </w:tc>
        <w:tc>
          <w:tcPr>
            <w:tcW w:w="1839"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0.05％</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0.05％</w:t>
            </w:r>
          </w:p>
        </w:tc>
      </w:tr>
      <w:tr>
        <w:tblPrEx>
          <w:tblCellMar>
            <w:top w:w="0" w:type="dxa"/>
            <w:left w:w="0" w:type="dxa"/>
            <w:bottom w:w="0" w:type="dxa"/>
            <w:right w:w="0" w:type="dxa"/>
          </w:tblCellMar>
        </w:tblPrEx>
        <w:trPr>
          <w:jc w:val="center"/>
        </w:trPr>
        <w:tc>
          <w:tcPr>
            <w:tcW w:w="2826"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1000000以上</w:t>
            </w:r>
          </w:p>
        </w:tc>
        <w:tc>
          <w:tcPr>
            <w:tcW w:w="1948"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0.01％</w:t>
            </w:r>
          </w:p>
        </w:tc>
        <w:tc>
          <w:tcPr>
            <w:tcW w:w="1839"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0.01％</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widowControl/>
              <w:spacing w:before="100" w:beforeAutospacing="1" w:after="100" w:afterAutospacing="1" w:line="300" w:lineRule="exact"/>
              <w:ind w:left="0" w:firstLine="0"/>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0.01％</w:t>
            </w:r>
          </w:p>
        </w:tc>
      </w:tr>
    </w:tbl>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采购代理服务费在领取成交通知书时向成交人收取，可用银行汇票、电汇、银行本票、网银等方式支付。</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收款单位：衢州广泽商务秘书有限责任公司</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开户银行：浙江衢州衢江农村商业银行股份有限公司南湖支行 </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账号：201000086189410</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4．采购代理服务费不在报价中单列，请供应商在报价时予以考虑。</w:t>
      </w:r>
    </w:p>
    <w:p>
      <w:pPr>
        <w:autoSpaceDE w:val="0"/>
        <w:autoSpaceDN w:val="0"/>
        <w:ind w:left="0" w:firstLine="482" w:firstLineChars="200"/>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w:t>
      </w:r>
      <w:r>
        <w:rPr>
          <w:rFonts w:hint="eastAsia" w:ascii="宋体" w:hAnsi="宋体" w:cs="宋体"/>
          <w:b/>
          <w:color w:val="auto"/>
          <w:sz w:val="24"/>
          <w:szCs w:val="24"/>
          <w:highlight w:val="none"/>
        </w:rPr>
        <w:t>五</w:t>
      </w:r>
      <w:r>
        <w:rPr>
          <w:rFonts w:hint="eastAsia" w:ascii="宋体" w:hAnsi="宋体" w:cs="宋体"/>
          <w:b/>
          <w:color w:val="auto"/>
          <w:sz w:val="24"/>
          <w:szCs w:val="24"/>
          <w:highlight w:val="none"/>
          <w:lang w:val="zh-CN"/>
        </w:rPr>
        <w:t>）现场踏勘</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8"/>
          <w:highlight w:val="none"/>
        </w:rPr>
        <w:t>本项目不集中组织踏勘，各磋商响应人可自行前往现场踏勘。</w:t>
      </w:r>
    </w:p>
    <w:p>
      <w:pPr>
        <w:autoSpaceDE w:val="0"/>
        <w:autoSpaceDN w:val="0"/>
        <w:ind w:left="0" w:firstLine="482" w:firstLineChars="200"/>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w:t>
      </w:r>
      <w:r>
        <w:rPr>
          <w:rFonts w:hint="eastAsia" w:ascii="宋体" w:hAnsi="宋体" w:cs="宋体"/>
          <w:b/>
          <w:color w:val="auto"/>
          <w:sz w:val="24"/>
          <w:szCs w:val="24"/>
          <w:highlight w:val="none"/>
        </w:rPr>
        <w:t>六</w:t>
      </w:r>
      <w:r>
        <w:rPr>
          <w:rFonts w:hint="eastAsia" w:ascii="宋体" w:hAnsi="宋体" w:cs="宋体"/>
          <w:b/>
          <w:color w:val="auto"/>
          <w:sz w:val="24"/>
          <w:szCs w:val="24"/>
          <w:highlight w:val="none"/>
          <w:lang w:val="zh-CN"/>
        </w:rPr>
        <w:t>）特别说明</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单位负责人（指法定代表人或者法律、行政法规规定代表单位行使职权的主要负责人）为同一人或者存在直接控股、管理关系的不同磋商响应人不得分别参加同一合同项下的采购活动。违反本条规定的，相关</w:t>
      </w:r>
      <w:r>
        <w:rPr>
          <w:rFonts w:hint="eastAsia" w:ascii="宋体" w:hAnsi="宋体" w:cs="宋体"/>
          <w:color w:val="auto"/>
          <w:sz w:val="24"/>
          <w:szCs w:val="24"/>
          <w:highlight w:val="none"/>
        </w:rPr>
        <w:t>磋商响应</w:t>
      </w:r>
      <w:r>
        <w:rPr>
          <w:rFonts w:hint="eastAsia" w:ascii="宋体" w:hAnsi="宋体" w:cs="宋体"/>
          <w:color w:val="auto"/>
          <w:sz w:val="24"/>
          <w:szCs w:val="24"/>
          <w:highlight w:val="none"/>
          <w:lang w:val="zh-CN"/>
        </w:rPr>
        <w:t>均无效；</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为本项目提供过整体设计、规范编制或者项目管理、监理、检测等服务的磋商响应人，不得再参加该采购项目的其他采购活动（不包括为该项目提供整体设计、规范编制或者项目管理、监理、检测等服务）；</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以联合体形式参加政府采购活动的，联合体各方不得再单独参加或者与其他磋商响应人另外组成联合体参加同一合同项下的政府采购活动；</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为证明磋商响应人拥有的业绩、荣誉、知识产权、项目案例等而在</w:t>
      </w:r>
      <w:r>
        <w:rPr>
          <w:rFonts w:hint="eastAsia" w:ascii="宋体" w:hAnsi="宋体" w:cs="宋体"/>
          <w:color w:val="auto"/>
          <w:sz w:val="24"/>
          <w:szCs w:val="24"/>
          <w:highlight w:val="none"/>
        </w:rPr>
        <w:t>磋商响应</w:t>
      </w:r>
      <w:r>
        <w:rPr>
          <w:rFonts w:hint="eastAsia" w:ascii="宋体" w:hAnsi="宋体" w:cs="宋体"/>
          <w:color w:val="auto"/>
          <w:sz w:val="24"/>
          <w:szCs w:val="24"/>
          <w:highlight w:val="none"/>
          <w:lang w:val="zh-CN"/>
        </w:rPr>
        <w:t>文件中提供的证明材料必须为磋商响应人自身所有。不同法人、其他组织的资料与磋商响应人无关。</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磋商响应人之间的利害关系：</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（1）法定代表人或负责人或实际控制人是夫妻关系；</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（2）法定代表人或负责人或实际控制人是直系血亲关系；</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（3）法定代表人或负责人或实际控制人存在三代以内旁系血亲关系；</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（4）法定代表人或负责人或实际控制人存在近姻亲关系；</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（5）法定代表人或负责人或实际控制人存在股份控制或实际控制关系；</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（6）存在共同直接或间接投资设立子公司、联营企业和合营企业情况；</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（7）存在分级代理或代销关系、同一生产制造商关系、管理关系、重要业务（占主营业务收入 50%以 上）或重要财务往来关系（如融资）等其他实质性控制关系； 如磋商响应人之间存在以上利害关系并且存在影响政府采购公平竞争的行为的相关磋商响应人的</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均无效。</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磋商响应人应仔细阅读磋商文件的所有内容，按照磋商文件的要求提交磋商响应文件，并对所提供的全部资料的真实性承担法律责任。</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.采购人若有核心产品，请根据采购项目实际需求确定核心产品，并在采购文件第三部分“项目技术及服务要求”中明确标注，若没有则不需要确定及注明。</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（1）采用最低评标价法的采购项目，提供相同品牌产品（含核心产品）的不同磋商响应人参加同一合同项下</w:t>
      </w:r>
      <w:r>
        <w:rPr>
          <w:rFonts w:hint="eastAsia" w:ascii="宋体" w:hAnsi="宋体" w:cs="宋体"/>
          <w:color w:val="auto"/>
          <w:sz w:val="24"/>
          <w:szCs w:val="24"/>
          <w:highlight w:val="none"/>
        </w:rPr>
        <w:t>磋商响应</w:t>
      </w:r>
      <w:r>
        <w:rPr>
          <w:rFonts w:hint="eastAsia" w:ascii="宋体" w:hAnsi="宋体" w:cs="宋体"/>
          <w:color w:val="auto"/>
          <w:sz w:val="24"/>
          <w:szCs w:val="24"/>
          <w:highlight w:val="none"/>
          <w:lang w:val="zh-CN"/>
        </w:rPr>
        <w:t>的，以其中通过资格审查、符合性审查且报价最低的参加评标；报价相同的，以随机抽取方式确定，其他</w:t>
      </w:r>
      <w:r>
        <w:rPr>
          <w:rFonts w:hint="eastAsia" w:ascii="宋体" w:hAnsi="宋体" w:cs="宋体"/>
          <w:color w:val="auto"/>
          <w:sz w:val="24"/>
          <w:szCs w:val="24"/>
          <w:highlight w:val="none"/>
        </w:rPr>
        <w:t>磋商响应</w:t>
      </w:r>
      <w:r>
        <w:rPr>
          <w:rFonts w:hint="eastAsia" w:ascii="宋体" w:hAnsi="宋体" w:cs="宋体"/>
          <w:color w:val="auto"/>
          <w:sz w:val="24"/>
          <w:szCs w:val="24"/>
          <w:highlight w:val="none"/>
          <w:lang w:val="zh-CN"/>
        </w:rPr>
        <w:t xml:space="preserve">无效。 </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（2）使用综合评分法的采购项目，提供相同品牌产品（含核心产品）且通过资格审查、符合性审查的不同磋商响应人参加同一合同项下</w:t>
      </w:r>
      <w:r>
        <w:rPr>
          <w:rFonts w:hint="eastAsia" w:ascii="宋体" w:hAnsi="宋体" w:cs="宋体"/>
          <w:color w:val="auto"/>
          <w:sz w:val="24"/>
          <w:szCs w:val="24"/>
          <w:highlight w:val="none"/>
        </w:rPr>
        <w:t>磋商响应</w:t>
      </w:r>
      <w:r>
        <w:rPr>
          <w:rFonts w:hint="eastAsia" w:ascii="宋体" w:hAnsi="宋体" w:cs="宋体"/>
          <w:color w:val="auto"/>
          <w:sz w:val="24"/>
          <w:szCs w:val="24"/>
          <w:highlight w:val="none"/>
          <w:lang w:val="zh-CN"/>
        </w:rPr>
        <w:t>的，按一家磋商响应人计算，评审后得分最高的同品牌（含核心产品） 磋商响应人获得成交人推荐资格；评审得分相同的，随机抽取方式确定，其他同品牌磋商响应人不作为中标候选人。</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因特殊情况指定单一品牌采购的或本须知“前附表”规定磋商响应人中标后提供制造商授权的，制造商授权文件将不再作为实质性响应条款，磋商响应人可在中标后取得制造商针对该项目的授权文件。如制造商无故不予授权的，采购人可在成交人作出保证供货且保证产品质量和售后服务的承诺后授予其合同，采购人将在合同的验收、结算和违约责任中补充增加相应的制约性条款；</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磋商响应人在磋商活动中提供任何虚假材料，其磋商无效，并报监管部门查处；成交后发现的，磋商响应人须依照《中华人民共和国消费者权益保护法》第49条之规定双倍赔偿采购人，且民事赔偿并不免除违法磋商响应人的行政与刑事责任。</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zh-CN"/>
        </w:rPr>
        <w:t>磋商响应人在磋商活动中提供任何虚假材料，其磋商无效，并报监管部门查处</w:t>
      </w:r>
      <w:r>
        <w:rPr>
          <w:rFonts w:hint="eastAsia" w:ascii="宋体" w:hAnsi="宋体" w:cs="宋体"/>
          <w:color w:val="auto"/>
          <w:sz w:val="24"/>
          <w:szCs w:val="24"/>
          <w:highlight w:val="none"/>
        </w:rPr>
        <w:t>并</w:t>
      </w:r>
      <w:r>
        <w:rPr>
          <w:rFonts w:hint="eastAsia" w:ascii="宋体" w:hAnsi="宋体" w:cs="宋体"/>
          <w:color w:val="auto"/>
          <w:sz w:val="24"/>
          <w:szCs w:val="24"/>
          <w:highlight w:val="none"/>
          <w:lang w:val="zh-CN"/>
        </w:rPr>
        <w:t>承担相应的法律责任。</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val="zh-CN"/>
        </w:rPr>
        <w:t>供应商在政府采购活动中违反政府采购相关规定给采购组织机构造成损失的，采购组织机构可按照采购文件约定要求供应商承担赔偿责任。</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（七）质疑和投诉</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供应商认为磋商过程或成交结果等使自己的权益受到损害的，可以自本公告期限届满之日（本公告发布之日后第2个工作日）起7个工作日内，以书面形式向采购人提出质疑。供应商对采购单位、采购代理机构的质疑答复不满意或者采购单位、采购代理机构未在规定时间内作出答复的，可以在答复期满后十五个工作日内向同级采购监管部门投诉。</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质疑函范本、投诉书范本请到浙江政府采购网下载专区下载。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pPr>
        <w:ind w:left="0" w:firstLine="480" w:firstLineChars="200"/>
        <w:jc w:val="left"/>
        <w:rPr>
          <w:rFonts w:hint="eastAsia" w:ascii="宋体" w:hAnsi="宋体" w:cs="宋体"/>
          <w:b/>
          <w:color w:val="auto"/>
          <w:sz w:val="24"/>
          <w:szCs w:val="24"/>
          <w:highlight w:val="none"/>
        </w:rPr>
      </w:pPr>
      <w:r>
        <w:rPr>
          <w:rFonts w:hint="eastAsia" w:ascii="宋体" w:hAnsi="宋体" w:cs="宋体"/>
          <w:color w:val="auto"/>
          <w:sz w:val="24"/>
          <w:szCs w:val="24"/>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三、竞争性磋商文件</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1.竞争性磋商文件的组成</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1.1竞争性磋商文件共分为6章，其内容如下：</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第一章  </w:t>
      </w:r>
      <w:r>
        <w:rPr>
          <w:rFonts w:hint="eastAsia" w:ascii="宋体" w:hAnsi="宋体" w:cs="宋体"/>
          <w:color w:val="auto"/>
          <w:sz w:val="24"/>
          <w:szCs w:val="24"/>
          <w:highlight w:val="none"/>
        </w:rPr>
        <w:t>竞争性</w:t>
      </w:r>
      <w:r>
        <w:rPr>
          <w:rFonts w:hint="eastAsia" w:ascii="宋体" w:hAnsi="宋体" w:cs="宋体"/>
          <w:color w:val="auto"/>
          <w:sz w:val="24"/>
          <w:szCs w:val="24"/>
          <w:highlight w:val="none"/>
          <w:lang w:val="zh-CN"/>
        </w:rPr>
        <w:t>磋商公告</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第二章  磋商须知前附表及磋商须知</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第三章  采购</w:t>
      </w:r>
      <w:r>
        <w:rPr>
          <w:rFonts w:hint="eastAsia" w:ascii="宋体" w:hAnsi="宋体" w:cs="宋体"/>
          <w:color w:val="auto"/>
          <w:sz w:val="24"/>
          <w:szCs w:val="24"/>
          <w:highlight w:val="none"/>
        </w:rPr>
        <w:t>内容及要求</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第四章  合同</w:t>
      </w:r>
      <w:r>
        <w:rPr>
          <w:rFonts w:hint="eastAsia" w:ascii="宋体" w:hAnsi="宋体" w:cs="宋体"/>
          <w:color w:val="auto"/>
          <w:sz w:val="24"/>
          <w:szCs w:val="24"/>
          <w:highlight w:val="none"/>
        </w:rPr>
        <w:t>的主要</w:t>
      </w:r>
      <w:r>
        <w:rPr>
          <w:rFonts w:hint="eastAsia" w:ascii="宋体" w:hAnsi="宋体" w:cs="宋体"/>
          <w:color w:val="auto"/>
          <w:sz w:val="24"/>
          <w:szCs w:val="24"/>
          <w:highlight w:val="none"/>
          <w:lang w:val="zh-CN"/>
        </w:rPr>
        <w:t>条款</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第五章  </w:t>
      </w:r>
      <w:r>
        <w:rPr>
          <w:rFonts w:hint="eastAsia" w:ascii="宋体" w:hAnsi="宋体" w:cs="宋体"/>
          <w:color w:val="auto"/>
          <w:sz w:val="24"/>
          <w:szCs w:val="24"/>
          <w:highlight w:val="none"/>
        </w:rPr>
        <w:t>磋商程序及评审</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第六章</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磋商响应文件相关格式</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1.2除上条1.1内容外，采购人、采购代理机构在规定时间前，以书面形式发出的对竞争性磋商文件的澄清或修改内容，均为竞争性磋商文件的组成部分。</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1.3供应商获取竞争性磋商文件后，应仔细检查竞争性磋商文件的所有内容，如有</w:t>
      </w:r>
      <w:r>
        <w:rPr>
          <w:rFonts w:hint="eastAsia" w:ascii="宋体" w:hAnsi="宋体" w:cs="宋体"/>
          <w:color w:val="auto"/>
          <w:sz w:val="24"/>
          <w:szCs w:val="24"/>
          <w:highlight w:val="none"/>
        </w:rPr>
        <w:t>内容残缺</w:t>
      </w:r>
      <w:r>
        <w:rPr>
          <w:rFonts w:hint="eastAsia" w:ascii="宋体" w:hAnsi="宋体" w:cs="宋体"/>
          <w:color w:val="auto"/>
          <w:sz w:val="24"/>
          <w:szCs w:val="24"/>
          <w:highlight w:val="none"/>
          <w:lang w:val="zh-CN"/>
        </w:rPr>
        <w:t>等问题，应及时向采购代理机构提出，否则，由此引起的损失由供应商自己承担。供应商同时应认真审阅竞争性磋商文件中所有的事项、格式、条款和规范要求等，若供应商的磋商响应文件没有按竞争性磋商文件要求提交全部资料，或磋商响应文件没有对竞争性磋商文件作出实质性响应，其风险由供应商自行承担，并根据有关条款规定，该磋商有可能被拒绝。</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2.竞争性磋商文件的澄清、修改</w:t>
      </w:r>
      <w:r>
        <w:rPr>
          <w:rFonts w:hint="eastAsia" w:ascii="宋体" w:hAnsi="宋体" w:cs="宋体"/>
          <w:color w:val="auto"/>
          <w:sz w:val="24"/>
          <w:szCs w:val="24"/>
          <w:highlight w:val="none"/>
        </w:rPr>
        <w:t>与补充</w:t>
      </w:r>
    </w:p>
    <w:p>
      <w:pPr>
        <w:ind w:left="0" w:firstLine="480" w:firstLineChars="200"/>
        <w:rPr>
          <w:rFonts w:hint="eastAsia" w:ascii="宋体" w:hAnsi="宋体" w:cs="宋体"/>
          <w:bCs/>
          <w:color w:val="auto"/>
          <w:sz w:val="24"/>
          <w:highlight w:val="none"/>
        </w:rPr>
      </w:pPr>
      <w:r>
        <w:rPr>
          <w:rFonts w:hint="eastAsia" w:ascii="宋体" w:hAnsi="宋体" w:cs="宋体"/>
          <w:color w:val="auto"/>
          <w:sz w:val="24"/>
          <w:szCs w:val="24"/>
          <w:highlight w:val="none"/>
        </w:rPr>
        <w:t>2.1</w:t>
      </w:r>
      <w:r>
        <w:rPr>
          <w:rFonts w:hint="eastAsia" w:ascii="宋体" w:hAnsi="宋体" w:cs="宋体"/>
          <w:bCs/>
          <w:color w:val="auto"/>
          <w:sz w:val="24"/>
          <w:highlight w:val="none"/>
        </w:rPr>
        <w:t>见供应商须知前附表“采购文件的澄清和修改”。</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在磋商截止时间前，采购单位对已发出的竞争性磋商文件进行必要澄清或者修改时，将依法在财政部门指定的政府采购信息发布媒体上发布更正公告，并以书面形式通知所有竞争性磋商文件收受人。该澄清或者修改的内容为竞争性磋商文件的组成部分，对所有供应商有约束力。供应商在收到竞争性磋商文件的澄清修改函后，应以书面形式予以确认。</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2.3为使供应商有足够的时间按修改文件要求修正磋商响应文件，采购单位可以视采购具体情况推迟磋商响应文件提交截止时间和磋商时间，并将此变更通知各供应商。</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2.4竞争性磋商文件的澄清、修改、补充等内容均以书面明确的内容为准。当竞争性磋商文件与竞争性磋商文件的澄清、修改、补充等在同一内容的表述上不一致时，以最后发出的书面文件为准。</w:t>
      </w:r>
    </w:p>
    <w:p>
      <w:pPr>
        <w:autoSpaceDE w:val="0"/>
        <w:autoSpaceDN w:val="0"/>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2.5因供应商提供联系资料错误或遗漏等原因导致采购代理机构未能将有关澄清、答复、修改或补充通知送达供应商的，责任由供应商自负。</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四、磋商响应文件的编制要求</w:t>
      </w:r>
    </w:p>
    <w:p>
      <w:pPr>
        <w:autoSpaceDE w:val="0"/>
        <w:autoSpaceDN w:val="0"/>
        <w:ind w:left="0" w:firstLine="482" w:firstLineChars="200"/>
        <w:jc w:val="left"/>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一</w:t>
      </w:r>
      <w:r>
        <w:rPr>
          <w:rFonts w:hint="eastAsia" w:ascii="宋体" w:hAnsi="宋体" w:cs="宋体"/>
          <w:b/>
          <w:bCs/>
          <w:color w:val="auto"/>
          <w:sz w:val="24"/>
          <w:szCs w:val="24"/>
          <w:highlight w:val="none"/>
          <w:lang w:val="zh-CN"/>
        </w:rPr>
        <w:t>）磋商响应文件的语言</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供应商提交的磋商响应文件，以及供应商与采购有关磋商响应的所有来往电函应使用中文，供应商可以提交用其他语言印制的资料，但必须译成中文，如有差异和矛盾以中文为准。</w:t>
      </w:r>
    </w:p>
    <w:p>
      <w:pPr>
        <w:autoSpaceDE w:val="0"/>
        <w:autoSpaceDN w:val="0"/>
        <w:ind w:left="0" w:firstLine="482" w:firstLineChars="200"/>
        <w:jc w:val="left"/>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二</w:t>
      </w:r>
      <w:r>
        <w:rPr>
          <w:rFonts w:hint="eastAsia" w:ascii="宋体" w:hAnsi="宋体" w:cs="宋体"/>
          <w:b/>
          <w:bCs/>
          <w:color w:val="auto"/>
          <w:sz w:val="24"/>
          <w:szCs w:val="24"/>
          <w:highlight w:val="none"/>
          <w:lang w:val="zh-CN"/>
        </w:rPr>
        <w:t>）磋商响应文件的组成</w:t>
      </w:r>
    </w:p>
    <w:p>
      <w:pPr>
        <w:autoSpaceDE w:val="0"/>
        <w:autoSpaceDN w:val="0"/>
        <w:adjustRightInd w:val="0"/>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磋商响应文件由资格文件、商务技术文件、报价文件三部分组成。</w:t>
      </w:r>
    </w:p>
    <w:p>
      <w:pPr>
        <w:autoSpaceDE w:val="0"/>
        <w:autoSpaceDN w:val="0"/>
        <w:adjustRightInd w:val="0"/>
        <w:ind w:left="0"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1.资格证明文件</w:t>
      </w:r>
      <w:r>
        <w:rPr>
          <w:rFonts w:hint="eastAsia" w:ascii="宋体" w:hAnsi="宋体" w:cs="宋体"/>
          <w:color w:val="auto"/>
          <w:sz w:val="24"/>
          <w:szCs w:val="24"/>
          <w:highlight w:val="none"/>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6316"/>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shd w:val="clear" w:color="auto" w:fill="C3BD96"/>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6316" w:type="dxa"/>
            <w:shd w:val="clear" w:color="auto" w:fill="C3BD96"/>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编制内容</w:t>
            </w:r>
          </w:p>
        </w:tc>
        <w:tc>
          <w:tcPr>
            <w:tcW w:w="1255" w:type="dxa"/>
            <w:shd w:val="clear" w:color="auto" w:fill="C3BD96"/>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316"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供应商须在响应文件中出具符合以下情况的证明材料复印件（五选一）：</w:t>
            </w:r>
          </w:p>
          <w:p>
            <w:pPr>
              <w:numPr>
                <w:ilvl w:val="0"/>
                <w:numId w:val="2"/>
              </w:num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如供应商是企业（包括合伙企业），提供在工商部门注册的有效“企业法人营业执照” 或“营业执照”；</w:t>
            </w:r>
          </w:p>
          <w:p>
            <w:pPr>
              <w:numPr>
                <w:ilvl w:val="0"/>
                <w:numId w:val="2"/>
              </w:num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如供应商是事业单位，提供有效的“事业单位法人证书”；</w:t>
            </w:r>
          </w:p>
          <w:p>
            <w:pPr>
              <w:numPr>
                <w:ilvl w:val="0"/>
                <w:numId w:val="2"/>
              </w:num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如供应商是非企业专业服务机构的，提供执业许可证等证明文件；</w:t>
            </w:r>
          </w:p>
          <w:p>
            <w:pPr>
              <w:numPr>
                <w:ilvl w:val="0"/>
                <w:numId w:val="2"/>
              </w:num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如供应商是个体工商户，提供有效的“个体工商户营业执照”；</w:t>
            </w:r>
          </w:p>
          <w:p>
            <w:pPr>
              <w:numPr>
                <w:ilvl w:val="0"/>
                <w:numId w:val="2"/>
              </w:num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如供应商是自然人，提供有效的自然人身份证明（居民身份证正反面或公安机关出具的临时居民身份证正反面或港澳台胞证或护照）。</w:t>
            </w:r>
          </w:p>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tc>
        <w:tc>
          <w:tcPr>
            <w:tcW w:w="1255"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6316"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1255"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格式1.1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6316"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中小企业声明函</w:t>
            </w:r>
          </w:p>
        </w:tc>
        <w:tc>
          <w:tcPr>
            <w:tcW w:w="1255" w:type="dxa"/>
            <w:noWrap w:val="0"/>
            <w:vAlign w:val="center"/>
          </w:tcPr>
          <w:p>
            <w:pPr>
              <w:autoSpaceDE w:val="0"/>
              <w:autoSpaceDN w:val="0"/>
              <w:adjustRightInd w:val="0"/>
              <w:spacing w:line="0" w:lineRule="atLeast"/>
              <w:ind w:left="0" w:firstLine="0"/>
              <w:jc w:val="center"/>
              <w:rPr>
                <w:rFonts w:ascii="宋体" w:hAnsi="宋体" w:cs="宋体"/>
                <w:color w:val="auto"/>
                <w:szCs w:val="21"/>
                <w:highlight w:val="none"/>
              </w:rPr>
            </w:pPr>
            <w:r>
              <w:rPr>
                <w:rFonts w:hint="eastAsia" w:ascii="宋体" w:hAnsi="宋体" w:cs="宋体"/>
                <w:color w:val="auto"/>
                <w:szCs w:val="21"/>
                <w:highlight w:val="none"/>
              </w:rPr>
              <w:t>格式1.2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w:t>
            </w:r>
          </w:p>
        </w:tc>
        <w:tc>
          <w:tcPr>
            <w:tcW w:w="6316"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供应商如以联合体形式参加政府采购活动的，提供联合体协议书以及联合体成员的营业执照</w:t>
            </w:r>
          </w:p>
        </w:tc>
        <w:tc>
          <w:tcPr>
            <w:tcW w:w="1255" w:type="dxa"/>
            <w:noWrap w:val="0"/>
            <w:vAlign w:val="center"/>
          </w:tcPr>
          <w:p>
            <w:pPr>
              <w:autoSpaceDE w:val="0"/>
              <w:autoSpaceDN w:val="0"/>
              <w:adjustRightInd w:val="0"/>
              <w:spacing w:line="0" w:lineRule="atLeast"/>
              <w:ind w:left="0" w:firstLine="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格式1.</w:t>
            </w: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6316"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其他磋商响应人认为须提供的资料（如有）</w:t>
            </w:r>
          </w:p>
        </w:tc>
        <w:tc>
          <w:tcPr>
            <w:tcW w:w="1255" w:type="dxa"/>
            <w:noWrap w:val="0"/>
            <w:vAlign w:val="center"/>
          </w:tcPr>
          <w:p>
            <w:pPr>
              <w:autoSpaceDE w:val="0"/>
              <w:autoSpaceDN w:val="0"/>
              <w:adjustRightInd w:val="0"/>
              <w:spacing w:line="0" w:lineRule="atLeast"/>
              <w:ind w:left="0" w:firstLine="0"/>
              <w:jc w:val="center"/>
              <w:rPr>
                <w:rFonts w:ascii="宋体" w:hAnsi="宋体" w:cs="宋体"/>
                <w:color w:val="auto"/>
                <w:szCs w:val="21"/>
                <w:highlight w:val="none"/>
              </w:rPr>
            </w:pPr>
          </w:p>
        </w:tc>
      </w:tr>
    </w:tbl>
    <w:p>
      <w:pPr>
        <w:autoSpaceDE w:val="0"/>
        <w:autoSpaceDN w:val="0"/>
        <w:adjustRightInd w:val="0"/>
        <w:spacing w:line="400" w:lineRule="exact"/>
        <w:ind w:left="0" w:firstLine="964" w:firstLineChars="4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2.商务</w:t>
      </w:r>
      <w:r>
        <w:rPr>
          <w:rFonts w:hint="eastAsia" w:ascii="宋体" w:hAnsi="宋体" w:cs="宋体"/>
          <w:b/>
          <w:color w:val="auto"/>
          <w:sz w:val="24"/>
          <w:szCs w:val="24"/>
          <w:highlight w:val="none"/>
          <w:lang w:val="zh-CN"/>
        </w:rPr>
        <w:t>技术文件</w:t>
      </w:r>
      <w:r>
        <w:rPr>
          <w:rFonts w:hint="eastAsia" w:ascii="宋体" w:hAnsi="宋体" w:cs="宋体"/>
          <w:color w:val="auto"/>
          <w:sz w:val="24"/>
          <w:szCs w:val="24"/>
          <w:highlight w:val="none"/>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6149"/>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09" w:type="dxa"/>
            <w:shd w:val="clear" w:color="auto" w:fill="C3BD96"/>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6149" w:type="dxa"/>
            <w:shd w:val="clear" w:color="auto" w:fill="C3BD96"/>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编制内容</w:t>
            </w:r>
          </w:p>
        </w:tc>
        <w:tc>
          <w:tcPr>
            <w:tcW w:w="1305" w:type="dxa"/>
            <w:shd w:val="clear" w:color="auto" w:fill="C3BD96"/>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09"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6149"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商务技术文件封面</w:t>
            </w:r>
          </w:p>
        </w:tc>
        <w:tc>
          <w:tcPr>
            <w:tcW w:w="1305" w:type="dxa"/>
            <w:noWrap w:val="0"/>
            <w:vAlign w:val="center"/>
          </w:tcPr>
          <w:p>
            <w:pPr>
              <w:autoSpaceDE w:val="0"/>
              <w:autoSpaceDN w:val="0"/>
              <w:adjustRightInd w:val="0"/>
              <w:spacing w:line="0" w:lineRule="atLeast"/>
              <w:ind w:left="0" w:firstLine="0"/>
              <w:jc w:val="center"/>
              <w:rPr>
                <w:rFonts w:hint="eastAsia" w:ascii="宋体" w:hAnsi="宋体" w:cs="宋体"/>
                <w:bCs/>
                <w:color w:val="auto"/>
                <w:sz w:val="22"/>
                <w:szCs w:val="22"/>
                <w:highlight w:val="none"/>
              </w:rPr>
            </w:pPr>
            <w:r>
              <w:rPr>
                <w:rFonts w:hint="eastAsia" w:ascii="宋体" w:hAnsi="宋体" w:cs="宋体"/>
                <w:color w:val="auto"/>
                <w:szCs w:val="21"/>
                <w:highlight w:val="none"/>
              </w:rPr>
              <w:t>格式2.1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09"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6149"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商务技术文件目录</w:t>
            </w:r>
          </w:p>
        </w:tc>
        <w:tc>
          <w:tcPr>
            <w:tcW w:w="1305" w:type="dxa"/>
            <w:noWrap w:val="0"/>
            <w:vAlign w:val="center"/>
          </w:tcPr>
          <w:p>
            <w:pPr>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格式2.2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09" w:type="dxa"/>
            <w:noWrap w:val="0"/>
            <w:vAlign w:val="center"/>
          </w:tcPr>
          <w:p>
            <w:pPr>
              <w:autoSpaceDE w:val="0"/>
              <w:autoSpaceDN w:val="0"/>
              <w:adjustRightInd w:val="0"/>
              <w:spacing w:line="0" w:lineRule="atLeast"/>
              <w:ind w:left="0" w:firstLine="0"/>
              <w:jc w:val="center"/>
              <w:rPr>
                <w:rFonts w:hint="eastAsia" w:ascii="宋体" w:hAnsi="宋体" w:cs="宋体"/>
                <w:bCs/>
                <w:color w:val="auto"/>
                <w:szCs w:val="21"/>
                <w:highlight w:val="none"/>
              </w:rPr>
            </w:pPr>
            <w:r>
              <w:rPr>
                <w:rFonts w:hint="eastAsia" w:ascii="宋体" w:hAnsi="宋体" w:cs="宋体"/>
                <w:color w:val="auto"/>
                <w:szCs w:val="21"/>
                <w:highlight w:val="none"/>
              </w:rPr>
              <w:t>3</w:t>
            </w:r>
          </w:p>
        </w:tc>
        <w:tc>
          <w:tcPr>
            <w:tcW w:w="6149"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自评分表</w:t>
            </w:r>
          </w:p>
        </w:tc>
        <w:tc>
          <w:tcPr>
            <w:tcW w:w="1305" w:type="dxa"/>
            <w:noWrap w:val="0"/>
            <w:vAlign w:val="center"/>
          </w:tcPr>
          <w:p>
            <w:pPr>
              <w:spacing w:line="0" w:lineRule="atLeast"/>
              <w:ind w:left="0" w:firstLine="0"/>
              <w:jc w:val="center"/>
              <w:rPr>
                <w:rFonts w:hint="eastAsia" w:ascii="宋体" w:hAnsi="宋体" w:cs="宋体"/>
                <w:bCs/>
                <w:color w:val="auto"/>
                <w:sz w:val="22"/>
                <w:szCs w:val="22"/>
                <w:highlight w:val="none"/>
              </w:rPr>
            </w:pPr>
            <w:r>
              <w:rPr>
                <w:rFonts w:hint="eastAsia" w:ascii="宋体" w:hAnsi="宋体" w:cs="宋体"/>
                <w:color w:val="auto"/>
                <w:szCs w:val="21"/>
                <w:highlight w:val="none"/>
              </w:rPr>
              <w:t>格式2.3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09" w:type="dxa"/>
            <w:noWrap w:val="0"/>
            <w:vAlign w:val="center"/>
          </w:tcPr>
          <w:p>
            <w:pPr>
              <w:autoSpaceDE w:val="0"/>
              <w:autoSpaceDN w:val="0"/>
              <w:adjustRightInd w:val="0"/>
              <w:spacing w:line="240" w:lineRule="auto"/>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6149" w:type="dxa"/>
            <w:noWrap w:val="0"/>
            <w:vAlign w:val="center"/>
          </w:tcPr>
          <w:p>
            <w:pPr>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法定代表人证明书</w:t>
            </w:r>
          </w:p>
        </w:tc>
        <w:tc>
          <w:tcPr>
            <w:tcW w:w="1305" w:type="dxa"/>
            <w:noWrap w:val="0"/>
            <w:vAlign w:val="center"/>
          </w:tcPr>
          <w:p>
            <w:pPr>
              <w:spacing w:line="0" w:lineRule="atLeast"/>
              <w:ind w:left="0" w:firstLine="0"/>
              <w:jc w:val="center"/>
              <w:rPr>
                <w:rFonts w:hint="eastAsia" w:ascii="宋体" w:hAnsi="宋体" w:cs="宋体"/>
                <w:bCs/>
                <w:color w:val="auto"/>
                <w:sz w:val="22"/>
                <w:szCs w:val="22"/>
                <w:highlight w:val="none"/>
              </w:rPr>
            </w:pPr>
            <w:r>
              <w:rPr>
                <w:rFonts w:hint="eastAsia" w:ascii="宋体" w:hAnsi="宋体" w:cs="宋体"/>
                <w:color w:val="auto"/>
                <w:szCs w:val="21"/>
                <w:highlight w:val="none"/>
              </w:rPr>
              <w:t>格式2.4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09"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6149" w:type="dxa"/>
            <w:noWrap w:val="0"/>
            <w:vAlign w:val="center"/>
          </w:tcPr>
          <w:p>
            <w:pPr>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法定代表人授权委托书</w:t>
            </w:r>
          </w:p>
        </w:tc>
        <w:tc>
          <w:tcPr>
            <w:tcW w:w="1305" w:type="dxa"/>
            <w:noWrap w:val="0"/>
            <w:vAlign w:val="center"/>
          </w:tcPr>
          <w:p>
            <w:pPr>
              <w:spacing w:line="0" w:lineRule="atLeast"/>
              <w:ind w:left="0" w:firstLine="0"/>
              <w:jc w:val="center"/>
              <w:rPr>
                <w:rFonts w:hint="eastAsia" w:ascii="宋体" w:hAnsi="宋体" w:cs="宋体"/>
                <w:bCs/>
                <w:color w:val="auto"/>
                <w:sz w:val="22"/>
                <w:szCs w:val="22"/>
                <w:highlight w:val="none"/>
              </w:rPr>
            </w:pPr>
            <w:r>
              <w:rPr>
                <w:rFonts w:hint="eastAsia" w:ascii="宋体" w:hAnsi="宋体" w:cs="宋体"/>
                <w:color w:val="auto"/>
                <w:szCs w:val="21"/>
                <w:highlight w:val="none"/>
              </w:rPr>
              <w:t>格式2.5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09"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6149" w:type="dxa"/>
            <w:noWrap w:val="0"/>
            <w:vAlign w:val="center"/>
          </w:tcPr>
          <w:p>
            <w:pPr>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根据评分标准自行编制，有格式的参照格式</w:t>
            </w:r>
          </w:p>
        </w:tc>
        <w:tc>
          <w:tcPr>
            <w:tcW w:w="1305" w:type="dxa"/>
            <w:noWrap w:val="0"/>
            <w:vAlign w:val="center"/>
          </w:tcPr>
          <w:p>
            <w:pPr>
              <w:spacing w:line="0" w:lineRule="atLeast"/>
              <w:ind w:left="0" w:firstLine="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09"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6149" w:type="dxa"/>
            <w:noWrap w:val="0"/>
            <w:vAlign w:val="center"/>
          </w:tcPr>
          <w:p>
            <w:pPr>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磋商响应人认为有必要提供的其他资料（如有）</w:t>
            </w:r>
          </w:p>
        </w:tc>
        <w:tc>
          <w:tcPr>
            <w:tcW w:w="1305" w:type="dxa"/>
            <w:noWrap w:val="0"/>
            <w:vAlign w:val="center"/>
          </w:tcPr>
          <w:p>
            <w:pPr>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如有，内容自拟</w:t>
            </w:r>
          </w:p>
        </w:tc>
      </w:tr>
    </w:tbl>
    <w:p>
      <w:pPr>
        <w:autoSpaceDE w:val="0"/>
        <w:autoSpaceDN w:val="0"/>
        <w:spacing w:line="400" w:lineRule="exact"/>
        <w:ind w:left="0" w:firstLine="836" w:firstLineChars="347"/>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3</w:t>
      </w:r>
      <w:r>
        <w:rPr>
          <w:rFonts w:hint="eastAsia" w:ascii="宋体" w:hAnsi="宋体" w:cs="宋体"/>
          <w:b/>
          <w:color w:val="auto"/>
          <w:sz w:val="24"/>
          <w:szCs w:val="24"/>
          <w:highlight w:val="none"/>
          <w:lang w:val="zh-CN"/>
        </w:rPr>
        <w:t>.报价文件</w:t>
      </w:r>
      <w:r>
        <w:rPr>
          <w:rFonts w:hint="eastAsia" w:ascii="宋体" w:hAnsi="宋体" w:cs="宋体"/>
          <w:color w:val="auto"/>
          <w:sz w:val="24"/>
          <w:szCs w:val="24"/>
          <w:highlight w:val="none"/>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6290"/>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shd w:val="clear" w:color="auto" w:fill="C3BD96"/>
            <w:noWrap w:val="0"/>
            <w:vAlign w:val="top"/>
          </w:tcPr>
          <w:p>
            <w:pPr>
              <w:autoSpaceDE w:val="0"/>
              <w:autoSpaceDN w:val="0"/>
              <w:adjustRightInd w:val="0"/>
              <w:spacing w:line="400" w:lineRule="exac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6290" w:type="dxa"/>
            <w:shd w:val="clear" w:color="auto" w:fill="C3BD96"/>
            <w:noWrap w:val="0"/>
            <w:vAlign w:val="top"/>
          </w:tcPr>
          <w:p>
            <w:pPr>
              <w:autoSpaceDE w:val="0"/>
              <w:autoSpaceDN w:val="0"/>
              <w:adjustRightInd w:val="0"/>
              <w:spacing w:line="400" w:lineRule="exac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编制内容</w:t>
            </w:r>
          </w:p>
        </w:tc>
        <w:tc>
          <w:tcPr>
            <w:tcW w:w="1281" w:type="dxa"/>
            <w:shd w:val="clear" w:color="auto" w:fill="C3BD96"/>
            <w:noWrap w:val="0"/>
            <w:vAlign w:val="top"/>
          </w:tcPr>
          <w:p>
            <w:pPr>
              <w:autoSpaceDE w:val="0"/>
              <w:autoSpaceDN w:val="0"/>
              <w:adjustRightInd w:val="0"/>
              <w:spacing w:line="400" w:lineRule="exact"/>
              <w:ind w:left="0" w:firstLine="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6290"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报价文件封面</w:t>
            </w:r>
          </w:p>
        </w:tc>
        <w:tc>
          <w:tcPr>
            <w:tcW w:w="1281" w:type="dxa"/>
            <w:noWrap w:val="0"/>
            <w:vAlign w:val="center"/>
          </w:tcPr>
          <w:p>
            <w:pPr>
              <w:autoSpaceDE w:val="0"/>
              <w:autoSpaceDN w:val="0"/>
              <w:adjustRightInd w:val="0"/>
              <w:spacing w:line="0" w:lineRule="atLeast"/>
              <w:ind w:left="0" w:firstLine="0"/>
              <w:jc w:val="center"/>
              <w:rPr>
                <w:rFonts w:hint="eastAsia" w:ascii="宋体" w:hAnsi="宋体" w:cs="宋体"/>
                <w:bCs/>
                <w:color w:val="auto"/>
                <w:sz w:val="22"/>
                <w:szCs w:val="22"/>
                <w:highlight w:val="none"/>
              </w:rPr>
            </w:pPr>
            <w:r>
              <w:rPr>
                <w:rFonts w:hint="eastAsia" w:ascii="宋体" w:hAnsi="宋体" w:cs="宋体"/>
                <w:color w:val="auto"/>
                <w:szCs w:val="21"/>
                <w:highlight w:val="none"/>
              </w:rPr>
              <w:t>格式3.1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6290"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报价文件目录</w:t>
            </w:r>
          </w:p>
        </w:tc>
        <w:tc>
          <w:tcPr>
            <w:tcW w:w="1281"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格式3.2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6290"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报价函</w:t>
            </w:r>
          </w:p>
        </w:tc>
        <w:tc>
          <w:tcPr>
            <w:tcW w:w="1281" w:type="dxa"/>
            <w:noWrap w:val="0"/>
            <w:vAlign w:val="center"/>
          </w:tcPr>
          <w:p>
            <w:pPr>
              <w:autoSpaceDE w:val="0"/>
              <w:autoSpaceDN w:val="0"/>
              <w:adjustRightInd w:val="0"/>
              <w:spacing w:line="0" w:lineRule="atLeast"/>
              <w:ind w:left="0" w:firstLine="0"/>
              <w:jc w:val="center"/>
              <w:rPr>
                <w:rFonts w:hint="eastAsia" w:ascii="宋体" w:hAnsi="宋体" w:cs="宋体"/>
                <w:bCs/>
                <w:color w:val="auto"/>
                <w:sz w:val="22"/>
                <w:szCs w:val="22"/>
                <w:highlight w:val="none"/>
              </w:rPr>
            </w:pPr>
            <w:r>
              <w:rPr>
                <w:rFonts w:hint="eastAsia" w:ascii="宋体" w:hAnsi="宋体" w:cs="宋体"/>
                <w:color w:val="auto"/>
                <w:szCs w:val="21"/>
                <w:highlight w:val="none"/>
              </w:rPr>
              <w:t>格式3.3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6290"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报价一览表（磋商初次报价）</w:t>
            </w:r>
          </w:p>
        </w:tc>
        <w:tc>
          <w:tcPr>
            <w:tcW w:w="1281"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格式3.4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6290"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磋商报价明细表</w:t>
            </w:r>
          </w:p>
        </w:tc>
        <w:tc>
          <w:tcPr>
            <w:tcW w:w="1281"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格式3.5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43" w:type="dxa"/>
            <w:noWrap w:val="0"/>
            <w:vAlign w:val="center"/>
          </w:tcPr>
          <w:p>
            <w:pPr>
              <w:spacing w:line="0" w:lineRule="atLeast"/>
              <w:ind w:left="0" w:firstLine="0"/>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6</w:t>
            </w:r>
          </w:p>
        </w:tc>
        <w:tc>
          <w:tcPr>
            <w:tcW w:w="6290" w:type="dxa"/>
            <w:noWrap w:val="0"/>
            <w:vAlign w:val="center"/>
          </w:tcPr>
          <w:p>
            <w:pPr>
              <w:autoSpaceDE w:val="0"/>
              <w:autoSpaceDN w:val="0"/>
              <w:adjustRightInd w:val="0"/>
              <w:spacing w:line="0" w:lineRule="atLeast"/>
              <w:ind w:left="0" w:firstLine="0"/>
              <w:rPr>
                <w:rFonts w:hint="eastAsia" w:ascii="宋体" w:hAnsi="宋体" w:cs="宋体"/>
                <w:color w:val="auto"/>
                <w:szCs w:val="21"/>
                <w:highlight w:val="none"/>
              </w:rPr>
            </w:pPr>
            <w:r>
              <w:rPr>
                <w:rFonts w:hint="eastAsia" w:ascii="宋体" w:hAnsi="宋体" w:cs="宋体"/>
                <w:color w:val="auto"/>
                <w:szCs w:val="21"/>
                <w:highlight w:val="none"/>
              </w:rPr>
              <w:t>其他磋商响应人认为须提供的资料（如有）</w:t>
            </w:r>
          </w:p>
        </w:tc>
        <w:tc>
          <w:tcPr>
            <w:tcW w:w="1281" w:type="dxa"/>
            <w:noWrap w:val="0"/>
            <w:vAlign w:val="center"/>
          </w:tcPr>
          <w:p>
            <w:pPr>
              <w:autoSpaceDE w:val="0"/>
              <w:autoSpaceDN w:val="0"/>
              <w:adjustRightIn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bl>
    <w:p>
      <w:pPr>
        <w:autoSpaceDE w:val="0"/>
        <w:autoSpaceDN w:val="0"/>
        <w:ind w:left="0" w:firstLine="482"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（三）</w:t>
      </w:r>
      <w:r>
        <w:rPr>
          <w:rFonts w:hint="eastAsia" w:ascii="宋体" w:hAnsi="宋体" w:cs="宋体"/>
          <w:b/>
          <w:bCs/>
          <w:color w:val="auto"/>
          <w:sz w:val="24"/>
          <w:szCs w:val="24"/>
          <w:highlight w:val="none"/>
          <w:lang w:val="zh-CN"/>
        </w:rPr>
        <w:t>磋商响应报价</w:t>
      </w:r>
    </w:p>
    <w:p>
      <w:pPr>
        <w:ind w:left="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1.磋商报价应按竞争性磋商文件中相关附表格式填写。</w:t>
      </w:r>
    </w:p>
    <w:p>
      <w:pPr>
        <w:ind w:left="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2.报价组成</w:t>
      </w:r>
    </w:p>
    <w:p>
      <w:pPr>
        <w:ind w:left="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磋商响应人应根据《开标一览表》填写相关内容。《开标一览表》是报价的唯一载体。</w:t>
      </w:r>
    </w:p>
    <w:p>
      <w:pPr>
        <w:ind w:left="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报价应为完成本项目所需的全部费用，是履行合同的最终价格，应包括完成本项目</w:t>
      </w:r>
      <w:r>
        <w:rPr>
          <w:rFonts w:hint="eastAsia" w:ascii="宋体" w:hAnsi="宋体" w:cs="宋体"/>
          <w:bCs/>
          <w:color w:val="auto"/>
          <w:sz w:val="24"/>
          <w:szCs w:val="24"/>
          <w:highlight w:val="none"/>
          <w:lang w:val="en-US" w:eastAsia="zh-CN"/>
        </w:rPr>
        <w:t>活动</w:t>
      </w:r>
      <w:r>
        <w:rPr>
          <w:rFonts w:hint="eastAsia" w:ascii="宋体" w:hAnsi="宋体" w:cs="宋体"/>
          <w:bCs/>
          <w:color w:val="auto"/>
          <w:sz w:val="24"/>
          <w:szCs w:val="24"/>
          <w:highlight w:val="none"/>
        </w:rPr>
        <w:t>服务人员的劳务、保险、福利、合理利润、税金、政策性文件规定及合同包含的所有风险、责任等合同中明示或暗示的所有一般风险、责任和义务等一切费用。采购文件未列明，而供应商认为必需的费用也需列入报价。</w:t>
      </w:r>
    </w:p>
    <w:p>
      <w:pPr>
        <w:ind w:left="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▲3.磋商响应文件只允许有一个报价，有选择的或有条件的报价将不予接受。</w:t>
      </w:r>
    </w:p>
    <w:p>
      <w:pPr>
        <w:ind w:left="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4.本项目磋商分二轮进行，首次报价在响应文件中体现；最终报价由各磋商供应商在规定的时间内在政采云平台在线完成；政采云平台在线报价操作失败的，供应商应及时联系采购代理机构。最终报价不得超过初次报价，否则磋商无效。</w:t>
      </w:r>
    </w:p>
    <w:p>
      <w:pPr>
        <w:ind w:left="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5.磋商供应商的最终报价由磋商响应人承担全部风险责任。</w:t>
      </w:r>
    </w:p>
    <w:p>
      <w:pPr>
        <w:pStyle w:val="8"/>
        <w:ind w:left="0"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6.磋商供应商对竞争性磋商文件里有关磋商报价的全部内容应仔细确认，若有个别异议，应在磋商前提出修改意见，否则视同全部确认。</w:t>
      </w:r>
    </w:p>
    <w:p>
      <w:pPr>
        <w:pStyle w:val="8"/>
        <w:ind w:left="0"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u w:val="single"/>
        </w:rPr>
        <w:t>7.报价是中标的一个重要因素，但最低报价不是中标的唯一依据。</w:t>
      </w:r>
    </w:p>
    <w:p>
      <w:pPr>
        <w:ind w:left="0"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（四）磋商响应文件的有效期</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▲1.磋商响应文件的有效期为磋商截止之日后的60日历天。有效期不足的磋商响应文件将被拒绝。</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特殊情况下，在磋商有效期满之前，采购单位可以书面形式要求供应商同意延长磋商有效期。供应商可以书面形式拒绝或接受上述要求。对于接受该要求的供应商，采购单位既不要求也不允许其修改磋商响应文件，但将要求其相应延长磋商有效期。</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3.成交供应商的磋商响应文件自磋商之日起至合同履行完毕止均应保持有效。</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磋商响应人在《磋商响应文件》有效期内强行撤回（撤销）其磋商响应文件的，采购人将按采购预算金额的2%对其进行追偿（追偿金额不足伍万的按伍万计），以弥补采购人、采购代理机构损失，同时将其失信行为上报至同级政府采购监督管理部门依法处理。</w:t>
      </w:r>
    </w:p>
    <w:p>
      <w:pPr>
        <w:ind w:left="0"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（五）磋商保证金</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无</w:t>
      </w:r>
    </w:p>
    <w:p>
      <w:pPr>
        <w:ind w:left="0" w:firstLine="482" w:firstLineChars="200"/>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（六）磋商响应文件的构成和份数</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1.磋商响应文件的构成和份数见磋商须知前附表。</w:t>
      </w:r>
    </w:p>
    <w:p>
      <w:pPr>
        <w:autoSpaceDE w:val="0"/>
        <w:autoSpaceDN w:val="0"/>
        <w:ind w:left="0"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五、磋商响应文件的上传和递交</w:t>
      </w:r>
    </w:p>
    <w:p>
      <w:pPr>
        <w:autoSpaceDE w:val="0"/>
        <w:autoSpaceDN w:val="0"/>
        <w:ind w:left="0" w:firstLine="482" w:firstLineChars="200"/>
        <w:jc w:val="left"/>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一</w:t>
      </w:r>
      <w:r>
        <w:rPr>
          <w:rFonts w:hint="eastAsia" w:ascii="宋体" w:hAnsi="宋体" w:cs="宋体"/>
          <w:b/>
          <w:bCs/>
          <w:color w:val="auto"/>
          <w:sz w:val="24"/>
          <w:szCs w:val="24"/>
          <w:highlight w:val="none"/>
          <w:lang w:val="zh-CN"/>
        </w:rPr>
        <w:t>）磋商响应文件签署及递交</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1.电子加密磋商响应文件</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1）本项目通过“政府采购云平台（</w:t>
      </w:r>
      <w:r>
        <w:rPr>
          <w:rFonts w:hint="eastAsia" w:ascii="宋体" w:hAnsi="宋体" w:cs="宋体"/>
          <w:color w:val="auto"/>
          <w:sz w:val="24"/>
          <w:szCs w:val="24"/>
          <w:highlight w:val="none"/>
        </w:rPr>
        <w:t>http：//</w:t>
      </w:r>
      <w:r>
        <w:rPr>
          <w:rFonts w:hint="eastAsia" w:ascii="宋体" w:hAnsi="宋体" w:cs="宋体"/>
          <w:color w:val="auto"/>
          <w:sz w:val="24"/>
          <w:szCs w:val="24"/>
          <w:highlight w:val="none"/>
          <w:lang w:val="zh-CN"/>
        </w:rPr>
        <w:t>www.zcygov.cn）”实行在线磋商响应（电子标）。磋商响应人应先安装“政采云电子交易客户端”，通过“政采云电子交易客户端”并按政采云平台供应商项目采购-电子招投标操作指南（详见政采云平台“服务中心-帮助文档-项目采购-操作流程-电子招投标-政府采购项目电子交易管理操作指南-供应商”）及本磋商文件规定的格式和顺序编制电子加密磋商响应文件并进行关联定位。</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2）各磋商响应人应当按照本章节“磋商响应文件组成”规定的内容及顺序在“政采云电子交易客户端”编制磋商响应文件。其中《资格</w:t>
      </w:r>
      <w:r>
        <w:rPr>
          <w:rFonts w:hint="eastAsia" w:ascii="宋体" w:hAnsi="宋体" w:cs="宋体"/>
          <w:color w:val="auto"/>
          <w:sz w:val="24"/>
          <w:szCs w:val="24"/>
          <w:highlight w:val="none"/>
        </w:rPr>
        <w:t>证明</w:t>
      </w:r>
      <w:r>
        <w:rPr>
          <w:rFonts w:hint="eastAsia" w:ascii="宋体" w:hAnsi="宋体" w:cs="宋体"/>
          <w:color w:val="auto"/>
          <w:sz w:val="24"/>
          <w:szCs w:val="24"/>
          <w:highlight w:val="none"/>
          <w:lang w:val="zh-CN"/>
        </w:rPr>
        <w:t>文件》和《商务技术文件》中不得出现本项目磋商报价，如因磋商响应人原因提前泄露磋商报价，是磋商响应人的责任。</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3）本文件《第六章 磋商响应文件相关格式》中有提供格式的，磋商响应人须参照格式进行编制（</w:t>
      </w:r>
      <w:r>
        <w:rPr>
          <w:rFonts w:hint="eastAsia" w:ascii="宋体" w:hAnsi="宋体" w:cs="宋体"/>
          <w:color w:val="auto"/>
          <w:sz w:val="24"/>
          <w:szCs w:val="24"/>
          <w:highlight w:val="none"/>
        </w:rPr>
        <w:t>评分标准中要求</w:t>
      </w:r>
      <w:r>
        <w:rPr>
          <w:rFonts w:hint="eastAsia" w:ascii="宋体" w:hAnsi="宋体" w:cs="宋体"/>
          <w:color w:val="auto"/>
          <w:sz w:val="24"/>
          <w:szCs w:val="24"/>
          <w:highlight w:val="none"/>
          <w:lang w:val="zh-CN"/>
        </w:rPr>
        <w:t>提供相关证明材料的还</w:t>
      </w:r>
      <w:r>
        <w:rPr>
          <w:rFonts w:hint="eastAsia" w:ascii="宋体" w:hAnsi="宋体" w:cs="宋体"/>
          <w:color w:val="auto"/>
          <w:sz w:val="24"/>
          <w:szCs w:val="24"/>
          <w:highlight w:val="none"/>
        </w:rPr>
        <w:t>须</w:t>
      </w:r>
      <w:r>
        <w:rPr>
          <w:rFonts w:hint="eastAsia" w:ascii="宋体" w:hAnsi="宋体" w:cs="宋体"/>
          <w:color w:val="auto"/>
          <w:sz w:val="24"/>
          <w:szCs w:val="24"/>
          <w:highlight w:val="none"/>
          <w:lang w:val="zh-CN"/>
        </w:rPr>
        <w:t>后附相关证明材料，</w:t>
      </w:r>
      <w:r>
        <w:rPr>
          <w:rFonts w:hint="eastAsia" w:ascii="宋体" w:hAnsi="宋体" w:cs="宋体"/>
          <w:color w:val="auto"/>
          <w:sz w:val="24"/>
          <w:szCs w:val="24"/>
          <w:highlight w:val="none"/>
        </w:rPr>
        <w:t>否则不得分</w:t>
      </w:r>
      <w:r>
        <w:rPr>
          <w:rFonts w:hint="eastAsia" w:ascii="宋体" w:hAnsi="宋体" w:cs="宋体"/>
          <w:color w:val="auto"/>
          <w:sz w:val="24"/>
          <w:szCs w:val="24"/>
          <w:highlight w:val="none"/>
          <w:lang w:val="zh-CN"/>
        </w:rPr>
        <w:t>），并</w:t>
      </w:r>
      <w:r>
        <w:rPr>
          <w:rFonts w:hint="eastAsia" w:ascii="宋体" w:hAnsi="宋体" w:cs="宋体"/>
          <w:color w:val="auto"/>
          <w:sz w:val="24"/>
          <w:szCs w:val="24"/>
          <w:highlight w:val="none"/>
        </w:rPr>
        <w:t>加盖单位电子签章</w:t>
      </w:r>
      <w:r>
        <w:rPr>
          <w:rFonts w:hint="eastAsia" w:ascii="宋体" w:hAnsi="宋体" w:cs="宋体"/>
          <w:color w:val="auto"/>
          <w:sz w:val="24"/>
          <w:szCs w:val="24"/>
          <w:highlight w:val="none"/>
          <w:lang w:val="zh-CN"/>
        </w:rPr>
        <w:t>，否则视为未提供；本文件《第六章 磋商响应文件相关格式》</w:t>
      </w:r>
      <w:r>
        <w:rPr>
          <w:rFonts w:hint="eastAsia" w:ascii="宋体" w:hAnsi="宋体" w:cs="宋体"/>
          <w:color w:val="auto"/>
          <w:sz w:val="24"/>
          <w:szCs w:val="24"/>
          <w:highlight w:val="none"/>
        </w:rPr>
        <w:t>未提供</w:t>
      </w:r>
      <w:r>
        <w:rPr>
          <w:rFonts w:hint="eastAsia" w:ascii="宋体" w:hAnsi="宋体" w:cs="宋体"/>
          <w:color w:val="auto"/>
          <w:sz w:val="24"/>
          <w:szCs w:val="24"/>
          <w:highlight w:val="none"/>
          <w:lang w:val="zh-CN"/>
        </w:rPr>
        <w:t>格式的，请各投磋商响应人自行拟定格式，并加盖单位电子签章，否则视为未提供。</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2.电子备份磋商响应文件</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磋商供应商在“政府采购云平台”完成“电子加密磋商响应文件”的上传递交后，磋商响应供应商</w:t>
      </w:r>
      <w:r>
        <w:rPr>
          <w:rFonts w:hint="eastAsia" w:ascii="宋体" w:hAnsi="宋体" w:cs="宋体"/>
          <w:color w:val="auto"/>
          <w:sz w:val="24"/>
          <w:szCs w:val="24"/>
          <w:highlight w:val="none"/>
        </w:rPr>
        <w:t>如有需要，</w:t>
      </w:r>
      <w:r>
        <w:rPr>
          <w:rFonts w:hint="eastAsia" w:ascii="宋体" w:hAnsi="宋体" w:cs="宋体"/>
          <w:color w:val="auto"/>
          <w:sz w:val="24"/>
          <w:szCs w:val="24"/>
          <w:highlight w:val="none"/>
          <w:lang w:val="zh-CN"/>
        </w:rPr>
        <w:t>应当在磋商响应截止时间前将同时生成的电子备份加密磋商响应文件（文件名后缀为bfbs）按要求以直接提交或者以快递方式递交至以下地址。电子加密磋商响应文件在规定时间内解密成功的，电子备份加密磋商响应文件自动失效；如电子加密磋商响应文件解密失败，则在评标现场启用电子备份加密磋商响应文件。</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递交地址：浙江省衢州市衢江区东迹大道198号东城华庭420室</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联系人及电话：余女士 0570-3025811</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递交要求：装有电子备份磋商响应文件的U盘或光盘密封包装并在封口处加盖单位公章。</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通过“政府采购云平台”上传递交的“电子加密磋商响应文件”无法按时解密，磋商供应商递交了备份磋商响应文件的，以备份磋商响应文件为依据，否则视为磋商响应文件撤回。通过“政府采购云平台”上传递交的“电子加密磋商文件”已按时解密的，“备份磋商响应文件”自动失效。磋商供应商仅递交了备份磋商响应文件而未将电子加密磋商响应文件上传至“政府采购云平台”的，则磋商无效。</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3.递交磋商响应文件截止期</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3.1磋商响应人应当在磋商响应截止时间前完成电子加密磋商响应文件的传输递交，磋商响应截止时间前可以补充、修改或者撤回电子加密磋商响应文件。补充或者修改电子加密磋商响应文件的，应当先行撤回原文件，补充、修改后重新传输递交。磋商响应截止时间前未完成传输的，视为撤回磋商响应文件。磋商响应截止时间后送达的磋商响应文件，将被拒收。</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3.2电子备份磋商响应文件应在截止时间前以直接提交或者以快递方式递交至</w:t>
      </w:r>
      <w:r>
        <w:rPr>
          <w:rFonts w:hint="eastAsia" w:ascii="宋体" w:hAnsi="宋体" w:cs="宋体"/>
          <w:color w:val="auto"/>
          <w:sz w:val="24"/>
          <w:szCs w:val="24"/>
          <w:highlight w:val="none"/>
        </w:rPr>
        <w:t>指定地点</w:t>
      </w:r>
      <w:r>
        <w:rPr>
          <w:rFonts w:hint="eastAsia" w:ascii="宋体" w:hAnsi="宋体" w:cs="宋体"/>
          <w:color w:val="auto"/>
          <w:sz w:val="24"/>
          <w:szCs w:val="24"/>
          <w:highlight w:val="none"/>
          <w:lang w:val="zh-CN"/>
        </w:rPr>
        <w:t>，时间以</w:t>
      </w:r>
      <w:r>
        <w:rPr>
          <w:rFonts w:hint="eastAsia" w:ascii="宋体" w:hAnsi="宋体" w:cs="宋体"/>
          <w:color w:val="auto"/>
          <w:sz w:val="24"/>
          <w:szCs w:val="24"/>
          <w:highlight w:val="none"/>
        </w:rPr>
        <w:t>签收</w:t>
      </w:r>
      <w:r>
        <w:rPr>
          <w:rFonts w:hint="eastAsia" w:ascii="宋体" w:hAnsi="宋体" w:cs="宋体"/>
          <w:color w:val="auto"/>
          <w:sz w:val="24"/>
          <w:szCs w:val="24"/>
          <w:highlight w:val="none"/>
          <w:lang w:val="zh-CN"/>
        </w:rPr>
        <w:t>时间为准，逾期不予接收。</w:t>
      </w:r>
    </w:p>
    <w:p>
      <w:pPr>
        <w:autoSpaceDE w:val="0"/>
        <w:autoSpaceDN w:val="0"/>
        <w:ind w:left="0" w:firstLine="480" w:firstLineChars="200"/>
        <w:jc w:val="left"/>
        <w:rPr>
          <w:rFonts w:hint="eastAsia"/>
          <w:color w:val="auto"/>
          <w:highlight w:val="none"/>
          <w:lang w:val="zh-CN"/>
        </w:rPr>
      </w:pPr>
      <w:r>
        <w:rPr>
          <w:rFonts w:hint="eastAsia" w:ascii="宋体" w:hAnsi="宋体" w:cs="宋体"/>
          <w:color w:val="auto"/>
          <w:sz w:val="24"/>
          <w:szCs w:val="24"/>
          <w:highlight w:val="none"/>
          <w:lang w:val="en-US" w:eastAsia="zh-CN"/>
        </w:rPr>
        <w:t>3.3</w:t>
      </w:r>
      <w:r>
        <w:rPr>
          <w:rFonts w:hint="eastAsia" w:ascii="宋体" w:hAnsi="宋体" w:eastAsia="宋体" w:cs="宋体"/>
          <w:bCs w:val="0"/>
          <w:color w:val="auto"/>
          <w:kern w:val="2"/>
          <w:sz w:val="24"/>
          <w:szCs w:val="24"/>
          <w:highlight w:val="none"/>
          <w:lang w:val="zh-CN" w:eastAsia="zh-CN" w:bidi="ar-SA"/>
        </w:rPr>
        <w:t>供应商如以联合体形式参加政府采购活动的，响应文件的上传和递交由联合体牵头人负责。</w:t>
      </w:r>
    </w:p>
    <w:p>
      <w:pPr>
        <w:autoSpaceDE w:val="0"/>
        <w:autoSpaceDN w:val="0"/>
        <w:ind w:left="0" w:firstLine="482"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二</w:t>
      </w:r>
      <w:r>
        <w:rPr>
          <w:rFonts w:hint="eastAsia" w:ascii="宋体" w:hAnsi="宋体" w:cs="宋体"/>
          <w:b/>
          <w:bCs/>
          <w:color w:val="auto"/>
          <w:sz w:val="24"/>
          <w:szCs w:val="24"/>
          <w:highlight w:val="none"/>
          <w:lang w:val="zh-CN"/>
        </w:rPr>
        <w:t>）磋商响应文件的补充、修改与撤回</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磋商响应人在递交磋商响应文件后，可以修改或撤回其磋商响应文件：递交磋商响应文件截止时间之前补充或者修改电子加密</w:t>
      </w:r>
      <w:r>
        <w:rPr>
          <w:rFonts w:hint="eastAsia" w:ascii="宋体" w:hAnsi="宋体" w:cs="宋体"/>
          <w:color w:val="auto"/>
          <w:sz w:val="24"/>
          <w:szCs w:val="24"/>
          <w:highlight w:val="none"/>
        </w:rPr>
        <w:t>磋商响应</w:t>
      </w:r>
      <w:r>
        <w:rPr>
          <w:rFonts w:hint="eastAsia" w:ascii="宋体" w:hAnsi="宋体" w:cs="宋体"/>
          <w:color w:val="auto"/>
          <w:sz w:val="24"/>
          <w:szCs w:val="24"/>
          <w:highlight w:val="none"/>
          <w:lang w:val="zh-CN"/>
        </w:rPr>
        <w:t xml:space="preserve">文件的，应当先行撤回原文件，补充、修改后重新传输递交； </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磋商响应人修改后的磋商响应文件应按原来的规定编制，标记和递交。</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在递交磋商响应文件截止期之后，磋商响应人不得对其磋商响应文件作任何修改。</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递交磋商响应文件截止期后，磋商响应人不得撤回其磋商响应文件。</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在磋商截止时间之后，供应商不得补充、修改磋商响应文件。</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根据磋商文件规定，在磋商截止时间之后至供应商在报价函中规定的磋商有效期满之前的这段时间内，供应商不得撤回其磋商响应文件。</w:t>
      </w:r>
    </w:p>
    <w:p>
      <w:pPr>
        <w:autoSpaceDE w:val="0"/>
        <w:autoSpaceDN w:val="0"/>
        <w:ind w:left="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三</w:t>
      </w:r>
      <w:r>
        <w:rPr>
          <w:rFonts w:hint="eastAsia" w:ascii="宋体" w:hAnsi="宋体" w:cs="宋体"/>
          <w:color w:val="auto"/>
          <w:sz w:val="24"/>
          <w:szCs w:val="24"/>
          <w:highlight w:val="none"/>
          <w:lang w:val="zh-CN"/>
        </w:rPr>
        <w:t>）磋商响应文件的启用，按先后顺位分别为电子加密磋商响应文件、以邮件形式发送的备份磋商响应文件）。因网络或者其他问题造成电子加密磋商响应文件无法正常解密，才能启用电子备份磋商响应文件。电子备份磋商响应文件一旦启用，则电子加密磋商响应文件失效，不予启用。</w:t>
      </w:r>
    </w:p>
    <w:p>
      <w:pPr>
        <w:numPr>
          <w:ilvl w:val="0"/>
          <w:numId w:val="3"/>
        </w:num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磋商响应文件的备选方案</w:t>
      </w:r>
    </w:p>
    <w:p>
      <w:pPr>
        <w:autoSpaceDE w:val="0"/>
        <w:autoSpaceDN w:val="0"/>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1.磋商响应供应商不得递交任何的磋商响应（备选）方案，否则其磋商响应文件将作</w:t>
      </w:r>
      <w:r>
        <w:rPr>
          <w:rFonts w:hint="eastAsia" w:ascii="宋体" w:hAnsi="宋体" w:cs="宋体"/>
          <w:color w:val="auto"/>
          <w:sz w:val="24"/>
          <w:szCs w:val="24"/>
          <w:highlight w:val="none"/>
          <w:lang w:eastAsia="zh-CN"/>
        </w:rPr>
        <w:t>无效标</w:t>
      </w:r>
      <w:r>
        <w:rPr>
          <w:rFonts w:hint="eastAsia" w:ascii="宋体" w:hAnsi="宋体" w:cs="宋体"/>
          <w:color w:val="auto"/>
          <w:sz w:val="24"/>
          <w:szCs w:val="24"/>
          <w:highlight w:val="none"/>
        </w:rPr>
        <w:t>处理。与“电子加密磋商响应文件”同时生成的“备份磋商响应文件”不是磋商响应备选（替代）方案。</w:t>
      </w:r>
    </w:p>
    <w:p>
      <w:pPr>
        <w:ind w:left="0" w:firstLine="482" w:firstLineChars="20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六、开启磋商响应文件程序</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（一）开启磋商响应形式</w:t>
      </w:r>
    </w:p>
    <w:p>
      <w:pPr>
        <w:ind w:left="0" w:firstLine="480" w:firstLineChars="200"/>
        <w:jc w:val="left"/>
        <w:rPr>
          <w:rFonts w:hint="eastAsia" w:ascii="宋体" w:hAnsi="宋体" w:cs="宋体"/>
          <w:b/>
          <w:color w:val="auto"/>
          <w:sz w:val="28"/>
          <w:szCs w:val="28"/>
          <w:highlight w:val="none"/>
        </w:rPr>
      </w:pPr>
      <w:r>
        <w:rPr>
          <w:rFonts w:hint="eastAsia" w:ascii="宋体" w:hAnsi="宋体" w:cs="宋体"/>
          <w:color w:val="auto"/>
          <w:sz w:val="24"/>
          <w:szCs w:val="24"/>
          <w:highlight w:val="none"/>
        </w:rPr>
        <w:t>1.采购组织机构将按照采购文件规定的时间通过“政府采购云平台”组织开标、开启磋商响应文件，所有磋商供应商均应当准时在线参加。供应商如以联合体形式参加政府采购活动的，参加开标会议的人员由联合体牵头人负责。</w:t>
      </w:r>
    </w:p>
    <w:p>
      <w:pPr>
        <w:ind w:left="0" w:firstLine="482" w:firstLineChars="200"/>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（二）开启磋商响应准备</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highlight w:val="none"/>
        </w:rPr>
        <w:t xml:space="preserve"> </w:t>
      </w:r>
      <w:r>
        <w:rPr>
          <w:rFonts w:hint="eastAsia" w:ascii="宋体" w:hAnsi="宋体" w:cs="宋体"/>
          <w:color w:val="auto"/>
          <w:sz w:val="24"/>
          <w:szCs w:val="24"/>
          <w:highlight w:val="none"/>
        </w:rPr>
        <w:t>开启磋商响应的准备工作由采购组织机构负责落实；</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采购组织机构将按照采购文件规定的时间通过“政府采购云平台”组织开标、开启磋商响应文件，所有供应商均应当准时在线参加。磋商响应供应商如不在线参加开启响应文件的，视同认可开启响应结果，事后不得对采购相关人员、开启响应文</w:t>
      </w:r>
      <w:r>
        <w:rPr>
          <w:rFonts w:hint="eastAsia" w:ascii="宋体" w:hAnsi="宋体" w:cs="宋体"/>
          <w:color w:val="auto"/>
          <w:sz w:val="24"/>
          <w:szCs w:val="24"/>
          <w:highlight w:val="none"/>
          <w:lang w:eastAsia="zh-CN"/>
        </w:rPr>
        <w:t>件的</w:t>
      </w:r>
      <w:r>
        <w:rPr>
          <w:rFonts w:hint="eastAsia" w:ascii="宋体" w:hAnsi="宋体" w:cs="宋体"/>
          <w:color w:val="auto"/>
          <w:sz w:val="24"/>
          <w:szCs w:val="24"/>
          <w:highlight w:val="none"/>
        </w:rPr>
        <w:t>评审过程和评审结果提出异议，同时磋商响应供应商因未在线参加开启响应文件的而导致磋商响应文件无法按时解密等一切后果由供应商自己承担。</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3.开启磋商响应文件流程（两阶段）</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3.1第一阶段</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3.1.1向各磋商响应供应商发出电子加密磋商响应文件【开始解密】通知，由供应商按采购文件规定的时间内自行进行电子加密磋商响应文件解密。磋商供应商在规定的时间内无法完成已递交的“电子加密磋商响应文件”解密的，如已按规定递交了备份磋商响应文件的，将由采购组织机构按“政府采购云平台”操作规范将备份磋商响应文件上传至“政府采购云平台”，上传成功后，“电子加密磋商响应文件”自动失效；</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3.1.2电子加密磋商响应文件解密结束代理机构开启标书信息后，各磋商响应人签署“政府采购活动现场确认声明书”发送至邮箱：719155005@qq.com，如在规定时间（开标结束后30分钟）内未签署“政府采购活动现场确认声明书”的，将视同该磋商响应人已如实确认与采购人以及参加本次采购的其他磋商响应人不存在影响公平竞争的利害关系；</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3.1.3开启磋商响应文件，进入资格审查；</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3.1.4开启资格审查通过的磋商响应供应商的商务技术文件进入符合性审查、商务技术评审；</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备注：开启磋商响应文件的第一阶段结束后，磋商小组将对依法对磋商响应供应商的资格进行审查，资格审查结束后进入符合性审查和商务技术的评审工作，具体见本章节“资格文件”相关内容及规定。</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3.2第二阶段</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3.2.1符合性审查、商务技术评审结束后，开启磋商响应文件的第二阶段。首先公布符合性审查、商务技术评审无效供应商名称及理由；公布经商务技术评审后有效磋商响应供应商的名单。</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3.2.2磋商小组对符合性审查、商务技术评审有效磋商响应供应商的商务技术文件进行评审。</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3.2.3要求所有实质性响应的磋商响应供应商在规定时间内提交最后报价，采购代理机构向各磋商响应供应商发出最终报价文件通知，由磋商响应供应商按采购文件规定的时间内自行填写最终报价加盖签章并上传。</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3.2.3.1最后报价是磋商响应文件的有效组成部分。</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3.2.3.2已提交磋商响应文件的磋商响应供应商，在提交最后报价之前，若因磋商文件实质性变动导致磋商响应供应商无法满足采购需求的，允许磋商响应供应商退出磋商。</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3.2.4公布其商务技术部分得分情况。公布开标一览表有关内容，制作开标记录表，供应商予以确认。（不予确认的应说明理由，否则视为无异议）。</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3.2.5评审结束后，公布成交候选供应商名单，及采购人最终确定成交供应商名单的时间和公告方式等。</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特别说明：如遇“政府采购云平台”电子化开标或磋商程序调整的，按调整后程序执行。</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4.磋商响应供应商资格审查</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4.1开启磋商响应文件第一阶段结束后，磋商小组首先依法对各磋商响应供应商的资格进行审查，审查各磋商响应供应商的资格是否满足采购文件的要求。磋商小组对磋商响应供应商所提交的资格证明材料仅负审核的责任。如发现磋商响应供应商所提交的资格证明材料不合法或与事实不符，采购人可取消其成交资格并追究磋商响应供应商的法律责任。</w:t>
      </w:r>
    </w:p>
    <w:p>
      <w:pPr>
        <w:ind w:left="0" w:firstLine="480" w:firstLineChars="200"/>
        <w:jc w:val="left"/>
        <w:rPr>
          <w:rFonts w:hint="eastAsia" w:ascii="宋体" w:hAnsi="宋体" w:cs="宋体"/>
          <w:b/>
          <w:color w:val="auto"/>
          <w:sz w:val="24"/>
          <w:szCs w:val="24"/>
          <w:highlight w:val="none"/>
        </w:rPr>
      </w:pPr>
      <w:r>
        <w:rPr>
          <w:rFonts w:hint="eastAsia" w:ascii="宋体" w:hAnsi="宋体" w:cs="宋体"/>
          <w:color w:val="auto"/>
          <w:sz w:val="24"/>
          <w:szCs w:val="24"/>
          <w:highlight w:val="none"/>
        </w:rPr>
        <w:t>4.2磋商响应供应商提交的资格证明材料无法证明其符合采购文件规定的“磋商响应供应商资格要求”的，磋商小组将对其作资格审查不通过处理（无效磋商响应），不再后续磋商。</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七、磋商</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（一）磋商小组</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1.磋商小组由采购人代表和评审专家共3人单数组成，其中评审专家人数不少于磋商小组成员总数的2/3。评审专家从政采云平台相关专业自行抽取。</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2.磋商小组的职责</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2.1磋商小组负责具体磋商事务，并独立履行下列职责：</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2.1.1审查、评价磋商响应文件是否符合采购文件的商务、技术等实质性要求；</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2.1.2要求磋商响应人对磋商响应文件有关事项作出澄清或者说明；</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2.1.3对磋商响应文件进行比较和评价；</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2.1.4确定成交候选人名单，以及根据采购人委托直接确定成交人；</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2.1.5向采购人、采购代理机构或者有关部门报告磋商中发现的违法行为。</w:t>
      </w:r>
    </w:p>
    <w:p>
      <w:pPr>
        <w:pStyle w:val="8"/>
        <w:ind w:left="0"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（二）磋商原则</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1.磋商小组成员应当按照客观、公正、审慎的原则，根据磋商文件规定的评审程序、评 审方法和评审标准进行独立评审。</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2.客观、公正地对待所有供应商，对所有供应商均采用相同的程序和标准，依据磋商评审程序进行。</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3.在磋商期间，供应商不得向磋商小组成员询问与其无关的磋商情况，不得进行旨在影响磋商结果的活动，否则将取消其磋商资格。</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4.在磋商过程中，评审专家不得与供应商私下交换意见，在竞争性磋商工作结束后，评审专家或知情者应严格保密，不得将磋商评审情况告诉与之无关的人（包括供应商）。</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5.在磋商和评定中标供应商的过程中，如有供应商联合故意抬高报价或其他不正当行为，采购人有权终止磋商。</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6.采购人不向未中标供应商解释原因，不退还响应文件，不符合密封、装订要求而被拒绝的响应文件除外。</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（三）磋商工作将依据采购文件、磋商响应文件及采购文件中事先已列明的内容进行。</w:t>
      </w:r>
    </w:p>
    <w:p>
      <w:pPr>
        <w:pStyle w:val="8"/>
        <w:ind w:left="0"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（四）磋商意见的争议处理</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1.磋商小组成员对需要共同认定的事项存在争议的，按照少数服从多数的原则作出结论。持不同意见的磋商小组成员应当在评审报告上签署不同意见及理由，否则视为同意评审报告。</w:t>
      </w:r>
    </w:p>
    <w:p>
      <w:pPr>
        <w:pStyle w:val="8"/>
        <w:ind w:left="0"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（五）磋商小组纪律</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1.磋商小组成员必须严格遵守保密规定，不得泄露磋商的有关情况，任何单位和个人不得干扰、影响评标的正常进行，磋商小组成员不得私下与磋商响应供应商接触，不得出现浙江省政府采购活动现场组织管理办法中规定的其他禁止行为。</w:t>
      </w:r>
    </w:p>
    <w:p>
      <w:pPr>
        <w:pStyle w:val="8"/>
        <w:ind w:left="0"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（六）磋商流程及内容</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本项目具体的磋商事务由磋商小组负责，磋商流程及内容如下：</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1.磋商前准备</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1.1由磋商小组成员推选磋商小组组长，采购人代表不得担任磋商小组组长。</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1.2由磋商小组组长召集所有磋商小组成员阅读采购文件及相关补充、质疑、答复文件、项目书面说明等材料，熟悉采购项目基本情况、采购需求、合同主要条款、磋商响应文件无效情形、磋商办法、磋商标准，以及其他与磋商有关的内容。</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2.磋商响应文件的符合性审查</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对所有通过资格审查的磋商响应供应商的响应文件进行审查、评价响应文件是否符合采购文件的商务、技术、服务等实质性要求。</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2.1磋商小组首先对所有通过资格审查的响应文件进行符合性审查，审查每份响应文件是否实质上响应了采购文件的要求（实质性响应的文件是指响应文件符合采购文件规定的实质性内容、条件和规定）。</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3.响应文件的澄清、说明或补正</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3.1对于响应文件中含义不明确、同类问题表述不一致或者有明显文字和计算错误的内容，将以书面形式（或通过“政府采购云平台”在线询标）的形式要求磋商响应供应商在规定的时间内作出必要的澄清、说明或者补正，磋商响应供应商澄清、说明或补正时间为30分钟。</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3.2磋商响应供应商的澄清、说明或者补正应当采用书面（或通过“政府采购云平台”在线答复）形式提交，并加盖公章。磋商响应供应商的澄清、说明或者补正不得超出磋商响应文件的范围或者改变磋商响应文件的实质性内容。</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4.磋商响应文件的错误修正</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4.1《磋商响应文件》如果出现计算或表达上的错误，修正错误的原则如下：</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4.1.1电子交易平台生成的开标记录表内容与响应文件中相应内容不一致的，以上传的响应文件中的内容为准（出现万元或元单位错误时，以供应商澄清确认后的合理报价为准）；</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4.1.2《磋商响应文件》的大写金额和小写金额不一致的，以大写金额为准；</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4.1.3单价金额小数点或者百分比有明显错位的，应以开标一览表（报价表）的总价为准，并修改单价；</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4.1.4总价金额与按单价汇总金额不一致的，以单价金额计算结果为准。</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4.2同时出现两种以上不一致的，按照前款规定的顺序修正。评审小组应当通过电子交易平台要求供应商对修正后的报价予以确认并对供应商产生约束力。供应商不接受修正或在规定的时间内不予确认的，其响应无效。</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4.3对不同文字文本《磋商响应文件》的解释发生异议的，以中文文本为准。</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5.磋商响应文件有下列情况之一者将视为无效：</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5.1在磋商开始前，评审小组应对“</w:t>
      </w:r>
      <w:r>
        <w:rPr>
          <w:rFonts w:hint="eastAsia" w:hAnsi="宋体" w:cs="宋体"/>
          <w:b/>
          <w:bCs/>
          <w:color w:val="auto"/>
          <w:sz w:val="24"/>
          <w:szCs w:val="24"/>
          <w:highlight w:val="none"/>
        </w:rPr>
        <w:t>资格证明文件</w:t>
      </w:r>
      <w:r>
        <w:rPr>
          <w:rFonts w:hint="eastAsia" w:hAnsi="宋体" w:cs="宋体"/>
          <w:color w:val="auto"/>
          <w:sz w:val="24"/>
          <w:szCs w:val="24"/>
          <w:highlight w:val="none"/>
        </w:rPr>
        <w:t>”进行对磋商响应人的资格进行审查，如发现下列情形之一的，磋商响应文件将被视为无效，不再进行下一步评审：</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5.1.1资格文件不全的，或者不符合磋商文件标明的资格要求的（见资格审查资料要求）；</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5.1.2自公告发布之日起至磋商截止日内在“信用中国网” </w:t>
      </w:r>
      <w:r>
        <w:rPr>
          <w:rFonts w:hint="eastAsia" w:hAnsi="宋体" w:cs="宋体"/>
          <w:color w:val="auto"/>
          <w:sz w:val="24"/>
          <w:szCs w:val="24"/>
          <w:highlight w:val="none"/>
          <w:lang w:eastAsia="zh-CN"/>
        </w:rPr>
        <w:t>（</w:t>
      </w:r>
      <w:r>
        <w:rPr>
          <w:rFonts w:hint="eastAsia" w:hAnsi="宋体" w:cs="宋体"/>
          <w:color w:val="auto"/>
          <w:sz w:val="24"/>
          <w:szCs w:val="24"/>
          <w:highlight w:val="none"/>
        </w:rPr>
        <w:t>www.creditchina.gov.cn）被列入失信被执行人、重大税收违法当事人名单的供应商，资格审查时不予以通过；</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5.1.3自公告发布之日起至磋商截止日内在“中国政府采购网”（www.ccgp.gov.cn）被列入政府采购严重违法失信行为记录名单的供应商，资格审查时不予以通过。</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5.1.4未按磋商文件要求盖章、签字的；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5.1.5仅提交“备份响应文件”的；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5.1.6响应文件内容虚假的；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5.1.7电子磋商响应文件解密失败的，且未在规定时间内提交备份磋商响应文件的；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5.1.8未响应磋商文件规定的其他实质性要求（磋商小组一致认定）的；</w:t>
      </w:r>
    </w:p>
    <w:p>
      <w:pPr>
        <w:pStyle w:val="8"/>
        <w:ind w:left="0" w:firstLine="480" w:firstLineChars="200"/>
        <w:rPr>
          <w:rFonts w:hAnsi="宋体" w:cs="宋体"/>
          <w:color w:val="auto"/>
          <w:sz w:val="24"/>
          <w:szCs w:val="24"/>
          <w:highlight w:val="none"/>
        </w:rPr>
      </w:pPr>
      <w:r>
        <w:rPr>
          <w:rFonts w:hint="eastAsia" w:hAnsi="宋体" w:cs="宋体"/>
          <w:color w:val="auto"/>
          <w:sz w:val="24"/>
          <w:szCs w:val="24"/>
          <w:highlight w:val="none"/>
        </w:rPr>
        <w:t>5.1.9法律法规、规章及省级以上规范性文件等规定的其他情形。</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5.2在对</w:t>
      </w:r>
      <w:r>
        <w:rPr>
          <w:rFonts w:hint="eastAsia" w:hAnsi="宋体" w:cs="宋体"/>
          <w:b/>
          <w:bCs/>
          <w:color w:val="auto"/>
          <w:sz w:val="24"/>
          <w:szCs w:val="24"/>
          <w:highlight w:val="none"/>
        </w:rPr>
        <w:t>“符合性评审”</w:t>
      </w:r>
      <w:r>
        <w:rPr>
          <w:rFonts w:hint="eastAsia" w:hAnsi="宋体" w:cs="宋体"/>
          <w:color w:val="auto"/>
          <w:sz w:val="24"/>
          <w:szCs w:val="24"/>
          <w:highlight w:val="none"/>
        </w:rPr>
        <w:t>时，如发现下列情形之一的，磋商响应文件将被视为无效：</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5.2.1未按磋商文件要求盖章、签字的；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5.1.2仅提交“备份响应文件”的；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5.2.3磋商响应文件没有对本采购文件作出实质性响应的，或不满足（不响应）本采购文件中标注“▲”的实质性要求条款的，或存在采购文件中明确规定的其他无效标情形的；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5.2.4磋商响应文件存在一个或一个以上备选（替代）磋商响应方案的；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5.2.5磋商响应文件载明的磋商有效期、付款方式、服务期等商务条款不能满足磋商文件要求的；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5.2.6磋商响应文件有采购人不能接受的附加条件的；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5.2.7响应文件内容虚假的；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5.2.8与其他参加本次磋商的供应商的磋商响应文件（技术部分）的文字表述内容相同连续20行以上或者差错相同2处以上的。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5.2.9电子磋商响应文件解密失败的，且未在规定时间内提交备份磋商响应文件的；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5.2.10未响应磋商文件规定的其他实质性要求（磋商小组一致认定）的；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5.2.11法律法规、规章及省级以上规范性文件等规定的其他情形。 </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5.3在</w:t>
      </w:r>
      <w:r>
        <w:rPr>
          <w:rFonts w:hint="eastAsia" w:hAnsi="宋体" w:cs="宋体"/>
          <w:b/>
          <w:bCs/>
          <w:color w:val="auto"/>
          <w:sz w:val="24"/>
          <w:szCs w:val="24"/>
          <w:highlight w:val="none"/>
        </w:rPr>
        <w:t>报价评审</w:t>
      </w:r>
      <w:r>
        <w:rPr>
          <w:rFonts w:hint="eastAsia" w:hAnsi="宋体" w:cs="宋体"/>
          <w:color w:val="auto"/>
          <w:sz w:val="24"/>
          <w:szCs w:val="24"/>
          <w:highlight w:val="none"/>
        </w:rPr>
        <w:t>时，如发现下列情形之一的，磋商响应文件将被视为无效：</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5.3.1磋商响应文件没有对本采购文件作出实质性响应的，或不满足（不响应）本采购文件中标注“▲”的实质性要求条款的，或存在采购文件中明确规定的其他无效标情形的；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5.3.2未在政采云系统规定时间内提交最终报价的；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5.3.3未按磋商文件标明的要求报价的；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5.3.4报价超出本项目最高限价的；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5.3.5供应商提交两份或两份以上内容不同的报价文件，或在一份报价文件中对同一采购项目有两个或两个以上报价的；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5.3.6符合报价修正原则，不接受报价修正的；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5.3.7未按磋商文件要求盖章、签字的；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5.3.8磋商响应文件有采购人不能接受的附加条件的；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5.3.9电子磋商响应文件解密失败的，且未在规定时间内提交备份磋商响应文件的；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5.3.10未响应磋商文件规定的其他实质性要求（磋商小组一致认定）的；</w:t>
      </w:r>
    </w:p>
    <w:p>
      <w:pPr>
        <w:pStyle w:val="8"/>
        <w:ind w:left="0" w:firstLine="480" w:firstLineChars="200"/>
        <w:rPr>
          <w:rFonts w:hint="eastAsia" w:hAnsi="宋体" w:cs="宋体"/>
          <w:color w:val="auto"/>
          <w:spacing w:val="11"/>
          <w:sz w:val="24"/>
          <w:szCs w:val="24"/>
          <w:highlight w:val="none"/>
        </w:rPr>
      </w:pPr>
      <w:r>
        <w:rPr>
          <w:rFonts w:hint="eastAsia" w:hAnsi="宋体" w:cs="宋体"/>
          <w:color w:val="auto"/>
          <w:sz w:val="24"/>
          <w:szCs w:val="24"/>
          <w:highlight w:val="none"/>
        </w:rPr>
        <w:t>5.3.11法律法规、规章及省级以上规范性文件等规定的其他情形。</w:t>
      </w:r>
    </w:p>
    <w:p>
      <w:pPr>
        <w:pStyle w:val="8"/>
        <w:ind w:left="0"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6、恶意串标</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有下列情形之一的，属于恶意串通：</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6.1供应商直接或者间接从采购人或者采购代理机构处获得其他供应商的相关情况并修改其投标文件或者响应文件；</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6.2供应商按照采购人或者采购代理机构的授意撤换、修改投标文件或者响应文件；</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6.3供应商之间协商报价、技术方案等投标文件或者响应文件的实质性内容；</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6.4属于同一集团、协会、商会等组织成员的供应商按照该组织要求协同参加政府采购活动；</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6.5供应商之间事先约定由某一特定供应商中标、成交；</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6.6供应商之间商定部分供应商放弃参加政府采购活动或者放弃中标、成交；</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6.7供应商与采购人或者采购代理机构之间、供应商相互之间，为谋求特定供应商中标、成交或者排斥其他供应商的其他串通行为。</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7.串标</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有下列情形之一的，视为投标人串通投标，其投标无效：</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7.1不同投标人的磋商响应文件由同一单位或者个人编制；</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7.2不同磋商响应人委托同一单位或者个人办理投标事宜；</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7.3不同磋商响应人的磋商响应文件载明的项目管理成员或者联系人员为同一人；</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7.4不同磋商响应人的磋商响应文件异常一致或者投标报价呈规律性差异；</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7.5不同磋商响应人的磋商响应文件相互混装；</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7.6不同磋商响应人磋商响应的IP地址一致或不同磋商响应文件制作的MAC地址一致。</w:t>
      </w:r>
    </w:p>
    <w:p>
      <w:pPr>
        <w:pStyle w:val="8"/>
        <w:ind w:left="0"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（七）磋商响应文件的评估、比较、评分</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1.磋商小组应当按照采购文件中规定的磋商方法和标准，对符合性审查合格的磋商响应文件进行商务和技术评估，综合比较与评价。评标时，磋商小组各成员将独立对每个磋商响应人的磋商响应文件进行评价，并汇总每个磋商响应人的得分。</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2.对采购组织机构工作人员汇总的磋商结果进行确认。如发现分值汇总计算错误、分项评分超出评分标准范围、客观评分不一致以及存在畸高、畸低情形的，磋商小组组长（磋商小组主任委员）应提醒相关磋商人员当场改正或书面说明理由，拒不改正又不作书面说明的，由现场监督员如实记载后存入项目档案资料。</w:t>
      </w:r>
    </w:p>
    <w:p>
      <w:pPr>
        <w:pStyle w:val="8"/>
        <w:ind w:left="0" w:firstLine="526" w:firstLineChars="200"/>
        <w:rPr>
          <w:rFonts w:hint="eastAsia" w:hAnsi="宋体" w:cs="宋体"/>
          <w:color w:val="auto"/>
          <w:spacing w:val="11"/>
          <w:sz w:val="24"/>
          <w:szCs w:val="24"/>
          <w:highlight w:val="none"/>
        </w:rPr>
      </w:pPr>
      <w:r>
        <w:rPr>
          <w:rFonts w:hint="eastAsia" w:hAnsi="宋体" w:cs="宋体"/>
          <w:b/>
          <w:bCs/>
          <w:color w:val="auto"/>
          <w:spacing w:val="11"/>
          <w:sz w:val="24"/>
          <w:szCs w:val="24"/>
          <w:highlight w:val="none"/>
        </w:rPr>
        <w:t>（八）磋商过程的保密</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2.在磋商响应文件的评判和比较、成交候选供应商推荐以及授予合同的过程中，供应商向采购人、采购代理机构和磋商小组施加影响的任何行为，都将会导致其磋商被拒绝。</w:t>
      </w:r>
    </w:p>
    <w:p>
      <w:pPr>
        <w:pStyle w:val="8"/>
        <w:ind w:left="0" w:firstLine="480" w:firstLineChars="200"/>
        <w:rPr>
          <w:rFonts w:hint="eastAsia" w:hAnsi="宋体" w:cs="宋体"/>
          <w:color w:val="auto"/>
          <w:spacing w:val="11"/>
          <w:sz w:val="24"/>
          <w:szCs w:val="24"/>
          <w:highlight w:val="none"/>
        </w:rPr>
      </w:pPr>
      <w:r>
        <w:rPr>
          <w:rFonts w:hint="eastAsia" w:hAnsi="宋体" w:cs="宋体"/>
          <w:color w:val="auto"/>
          <w:sz w:val="24"/>
          <w:szCs w:val="24"/>
          <w:highlight w:val="none"/>
        </w:rPr>
        <w:t>3.磋商小组分别与各供应商进行商务、技术及价格在线磋商，在磋商过程中，磋商小组成员不得透露其他供应商的磋商信息，严守商业秘密。</w:t>
      </w:r>
    </w:p>
    <w:p>
      <w:pPr>
        <w:pStyle w:val="8"/>
        <w:ind w:left="0" w:firstLine="526" w:firstLineChars="200"/>
        <w:rPr>
          <w:rFonts w:hint="eastAsia" w:hAnsi="宋体" w:cs="宋体"/>
          <w:b/>
          <w:bCs/>
          <w:color w:val="auto"/>
          <w:spacing w:val="11"/>
          <w:sz w:val="24"/>
          <w:szCs w:val="24"/>
          <w:highlight w:val="none"/>
        </w:rPr>
      </w:pPr>
      <w:r>
        <w:rPr>
          <w:rFonts w:hint="eastAsia" w:hAnsi="宋体" w:cs="宋体"/>
          <w:b/>
          <w:bCs/>
          <w:color w:val="auto"/>
          <w:spacing w:val="11"/>
          <w:sz w:val="24"/>
          <w:szCs w:val="24"/>
          <w:highlight w:val="none"/>
        </w:rPr>
        <w:t>（九）在磋商中，出现下列情形之一的，磋商小组可以宣布磋商失败：</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1.符合专业条件的供应商或者对磋商文件作实质响应的供应商不足三家的（特殊情况按政府采购竞争性磋商采购方式管理暂行办法除外）；</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2.出现影响采购公正的违法、违规行为的；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3.因情况变化，不再符合规定的竞争性磋商采购方式适用情形的；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4.磋商供应商的报价均超过最高限价的，采购人不能支付的；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5.因重大变故，采购任务取消的；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6.法律法规、规章等规定的其他情形。</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废标后，采购人将废标理由通知所有供应商。</w:t>
      </w:r>
    </w:p>
    <w:p>
      <w:pPr>
        <w:pStyle w:val="8"/>
        <w:ind w:left="0" w:firstLine="526" w:firstLineChars="200"/>
        <w:rPr>
          <w:rFonts w:hint="eastAsia" w:hAnsi="宋体" w:cs="宋体"/>
          <w:b/>
          <w:bCs/>
          <w:color w:val="auto"/>
          <w:spacing w:val="11"/>
          <w:sz w:val="24"/>
          <w:szCs w:val="24"/>
          <w:highlight w:val="none"/>
        </w:rPr>
      </w:pPr>
      <w:r>
        <w:rPr>
          <w:rFonts w:hint="eastAsia" w:hAnsi="宋体" w:cs="宋体"/>
          <w:b/>
          <w:bCs/>
          <w:color w:val="auto"/>
          <w:spacing w:val="11"/>
          <w:sz w:val="24"/>
          <w:szCs w:val="24"/>
          <w:highlight w:val="none"/>
        </w:rPr>
        <w:t>（十）可终止电子交易活动的情形</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采购过程中出现以下情形，导致电子交易平台无法正常运行，或者无法保证电子交易的公平、公正和安全时，采购组织机构可终止电子交易活动：</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1.电子交易平台发生故障而无法登录访问的；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2.电子交易平台应用或数据库出现错误，不能进行正常操作的；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3.电子交易平台发现严重安全漏洞，有潜在泄密危险的；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4.病毒发作导致不能进行正常操作的；</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5.其他无法保证电子交易的公平、公正和安全的情况。</w:t>
      </w:r>
    </w:p>
    <w:p>
      <w:pPr>
        <w:pStyle w:val="8"/>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出现前款规定情形，不影响采购公平、公正性的，采购组织机构可以待上述情形消除后继续组织电子交易活动；影响或可能影响采购公平、公正性的，应当重新采购。 </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八、定标</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（一）确定成交供应商</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1.在全部满足竞争性磋商文件实质性要求的前提下，按综合得分高低确定成交供应商。</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2.采购代理机构在磋商结束后2个工作日内将磋商评审报告交采购人确认。</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3.采购人应当在收到评审报告之日起5个工作日内，按照评审报告中推荐的排列顺序依法确定成交供应商。</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替补候选人的设定与使用：第一成交候选供应商放弃成交或者因不可抗力提出不能履行合同；或者应当提交履约保证金而在规定的期限内未能提交的；或未能在规定时间内与采购人签订合同的；或者经质疑，采购人审查后，确认因成交候选供应商在本次采购活动中存在违法违规行为或其他原因使质疑成立的，采购人可以按照磋商评审报告推荐的成交候选供应商名单排列，确定下一候选人为成交供应商，也可以重新开展政府采购活动。</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5.采购代理机构应当在收到采购人书面确定的成交供应商通知后将成交结果在原发布竞争性磋商公告的媒体上予以公告。公告期按有关规定执行。</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（二）成交通知书</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1.采购单位将以书面形式发出成交通知书并同时通知落标人。</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2.成交通知书为双方签订合同的依据。</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3.成交供应商根据成交通知书中规定的时间内，由法定代表人或其授权代理人与采购单位签订书面合同。</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九、合同授予</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（一）授予合同的依据</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1.采购单位签发的成交通知书。</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2.磋商文件、磋商文件的修改及补充通知（函）。</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3.磋商响应文件和磋商时供应商作出的书面澄清、说明、纠正、承诺等。</w:t>
      </w:r>
    </w:p>
    <w:p>
      <w:pPr>
        <w:ind w:left="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（二）签订合同</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1.采购单位与成交供应商应当在成交通知书发出之日起30日内签订合同。同时，采购代理机构对合同内容进行审查，如发现成交结果和磋商承诺内容不一致的，应予以纠正。</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2.成交供应商有拖延、拒签合同的或有弄虚作假情况的，将被取消成交资格，给采购单位造成的损失应予以赔偿，同时采购单位可以与排位在成交供应商之后下一成交候选供应商签订合同，以此类推。</w:t>
      </w:r>
    </w:p>
    <w:p>
      <w:pPr>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3.采购单位如不与成交供应商订立合同，或者采购单位、成交供应商订立背离合同实质性内容的协议，由政府有关部门责令改正，同时依法承担相应法律责任。</w:t>
      </w:r>
    </w:p>
    <w:p>
      <w:pPr>
        <w:ind w:lef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4.签订合同之日起2个工作日内，采购人或采购代理机构应及时在政采云平台进行合同备案。</w:t>
      </w:r>
    </w:p>
    <w:p>
      <w:pPr>
        <w:ind w:left="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十、其他</w:t>
      </w:r>
    </w:p>
    <w:p>
      <w:p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本磋商文件解释权归采购人。</w:t>
      </w:r>
    </w:p>
    <w:p>
      <w:pPr>
        <w:ind w:left="0" w:firstLine="0"/>
        <w:jc w:val="center"/>
        <w:rPr>
          <w:rFonts w:hint="eastAsia" w:ascii="宋体" w:hAnsi="宋体" w:cs="宋体"/>
          <w:b/>
          <w:color w:val="auto"/>
          <w:sz w:val="32"/>
          <w:szCs w:val="32"/>
          <w:highlight w:val="none"/>
        </w:rPr>
        <w:sectPr>
          <w:footerReference r:id="rId9" w:type="default"/>
          <w:pgSz w:w="11900" w:h="16840"/>
          <w:pgMar w:top="1440" w:right="1128" w:bottom="1701" w:left="1276" w:header="510" w:footer="510" w:gutter="0"/>
          <w:pgNumType w:start="1"/>
          <w:cols w:space="720" w:num="1"/>
          <w:docGrid w:linePitch="360" w:charSpace="0"/>
        </w:sectPr>
      </w:pPr>
      <w:bookmarkStart w:id="86" w:name="_Toc477171610"/>
      <w:bookmarkStart w:id="87" w:name="_Toc356371443"/>
      <w:bookmarkStart w:id="88" w:name="_Toc322352983"/>
      <w:bookmarkStart w:id="89" w:name="_Toc499984969"/>
      <w:bookmarkStart w:id="90" w:name="_Toc493411134"/>
      <w:bookmarkStart w:id="91" w:name="_Toc493362977"/>
      <w:bookmarkStart w:id="92" w:name="_Toc457934637"/>
      <w:bookmarkStart w:id="93" w:name="_Toc354491897"/>
    </w:p>
    <w:p>
      <w:pPr>
        <w:pStyle w:val="3"/>
        <w:spacing w:before="240" w:beforeLines="100" w:after="120" w:afterLines="50" w:line="0" w:lineRule="atLeast"/>
        <w:ind w:left="0" w:firstLine="0"/>
        <w:jc w:val="center"/>
        <w:rPr>
          <w:rFonts w:hint="eastAsia" w:ascii="宋体" w:hAnsi="宋体" w:cs="宋体"/>
          <w:color w:val="auto"/>
          <w:szCs w:val="32"/>
          <w:highlight w:val="none"/>
        </w:rPr>
      </w:pPr>
      <w:bookmarkStart w:id="94" w:name="_Toc5543947"/>
      <w:bookmarkStart w:id="95" w:name="_Toc5186986"/>
      <w:bookmarkStart w:id="96" w:name="_Toc51872085"/>
      <w:bookmarkStart w:id="97" w:name="_Toc5543927"/>
      <w:bookmarkStart w:id="98" w:name="_Toc26002"/>
      <w:bookmarkStart w:id="99" w:name="_Toc9777578"/>
      <w:bookmarkStart w:id="100" w:name="_Toc30883"/>
      <w:r>
        <w:rPr>
          <w:rFonts w:hint="eastAsia" w:ascii="宋体" w:hAnsi="宋体" w:cs="宋体"/>
          <w:color w:val="auto"/>
          <w:szCs w:val="32"/>
          <w:highlight w:val="none"/>
        </w:rPr>
        <w:t>第三章  采购内容及要求</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Start w:id="101" w:name="_Toc356371448"/>
      <w:bookmarkStart w:id="102" w:name="_Toc457934638"/>
      <w:bookmarkStart w:id="103" w:name="_Toc505453233"/>
      <w:bookmarkStart w:id="104" w:name="_Toc477171618"/>
      <w:bookmarkStart w:id="105" w:name="_Toc493411135"/>
      <w:bookmarkStart w:id="106" w:name="_Toc493362978"/>
      <w:bookmarkStart w:id="107" w:name="_Toc499985102"/>
    </w:p>
    <w:bookmarkEnd w:id="101"/>
    <w:bookmarkEnd w:id="102"/>
    <w:bookmarkEnd w:id="103"/>
    <w:bookmarkEnd w:id="104"/>
    <w:bookmarkEnd w:id="105"/>
    <w:bookmarkEnd w:id="106"/>
    <w:bookmarkEnd w:id="107"/>
    <w:p>
      <w:pPr>
        <w:widowControl/>
        <w:shd w:val="clear" w:color="auto" w:fill="FFFFFF"/>
        <w:ind w:left="0" w:firstLine="482" w:firstLineChars="200"/>
        <w:jc w:val="left"/>
        <w:rPr>
          <w:rFonts w:hint="eastAsia" w:ascii="宋体" w:hAnsi="宋体" w:cs="宋体"/>
          <w:b/>
          <w:bCs/>
          <w:color w:val="auto"/>
          <w:kern w:val="0"/>
          <w:sz w:val="24"/>
          <w:highlight w:val="none"/>
        </w:rPr>
      </w:pPr>
      <w:bookmarkStart w:id="108" w:name="_Toc7539"/>
      <w:bookmarkStart w:id="109" w:name="_Toc5543929"/>
      <w:bookmarkStart w:id="110" w:name="_Toc9777610"/>
      <w:bookmarkStart w:id="111" w:name="_Toc5543953"/>
      <w:r>
        <w:rPr>
          <w:rFonts w:hint="eastAsia" w:ascii="宋体" w:hAnsi="宋体" w:cs="宋体"/>
          <w:b/>
          <w:bCs/>
          <w:color w:val="auto"/>
          <w:kern w:val="0"/>
          <w:sz w:val="24"/>
          <w:highlight w:val="none"/>
        </w:rPr>
        <w:t>一、项目概况</w:t>
      </w:r>
    </w:p>
    <w:p>
      <w:pPr>
        <w:ind w:left="0" w:leftChars="0" w:firstLine="480" w:firstLineChars="200"/>
        <w:rPr>
          <w:rFonts w:hint="eastAsia" w:ascii="宋体" w:hAnsi="宋体" w:eastAsia="宋体" w:cs="宋体"/>
          <w:color w:val="auto"/>
          <w:sz w:val="24"/>
          <w:szCs w:val="24"/>
          <w:highlight w:val="none"/>
          <w:lang w:val="en-US" w:eastAsia="zh-CN"/>
        </w:rPr>
      </w:pPr>
      <w:bookmarkStart w:id="112" w:name="_Toc51872088"/>
      <w:r>
        <w:rPr>
          <w:rFonts w:hint="eastAsia" w:ascii="宋体" w:hAnsi="宋体" w:eastAsia="宋体" w:cs="宋体"/>
          <w:color w:val="auto"/>
          <w:sz w:val="24"/>
          <w:szCs w:val="24"/>
          <w:highlight w:val="none"/>
          <w:lang w:val="en-US" w:eastAsia="zh-CN"/>
        </w:rPr>
        <w:t>为深入贯彻落实习近平总书记文化思想，用两个“结合”来弘扬传承古琴文化，在守护传统的同时促进时代新作的诞生，激励更多更优秀的古琴新作品的创作，拟举办2024“宋韵儒风 南孔琴韵”第三届“敦煌杯”古琴室内乐新作品展演系列活动以及子活动“琴祭孔子”古琴名家走进衢州孔庙音乐会。</w:t>
      </w:r>
    </w:p>
    <w:p>
      <w:pPr>
        <w:widowControl/>
        <w:shd w:val="clear" w:color="auto" w:fill="FFFFFF"/>
        <w:ind w:left="0" w:firstLine="482" w:firstLineChars="200"/>
        <w:jc w:val="left"/>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二、项目实施效果</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1.高水平的古琴室内乐新作品集中演绎，为衢州观众呈现一场富有高雅艺术魅力的音乐盛宴。</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2.通过高水平活动的承办，激励业界创作更多跟衢州、孔子相关的优秀曲目，更好地宣传推介衢州。</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3.衢州古琴文化源远流长，通过全国性的展演活动，弘扬传承衢州古琴文化，助力衢州文化高地建设。</w:t>
      </w:r>
    </w:p>
    <w:p>
      <w:pPr>
        <w:ind w:left="0"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三、采购内容及要求</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策划组织实施2024“宋韵儒风 南孔琴韵”第三届“敦煌杯”古琴室内乐新作品展演活动，包括活动策划、执行、宣传等。</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（一）活动一：2024“宋韵儒风 南孔琴韵”第三届“敦煌杯”古琴室内乐新作品展演活动</w:t>
      </w:r>
    </w:p>
    <w:p>
      <w:pPr>
        <w:pStyle w:val="6"/>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1.时间、地点（</w:t>
      </w:r>
      <w:r>
        <w:rPr>
          <w:rFonts w:hint="eastAsia" w:ascii="宋体" w:hAnsi="宋体" w:eastAsia="宋体" w:cs="宋体"/>
          <w:color w:val="auto"/>
          <w:kern w:val="2"/>
          <w:sz w:val="24"/>
          <w:szCs w:val="24"/>
          <w:highlight w:val="none"/>
          <w:lang w:val="en-US" w:eastAsia="zh-CN" w:bidi="ar-SA"/>
        </w:rPr>
        <w:t>具体时间以及地点需与采购人确认</w:t>
      </w:r>
      <w:r>
        <w:rPr>
          <w:rFonts w:hint="eastAsia" w:ascii="宋体" w:hAnsi="宋体" w:eastAsia="宋体" w:cs="宋体"/>
          <w:color w:val="auto"/>
          <w:sz w:val="24"/>
          <w:szCs w:val="24"/>
          <w:highlight w:val="none"/>
          <w:lang w:val="en-US" w:eastAsia="zh-CN"/>
        </w:rPr>
        <w:t>）</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发布时间：</w:t>
      </w:r>
      <w:r>
        <w:rPr>
          <w:rFonts w:hint="eastAsia" w:hAnsi="宋体" w:cs="宋体"/>
          <w:bCs/>
          <w:color w:val="auto"/>
          <w:sz w:val="24"/>
          <w:highlight w:val="none"/>
        </w:rPr>
        <w:t>合同签订后</w:t>
      </w:r>
      <w:r>
        <w:rPr>
          <w:rFonts w:hint="eastAsia" w:ascii="宋体" w:hAnsi="宋体" w:eastAsia="宋体" w:cs="宋体"/>
          <w:color w:val="auto"/>
          <w:sz w:val="24"/>
          <w:szCs w:val="24"/>
          <w:highlight w:val="none"/>
          <w:lang w:val="en-US" w:eastAsia="zh-CN"/>
        </w:rPr>
        <w:t>发布比赛启事</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初评时间：2024年10月</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复评、终评时间：2024年11月中下旬</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复评终评及展演地点：衢州保利大剧院小剧场</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活动面向全球征集高水准古琴新作品的专业作曲，全国十一大音乐学院推选，要求专门以古琴为独奏或主奏乐器进行新创作并展演，题材创作倡议以孔子为主题。择取不同体裁，具有代表性的优秀获奖作品在衢州进行公演。</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（二）活动二：“琴祭孔子”古琴名家走进衢州孔庙音乐会</w:t>
      </w:r>
    </w:p>
    <w:p>
      <w:pPr>
        <w:pStyle w:val="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1.时间、地点（</w:t>
      </w:r>
      <w:r>
        <w:rPr>
          <w:rFonts w:hint="eastAsia" w:ascii="宋体" w:hAnsi="宋体" w:eastAsia="宋体" w:cs="宋体"/>
          <w:color w:val="auto"/>
          <w:kern w:val="2"/>
          <w:sz w:val="24"/>
          <w:szCs w:val="24"/>
          <w:highlight w:val="none"/>
          <w:lang w:val="en-US" w:eastAsia="zh-CN" w:bidi="ar-SA"/>
        </w:rPr>
        <w:t>具体时间以及地点需与采购人确认</w:t>
      </w:r>
      <w:r>
        <w:rPr>
          <w:rFonts w:hint="eastAsia" w:ascii="宋体" w:hAnsi="宋体" w:eastAsia="宋体" w:cs="宋体"/>
          <w:color w:val="auto"/>
          <w:sz w:val="24"/>
          <w:szCs w:val="24"/>
          <w:highlight w:val="none"/>
          <w:lang w:val="en-US" w:eastAsia="zh-CN"/>
        </w:rPr>
        <w:t>）</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时间：2024年9月27日晚</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地点：衢州孔府后花园</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纪念孔子诞辰2575周年之际，作为2024南孔文化季一项重要活动，古琴名家走进衢州孔氏南孔家庙，弹奏传世古琴“清流戛玉”，邀请参加祭孔的嘉宾聆听，借丝竹之音传颂孔子思想。演奏曲目从衢州历史上有关的曲目中选择。</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3.媒体宣传：包括但不仅限于央视频、国琴直播平台网上进行视频直播。</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（三）具体要求包括但不限于以下内容：</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1.场地布置（包含舞台搭建、灯光、舞美、音响等）</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2.配备专业团队策划、导演以及实施</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3.具备直播配套设备</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4.央视频、国琴网等平台直播、后期制作、散播推广</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5.提供现场工作人员的分配调度等</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6.提供演奏家的交通、食宿等接待服务</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7.负责临时资料的印制、不可预见等内容的准备。</w:t>
      </w:r>
    </w:p>
    <w:p>
      <w:pPr>
        <w:ind w:left="0"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四、商务条款</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（一）付款方式</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1、合同生效以及具备实施条件后7个工作日内，采购人自收到成交人提供的正式发票后，支付合同价的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0%为预付款（若成交人明确表示无需预付款或者主动要求降低预付款比例的，采购人可不适用前述规定）；完成合同约定的所有内容并经采购人验收通过后且成交人没有违约情形的付清剩余合同款。</w:t>
      </w:r>
    </w:p>
    <w:p>
      <w:p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（二）服务期限</w:t>
      </w:r>
    </w:p>
    <w:p>
      <w:pPr>
        <w:ind w:left="0" w:leftChars="0" w:firstLine="480" w:firstLineChars="200"/>
        <w:rPr>
          <w:rFonts w:hint="eastAsia" w:ascii="宋体" w:hAnsi="宋体" w:cs="宋体"/>
          <w:b/>
          <w:bCs/>
          <w:color w:val="auto"/>
          <w:sz w:val="32"/>
          <w:szCs w:val="22"/>
          <w:highlight w:val="none"/>
          <w:lang w:val="en-US" w:eastAsia="zh-CN"/>
        </w:rPr>
      </w:pPr>
      <w:r>
        <w:rPr>
          <w:rFonts w:hint="eastAsia" w:ascii="宋体" w:hAnsi="宋体" w:eastAsia="宋体" w:cs="宋体"/>
          <w:color w:val="auto"/>
          <w:sz w:val="24"/>
          <w:szCs w:val="24"/>
          <w:highlight w:val="none"/>
          <w:lang w:val="en-US" w:eastAsia="zh-CN"/>
        </w:rPr>
        <w:t>自合同签订后至2024年11月30日止。</w:t>
      </w:r>
      <w:r>
        <w:rPr>
          <w:rFonts w:hint="eastAsia" w:ascii="宋体" w:hAnsi="宋体" w:eastAsia="宋体" w:cs="宋体"/>
          <w:color w:val="auto"/>
          <w:sz w:val="24"/>
          <w:szCs w:val="24"/>
          <w:highlight w:val="none"/>
          <w:lang w:val="en-US" w:eastAsia="zh-CN"/>
        </w:rPr>
        <w:br w:type="page"/>
      </w:r>
    </w:p>
    <w:p>
      <w:pPr>
        <w:spacing w:line="348" w:lineRule="auto"/>
        <w:ind w:left="0" w:leftChars="0" w:firstLine="0" w:firstLineChars="0"/>
        <w:jc w:val="center"/>
        <w:outlineLvl w:val="0"/>
        <w:rPr>
          <w:rFonts w:hint="eastAsia" w:ascii="宋体" w:hAnsi="宋体" w:cs="宋体"/>
          <w:b/>
          <w:bCs/>
          <w:color w:val="auto"/>
          <w:sz w:val="32"/>
          <w:szCs w:val="22"/>
          <w:highlight w:val="none"/>
          <w:lang w:val="en-US" w:eastAsia="zh-CN"/>
        </w:rPr>
      </w:pPr>
      <w:r>
        <w:rPr>
          <w:rFonts w:hint="eastAsia" w:ascii="宋体" w:hAnsi="宋体" w:cs="宋体"/>
          <w:b/>
          <w:bCs/>
          <w:color w:val="auto"/>
          <w:sz w:val="32"/>
          <w:szCs w:val="22"/>
          <w:highlight w:val="none"/>
          <w:lang w:val="en-US" w:eastAsia="zh-CN"/>
        </w:rPr>
        <w:t>第四章  合同的主要条款</w:t>
      </w:r>
      <w:bookmarkEnd w:id="108"/>
      <w:bookmarkEnd w:id="109"/>
      <w:bookmarkEnd w:id="110"/>
      <w:bookmarkEnd w:id="111"/>
      <w:bookmarkEnd w:id="112"/>
    </w:p>
    <w:p>
      <w:pPr>
        <w:spacing w:line="380" w:lineRule="atLeast"/>
        <w:ind w:left="0" w:firstLine="480" w:firstLineChars="200"/>
        <w:jc w:val="center"/>
        <w:rPr>
          <w:rFonts w:hint="eastAsia" w:ascii="宋体" w:hAnsi="宋体" w:cs="宋体"/>
          <w:b/>
          <w:color w:val="auto"/>
          <w:sz w:val="24"/>
          <w:highlight w:val="none"/>
        </w:rPr>
      </w:pPr>
      <w:bookmarkStart w:id="113" w:name="_Toc31522"/>
      <w:bookmarkStart w:id="114" w:name="_Toc51872089"/>
      <w:bookmarkStart w:id="115" w:name="_Toc16037"/>
      <w:bookmarkStart w:id="116" w:name="_Toc8951"/>
      <w:r>
        <w:rPr>
          <w:rFonts w:hint="eastAsia" w:ascii="宋体" w:hAnsi="宋体" w:cs="宋体"/>
          <w:color w:val="auto"/>
          <w:sz w:val="24"/>
          <w:highlight w:val="none"/>
        </w:rPr>
        <w:t>（具体文本以实际签署的为准）</w:t>
      </w:r>
      <w:bookmarkEnd w:id="113"/>
      <w:bookmarkEnd w:id="114"/>
      <w:bookmarkEnd w:id="115"/>
      <w:bookmarkEnd w:id="116"/>
      <w:bookmarkStart w:id="117" w:name="_Toc509068037"/>
      <w:bookmarkStart w:id="118" w:name="_Toc9327"/>
      <w:bookmarkStart w:id="119" w:name="_Toc499500756"/>
    </w:p>
    <w:p>
      <w:pPr>
        <w:pStyle w:val="14"/>
        <w:keepNext w:val="0"/>
        <w:keepLines w:val="0"/>
        <w:pageBreakBefore w:val="0"/>
        <w:widowControl/>
        <w:suppressLineNumbers w:val="0"/>
        <w:kinsoku/>
        <w:wordWrap/>
        <w:overflowPunct/>
        <w:topLinePunct w:val="0"/>
        <w:autoSpaceDE/>
        <w:autoSpaceDN/>
        <w:bidi w:val="0"/>
        <w:adjustRightInd/>
        <w:snapToGrid/>
        <w:spacing w:before="294" w:beforeAutospacing="0" w:after="294" w:afterAutospacing="0" w:line="400" w:lineRule="exact"/>
        <w:ind w:left="559" w:leftChars="266" w:right="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甲方(</w:t>
      </w:r>
      <w:r>
        <w:rPr>
          <w:rFonts w:hint="eastAsia" w:ascii="宋体" w:hAnsi="宋体" w:eastAsia="宋体" w:cs="宋体"/>
          <w:b w:val="0"/>
          <w:bCs w:val="0"/>
          <w:color w:val="auto"/>
          <w:sz w:val="24"/>
          <w:szCs w:val="24"/>
          <w:highlight w:val="none"/>
          <w:lang w:val="en-US" w:eastAsia="zh-Hans"/>
        </w:rPr>
        <w:t>采购人</w:t>
      </w:r>
      <w:r>
        <w:rPr>
          <w:rFonts w:hint="eastAsia" w:ascii="宋体" w:hAnsi="宋体" w:eastAsia="宋体" w:cs="宋体"/>
          <w:b w:val="0"/>
          <w:bCs w:val="0"/>
          <w:color w:val="auto"/>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294" w:beforeAutospacing="0" w:after="294" w:afterAutospacing="0" w:line="400" w:lineRule="exact"/>
        <w:ind w:left="559" w:leftChars="266" w:right="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负责人/法定代表人：</w:t>
      </w:r>
    </w:p>
    <w:p>
      <w:pPr>
        <w:pStyle w:val="14"/>
        <w:keepNext w:val="0"/>
        <w:keepLines w:val="0"/>
        <w:pageBreakBefore w:val="0"/>
        <w:widowControl/>
        <w:suppressLineNumbers w:val="0"/>
        <w:kinsoku/>
        <w:wordWrap/>
        <w:overflowPunct/>
        <w:topLinePunct w:val="0"/>
        <w:autoSpaceDE/>
        <w:autoSpaceDN/>
        <w:bidi w:val="0"/>
        <w:adjustRightInd/>
        <w:snapToGrid/>
        <w:spacing w:before="294" w:beforeAutospacing="0" w:after="294" w:afterAutospacing="0" w:line="400" w:lineRule="exact"/>
        <w:ind w:left="559" w:leftChars="266" w:right="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地址：</w:t>
      </w:r>
    </w:p>
    <w:p>
      <w:pPr>
        <w:pStyle w:val="14"/>
        <w:keepNext w:val="0"/>
        <w:keepLines w:val="0"/>
        <w:pageBreakBefore w:val="0"/>
        <w:widowControl/>
        <w:suppressLineNumbers w:val="0"/>
        <w:kinsoku/>
        <w:wordWrap/>
        <w:overflowPunct/>
        <w:topLinePunct w:val="0"/>
        <w:autoSpaceDE/>
        <w:autoSpaceDN/>
        <w:bidi w:val="0"/>
        <w:adjustRightInd/>
        <w:snapToGrid/>
        <w:spacing w:before="294" w:beforeAutospacing="0" w:after="294" w:afterAutospacing="0" w:line="400" w:lineRule="exact"/>
        <w:ind w:left="559" w:leftChars="266"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电话：</w:t>
      </w:r>
    </w:p>
    <w:p>
      <w:pPr>
        <w:pStyle w:val="14"/>
        <w:keepNext w:val="0"/>
        <w:keepLines w:val="0"/>
        <w:pageBreakBefore w:val="0"/>
        <w:widowControl/>
        <w:suppressLineNumbers w:val="0"/>
        <w:kinsoku/>
        <w:wordWrap/>
        <w:overflowPunct/>
        <w:topLinePunct w:val="0"/>
        <w:autoSpaceDE/>
        <w:autoSpaceDN/>
        <w:bidi w:val="0"/>
        <w:adjustRightInd/>
        <w:snapToGrid/>
        <w:spacing w:before="294" w:beforeAutospacing="0" w:after="294" w:afterAutospacing="0" w:line="400" w:lineRule="exact"/>
        <w:ind w:left="559" w:leftChars="266" w:right="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乙方</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供货人</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294" w:beforeAutospacing="0" w:after="294" w:afterAutospacing="0" w:line="400" w:lineRule="exact"/>
        <w:ind w:left="559" w:leftChars="266" w:right="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负责人/法定代表人：</w:t>
      </w:r>
    </w:p>
    <w:p>
      <w:pPr>
        <w:pStyle w:val="14"/>
        <w:keepNext w:val="0"/>
        <w:keepLines w:val="0"/>
        <w:pageBreakBefore w:val="0"/>
        <w:widowControl/>
        <w:suppressLineNumbers w:val="0"/>
        <w:kinsoku/>
        <w:wordWrap/>
        <w:overflowPunct/>
        <w:topLinePunct w:val="0"/>
        <w:autoSpaceDE/>
        <w:autoSpaceDN/>
        <w:bidi w:val="0"/>
        <w:adjustRightInd/>
        <w:snapToGrid/>
        <w:spacing w:before="294" w:beforeAutospacing="0" w:after="294" w:afterAutospacing="0" w:line="400" w:lineRule="exact"/>
        <w:ind w:left="559" w:leftChars="266" w:right="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地址：</w:t>
      </w:r>
    </w:p>
    <w:p>
      <w:pPr>
        <w:pStyle w:val="14"/>
        <w:keepNext w:val="0"/>
        <w:keepLines w:val="0"/>
        <w:pageBreakBefore w:val="0"/>
        <w:widowControl/>
        <w:suppressLineNumbers w:val="0"/>
        <w:kinsoku/>
        <w:wordWrap/>
        <w:overflowPunct/>
        <w:topLinePunct w:val="0"/>
        <w:autoSpaceDE/>
        <w:autoSpaceDN/>
        <w:bidi w:val="0"/>
        <w:adjustRightInd/>
        <w:snapToGrid/>
        <w:spacing w:before="294" w:beforeAutospacing="0" w:after="294" w:afterAutospacing="0" w:line="400" w:lineRule="exact"/>
        <w:ind w:left="559" w:leftChars="266"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电话：</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val="0"/>
          <w:bCs w:val="0"/>
          <w:i w:val="0"/>
          <w:iCs w:val="0"/>
          <w:caps w:val="0"/>
          <w:color w:val="auto"/>
          <w:spacing w:val="0"/>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rPr>
        <w:t>根据《中华人民共和国政府采购法》《中华人民共和国民法典》等相关法律法规</w:t>
      </w:r>
      <w:r>
        <w:rPr>
          <w:rFonts w:hint="eastAsia" w:ascii="宋体" w:hAnsi="宋体" w:eastAsia="宋体" w:cs="宋体"/>
          <w:b w:val="0"/>
          <w:bCs w:val="0"/>
          <w:i w:val="0"/>
          <w:iCs w:val="0"/>
          <w:caps w:val="0"/>
          <w:color w:val="auto"/>
          <w:spacing w:val="0"/>
          <w:sz w:val="24"/>
          <w:szCs w:val="24"/>
          <w:highlight w:val="none"/>
          <w:u w:val="none"/>
          <w:lang w:eastAsia="zh-CN"/>
        </w:rPr>
        <w:t>，</w:t>
      </w:r>
      <w:r>
        <w:rPr>
          <w:rFonts w:hint="eastAsia" w:ascii="宋体" w:hAnsi="宋体" w:eastAsia="宋体" w:cs="宋体"/>
          <w:b w:val="0"/>
          <w:bCs w:val="0"/>
          <w:color w:val="auto"/>
          <w:kern w:val="0"/>
          <w:sz w:val="24"/>
          <w:szCs w:val="24"/>
          <w:highlight w:val="none"/>
          <w:lang w:val="en-US" w:eastAsia="zh-CN" w:bidi="ar"/>
        </w:rPr>
        <w:t>根据德邻联合工程有限公司所签发的《成交通知书》（项目编号：   ），以及磋商文件、响应文件的规定，</w:t>
      </w:r>
      <w:r>
        <w:rPr>
          <w:rFonts w:hint="eastAsia" w:ascii="宋体" w:hAnsi="宋体" w:eastAsia="宋体" w:cs="宋体"/>
          <w:b w:val="0"/>
          <w:bCs w:val="0"/>
          <w:i w:val="0"/>
          <w:iCs w:val="0"/>
          <w:caps w:val="0"/>
          <w:color w:val="auto"/>
          <w:spacing w:val="0"/>
          <w:sz w:val="24"/>
          <w:szCs w:val="24"/>
          <w:highlight w:val="none"/>
          <w:u w:val="none"/>
        </w:rPr>
        <w:t>就甲方向乙方采购【</w:t>
      </w:r>
      <w:r>
        <w:rPr>
          <w:rFonts w:hint="eastAsia" w:ascii="宋体" w:hAnsi="宋体" w:eastAsia="宋体" w:cs="宋体"/>
          <w:b w:val="0"/>
          <w:bCs w:val="0"/>
          <w:i w:val="0"/>
          <w:iCs w:val="0"/>
          <w:caps w:val="0"/>
          <w:color w:val="auto"/>
          <w:spacing w:val="0"/>
          <w:sz w:val="24"/>
          <w:szCs w:val="24"/>
          <w:highlight w:val="none"/>
          <w:u w:val="none"/>
          <w:lang w:val="en-US" w:eastAsia="zh-CN"/>
        </w:rPr>
        <w:t xml:space="preserve">       </w:t>
      </w:r>
      <w:r>
        <w:rPr>
          <w:rFonts w:hint="eastAsia" w:ascii="宋体" w:hAnsi="宋体" w:eastAsia="宋体" w:cs="宋体"/>
          <w:b w:val="0"/>
          <w:bCs w:val="0"/>
          <w:i w:val="0"/>
          <w:iCs w:val="0"/>
          <w:caps w:val="0"/>
          <w:color w:val="auto"/>
          <w:spacing w:val="0"/>
          <w:sz w:val="24"/>
          <w:szCs w:val="24"/>
          <w:highlight w:val="none"/>
          <w:u w:val="none"/>
        </w:rPr>
        <w:t>】事宜</w:t>
      </w:r>
      <w:r>
        <w:rPr>
          <w:rFonts w:hint="eastAsia" w:ascii="宋体" w:hAnsi="宋体" w:eastAsia="宋体" w:cs="宋体"/>
          <w:b w:val="0"/>
          <w:bCs w:val="0"/>
          <w:i w:val="0"/>
          <w:iCs w:val="0"/>
          <w:caps w:val="0"/>
          <w:color w:val="auto"/>
          <w:spacing w:val="0"/>
          <w:sz w:val="24"/>
          <w:szCs w:val="24"/>
          <w:highlight w:val="none"/>
          <w:u w:val="none"/>
          <w:lang w:eastAsia="zh-CN"/>
        </w:rPr>
        <w:t>，</w:t>
      </w:r>
      <w:r>
        <w:rPr>
          <w:rFonts w:hint="eastAsia" w:ascii="宋体" w:hAnsi="宋体" w:eastAsia="宋体" w:cs="宋体"/>
          <w:b w:val="0"/>
          <w:bCs w:val="0"/>
          <w:color w:val="auto"/>
          <w:kern w:val="0"/>
          <w:sz w:val="24"/>
          <w:szCs w:val="24"/>
          <w:highlight w:val="none"/>
          <w:lang w:val="en-US" w:eastAsia="zh-CN" w:bidi="ar"/>
        </w:rPr>
        <w:t>经双方协商一致，达成本采购合同（成交通知书、磋商文件、响应文件以及甲、乙双方商定确认后的补充协议构成本合同不可分割的部分）。</w:t>
      </w:r>
      <w:r>
        <w:rPr>
          <w:rFonts w:hint="eastAsia" w:ascii="宋体" w:hAnsi="宋体" w:eastAsia="宋体" w:cs="宋体"/>
          <w:b w:val="0"/>
          <w:bCs w:val="0"/>
          <w:i w:val="0"/>
          <w:iCs w:val="0"/>
          <w:caps w:val="0"/>
          <w:color w:val="auto"/>
          <w:spacing w:val="0"/>
          <w:sz w:val="24"/>
          <w:szCs w:val="24"/>
          <w:highlight w:val="none"/>
          <w:u w:val="none"/>
        </w:rPr>
        <w:t>双方经平等协商达成合同如下：</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一、采购内容及要求</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二、采购价款支付</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1.本合同总金额（含税）为：人民币【</w:t>
      </w:r>
      <w:r>
        <w:rPr>
          <w:rFonts w:hint="eastAsia" w:ascii="宋体" w:hAnsi="宋体" w:eastAsia="宋体" w:cs="宋体"/>
          <w:color w:val="auto"/>
          <w:sz w:val="24"/>
          <w:szCs w:val="24"/>
          <w:highlight w:val="none"/>
        </w:rPr>
        <w:t>￥</w:t>
      </w: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xml:space="preserve">    】（元）大写：【  】。</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2.以上价格包含甲方采购产品/服务所需支付的全部费用，包含产品价格、税金、人工、包装、运输、装卸等，除此之外甲方不再向乙方另行支付任何费用。</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xml:space="preserve">    3.支付采购价款：</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xml:space="preserve">  合同生效以及具备实施条件后7个工作日内，甲方自收到乙方提供的正式发票后，支付合同价的40%为预付款；完成合同约定的所有内容并经</w:t>
      </w:r>
      <w:r>
        <w:rPr>
          <w:rFonts w:hint="eastAsia" w:ascii="宋体" w:hAnsi="宋体" w:cs="宋体"/>
          <w:b w:val="0"/>
          <w:bCs w:val="0"/>
          <w:i w:val="0"/>
          <w:iCs w:val="0"/>
          <w:caps w:val="0"/>
          <w:color w:val="auto"/>
          <w:spacing w:val="0"/>
          <w:kern w:val="0"/>
          <w:sz w:val="24"/>
          <w:szCs w:val="24"/>
          <w:highlight w:val="none"/>
          <w:u w:val="none"/>
          <w:lang w:val="en-US" w:eastAsia="zh-CN" w:bidi="ar"/>
        </w:rPr>
        <w:t>甲方</w:t>
      </w:r>
      <w:r>
        <w:rPr>
          <w:rFonts w:hint="eastAsia" w:ascii="宋体" w:hAnsi="宋体" w:eastAsia="宋体" w:cs="宋体"/>
          <w:b w:val="0"/>
          <w:bCs w:val="0"/>
          <w:i w:val="0"/>
          <w:iCs w:val="0"/>
          <w:caps w:val="0"/>
          <w:color w:val="auto"/>
          <w:spacing w:val="0"/>
          <w:kern w:val="0"/>
          <w:sz w:val="24"/>
          <w:szCs w:val="24"/>
          <w:highlight w:val="none"/>
          <w:u w:val="none"/>
          <w:lang w:val="en-US" w:eastAsia="zh-CN" w:bidi="ar"/>
        </w:rPr>
        <w:t>验收通过后且乙方没有违约情形的付清剩余合同款。合同款结算时，乙方需提供正式的税务发票及甲方要求的相关结款所需资料。</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xml:space="preserve">   注：若乙方明确表示无需预付款或者主动要求降低预付款比例的，甲方可不适用前述规定。</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4.乙方应在甲方付款前向甲方开具</w:t>
      </w:r>
      <w:r>
        <w:rPr>
          <w:rFonts w:hint="eastAsia" w:ascii="宋体" w:hAnsi="宋体" w:eastAsia="宋体" w:cs="宋体"/>
          <w:b w:val="0"/>
          <w:bCs w:val="0"/>
          <w:i w:val="0"/>
          <w:iCs w:val="0"/>
          <w:caps w:val="0"/>
          <w:color w:val="auto"/>
          <w:spacing w:val="0"/>
          <w:kern w:val="0"/>
          <w:sz w:val="24"/>
          <w:szCs w:val="24"/>
          <w:highlight w:val="none"/>
          <w:u w:val="none"/>
          <w:lang w:val="en-US" w:eastAsia="zh-Hans" w:bidi="ar"/>
        </w:rPr>
        <w:t>符合甲方要求的</w:t>
      </w:r>
      <w:r>
        <w:rPr>
          <w:rFonts w:hint="eastAsia" w:ascii="宋体" w:hAnsi="宋体" w:eastAsia="宋体" w:cs="宋体"/>
          <w:b w:val="0"/>
          <w:bCs w:val="0"/>
          <w:i w:val="0"/>
          <w:iCs w:val="0"/>
          <w:caps w:val="0"/>
          <w:color w:val="auto"/>
          <w:spacing w:val="0"/>
          <w:kern w:val="0"/>
          <w:sz w:val="24"/>
          <w:szCs w:val="24"/>
          <w:highlight w:val="none"/>
          <w:u w:val="none"/>
          <w:lang w:val="en-US" w:eastAsia="zh-CN" w:bidi="ar"/>
        </w:rPr>
        <w:t>发票，否则甲方有权暂停付款且不承担逾期付款的违约责任。</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5.甲方开票信息：</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发票抬头：</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纳税人识别号：</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cs="宋体"/>
          <w:b w:val="0"/>
          <w:bCs w:val="0"/>
          <w:i w:val="0"/>
          <w:iCs w:val="0"/>
          <w:caps w:val="0"/>
          <w:color w:val="auto"/>
          <w:spacing w:val="0"/>
          <w:kern w:val="0"/>
          <w:sz w:val="24"/>
          <w:szCs w:val="24"/>
          <w:highlight w:val="none"/>
          <w:u w:val="none"/>
          <w:lang w:val="en-US" w:eastAsia="zh-CN" w:bidi="ar"/>
        </w:rPr>
        <w:t>6.</w:t>
      </w:r>
      <w:r>
        <w:rPr>
          <w:rFonts w:hint="eastAsia" w:ascii="宋体" w:hAnsi="宋体" w:eastAsia="宋体" w:cs="宋体"/>
          <w:b w:val="0"/>
          <w:bCs w:val="0"/>
          <w:i w:val="0"/>
          <w:iCs w:val="0"/>
          <w:caps w:val="0"/>
          <w:color w:val="auto"/>
          <w:spacing w:val="0"/>
          <w:kern w:val="0"/>
          <w:sz w:val="24"/>
          <w:szCs w:val="24"/>
          <w:highlight w:val="none"/>
          <w:u w:val="none"/>
          <w:lang w:val="en-US" w:eastAsia="zh-CN" w:bidi="ar"/>
        </w:rPr>
        <w:t>乙方指定银行账户信息：</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479" w:leftChars="228" w:firstLine="0" w:firstLineChars="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开户银行：</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479" w:leftChars="228" w:firstLine="0" w:firstLineChars="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开户名称：</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479" w:leftChars="228" w:firstLine="0" w:firstLineChars="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银行账号：</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cs="宋体"/>
          <w:b/>
          <w:bCs/>
          <w:i w:val="0"/>
          <w:iCs w:val="0"/>
          <w:caps w:val="0"/>
          <w:color w:val="auto"/>
          <w:spacing w:val="0"/>
          <w:kern w:val="0"/>
          <w:sz w:val="24"/>
          <w:szCs w:val="24"/>
          <w:highlight w:val="none"/>
          <w:u w:val="none"/>
          <w:lang w:val="en-US" w:eastAsia="zh-CN" w:bidi="ar"/>
        </w:rPr>
        <w:t>三、</w:t>
      </w:r>
      <w:r>
        <w:rPr>
          <w:rFonts w:hint="eastAsia" w:ascii="宋体" w:hAnsi="宋体" w:eastAsia="宋体" w:cs="宋体"/>
          <w:b/>
          <w:bCs/>
          <w:i w:val="0"/>
          <w:iCs w:val="0"/>
          <w:caps w:val="0"/>
          <w:color w:val="auto"/>
          <w:spacing w:val="0"/>
          <w:kern w:val="0"/>
          <w:sz w:val="24"/>
          <w:szCs w:val="24"/>
          <w:highlight w:val="none"/>
          <w:u w:val="none"/>
          <w:lang w:val="en-US" w:eastAsia="zh-CN" w:bidi="ar"/>
        </w:rPr>
        <w:t>技术资料</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1.乙方应按磋商文件规定的时间向甲方提供有关技术资料。</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xml:space="preserve">3.乙方应保证所提供的服务或其任何一部分均不会侵犯任何第三方的知识产权。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四、转包或分包</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1.本合同范围的服务，应由乙方直接供应，不得转让他人供应；</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2.除非得到甲方的书面同意，乙方不得将本合同范围的服务全部或部分分包给他人供应；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snapToGrid w:val="0"/>
        <w:spacing w:line="400" w:lineRule="exact"/>
        <w:ind w:left="479" w:leftChars="228" w:firstLine="0" w:firstLineChars="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3.如有转让和未经甲方同意的分包行为，甲方有权解除合同追究乙方的违约责任。</w:t>
      </w:r>
    </w:p>
    <w:p>
      <w:pPr>
        <w:keepNext w:val="0"/>
        <w:keepLines w:val="0"/>
        <w:pageBreakBefore w:val="0"/>
        <w:widowControl w:val="0"/>
        <w:kinsoku/>
        <w:wordWrap/>
        <w:overflowPunct/>
        <w:topLinePunct w:val="0"/>
        <w:autoSpaceDE/>
        <w:autoSpaceDN/>
        <w:bidi w:val="0"/>
        <w:adjustRightInd/>
        <w:snapToGrid w:val="0"/>
        <w:spacing w:line="400" w:lineRule="exact"/>
        <w:ind w:left="479" w:leftChars="228" w:firstLine="0" w:firstLineChars="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五、税费</w:t>
      </w:r>
    </w:p>
    <w:p>
      <w:pPr>
        <w:keepNext w:val="0"/>
        <w:keepLines w:val="0"/>
        <w:pageBreakBefore w:val="0"/>
        <w:widowControl w:val="0"/>
        <w:kinsoku/>
        <w:wordWrap/>
        <w:overflowPunct/>
        <w:topLinePunct w:val="0"/>
        <w:autoSpaceDE/>
        <w:autoSpaceDN/>
        <w:bidi w:val="0"/>
        <w:adjustRightInd/>
        <w:snapToGrid w:val="0"/>
        <w:spacing w:line="400" w:lineRule="exact"/>
        <w:ind w:left="479" w:leftChars="228" w:firstLine="0" w:firstLineChars="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本合同执行中相关的一切税费均由乙方负担。</w:t>
      </w:r>
    </w:p>
    <w:p>
      <w:pPr>
        <w:keepNext w:val="0"/>
        <w:keepLines w:val="0"/>
        <w:pageBreakBefore w:val="0"/>
        <w:widowControl w:val="0"/>
        <w:kinsoku/>
        <w:wordWrap/>
        <w:overflowPunct/>
        <w:topLinePunct w:val="0"/>
        <w:autoSpaceDE/>
        <w:autoSpaceDN/>
        <w:bidi w:val="0"/>
        <w:adjustRightInd/>
        <w:snapToGrid w:val="0"/>
        <w:spacing w:line="400" w:lineRule="exact"/>
        <w:ind w:left="479" w:leftChars="228" w:firstLine="0" w:firstLineChars="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六、质量保证及后续服务</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1.乙方应按磋商文件规定向甲方提供服务。</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2.乙方提供的服务成果在服务质量保证期内发生故障，乙方应负责免费提供后续服务。对达不到要求者，根据实际情况，经双方协商，可按以下办法处理：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（1）重做：由乙方承担所发生的全部费用。</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（2）贬值处理：由甲乙双方合议定价。</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（3）解除合同。</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3.如在服务期间过程中发生问题，乙方在接到甲方通知后在1小时内到达甲方现场。</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4.在服务质量保证期内，乙方应对服务出现的质量及安全问题负责处理解决并承担一切费用。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cs="宋体"/>
          <w:b w:val="0"/>
          <w:bCs w:val="0"/>
          <w:i w:val="0"/>
          <w:iCs w:val="0"/>
          <w:caps w:val="0"/>
          <w:color w:val="auto"/>
          <w:spacing w:val="0"/>
          <w:kern w:val="0"/>
          <w:sz w:val="24"/>
          <w:szCs w:val="24"/>
          <w:highlight w:val="none"/>
          <w:u w:val="none"/>
          <w:lang w:val="en-US" w:eastAsia="zh-CN" w:bidi="ar"/>
        </w:rPr>
        <w:t xml:space="preserve">  </w:t>
      </w:r>
      <w:r>
        <w:rPr>
          <w:rFonts w:hint="eastAsia" w:ascii="宋体" w:hAnsi="宋体" w:eastAsia="宋体" w:cs="宋体"/>
          <w:b/>
          <w:bCs/>
          <w:i w:val="0"/>
          <w:iCs w:val="0"/>
          <w:caps w:val="0"/>
          <w:color w:val="auto"/>
          <w:spacing w:val="0"/>
          <w:kern w:val="0"/>
          <w:sz w:val="24"/>
          <w:szCs w:val="24"/>
          <w:highlight w:val="none"/>
          <w:u w:val="none"/>
          <w:lang w:val="en-US" w:eastAsia="zh-CN" w:bidi="ar"/>
        </w:rPr>
        <w:t>七、保密义务</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2.未经甲方事先书面确认，乙方不得利用本合同内容进行任何形式的宣传。</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八、违约责任</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1.甲方无正当理由拒绝接受服务的，甲方向乙方偿付合同款项百分之五作为违约金。</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2.甲方无故逾期验收和办理款项支付手续的，甲方应按逾期付款总额每日万分之五向乙方支付违约金，财政审批原因造成的除外。</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3.乙方未能如期提供服务的，每日向甲方支付合同款项的千分之六作为违约金。乙方超过约定日期3日仍不能提供服务的，甲方可解除本合同。乙方因未能如期提供服务或因其他违约行为导致甲方解除合同的，乙方应向甲方支付合同总值25%的违约金，如造成甲方损失超过违约金的，超出部分由乙方继续承担赔偿责任。</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4.乙方违反保密义务的相关约定，甲方有权单方解除合同，乙方应向甲方支付合同总金额的【30%】作为违约金，该违约金不足以弥补甲方损失的，乙方应当</w:t>
      </w:r>
      <w:r>
        <w:rPr>
          <w:rFonts w:hint="eastAsia" w:ascii="宋体" w:hAnsi="宋体" w:eastAsia="宋体" w:cs="宋体"/>
          <w:b w:val="0"/>
          <w:bCs w:val="0"/>
          <w:i w:val="0"/>
          <w:iCs w:val="0"/>
          <w:caps w:val="0"/>
          <w:color w:val="auto"/>
          <w:spacing w:val="0"/>
          <w:kern w:val="0"/>
          <w:sz w:val="24"/>
          <w:szCs w:val="24"/>
          <w:highlight w:val="none"/>
          <w:u w:val="none"/>
          <w:lang w:val="en-US" w:eastAsia="zh-Hans" w:bidi="ar"/>
        </w:rPr>
        <w:t>继续赔偿</w:t>
      </w:r>
      <w:r>
        <w:rPr>
          <w:rFonts w:hint="eastAsia" w:ascii="宋体" w:hAnsi="宋体" w:eastAsia="宋体" w:cs="宋体"/>
          <w:b w:val="0"/>
          <w:bCs w:val="0"/>
          <w:i w:val="0"/>
          <w:iCs w:val="0"/>
          <w:caps w:val="0"/>
          <w:color w:val="auto"/>
          <w:spacing w:val="0"/>
          <w:kern w:val="0"/>
          <w:sz w:val="24"/>
          <w:szCs w:val="24"/>
          <w:highlight w:val="none"/>
          <w:u w:val="none"/>
          <w:lang w:val="en-US" w:eastAsia="zh-CN" w:bidi="ar"/>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xml:space="preserve">5.除本合同另有约定外，任何一方违反本合同，违约方应向守约方承担违约责任，赔偿因其违约行为给守约方造成的损失，如违约方不能在合理期限内采取补救措施，守约方有权解除合同，并要求违约方赔偿其由此而遭受的一切损失（包括但不限于律师费、公证费、诉讼费等合理支出）。   </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九、不可抗力</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1.不可抗力指下列事件：战争、动乱、瘟疫、严重火灾、洪水、地震、风暴或其他自然灾害，以及本合同各方不可预见、不可防止并不能避免或克服的一切其他事件。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xml:space="preserve">    2.任何一方因不可抗力不能履行本合同规定的全部或部分义务，该方应尽快通知对方，并须在不可抗力发生后3日内以书面形式向对方提供详细情况报告及不可抗力对履行本合同的影响程度的说明。</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xml:space="preserve">    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xml:space="preserve">    4.合同双方应根据不可抗力对本合同履行的影响程度，协商确定是否终止本合同，或是继续履行本合同。</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十、通知及送达</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xml:space="preserve">    1.合同双方发出与本合同有关的通知或回复，应以专人送递、传真或特快专递方式发出；如果以专人送递或特快专递发送，以送达对方的住所地或通讯联络地为送达；如果以传真方式发送，发件人在收到传真报告后视为送达。</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xml:space="preserve">    2.合同双方发出的与本合同有关的通知或回复均应按合同签署页所列信息发送，相关联系信息变更，应自变更之日起3个工作日内，将变更后的联系信息通知对方。变更方不履行通知义务的，应对此造成的一切后果承担法律责任。</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十一、合同的终止</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1.本合同因下列原因而终止：</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（1）本合同正常履行完毕；</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（2）合同双方协议终止本合同的履行；</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（3）不可抗力事件导致本合同无法履行；</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（4）任何一方依据法律规定或本合同约定行使解除权，解除本合同。</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2.本合同因任何原因终止，保密义务条款仍然有效。</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十二、争议的解决</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1.合同双方应通过友好协商解决因解释、执行本合同所发生的和本合同有关的一切争议。如协商不成，则双方同意在甲方住所地有管辖权的人民法院提起诉讼。</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xml:space="preserve">    2.在诉讼期间，除了必须在诉讼过程中进行解决的那部分问题外，合同其余部分应继续履行。</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十三、合同的补充、修改和变更</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xml:space="preserve">    1.双方协商一致，可以对本合同进行补充、修改或变更。</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xml:space="preserve">    2.对本合同的任何补充、修改或变更必须以书面形式进行。</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xml:space="preserve">    3.双方签订的补充协议以及修改或变更的条款与本合同具有同等法律效力。</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i w:val="0"/>
          <w:iCs w:val="0"/>
          <w:caps w:val="0"/>
          <w:color w:val="auto"/>
          <w:spacing w:val="0"/>
          <w:kern w:val="0"/>
          <w:sz w:val="24"/>
          <w:szCs w:val="24"/>
          <w:highlight w:val="none"/>
          <w:u w:val="none"/>
          <w:lang w:val="en-US" w:eastAsia="zh-CN" w:bidi="ar"/>
        </w:rPr>
      </w:pPr>
      <w:r>
        <w:rPr>
          <w:rFonts w:hint="eastAsia" w:ascii="宋体" w:hAnsi="宋体" w:eastAsia="宋体" w:cs="宋体"/>
          <w:b/>
          <w:bCs/>
          <w:i w:val="0"/>
          <w:iCs w:val="0"/>
          <w:caps w:val="0"/>
          <w:color w:val="auto"/>
          <w:spacing w:val="0"/>
          <w:kern w:val="0"/>
          <w:sz w:val="24"/>
          <w:szCs w:val="24"/>
          <w:highlight w:val="none"/>
          <w:u w:val="none"/>
          <w:lang w:val="en-US" w:eastAsia="zh-CN" w:bidi="ar"/>
        </w:rPr>
        <w:t>十四、其它约定事项</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1.本合同经双方法定代表人（负责人）或授权代表签字并加盖单位公章后生效。</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2.一方当事人未经另外一方书面同意，不得将其在合同项下的权利和义务全部或部分转让给第三人。</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3.磋商文件、响应文件及评审过程中形成的文字资料、询标纪要均作为本合同的组成部分，具有同等效力。本合同未尽事宜，遵照《民法典》有关条文执行。</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4.特别提醒条款：如乙方在合同履行期间造成人身、财产损害、伤亡事件等，由乙方负责赔偿，所有一切后果均由乙方自行承担，与甲方无关。</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5.本合同正本一式陆份，具有同等法律效力，甲方执四份，乙方执二份。</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xml:space="preserve">    6.本合同中的附件均为本合同不可分割的部分，与本合同具有相同的法律效力。</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　　（以下无正文）</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甲方（盖章）：                    乙方（盖章）：</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法人或授权代表：                  法人或授权代表：</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联系电话：                        联系电话：</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地址：                            地址：</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b w:val="0"/>
          <w:bCs w:val="0"/>
          <w:i w:val="0"/>
          <w:iCs w:val="0"/>
          <w:caps w:val="0"/>
          <w:color w:val="auto"/>
          <w:spacing w:val="0"/>
          <w:kern w:val="0"/>
          <w:sz w:val="24"/>
          <w:szCs w:val="24"/>
          <w:highlight w:val="none"/>
          <w:u w:val="none"/>
          <w:lang w:val="en-US" w:eastAsia="zh-CN" w:bidi="ar"/>
        </w:rPr>
      </w:pPr>
      <w:r>
        <w:rPr>
          <w:rFonts w:hint="eastAsia" w:ascii="宋体" w:hAnsi="宋体" w:eastAsia="宋体" w:cs="宋体"/>
          <w:b w:val="0"/>
          <w:bCs w:val="0"/>
          <w:i w:val="0"/>
          <w:iCs w:val="0"/>
          <w:caps w:val="0"/>
          <w:color w:val="auto"/>
          <w:spacing w:val="0"/>
          <w:kern w:val="0"/>
          <w:sz w:val="24"/>
          <w:szCs w:val="24"/>
          <w:highlight w:val="none"/>
          <w:u w:val="none"/>
          <w:lang w:val="en-US" w:eastAsia="zh-CN" w:bidi="ar"/>
        </w:rPr>
        <w:t>日期：                            日期</w:t>
      </w:r>
      <w:r>
        <w:rPr>
          <w:rFonts w:hint="eastAsia" w:ascii="宋体" w:hAnsi="宋体" w:cs="宋体"/>
          <w:b w:val="0"/>
          <w:bCs w:val="0"/>
          <w:i w:val="0"/>
          <w:iCs w:val="0"/>
          <w:caps w:val="0"/>
          <w:color w:val="auto"/>
          <w:spacing w:val="0"/>
          <w:kern w:val="0"/>
          <w:sz w:val="24"/>
          <w:szCs w:val="24"/>
          <w:highlight w:val="none"/>
          <w:u w:val="none"/>
          <w:lang w:val="en-US" w:eastAsia="zh-CN" w:bidi="ar"/>
        </w:rPr>
        <w:t>：</w:t>
      </w:r>
      <w:bookmarkEnd w:id="117"/>
      <w:bookmarkEnd w:id="118"/>
      <w:bookmarkEnd w:id="119"/>
      <w:bookmarkStart w:id="120" w:name="_Toc5543954"/>
      <w:bookmarkStart w:id="121" w:name="_Toc5186988"/>
      <w:bookmarkStart w:id="122" w:name="_Toc51872090"/>
      <w:bookmarkStart w:id="123" w:name="_Toc5543930"/>
      <w:bookmarkStart w:id="124" w:name="_Toc7038"/>
      <w:bookmarkStart w:id="125" w:name="_Toc9777626"/>
      <w:bookmarkStart w:id="126" w:name="_Toc28517"/>
      <w:bookmarkStart w:id="127" w:name="_Toc27265"/>
      <w:bookmarkStart w:id="128" w:name="_Toc467581027"/>
      <w:bookmarkStart w:id="129" w:name="_Toc467003989"/>
      <w:bookmarkStart w:id="130" w:name="_Toc30647"/>
      <w:bookmarkStart w:id="131" w:name="_Toc499985103"/>
      <w:bookmarkStart w:id="132" w:name="_Toc354491899"/>
      <w:bookmarkStart w:id="133" w:name="_Toc322352985"/>
      <w:bookmarkStart w:id="134" w:name="_Toc493411136"/>
      <w:bookmarkStart w:id="135" w:name="_Toc477171619"/>
      <w:bookmarkStart w:id="136" w:name="_Toc477599485"/>
      <w:bookmarkStart w:id="137" w:name="_Toc493362979"/>
      <w:bookmarkStart w:id="138" w:name="_Toc356371458"/>
      <w:bookmarkStart w:id="139" w:name="_Toc457934640"/>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第五章  磋商办法及评分标准</w:t>
      </w:r>
      <w:bookmarkEnd w:id="120"/>
      <w:bookmarkEnd w:id="121"/>
      <w:bookmarkEnd w:id="122"/>
      <w:bookmarkEnd w:id="123"/>
      <w:bookmarkEnd w:id="124"/>
      <w:bookmarkEnd w:id="125"/>
      <w:bookmarkStart w:id="140" w:name="_Toc23995"/>
      <w:bookmarkStart w:id="141" w:name="_Toc26500"/>
      <w:bookmarkStart w:id="142" w:name="_Toc5543955"/>
      <w:bookmarkStart w:id="143" w:name="_Toc8565"/>
      <w:bookmarkStart w:id="144" w:name="_Toc9777627"/>
    </w:p>
    <w:p>
      <w:pPr>
        <w:snapToGrid w:val="0"/>
        <w:spacing w:line="440" w:lineRule="exact"/>
        <w:ind w:left="0" w:firstLine="470" w:firstLineChars="196"/>
        <w:rPr>
          <w:rFonts w:hint="eastAsia" w:ascii="宋体" w:hAnsi="宋体" w:cs="宋体"/>
          <w:snapToGrid w:val="0"/>
          <w:color w:val="auto"/>
          <w:kern w:val="0"/>
          <w:sz w:val="24"/>
          <w:highlight w:val="none"/>
        </w:rPr>
      </w:pPr>
      <w:bookmarkStart w:id="145" w:name="_Toc10908"/>
      <w:bookmarkStart w:id="146" w:name="_Toc51872091"/>
      <w:r>
        <w:rPr>
          <w:rFonts w:hint="eastAsia" w:ascii="宋体" w:hAnsi="宋体" w:cs="宋体"/>
          <w:snapToGrid w:val="0"/>
          <w:color w:val="auto"/>
          <w:kern w:val="0"/>
          <w:sz w:val="24"/>
          <w:highlight w:val="none"/>
        </w:rPr>
        <w:t>为公正、公平、科学地选择中标单位，根据《中华人民共和国政府采购法》和《政府采购竞争性磋商采购方式管理暂行办法》等有关法律法规的规定，并结合本项目的实际，制定本办法。</w:t>
      </w:r>
      <w:bookmarkEnd w:id="145"/>
      <w:bookmarkEnd w:id="146"/>
    </w:p>
    <w:p>
      <w:pPr>
        <w:snapToGrid w:val="0"/>
        <w:spacing w:line="440" w:lineRule="exact"/>
        <w:ind w:left="0" w:firstLine="472" w:firstLineChars="196"/>
        <w:rPr>
          <w:rFonts w:hint="eastAsia" w:ascii="宋体" w:hAnsi="宋体" w:cs="宋体"/>
          <w:b/>
          <w:snapToGrid w:val="0"/>
          <w:color w:val="auto"/>
          <w:kern w:val="0"/>
          <w:sz w:val="24"/>
          <w:highlight w:val="none"/>
        </w:rPr>
      </w:pPr>
      <w:bookmarkStart w:id="147" w:name="_Toc21337"/>
      <w:bookmarkStart w:id="148" w:name="_Toc51872092"/>
      <w:r>
        <w:rPr>
          <w:rFonts w:hint="eastAsia" w:ascii="宋体" w:hAnsi="宋体" w:cs="宋体"/>
          <w:b/>
          <w:snapToGrid w:val="0"/>
          <w:color w:val="auto"/>
          <w:kern w:val="0"/>
          <w:sz w:val="24"/>
          <w:highlight w:val="none"/>
        </w:rPr>
        <w:t>一、总则</w:t>
      </w:r>
      <w:bookmarkEnd w:id="147"/>
      <w:bookmarkEnd w:id="148"/>
    </w:p>
    <w:p>
      <w:pPr>
        <w:snapToGrid w:val="0"/>
        <w:spacing w:line="440" w:lineRule="exact"/>
        <w:ind w:left="0" w:firstLine="470" w:firstLineChars="196"/>
        <w:rPr>
          <w:rFonts w:hint="eastAsia" w:ascii="宋体" w:hAnsi="宋体" w:cs="宋体"/>
          <w:snapToGrid w:val="0"/>
          <w:color w:val="auto"/>
          <w:kern w:val="0"/>
          <w:sz w:val="24"/>
          <w:highlight w:val="none"/>
        </w:rPr>
      </w:pPr>
      <w:bookmarkStart w:id="149" w:name="_Toc51872093"/>
      <w:bookmarkStart w:id="150" w:name="_Toc18015"/>
      <w:r>
        <w:rPr>
          <w:rFonts w:hint="eastAsia" w:ascii="宋体" w:hAnsi="宋体" w:cs="宋体"/>
          <w:snapToGrid w:val="0"/>
          <w:color w:val="auto"/>
          <w:kern w:val="0"/>
          <w:sz w:val="24"/>
          <w:highlight w:val="none"/>
        </w:rPr>
        <w:t>1.本项目原则上采用政采云电子在线磋商及评审程序，但有下列情形之一的，按以下情况处理：</w:t>
      </w:r>
      <w:bookmarkEnd w:id="149"/>
      <w:bookmarkEnd w:id="150"/>
    </w:p>
    <w:p>
      <w:pPr>
        <w:snapToGrid w:val="0"/>
        <w:spacing w:line="440" w:lineRule="exact"/>
        <w:ind w:left="0" w:firstLine="470" w:firstLineChars="196"/>
        <w:rPr>
          <w:rFonts w:hint="eastAsia" w:ascii="宋体" w:hAnsi="宋体" w:cs="宋体"/>
          <w:snapToGrid w:val="0"/>
          <w:color w:val="auto"/>
          <w:kern w:val="0"/>
          <w:sz w:val="24"/>
          <w:highlight w:val="none"/>
        </w:rPr>
      </w:pPr>
      <w:bookmarkStart w:id="151" w:name="_Toc51872094"/>
      <w:bookmarkStart w:id="152" w:name="_Toc25608"/>
      <w:r>
        <w:rPr>
          <w:rFonts w:hint="eastAsia" w:ascii="宋体" w:hAnsi="宋体" w:cs="宋体"/>
          <w:snapToGrid w:val="0"/>
          <w:color w:val="auto"/>
          <w:kern w:val="0"/>
          <w:sz w:val="24"/>
          <w:highlight w:val="none"/>
        </w:rPr>
        <w:t>（1）若供应商在规定时间内无法解密或解密失败，采购代理机构将开启所有供应商递交的备份磋商响应文件，上传至政采云平台项目采购模块，以完成开标，电子加密磋商响应文件自动失效。</w:t>
      </w:r>
      <w:bookmarkEnd w:id="151"/>
      <w:bookmarkEnd w:id="152"/>
    </w:p>
    <w:p>
      <w:pPr>
        <w:snapToGrid w:val="0"/>
        <w:spacing w:line="440" w:lineRule="exact"/>
        <w:ind w:left="0" w:firstLine="470" w:firstLineChars="196"/>
        <w:rPr>
          <w:rFonts w:hint="eastAsia" w:ascii="宋体" w:hAnsi="宋体" w:cs="宋体"/>
          <w:snapToGrid w:val="0"/>
          <w:color w:val="auto"/>
          <w:kern w:val="0"/>
          <w:sz w:val="24"/>
          <w:highlight w:val="none"/>
        </w:rPr>
      </w:pPr>
      <w:bookmarkStart w:id="153" w:name="_Toc51872095"/>
      <w:bookmarkStart w:id="154" w:name="_Toc11154"/>
      <w:r>
        <w:rPr>
          <w:rFonts w:hint="eastAsia" w:ascii="宋体" w:hAnsi="宋体" w:cs="宋体"/>
          <w:snapToGrid w:val="0"/>
          <w:color w:val="auto"/>
          <w:kern w:val="0"/>
          <w:sz w:val="24"/>
          <w:highlight w:val="none"/>
        </w:rPr>
        <w:t>2.在磋商过程中，磋商小组可以根据磋商文件和磋商情况实质性变动采购需求中的技术、服务要求以及合同草案条款，但不得变动磋商文件中的其他内容。实质性变动的内容，须经采购人代表确认。</w:t>
      </w:r>
      <w:bookmarkEnd w:id="153"/>
      <w:bookmarkEnd w:id="154"/>
    </w:p>
    <w:p>
      <w:pPr>
        <w:snapToGrid w:val="0"/>
        <w:spacing w:line="440" w:lineRule="exact"/>
        <w:ind w:left="0" w:firstLine="470" w:firstLineChars="196"/>
        <w:rPr>
          <w:rFonts w:hint="eastAsia" w:ascii="宋体" w:hAnsi="宋体" w:cs="宋体"/>
          <w:snapToGrid w:val="0"/>
          <w:color w:val="auto"/>
          <w:kern w:val="0"/>
          <w:sz w:val="24"/>
          <w:highlight w:val="none"/>
        </w:rPr>
      </w:pPr>
      <w:bookmarkStart w:id="155" w:name="_Toc51872096"/>
      <w:bookmarkStart w:id="156" w:name="_Toc9560"/>
      <w:r>
        <w:rPr>
          <w:rFonts w:hint="eastAsia" w:ascii="宋体" w:hAnsi="宋体" w:cs="宋体"/>
          <w:snapToGrid w:val="0"/>
          <w:color w:val="auto"/>
          <w:kern w:val="0"/>
          <w:sz w:val="24"/>
          <w:highlight w:val="none"/>
        </w:rPr>
        <w:t>3.电子在线磋商及评审过程：</w:t>
      </w:r>
      <w:bookmarkEnd w:id="155"/>
      <w:bookmarkEnd w:id="156"/>
    </w:p>
    <w:p>
      <w:pPr>
        <w:snapToGrid w:val="0"/>
        <w:spacing w:line="440" w:lineRule="exact"/>
        <w:ind w:left="0" w:firstLine="470" w:firstLineChars="196"/>
        <w:rPr>
          <w:rFonts w:hint="eastAsia" w:ascii="宋体" w:hAnsi="宋体" w:cs="宋体"/>
          <w:snapToGrid w:val="0"/>
          <w:color w:val="auto"/>
          <w:kern w:val="0"/>
          <w:sz w:val="24"/>
          <w:highlight w:val="none"/>
        </w:rPr>
      </w:pPr>
      <w:bookmarkStart w:id="157" w:name="_Toc28936"/>
      <w:bookmarkStart w:id="158" w:name="_Toc51872097"/>
      <w:r>
        <w:rPr>
          <w:rFonts w:hint="eastAsia" w:ascii="宋体" w:hAnsi="宋体" w:cs="宋体"/>
          <w:snapToGrid w:val="0"/>
          <w:color w:val="auto"/>
          <w:kern w:val="0"/>
          <w:sz w:val="24"/>
          <w:highlight w:val="none"/>
        </w:rPr>
        <w:t>3.1采购响应文件签收、解密：磋商响应截止时间后，采购代理机构向各磋商响应人发出电子加密磋商响应文件【开始解密】通知，磋商响应人登录政采云平台，用“项目采购-开标评标”功能对电子加密磋商响应文件进行在线解密。在线解密电子加密磋商响应文件时间为开标时间起半个小时内。磋商响应人在规定的时间内无法完成已递交的“电子加密磋商响应文件”解密的，如已按规定递交了电子备份磋商响应文件的，将由采购代理机构按“政府采购云平台”操作规范将电子备份磋商响应文件上传至“政府采购云平台”，上传成功后，“电子加密磋商响应文件”自动失效。</w:t>
      </w:r>
      <w:bookmarkEnd w:id="157"/>
      <w:bookmarkEnd w:id="158"/>
    </w:p>
    <w:p>
      <w:pPr>
        <w:snapToGrid w:val="0"/>
        <w:spacing w:line="440" w:lineRule="exact"/>
        <w:ind w:left="0" w:firstLine="470" w:firstLineChars="196"/>
        <w:rPr>
          <w:rFonts w:hint="eastAsia" w:ascii="宋体" w:hAnsi="宋体" w:cs="宋体"/>
          <w:snapToGrid w:val="0"/>
          <w:color w:val="auto"/>
          <w:kern w:val="0"/>
          <w:sz w:val="24"/>
          <w:highlight w:val="none"/>
        </w:rPr>
      </w:pPr>
      <w:bookmarkStart w:id="159" w:name="_Toc51872098"/>
      <w:bookmarkStart w:id="160" w:name="_Toc9314"/>
      <w:r>
        <w:rPr>
          <w:rFonts w:hint="eastAsia" w:ascii="宋体" w:hAnsi="宋体" w:cs="宋体"/>
          <w:snapToGrid w:val="0"/>
          <w:color w:val="auto"/>
          <w:kern w:val="0"/>
          <w:sz w:val="24"/>
          <w:highlight w:val="none"/>
        </w:rPr>
        <w:t>3.2</w:t>
      </w:r>
      <w:bookmarkEnd w:id="159"/>
      <w:bookmarkEnd w:id="160"/>
      <w:bookmarkStart w:id="161" w:name="_Toc17091"/>
      <w:bookmarkStart w:id="162" w:name="_Toc51872099"/>
      <w:r>
        <w:rPr>
          <w:rFonts w:hint="eastAsia" w:ascii="宋体" w:hAnsi="宋体" w:cs="宋体"/>
          <w:snapToGrid w:val="0"/>
          <w:color w:val="auto"/>
          <w:kern w:val="0"/>
          <w:sz w:val="24"/>
          <w:highlight w:val="none"/>
        </w:rPr>
        <w:t>开启电子加密磋商响应文件，进入开评标流程</w:t>
      </w:r>
      <w:bookmarkEnd w:id="161"/>
      <w:bookmarkEnd w:id="162"/>
    </w:p>
    <w:p>
      <w:pPr>
        <w:snapToGrid w:val="0"/>
        <w:spacing w:line="440" w:lineRule="exact"/>
        <w:ind w:left="0" w:firstLine="470" w:firstLineChars="196"/>
        <w:rPr>
          <w:rFonts w:hint="eastAsia" w:ascii="宋体" w:hAnsi="宋体" w:cs="宋体"/>
          <w:snapToGrid w:val="0"/>
          <w:color w:val="auto"/>
          <w:kern w:val="0"/>
          <w:sz w:val="24"/>
          <w:highlight w:val="none"/>
        </w:rPr>
      </w:pPr>
      <w:bookmarkStart w:id="163" w:name="_Toc8192"/>
      <w:bookmarkStart w:id="164" w:name="_Toc51872101"/>
      <w:r>
        <w:rPr>
          <w:rFonts w:hint="eastAsia" w:ascii="宋体" w:hAnsi="宋体" w:cs="宋体"/>
          <w:snapToGrid w:val="0"/>
          <w:color w:val="auto"/>
          <w:kern w:val="0"/>
          <w:sz w:val="24"/>
          <w:highlight w:val="none"/>
        </w:rPr>
        <w:t>3.2.1进入开标记录，主要查看供应商开标情况；</w:t>
      </w:r>
      <w:bookmarkEnd w:id="163"/>
      <w:bookmarkEnd w:id="164"/>
      <w:bookmarkStart w:id="165" w:name="_Toc51872102"/>
      <w:bookmarkStart w:id="166" w:name="_Toc19321"/>
    </w:p>
    <w:p>
      <w:pPr>
        <w:snapToGrid w:val="0"/>
        <w:spacing w:line="440" w:lineRule="exact"/>
        <w:ind w:left="0" w:firstLine="470" w:firstLineChars="196"/>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3.2.2资格审查</w:t>
      </w:r>
      <w:bookmarkEnd w:id="165"/>
      <w:bookmarkEnd w:id="166"/>
    </w:p>
    <w:p>
      <w:pPr>
        <w:snapToGrid w:val="0"/>
        <w:spacing w:line="440" w:lineRule="exact"/>
        <w:ind w:left="0" w:firstLine="470" w:firstLineChars="196"/>
        <w:rPr>
          <w:rFonts w:hint="eastAsia" w:ascii="宋体" w:hAnsi="宋体" w:cs="宋体"/>
          <w:snapToGrid w:val="0"/>
          <w:color w:val="auto"/>
          <w:kern w:val="0"/>
          <w:sz w:val="24"/>
          <w:highlight w:val="none"/>
        </w:rPr>
      </w:pPr>
      <w:bookmarkStart w:id="167" w:name="_Toc11971"/>
      <w:bookmarkStart w:id="168" w:name="_Toc51872103"/>
      <w:r>
        <w:rPr>
          <w:rFonts w:hint="eastAsia" w:ascii="宋体" w:hAnsi="宋体" w:cs="宋体"/>
          <w:snapToGrid w:val="0"/>
          <w:color w:val="auto"/>
          <w:kern w:val="0"/>
          <w:sz w:val="24"/>
          <w:highlight w:val="none"/>
        </w:rPr>
        <w:t>主要按本磋商文件中对磋商响应人资格要求进行审查，包括基本资格要求；特定资格审查要求进行在线资格审查</w:t>
      </w:r>
      <w:bookmarkEnd w:id="167"/>
      <w:bookmarkEnd w:id="168"/>
      <w:r>
        <w:rPr>
          <w:rFonts w:hint="eastAsia" w:ascii="宋体" w:hAnsi="宋体" w:cs="宋体"/>
          <w:snapToGrid w:val="0"/>
          <w:color w:val="auto"/>
          <w:kern w:val="0"/>
          <w:sz w:val="24"/>
          <w:highlight w:val="none"/>
        </w:rPr>
        <w:t>；</w:t>
      </w:r>
    </w:p>
    <w:p>
      <w:pPr>
        <w:snapToGrid w:val="0"/>
        <w:spacing w:line="440" w:lineRule="exact"/>
        <w:ind w:left="0" w:firstLine="470" w:firstLineChars="196"/>
        <w:rPr>
          <w:rFonts w:hint="eastAsia" w:ascii="宋体" w:hAnsi="宋体" w:cs="宋体"/>
          <w:snapToGrid w:val="0"/>
          <w:color w:val="auto"/>
          <w:kern w:val="0"/>
          <w:sz w:val="24"/>
          <w:highlight w:val="none"/>
        </w:rPr>
      </w:pPr>
      <w:bookmarkStart w:id="169" w:name="_Toc51872104"/>
      <w:bookmarkStart w:id="170" w:name="_Toc11189"/>
      <w:r>
        <w:rPr>
          <w:rFonts w:hint="eastAsia" w:ascii="宋体" w:hAnsi="宋体" w:cs="宋体"/>
          <w:snapToGrid w:val="0"/>
          <w:color w:val="auto"/>
          <w:kern w:val="0"/>
          <w:sz w:val="24"/>
          <w:highlight w:val="none"/>
        </w:rPr>
        <w:t>3.2.3符合性评审</w:t>
      </w:r>
      <w:bookmarkEnd w:id="169"/>
      <w:bookmarkEnd w:id="170"/>
    </w:p>
    <w:p>
      <w:pPr>
        <w:snapToGrid w:val="0"/>
        <w:spacing w:line="440" w:lineRule="exact"/>
        <w:ind w:left="0" w:firstLine="470" w:firstLineChars="196"/>
        <w:rPr>
          <w:rFonts w:hint="eastAsia" w:ascii="宋体" w:hAnsi="宋体" w:cs="宋体"/>
          <w:snapToGrid w:val="0"/>
          <w:color w:val="auto"/>
          <w:kern w:val="0"/>
          <w:sz w:val="24"/>
          <w:highlight w:val="none"/>
        </w:rPr>
      </w:pPr>
      <w:bookmarkStart w:id="171" w:name="_Toc30877"/>
      <w:bookmarkStart w:id="172" w:name="_Toc51872105"/>
      <w:r>
        <w:rPr>
          <w:rFonts w:hint="eastAsia" w:ascii="宋体" w:hAnsi="宋体" w:cs="宋体"/>
          <w:snapToGrid w:val="0"/>
          <w:color w:val="auto"/>
          <w:kern w:val="0"/>
          <w:sz w:val="24"/>
          <w:highlight w:val="none"/>
        </w:rPr>
        <w:t>对通过资格审查的供应商按本磋商文件中对磋商响应人进行符合性审查内容</w:t>
      </w:r>
      <w:bookmarkEnd w:id="171"/>
      <w:bookmarkEnd w:id="172"/>
      <w:bookmarkStart w:id="173" w:name="_Toc51872106"/>
      <w:bookmarkStart w:id="174" w:name="_Toc24087"/>
      <w:r>
        <w:rPr>
          <w:rFonts w:hint="eastAsia" w:ascii="宋体" w:hAnsi="宋体" w:cs="宋体"/>
          <w:snapToGrid w:val="0"/>
          <w:color w:val="auto"/>
          <w:kern w:val="0"/>
          <w:sz w:val="24"/>
          <w:highlight w:val="none"/>
        </w:rPr>
        <w:t>；</w:t>
      </w:r>
    </w:p>
    <w:p>
      <w:pPr>
        <w:snapToGrid w:val="0"/>
        <w:spacing w:line="440" w:lineRule="exact"/>
        <w:ind w:left="0" w:firstLine="470" w:firstLineChars="196"/>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3.2.4在线磋商</w:t>
      </w:r>
    </w:p>
    <w:p>
      <w:pPr>
        <w:snapToGrid w:val="0"/>
        <w:spacing w:line="440" w:lineRule="exact"/>
        <w:ind w:left="0" w:firstLine="470" w:firstLineChars="196"/>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3.2.5二次（最终）报价</w:t>
      </w:r>
    </w:p>
    <w:p>
      <w:pPr>
        <w:snapToGrid w:val="0"/>
        <w:spacing w:line="440" w:lineRule="exact"/>
        <w:ind w:left="0" w:firstLine="470" w:firstLineChars="196"/>
        <w:rPr>
          <w:rFonts w:hint="eastAsia" w:ascii="宋体" w:hAnsi="宋体" w:cs="宋体"/>
          <w:snapToGrid w:val="0"/>
          <w:color w:val="auto"/>
          <w:kern w:val="0"/>
          <w:sz w:val="24"/>
          <w:highlight w:val="none"/>
        </w:rPr>
      </w:pPr>
      <w:bookmarkStart w:id="175" w:name="_Toc51872119"/>
      <w:bookmarkStart w:id="176" w:name="_Toc8593"/>
      <w:r>
        <w:rPr>
          <w:rFonts w:hint="eastAsia" w:ascii="宋体" w:hAnsi="宋体" w:cs="宋体"/>
          <w:snapToGrid w:val="0"/>
          <w:color w:val="auto"/>
          <w:kern w:val="0"/>
          <w:sz w:val="24"/>
          <w:highlight w:val="none"/>
        </w:rPr>
        <w:t>磋商结束后，由采购代理机构开启第二轮报价，各继续参加的磋商响应人在开启第二轮报价时限要求不超过30分钟进行二轮报价；超过规定时间提交的二次报价作无效处理。</w:t>
      </w:r>
      <w:bookmarkEnd w:id="175"/>
      <w:bookmarkEnd w:id="176"/>
    </w:p>
    <w:p>
      <w:pPr>
        <w:snapToGrid w:val="0"/>
        <w:spacing w:line="440" w:lineRule="exact"/>
        <w:ind w:left="0" w:firstLine="470" w:firstLineChars="196"/>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3.2.6商务技术评分</w:t>
      </w:r>
      <w:bookmarkEnd w:id="173"/>
      <w:bookmarkEnd w:id="174"/>
    </w:p>
    <w:p>
      <w:pPr>
        <w:snapToGrid w:val="0"/>
        <w:spacing w:line="440" w:lineRule="exact"/>
        <w:ind w:left="0" w:firstLine="470" w:firstLineChars="196"/>
        <w:rPr>
          <w:rFonts w:hint="eastAsia" w:ascii="宋体" w:hAnsi="宋体" w:cs="宋体"/>
          <w:snapToGrid w:val="0"/>
          <w:color w:val="auto"/>
          <w:kern w:val="0"/>
          <w:sz w:val="24"/>
          <w:highlight w:val="none"/>
        </w:rPr>
      </w:pPr>
      <w:bookmarkStart w:id="177" w:name="_Toc51872107"/>
      <w:bookmarkStart w:id="178" w:name="_Toc17089"/>
      <w:r>
        <w:rPr>
          <w:rFonts w:hint="eastAsia" w:ascii="宋体" w:hAnsi="宋体" w:cs="宋体"/>
          <w:snapToGrid w:val="0"/>
          <w:color w:val="auto"/>
          <w:kern w:val="0"/>
          <w:sz w:val="24"/>
          <w:highlight w:val="none"/>
        </w:rPr>
        <w:t>对通过资格审查、符合性审查的供应商进行在线评分，主要查看各磋商响应人的磋商响应文件对本项目的响应情况，按照评分标准进行相对应评分，需要供应商澄清的可发起在线发起询标函。</w:t>
      </w:r>
      <w:bookmarkEnd w:id="177"/>
      <w:bookmarkEnd w:id="178"/>
    </w:p>
    <w:p>
      <w:pPr>
        <w:snapToGrid w:val="0"/>
        <w:spacing w:line="440" w:lineRule="exact"/>
        <w:ind w:left="0" w:firstLine="470" w:firstLineChars="196"/>
        <w:rPr>
          <w:rFonts w:hint="eastAsia" w:ascii="宋体" w:hAnsi="宋体" w:cs="宋体"/>
          <w:snapToGrid w:val="0"/>
          <w:color w:val="auto"/>
          <w:kern w:val="0"/>
          <w:sz w:val="24"/>
          <w:highlight w:val="none"/>
        </w:rPr>
      </w:pPr>
      <w:bookmarkStart w:id="179" w:name="_Toc10348"/>
      <w:bookmarkStart w:id="180" w:name="_Toc51872108"/>
      <w:r>
        <w:rPr>
          <w:rFonts w:hint="eastAsia" w:ascii="宋体" w:hAnsi="宋体" w:cs="宋体"/>
          <w:snapToGrid w:val="0"/>
          <w:color w:val="auto"/>
          <w:kern w:val="0"/>
          <w:sz w:val="24"/>
          <w:highlight w:val="none"/>
        </w:rPr>
        <w:t>3.2.7商务技术评分汇总：政采云平台根据各评审专家的评分进行汇总。</w:t>
      </w:r>
      <w:bookmarkEnd w:id="179"/>
      <w:bookmarkEnd w:id="180"/>
    </w:p>
    <w:p>
      <w:pPr>
        <w:snapToGrid w:val="0"/>
        <w:spacing w:line="440" w:lineRule="exact"/>
        <w:ind w:left="0" w:firstLine="470" w:firstLineChars="196"/>
        <w:rPr>
          <w:rFonts w:hint="eastAsia" w:ascii="宋体" w:hAnsi="宋体" w:cs="宋体"/>
          <w:snapToGrid w:val="0"/>
          <w:color w:val="auto"/>
          <w:kern w:val="0"/>
          <w:sz w:val="24"/>
          <w:highlight w:val="none"/>
        </w:rPr>
      </w:pPr>
      <w:bookmarkStart w:id="181" w:name="_Toc51872109"/>
      <w:bookmarkStart w:id="182" w:name="_Toc932"/>
      <w:r>
        <w:rPr>
          <w:rFonts w:hint="eastAsia" w:ascii="宋体" w:hAnsi="宋体" w:cs="宋体"/>
          <w:snapToGrid w:val="0"/>
          <w:color w:val="auto"/>
          <w:kern w:val="0"/>
          <w:sz w:val="24"/>
          <w:highlight w:val="none"/>
        </w:rPr>
        <w:t>3.2.</w:t>
      </w:r>
      <w:bookmarkEnd w:id="181"/>
      <w:bookmarkEnd w:id="182"/>
      <w:bookmarkStart w:id="183" w:name="_Toc51872120"/>
      <w:bookmarkStart w:id="184" w:name="_Toc10169"/>
      <w:r>
        <w:rPr>
          <w:rFonts w:hint="eastAsia" w:ascii="宋体" w:hAnsi="宋体" w:cs="宋体"/>
          <w:snapToGrid w:val="0"/>
          <w:color w:val="auto"/>
          <w:kern w:val="0"/>
          <w:sz w:val="24"/>
          <w:highlight w:val="none"/>
        </w:rPr>
        <w:t>8系统上公布商务技术评审结果；</w:t>
      </w:r>
      <w:bookmarkEnd w:id="183"/>
      <w:bookmarkEnd w:id="184"/>
    </w:p>
    <w:p>
      <w:pPr>
        <w:snapToGrid w:val="0"/>
        <w:spacing w:line="440" w:lineRule="exact"/>
        <w:ind w:left="0" w:firstLine="470" w:firstLineChars="196"/>
        <w:rPr>
          <w:rFonts w:hint="eastAsia" w:ascii="宋体" w:hAnsi="宋体" w:cs="宋体"/>
          <w:snapToGrid w:val="0"/>
          <w:color w:val="auto"/>
          <w:kern w:val="0"/>
          <w:sz w:val="24"/>
          <w:highlight w:val="none"/>
        </w:rPr>
      </w:pPr>
      <w:bookmarkStart w:id="185" w:name="_Toc19529"/>
      <w:bookmarkStart w:id="186" w:name="_Toc51872121"/>
      <w:r>
        <w:rPr>
          <w:rFonts w:hint="eastAsia" w:ascii="宋体" w:hAnsi="宋体" w:cs="宋体"/>
          <w:snapToGrid w:val="0"/>
          <w:color w:val="auto"/>
          <w:kern w:val="0"/>
          <w:sz w:val="24"/>
          <w:highlight w:val="none"/>
        </w:rPr>
        <w:t>3.2.9报价评审</w:t>
      </w:r>
      <w:bookmarkEnd w:id="185"/>
      <w:bookmarkEnd w:id="186"/>
    </w:p>
    <w:p>
      <w:pPr>
        <w:snapToGrid w:val="0"/>
        <w:spacing w:line="440" w:lineRule="exact"/>
        <w:ind w:left="0" w:firstLine="470" w:firstLineChars="196"/>
        <w:rPr>
          <w:rFonts w:hint="eastAsia" w:ascii="宋体" w:hAnsi="宋体" w:cs="宋体"/>
          <w:snapToGrid w:val="0"/>
          <w:color w:val="auto"/>
          <w:kern w:val="0"/>
          <w:sz w:val="24"/>
          <w:highlight w:val="none"/>
        </w:rPr>
      </w:pPr>
      <w:bookmarkStart w:id="187" w:name="_Toc15595"/>
      <w:bookmarkStart w:id="188" w:name="_Toc51872122"/>
      <w:r>
        <w:rPr>
          <w:rFonts w:hint="eastAsia" w:ascii="宋体" w:hAnsi="宋体" w:cs="宋体"/>
          <w:snapToGrid w:val="0"/>
          <w:color w:val="auto"/>
          <w:kern w:val="0"/>
          <w:sz w:val="24"/>
          <w:highlight w:val="none"/>
        </w:rPr>
        <w:t>（1）评审小组根据磋商响应人的报价文件等进行在线评审。本项目采用二轮报价；</w:t>
      </w:r>
      <w:bookmarkEnd w:id="187"/>
      <w:bookmarkEnd w:id="188"/>
    </w:p>
    <w:p>
      <w:pPr>
        <w:snapToGrid w:val="0"/>
        <w:spacing w:line="440" w:lineRule="exact"/>
        <w:ind w:left="0" w:firstLine="470" w:firstLineChars="196"/>
        <w:rPr>
          <w:rFonts w:hint="eastAsia" w:ascii="宋体" w:hAnsi="宋体" w:cs="宋体"/>
          <w:snapToGrid w:val="0"/>
          <w:color w:val="auto"/>
          <w:kern w:val="0"/>
          <w:sz w:val="24"/>
          <w:highlight w:val="none"/>
        </w:rPr>
      </w:pPr>
      <w:bookmarkStart w:id="189" w:name="_Toc1474"/>
      <w:bookmarkStart w:id="190" w:name="_Toc51872123"/>
      <w:r>
        <w:rPr>
          <w:rFonts w:hint="eastAsia" w:ascii="宋体" w:hAnsi="宋体" w:cs="宋体"/>
          <w:snapToGrid w:val="0"/>
          <w:color w:val="auto"/>
          <w:kern w:val="0"/>
          <w:sz w:val="24"/>
          <w:highlight w:val="none"/>
        </w:rPr>
        <w:t>（2）若磋商响应人在第一轮报价文件上传的价格和报价一览表里填写金额不一致时，以上传的报价文件为准，并由采购代理机构经办人对响应人的报价进行修正确认；若上传报价文件或新一轮报价中大小金额不一致时，以大写金额为准，并由采购代理机构经办人对响应人的报价进行修正确认。</w:t>
      </w:r>
      <w:bookmarkEnd w:id="189"/>
      <w:bookmarkEnd w:id="190"/>
    </w:p>
    <w:p>
      <w:pPr>
        <w:snapToGrid w:val="0"/>
        <w:spacing w:line="440" w:lineRule="exact"/>
        <w:ind w:left="0" w:firstLine="470" w:firstLineChars="196"/>
        <w:rPr>
          <w:rFonts w:hint="eastAsia" w:ascii="宋体" w:hAnsi="宋体" w:cs="宋体"/>
          <w:snapToGrid w:val="0"/>
          <w:color w:val="auto"/>
          <w:kern w:val="0"/>
          <w:sz w:val="24"/>
          <w:highlight w:val="none"/>
        </w:rPr>
      </w:pPr>
      <w:bookmarkStart w:id="191" w:name="_Toc31226"/>
      <w:bookmarkStart w:id="192" w:name="_Toc51872124"/>
      <w:r>
        <w:rPr>
          <w:rFonts w:hint="eastAsia" w:ascii="宋体" w:hAnsi="宋体" w:cs="宋体"/>
          <w:snapToGrid w:val="0"/>
          <w:color w:val="auto"/>
          <w:kern w:val="0"/>
          <w:sz w:val="24"/>
          <w:highlight w:val="none"/>
        </w:rPr>
        <w:t>（3）评审小组根据磋商响应人的二轮报价进行在线评审。</w:t>
      </w:r>
      <w:bookmarkEnd w:id="191"/>
      <w:bookmarkEnd w:id="192"/>
    </w:p>
    <w:p>
      <w:pPr>
        <w:snapToGrid w:val="0"/>
        <w:spacing w:line="440" w:lineRule="exact"/>
        <w:ind w:left="0" w:firstLine="470" w:firstLineChars="196"/>
        <w:rPr>
          <w:rFonts w:hint="eastAsia" w:ascii="宋体" w:hAnsi="宋体" w:cs="宋体"/>
          <w:snapToGrid w:val="0"/>
          <w:color w:val="auto"/>
          <w:kern w:val="0"/>
          <w:sz w:val="24"/>
          <w:highlight w:val="none"/>
        </w:rPr>
      </w:pPr>
      <w:bookmarkStart w:id="193" w:name="_Toc51872125"/>
      <w:bookmarkStart w:id="194" w:name="_Toc5189"/>
      <w:r>
        <w:rPr>
          <w:rFonts w:hint="eastAsia" w:ascii="宋体" w:hAnsi="宋体" w:cs="宋体"/>
          <w:snapToGrid w:val="0"/>
          <w:color w:val="auto"/>
          <w:kern w:val="0"/>
          <w:sz w:val="24"/>
          <w:highlight w:val="none"/>
        </w:rPr>
        <w:t>3.2.10政采云平台进行总得分汇总</w:t>
      </w:r>
      <w:bookmarkEnd w:id="193"/>
      <w:bookmarkEnd w:id="194"/>
      <w:r>
        <w:rPr>
          <w:rFonts w:hint="eastAsia" w:ascii="宋体" w:hAnsi="宋体" w:cs="宋体"/>
          <w:snapToGrid w:val="0"/>
          <w:color w:val="auto"/>
          <w:kern w:val="0"/>
          <w:sz w:val="24"/>
          <w:highlight w:val="none"/>
        </w:rPr>
        <w:t>。</w:t>
      </w:r>
    </w:p>
    <w:p>
      <w:pPr>
        <w:snapToGrid w:val="0"/>
        <w:spacing w:line="440" w:lineRule="exact"/>
        <w:ind w:left="0" w:firstLine="470" w:firstLineChars="196"/>
        <w:rPr>
          <w:rFonts w:hint="eastAsia" w:ascii="宋体" w:hAnsi="宋体" w:cs="宋体"/>
          <w:snapToGrid w:val="0"/>
          <w:color w:val="auto"/>
          <w:kern w:val="0"/>
          <w:sz w:val="24"/>
          <w:highlight w:val="none"/>
        </w:rPr>
      </w:pPr>
      <w:bookmarkStart w:id="195" w:name="_Toc30460"/>
      <w:bookmarkStart w:id="196" w:name="_Toc51872126"/>
      <w:r>
        <w:rPr>
          <w:rFonts w:hint="eastAsia" w:ascii="宋体" w:hAnsi="宋体" w:cs="宋体"/>
          <w:snapToGrid w:val="0"/>
          <w:color w:val="auto"/>
          <w:kern w:val="0"/>
          <w:sz w:val="24"/>
          <w:highlight w:val="none"/>
        </w:rPr>
        <w:t>3.2.11在系统上公布评审结果。</w:t>
      </w:r>
      <w:bookmarkEnd w:id="195"/>
      <w:bookmarkEnd w:id="196"/>
    </w:p>
    <w:p>
      <w:pPr>
        <w:snapToGrid w:val="0"/>
        <w:spacing w:line="440" w:lineRule="exact"/>
        <w:ind w:left="0" w:firstLine="470" w:firstLineChars="196"/>
        <w:rPr>
          <w:rFonts w:hint="eastAsia" w:ascii="宋体" w:hAnsi="宋体" w:cs="宋体"/>
          <w:snapToGrid w:val="0"/>
          <w:color w:val="auto"/>
          <w:kern w:val="0"/>
          <w:sz w:val="24"/>
          <w:highlight w:val="none"/>
        </w:rPr>
      </w:pPr>
      <w:bookmarkStart w:id="197" w:name="_Toc14017"/>
      <w:bookmarkStart w:id="198" w:name="_Toc51872127"/>
      <w:r>
        <w:rPr>
          <w:rFonts w:hint="eastAsia" w:ascii="宋体" w:hAnsi="宋体" w:cs="宋体"/>
          <w:snapToGrid w:val="0"/>
          <w:color w:val="auto"/>
          <w:kern w:val="0"/>
          <w:sz w:val="24"/>
          <w:highlight w:val="none"/>
        </w:rPr>
        <w:t>3.开标会结束。</w:t>
      </w:r>
      <w:bookmarkEnd w:id="197"/>
      <w:bookmarkEnd w:id="198"/>
    </w:p>
    <w:p>
      <w:pPr>
        <w:snapToGrid w:val="0"/>
        <w:spacing w:line="440" w:lineRule="exact"/>
        <w:ind w:left="0" w:firstLine="472" w:firstLineChars="196"/>
        <w:rPr>
          <w:rFonts w:hint="eastAsia" w:ascii="宋体" w:hAnsi="宋体" w:cs="宋体"/>
          <w:b/>
          <w:bCs/>
          <w:snapToGrid w:val="0"/>
          <w:color w:val="auto"/>
          <w:kern w:val="0"/>
          <w:sz w:val="24"/>
          <w:highlight w:val="none"/>
        </w:rPr>
      </w:pPr>
      <w:bookmarkStart w:id="199" w:name="_Toc2470"/>
      <w:bookmarkStart w:id="200" w:name="_Toc51872128"/>
      <w:r>
        <w:rPr>
          <w:rFonts w:hint="eastAsia" w:ascii="宋体" w:hAnsi="宋体" w:cs="宋体"/>
          <w:b/>
          <w:bCs/>
          <w:snapToGrid w:val="0"/>
          <w:color w:val="auto"/>
          <w:kern w:val="0"/>
          <w:sz w:val="24"/>
          <w:highlight w:val="none"/>
        </w:rPr>
        <w:t>特别说明：政采云公司如对电子化开标及评审程序有调整的，按调整后的程序操作。</w:t>
      </w:r>
      <w:bookmarkEnd w:id="199"/>
      <w:bookmarkEnd w:id="200"/>
    </w:p>
    <w:p>
      <w:pPr>
        <w:snapToGrid w:val="0"/>
        <w:spacing w:line="440" w:lineRule="exact"/>
        <w:ind w:left="0" w:firstLine="472" w:firstLineChars="196"/>
        <w:rPr>
          <w:rFonts w:hint="eastAsia" w:ascii="宋体" w:hAnsi="宋体" w:cs="宋体"/>
          <w:b/>
          <w:snapToGrid w:val="0"/>
          <w:color w:val="auto"/>
          <w:kern w:val="0"/>
          <w:sz w:val="24"/>
          <w:highlight w:val="none"/>
        </w:rPr>
      </w:pPr>
      <w:bookmarkStart w:id="201" w:name="_Toc15501"/>
      <w:bookmarkStart w:id="202" w:name="_Toc51872129"/>
      <w:r>
        <w:rPr>
          <w:rFonts w:hint="eastAsia" w:ascii="宋体" w:hAnsi="宋体" w:cs="宋体"/>
          <w:b/>
          <w:snapToGrid w:val="0"/>
          <w:color w:val="auto"/>
          <w:kern w:val="0"/>
          <w:sz w:val="24"/>
          <w:highlight w:val="none"/>
        </w:rPr>
        <w:t>二、磋商办法</w:t>
      </w:r>
      <w:bookmarkEnd w:id="201"/>
      <w:bookmarkEnd w:id="202"/>
    </w:p>
    <w:p>
      <w:pPr>
        <w:snapToGrid w:val="0"/>
        <w:spacing w:line="440" w:lineRule="exact"/>
        <w:ind w:left="0" w:firstLine="470" w:firstLineChars="196"/>
        <w:rPr>
          <w:rFonts w:hint="eastAsia" w:ascii="宋体" w:hAnsi="宋体" w:cs="宋体"/>
          <w:snapToGrid w:val="0"/>
          <w:color w:val="auto"/>
          <w:kern w:val="0"/>
          <w:sz w:val="24"/>
          <w:highlight w:val="none"/>
        </w:rPr>
      </w:pPr>
      <w:bookmarkStart w:id="203" w:name="_Toc51872130"/>
      <w:bookmarkStart w:id="204" w:name="_Toc14976"/>
      <w:r>
        <w:rPr>
          <w:rFonts w:hint="eastAsia" w:ascii="宋体" w:hAnsi="宋体" w:cs="宋体"/>
          <w:snapToGrid w:val="0"/>
          <w:color w:val="auto"/>
          <w:kern w:val="0"/>
          <w:sz w:val="24"/>
          <w:highlight w:val="none"/>
        </w:rPr>
        <w:t>1.本磋商办法采用综合评分法，由商务技术分和报价分合计组成，满分为100分。其中：商务技术分90分，报价分10分。</w:t>
      </w:r>
      <w:bookmarkEnd w:id="203"/>
      <w:bookmarkEnd w:id="204"/>
    </w:p>
    <w:p>
      <w:pPr>
        <w:snapToGrid w:val="0"/>
        <w:spacing w:line="440" w:lineRule="exact"/>
        <w:ind w:left="0" w:firstLine="470" w:firstLineChars="196"/>
        <w:rPr>
          <w:rFonts w:hint="eastAsia" w:ascii="宋体" w:hAnsi="宋体" w:cs="宋体"/>
          <w:snapToGrid w:val="0"/>
          <w:color w:val="auto"/>
          <w:kern w:val="0"/>
          <w:sz w:val="24"/>
          <w:highlight w:val="none"/>
        </w:rPr>
      </w:pPr>
      <w:bookmarkStart w:id="205" w:name="_Toc51872131"/>
      <w:bookmarkStart w:id="206" w:name="_Toc28764"/>
      <w:r>
        <w:rPr>
          <w:rFonts w:hint="eastAsia" w:ascii="宋体" w:hAnsi="宋体" w:cs="宋体"/>
          <w:snapToGrid w:val="0"/>
          <w:color w:val="auto"/>
          <w:kern w:val="0"/>
          <w:sz w:val="24"/>
          <w:highlight w:val="none"/>
        </w:rPr>
        <w:t>2.磋商小组根据磋商文件和磋商响应文件，结合商务技术评分细则对各供应商的商务技术部分进行评审。磋商小组各成员所评分值的算术平均值（四舍五入，保留两位小数）即为各供应商的商务技术分值。</w:t>
      </w:r>
      <w:bookmarkEnd w:id="205"/>
      <w:bookmarkEnd w:id="206"/>
    </w:p>
    <w:p>
      <w:pPr>
        <w:snapToGrid w:val="0"/>
        <w:spacing w:line="440" w:lineRule="exact"/>
        <w:ind w:left="0" w:firstLine="470" w:firstLineChars="196"/>
        <w:rPr>
          <w:rFonts w:hint="eastAsia" w:ascii="宋体" w:hAnsi="宋体" w:cs="宋体"/>
          <w:snapToGrid w:val="0"/>
          <w:color w:val="auto"/>
          <w:kern w:val="0"/>
          <w:sz w:val="24"/>
          <w:highlight w:val="none"/>
        </w:rPr>
      </w:pPr>
      <w:bookmarkStart w:id="207" w:name="_Toc51872132"/>
      <w:bookmarkStart w:id="208" w:name="_Toc9372"/>
      <w:r>
        <w:rPr>
          <w:rFonts w:hint="eastAsia" w:ascii="宋体" w:hAnsi="宋体" w:cs="宋体"/>
          <w:snapToGrid w:val="0"/>
          <w:color w:val="auto"/>
          <w:kern w:val="0"/>
          <w:sz w:val="24"/>
          <w:highlight w:val="none"/>
        </w:rPr>
        <w:t>3.推荐成交候选人名单。磋商小组应当根据综合评分情况，按照评审得分由高到低顺序推荐第一成交候选人、第二成交候选人和第三成交候选人。得分且最后报价相同的，按照提供的技术、服务优劣顺序推荐。</w:t>
      </w:r>
      <w:bookmarkEnd w:id="207"/>
      <w:bookmarkEnd w:id="208"/>
    </w:p>
    <w:p>
      <w:pPr>
        <w:snapToGrid w:val="0"/>
        <w:spacing w:line="440" w:lineRule="exact"/>
        <w:ind w:left="0" w:firstLine="470" w:firstLineChars="196"/>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4.采购代理机构在评审结束后2个工作日内将评审报告送采购人确认。</w:t>
      </w:r>
    </w:p>
    <w:p>
      <w:pPr>
        <w:snapToGrid w:val="0"/>
        <w:spacing w:line="440" w:lineRule="exact"/>
        <w:ind w:left="0" w:firstLine="470" w:firstLineChars="196"/>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40" w:lineRule="exact"/>
        <w:ind w:left="0" w:firstLine="472" w:firstLineChars="196"/>
        <w:rPr>
          <w:rFonts w:hint="eastAsia" w:ascii="宋体" w:hAnsi="宋体" w:cs="宋体"/>
          <w:b/>
          <w:bCs/>
          <w:color w:val="auto"/>
          <w:sz w:val="24"/>
          <w:szCs w:val="24"/>
          <w:highlight w:val="none"/>
        </w:rPr>
      </w:pPr>
      <w:bookmarkStart w:id="209" w:name="_Toc51872133"/>
      <w:bookmarkStart w:id="210" w:name="_Toc6035"/>
      <w:r>
        <w:rPr>
          <w:rFonts w:hint="eastAsia" w:ascii="宋体" w:hAnsi="宋体" w:cs="宋体"/>
          <w:b/>
          <w:bCs/>
          <w:color w:val="auto"/>
          <w:sz w:val="24"/>
          <w:szCs w:val="24"/>
          <w:highlight w:val="none"/>
        </w:rPr>
        <w:t>三、评分细则及标准</w:t>
      </w:r>
      <w:bookmarkEnd w:id="209"/>
      <w:bookmarkEnd w:id="210"/>
    </w:p>
    <w:p>
      <w:pPr>
        <w:snapToGrid w:val="0"/>
        <w:spacing w:line="440" w:lineRule="exact"/>
        <w:ind w:left="0" w:firstLine="470" w:firstLineChars="196"/>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1.商务技术分（90分）</w:t>
      </w:r>
    </w:p>
    <w:p>
      <w:pPr>
        <w:snapToGrid w:val="0"/>
        <w:spacing w:line="440" w:lineRule="exact"/>
        <w:ind w:left="0" w:firstLine="470" w:firstLineChars="196"/>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磋商小组各成员所评分值的算术平均值即为各供应商的评定分值（计算时四舍五入，保留两位小数）</w:t>
      </w:r>
    </w:p>
    <w:tbl>
      <w:tblPr>
        <w:tblStyle w:val="16"/>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67"/>
        <w:gridCol w:w="5702"/>
        <w:gridCol w:w="914"/>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16" w:type="dxa"/>
            <w:shd w:val="clear" w:color="auto" w:fill="BEBEBE"/>
            <w:noWrap w:val="0"/>
            <w:vAlign w:val="center"/>
          </w:tcPr>
          <w:p>
            <w:pPr>
              <w:autoSpaceDE w:val="0"/>
              <w:autoSpaceDN w:val="0"/>
              <w:adjustRightInd w:val="0"/>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67" w:type="dxa"/>
            <w:shd w:val="clear" w:color="auto" w:fill="BEBEBE"/>
            <w:noWrap w:val="0"/>
            <w:vAlign w:val="center"/>
          </w:tcPr>
          <w:p>
            <w:pPr>
              <w:autoSpaceDE w:val="0"/>
              <w:autoSpaceDN w:val="0"/>
              <w:adjustRightInd w:val="0"/>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w:t>
            </w:r>
          </w:p>
        </w:tc>
        <w:tc>
          <w:tcPr>
            <w:tcW w:w="5702" w:type="dxa"/>
            <w:shd w:val="clear" w:color="auto" w:fill="BEBEBE"/>
            <w:noWrap w:val="0"/>
            <w:vAlign w:val="center"/>
          </w:tcPr>
          <w:p>
            <w:pPr>
              <w:autoSpaceDE w:val="0"/>
              <w:autoSpaceDN w:val="0"/>
              <w:adjustRightInd w:val="0"/>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细则内容</w:t>
            </w:r>
          </w:p>
        </w:tc>
        <w:tc>
          <w:tcPr>
            <w:tcW w:w="914" w:type="dxa"/>
            <w:shd w:val="clear" w:color="auto" w:fill="BEBEBE"/>
            <w:noWrap w:val="0"/>
            <w:vAlign w:val="center"/>
          </w:tcPr>
          <w:p>
            <w:pPr>
              <w:autoSpaceDE w:val="0"/>
              <w:autoSpaceDN w:val="0"/>
              <w:adjustRightInd w:val="0"/>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16" w:type="dxa"/>
            <w:noWrap w:val="0"/>
            <w:vAlign w:val="center"/>
          </w:tcPr>
          <w:p>
            <w:pPr>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67" w:type="dxa"/>
            <w:noWrap w:val="0"/>
            <w:vAlign w:val="center"/>
          </w:tcPr>
          <w:p>
            <w:pPr>
              <w:keepNext w:val="0"/>
              <w:keepLines w:val="0"/>
              <w:widowControl/>
              <w:suppressLineNumbers w:val="0"/>
              <w:overflowPunct w:val="0"/>
              <w:autoSpaceDE w:val="0"/>
              <w:autoSpaceDN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vertAlign w:val="baseline"/>
                <w:lang w:val="en-US" w:eastAsia="zh-CN" w:bidi="ar"/>
              </w:rPr>
              <w:t>项目业绩</w:t>
            </w: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供应商自2021年1月1日（以合同签订时间为准）以来承接过的类似项目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，每个得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p>
            <w:pPr>
              <w:spacing w:line="0" w:lineRule="atLeas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注：须提供合同原件扫描件，未提供</w:t>
            </w:r>
            <w:r>
              <w:rPr>
                <w:rFonts w:hint="eastAsia" w:ascii="宋体" w:hAnsi="宋体" w:eastAsia="宋体" w:cs="宋体"/>
                <w:color w:val="auto"/>
                <w:sz w:val="24"/>
                <w:szCs w:val="24"/>
                <w:highlight w:val="none"/>
                <w:lang w:val="zh-CN" w:eastAsia="zh-CN"/>
              </w:rPr>
              <w:t>不得分</w:t>
            </w:r>
            <w:r>
              <w:rPr>
                <w:rFonts w:hint="eastAsia" w:ascii="宋体" w:hAnsi="宋体" w:eastAsia="宋体" w:cs="宋体"/>
                <w:color w:val="auto"/>
                <w:sz w:val="24"/>
                <w:szCs w:val="24"/>
                <w:highlight w:val="none"/>
                <w:lang w:val="en-US" w:eastAsia="zh-CN"/>
              </w:rPr>
              <w:t>。</w:t>
            </w:r>
          </w:p>
        </w:tc>
        <w:tc>
          <w:tcPr>
            <w:tcW w:w="914" w:type="dxa"/>
            <w:noWrap w:val="0"/>
            <w:vAlign w:val="center"/>
          </w:tcPr>
          <w:p>
            <w:pPr>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0-1分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16" w:type="dxa"/>
            <w:vMerge w:val="restart"/>
            <w:noWrap w:val="0"/>
            <w:vAlign w:val="center"/>
          </w:tcPr>
          <w:p>
            <w:pPr>
              <w:autoSpaceDE w:val="0"/>
              <w:autoSpaceDN w:val="0"/>
              <w:adjustRightInd w:val="0"/>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67" w:type="dxa"/>
            <w:vMerge w:val="restart"/>
            <w:noWrap w:val="0"/>
            <w:vAlign w:val="center"/>
          </w:tcPr>
          <w:p>
            <w:pPr>
              <w:keepNext w:val="0"/>
              <w:keepLines w:val="0"/>
              <w:widowControl/>
              <w:suppressLineNumbers w:val="0"/>
              <w:overflowPunct w:val="0"/>
              <w:autoSpaceDE w:val="0"/>
              <w:autoSpaceDN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vertAlign w:val="baseline"/>
                <w:lang w:val="en-US" w:eastAsia="zh-CN" w:bidi="ar"/>
              </w:rPr>
              <w:t>团队人员配备</w:t>
            </w: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根据供应商拟派项目负责人的专业技术能力、服务经验、组织协调能力等进行</w:t>
            </w:r>
            <w:r>
              <w:rPr>
                <w:rFonts w:hint="eastAsia" w:ascii="宋体" w:hAnsi="宋体" w:eastAsia="宋体" w:cs="宋体"/>
                <w:color w:val="auto"/>
                <w:sz w:val="24"/>
                <w:szCs w:val="24"/>
                <w:highlight w:val="none"/>
                <w:lang w:val="en-US" w:eastAsia="zh-CN"/>
              </w:rPr>
              <w:t>综合评</w:t>
            </w:r>
            <w:r>
              <w:rPr>
                <w:rFonts w:hint="eastAsia" w:ascii="宋体" w:hAnsi="宋体" w:eastAsia="宋体" w:cs="宋体"/>
                <w:color w:val="auto"/>
                <w:sz w:val="24"/>
                <w:szCs w:val="24"/>
                <w:highlight w:val="none"/>
                <w:lang w:val="zh-CN" w:eastAsia="zh-CN"/>
              </w:rPr>
              <w:t>分：</w:t>
            </w:r>
          </w:p>
          <w:p>
            <w:pPr>
              <w:numPr>
                <w:ilvl w:val="0"/>
                <w:numId w:val="4"/>
              </w:numPr>
              <w:spacing w:line="0" w:lineRule="atLeast"/>
              <w:ind w:left="0" w:firstLine="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项目负责人专业技术能力强、经验丰富的得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具备一定专业技能及服务经验的得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分；</w:t>
            </w:r>
          </w:p>
          <w:p>
            <w:pPr>
              <w:numPr>
                <w:ilvl w:val="0"/>
                <w:numId w:val="4"/>
              </w:numPr>
              <w:spacing w:line="0" w:lineRule="atLeast"/>
              <w:ind w:left="0" w:leftChars="0" w:firstLine="0" w:firstLine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专业技能及服务经验欠缺的得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p>
          <w:p>
            <w:pPr>
              <w:numPr>
                <w:numId w:val="0"/>
              </w:numPr>
              <w:spacing w:line="0" w:lineRule="atLeast"/>
              <w:ind w:leftChars="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val="zh-CN" w:eastAsia="zh-CN"/>
              </w:rPr>
              <w:t>不得分。</w:t>
            </w:r>
          </w:p>
        </w:tc>
        <w:tc>
          <w:tcPr>
            <w:tcW w:w="914" w:type="dxa"/>
            <w:noWrap w:val="0"/>
            <w:vAlign w:val="center"/>
          </w:tcPr>
          <w:p>
            <w:pPr>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0-6分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816" w:type="dxa"/>
            <w:vMerge w:val="continue"/>
            <w:noWrap w:val="0"/>
            <w:vAlign w:val="center"/>
          </w:tcPr>
          <w:p>
            <w:pPr>
              <w:spacing w:line="0" w:lineRule="atLeast"/>
              <w:ind w:left="0" w:firstLine="0"/>
              <w:jc w:val="center"/>
              <w:rPr>
                <w:rFonts w:hint="eastAsia" w:ascii="宋体" w:hAnsi="宋体" w:eastAsia="宋体" w:cs="宋体"/>
                <w:color w:val="auto"/>
                <w:sz w:val="24"/>
                <w:szCs w:val="24"/>
                <w:highlight w:val="none"/>
              </w:rPr>
            </w:pPr>
          </w:p>
        </w:tc>
        <w:tc>
          <w:tcPr>
            <w:tcW w:w="1567" w:type="dxa"/>
            <w:vMerge w:val="continue"/>
            <w:noWrap w:val="0"/>
            <w:vAlign w:val="center"/>
          </w:tcPr>
          <w:p>
            <w:pPr>
              <w:ind w:left="992" w:leftChars="0" w:hanging="560" w:firstLineChars="0"/>
              <w:rPr>
                <w:rFonts w:hint="eastAsia" w:ascii="宋体" w:hAnsi="宋体" w:eastAsia="宋体" w:cs="宋体"/>
                <w:color w:val="auto"/>
                <w:sz w:val="24"/>
                <w:szCs w:val="24"/>
                <w:highlight w:val="none"/>
              </w:rPr>
            </w:pP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lang w:val="zh-CN" w:eastAsia="zh-CN"/>
              </w:rPr>
            </w:pPr>
            <w:bookmarkStart w:id="235" w:name="_GoBack"/>
            <w:r>
              <w:rPr>
                <w:rFonts w:hint="eastAsia" w:ascii="宋体" w:hAnsi="宋体" w:eastAsia="宋体" w:cs="宋体"/>
                <w:color w:val="auto"/>
                <w:sz w:val="24"/>
                <w:szCs w:val="24"/>
                <w:highlight w:val="none"/>
                <w:lang w:val="zh-CN" w:eastAsia="zh-CN"/>
              </w:rPr>
              <w:t>根据</w:t>
            </w:r>
            <w:r>
              <w:rPr>
                <w:rFonts w:hint="eastAsia" w:ascii="宋体" w:hAnsi="宋体" w:eastAsia="宋体" w:cs="宋体"/>
                <w:color w:val="auto"/>
                <w:sz w:val="24"/>
                <w:szCs w:val="24"/>
                <w:highlight w:val="none"/>
                <w:lang w:val="en-US" w:eastAsia="zh-CN"/>
              </w:rPr>
              <w:t>供应商拟派团队人员配备、职责划分、经验等进行综合评</w:t>
            </w:r>
            <w:r>
              <w:rPr>
                <w:rFonts w:hint="eastAsia" w:ascii="宋体" w:hAnsi="宋体" w:eastAsia="宋体" w:cs="宋体"/>
                <w:color w:val="auto"/>
                <w:sz w:val="24"/>
                <w:szCs w:val="24"/>
                <w:highlight w:val="none"/>
                <w:lang w:val="zh-CN" w:eastAsia="zh-CN"/>
              </w:rPr>
              <w:t>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人员配备合理、职责划分明确、经验丰富的得8分；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人员配备</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合理、职责划分</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明确、有一定经验的得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人员配备基本合理、职责划分基本明确、有经验的得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人员配备、职责划分及经验欠缺的得2分；</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未提供不得分。</w:t>
            </w:r>
            <w:bookmarkEnd w:id="235"/>
          </w:p>
        </w:tc>
        <w:tc>
          <w:tcPr>
            <w:tcW w:w="914" w:type="dxa"/>
            <w:noWrap w:val="0"/>
            <w:vAlign w:val="center"/>
          </w:tcPr>
          <w:p>
            <w:pPr>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0-8分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816" w:type="dxa"/>
            <w:noWrap w:val="0"/>
            <w:vAlign w:val="center"/>
          </w:tcPr>
          <w:p>
            <w:pPr>
              <w:spacing w:line="0" w:lineRule="atLeast"/>
              <w:ind w:left="0" w:firstLine="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567" w:type="dxa"/>
            <w:noWrap w:val="0"/>
            <w:vAlign w:val="center"/>
          </w:tcPr>
          <w:p>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项目需求理解</w:t>
            </w:r>
          </w:p>
        </w:tc>
        <w:tc>
          <w:tcPr>
            <w:tcW w:w="5702" w:type="dxa"/>
            <w:noWrap w:val="0"/>
            <w:vAlign w:val="center"/>
          </w:tcPr>
          <w:p>
            <w:pPr>
              <w:spacing w:line="0" w:lineRule="atLeast"/>
              <w:ind w:left="0" w:firstLine="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根据供应商对本项目的认识、目标、服务内容分析理解等情况是否准确、详尽、明晰</w:t>
            </w:r>
            <w:r>
              <w:rPr>
                <w:rFonts w:hint="eastAsia" w:ascii="宋体" w:hAnsi="宋体" w:eastAsia="宋体" w:cs="宋体"/>
                <w:color w:val="auto"/>
                <w:sz w:val="24"/>
                <w:szCs w:val="24"/>
                <w:highlight w:val="none"/>
                <w:lang w:val="en-US" w:eastAsia="zh-CN"/>
              </w:rPr>
              <w:t>进行综合评</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w:t>
            </w:r>
          </w:p>
          <w:p>
            <w:pPr>
              <w:numPr>
                <w:ilvl w:val="0"/>
                <w:numId w:val="0"/>
              </w:numPr>
              <w:spacing w:line="0" w:lineRule="atLeast"/>
              <w:ind w:leftChars="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1.项目背景理解完整、项目需求理解准确的得</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分；</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项目背景理解</w:t>
            </w:r>
            <w:r>
              <w:rPr>
                <w:rFonts w:hint="eastAsia" w:ascii="宋体" w:hAnsi="宋体" w:cs="宋体"/>
                <w:color w:val="auto"/>
                <w:kern w:val="2"/>
                <w:sz w:val="24"/>
                <w:szCs w:val="24"/>
                <w:highlight w:val="none"/>
                <w:lang w:val="en-US" w:eastAsia="zh-CN" w:bidi="ar"/>
              </w:rPr>
              <w:t>基本</w:t>
            </w:r>
            <w:r>
              <w:rPr>
                <w:rFonts w:hint="eastAsia" w:ascii="宋体" w:hAnsi="宋体" w:eastAsia="宋体" w:cs="宋体"/>
                <w:color w:val="auto"/>
                <w:kern w:val="2"/>
                <w:sz w:val="24"/>
                <w:szCs w:val="24"/>
                <w:highlight w:val="none"/>
                <w:lang w:val="en-US" w:eastAsia="zh-CN" w:bidi="ar"/>
              </w:rPr>
              <w:t>完整、需求</w:t>
            </w:r>
            <w:r>
              <w:rPr>
                <w:rFonts w:hint="eastAsia" w:ascii="宋体" w:hAnsi="宋体" w:cs="宋体"/>
                <w:color w:val="auto"/>
                <w:kern w:val="2"/>
                <w:sz w:val="24"/>
                <w:szCs w:val="24"/>
                <w:highlight w:val="none"/>
                <w:lang w:val="en-US" w:eastAsia="zh-CN" w:bidi="ar"/>
              </w:rPr>
              <w:t>基本</w:t>
            </w:r>
            <w:r>
              <w:rPr>
                <w:rFonts w:hint="eastAsia" w:ascii="宋体" w:hAnsi="宋体" w:eastAsia="宋体" w:cs="宋体"/>
                <w:color w:val="auto"/>
                <w:kern w:val="2"/>
                <w:sz w:val="24"/>
                <w:szCs w:val="24"/>
                <w:highlight w:val="none"/>
                <w:lang w:val="en-US" w:eastAsia="zh-CN" w:bidi="ar"/>
              </w:rPr>
              <w:t>准确的得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项目背景和需求理解欠缺</w:t>
            </w:r>
            <w:r>
              <w:rPr>
                <w:rFonts w:hint="eastAsia" w:ascii="宋体" w:hAnsi="宋体" w:eastAsia="宋体" w:cs="宋体"/>
                <w:color w:val="auto"/>
                <w:sz w:val="24"/>
                <w:szCs w:val="24"/>
                <w:highlight w:val="none"/>
                <w:lang w:val="en-US" w:eastAsia="zh-CN"/>
              </w:rPr>
              <w:t>或不足</w:t>
            </w:r>
            <w:r>
              <w:rPr>
                <w:rFonts w:hint="eastAsia" w:ascii="宋体" w:hAnsi="宋体" w:eastAsia="宋体" w:cs="宋体"/>
                <w:color w:val="auto"/>
                <w:kern w:val="2"/>
                <w:sz w:val="24"/>
                <w:szCs w:val="24"/>
                <w:highlight w:val="none"/>
                <w:lang w:val="en-US" w:eastAsia="zh-CN" w:bidi="ar"/>
              </w:rPr>
              <w:t>的得1分；</w:t>
            </w:r>
          </w:p>
          <w:p>
            <w:pPr>
              <w:numPr>
                <w:ilvl w:val="0"/>
                <w:numId w:val="0"/>
              </w:numPr>
              <w:spacing w:line="0" w:lineRule="atLeast"/>
              <w:ind w:leftChars="0"/>
              <w:rPr>
                <w:rFonts w:hint="eastAsia" w:ascii="宋体" w:hAnsi="宋体" w:eastAsia="宋体" w:cs="宋体"/>
                <w:color w:val="auto"/>
                <w:sz w:val="24"/>
                <w:szCs w:val="24"/>
                <w:highlight w:val="none"/>
                <w:lang w:val="zh-CN" w:eastAsia="zh-CN"/>
              </w:rPr>
            </w:pP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未提供的不得分。</w:t>
            </w:r>
          </w:p>
        </w:tc>
        <w:tc>
          <w:tcPr>
            <w:tcW w:w="914" w:type="dxa"/>
            <w:noWrap w:val="0"/>
            <w:vAlign w:val="center"/>
          </w:tcPr>
          <w:p>
            <w:pPr>
              <w:spacing w:line="0" w:lineRule="atLeast"/>
              <w:ind w:left="0"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16" w:type="dxa"/>
            <w:noWrap w:val="0"/>
            <w:vAlign w:val="center"/>
          </w:tcPr>
          <w:p>
            <w:pPr>
              <w:spacing w:line="0" w:lineRule="atLeast"/>
              <w:ind w:left="0" w:firstLine="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567" w:type="dxa"/>
            <w:noWrap w:val="0"/>
            <w:vAlign w:val="center"/>
          </w:tcPr>
          <w:p>
            <w:pPr>
              <w:spacing w:line="0" w:lineRule="atLeast"/>
              <w:ind w:left="0" w:firstLine="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2024“宋韵儒风 南孔琴韵”第三届“敦煌杯”古琴室内乐新作品展演活动实施方案</w:t>
            </w: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根据供应商提供的2024“宋韵儒风 南孔琴韵”第三届“敦煌杯”古琴室内乐新作品展演活动实施方案（包含对活动涉及的举办内容、举办流程等）完整性、合理性、可行性进行综合评</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 xml:space="preserve">： </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方案思路清晰、详细完整、科学合理、安全严密、条理清晰、可操作性强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完全满足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的得9分；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方案思路较清晰、较完善、较合理、条理较清晰、安全可行、基本满足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的得7分；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方案思路有效、基本完善、合理、具有一定条理、可行、相对满足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的得5分；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欠缺</w:t>
            </w:r>
            <w:r>
              <w:rPr>
                <w:rFonts w:hint="eastAsia" w:ascii="宋体" w:hAnsi="宋体" w:eastAsia="宋体" w:cs="宋体"/>
                <w:color w:val="auto"/>
                <w:sz w:val="24"/>
                <w:szCs w:val="24"/>
                <w:highlight w:val="none"/>
                <w:lang w:val="en-US" w:eastAsia="zh-CN"/>
              </w:rPr>
              <w:t>或不足的得2分；</w:t>
            </w:r>
          </w:p>
          <w:p>
            <w:pPr>
              <w:spacing w:line="0" w:lineRule="atLeast"/>
              <w:ind w:left="0" w:firstLine="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val="zh-CN" w:eastAsia="zh-CN"/>
              </w:rPr>
              <w:t>不得分</w:t>
            </w:r>
            <w:r>
              <w:rPr>
                <w:rFonts w:hint="eastAsia" w:ascii="宋体" w:hAnsi="宋体" w:eastAsia="宋体" w:cs="宋体"/>
                <w:color w:val="auto"/>
                <w:sz w:val="24"/>
                <w:szCs w:val="24"/>
                <w:highlight w:val="none"/>
                <w:lang w:val="en-US" w:eastAsia="zh-CN"/>
              </w:rPr>
              <w:t>。</w:t>
            </w:r>
          </w:p>
        </w:tc>
        <w:tc>
          <w:tcPr>
            <w:tcW w:w="914" w:type="dxa"/>
            <w:noWrap w:val="0"/>
            <w:vAlign w:val="center"/>
          </w:tcPr>
          <w:p>
            <w:pPr>
              <w:spacing w:line="0" w:lineRule="atLeast"/>
              <w:ind w:left="0" w:firstLine="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6" w:type="dxa"/>
            <w:noWrap w:val="0"/>
            <w:vAlign w:val="center"/>
          </w:tcPr>
          <w:p>
            <w:pPr>
              <w:spacing w:line="0" w:lineRule="atLeast"/>
              <w:ind w:left="0" w:firstLine="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567" w:type="dxa"/>
            <w:noWrap w:val="0"/>
            <w:vAlign w:val="center"/>
          </w:tcPr>
          <w:p>
            <w:pPr>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琴祭孔子”古琴名家走进衢州孔庙音乐会</w:t>
            </w:r>
            <w:r>
              <w:rPr>
                <w:rFonts w:hint="eastAsia" w:ascii="宋体" w:hAnsi="宋体" w:eastAsia="宋体" w:cs="宋体"/>
                <w:color w:val="auto"/>
                <w:sz w:val="24"/>
                <w:szCs w:val="24"/>
                <w:highlight w:val="none"/>
                <w:lang w:val="en-US" w:eastAsia="zh-CN"/>
              </w:rPr>
              <w:t>实施方案</w:t>
            </w: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根据供应商提供的</w:t>
            </w:r>
            <w:r>
              <w:rPr>
                <w:rFonts w:hint="eastAsia" w:ascii="宋体" w:hAnsi="宋体" w:eastAsia="宋体" w:cs="宋体"/>
                <w:color w:val="auto"/>
                <w:sz w:val="24"/>
                <w:szCs w:val="24"/>
                <w:highlight w:val="none"/>
              </w:rPr>
              <w:t>琴祭孔子”古琴名家走进衢州孔庙音乐会</w:t>
            </w:r>
            <w:r>
              <w:rPr>
                <w:rFonts w:hint="eastAsia" w:ascii="宋体" w:hAnsi="宋体" w:eastAsia="宋体" w:cs="宋体"/>
                <w:color w:val="auto"/>
                <w:sz w:val="24"/>
                <w:szCs w:val="24"/>
                <w:highlight w:val="none"/>
                <w:lang w:val="en-US" w:eastAsia="zh-CN"/>
              </w:rPr>
              <w:t>实施方案（包含对活动涉及的举办内容、举办流程等）完整性、合理性、可行性进行综合评</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方案思路清晰、详细完整、科学合理、安全严密、条理清晰、可操作性强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完全满足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的得9分；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方案思路较清晰、较完善、较合理、条理较清晰、安全可行、基本满足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的得7分；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方案思路有效、基本完善、合理、具有一定条理、可行、相对满足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的得5分；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方案欠缺或不足的得2分；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val="zh-CN" w:eastAsia="zh-CN"/>
              </w:rPr>
              <w:t>不得分</w:t>
            </w:r>
            <w:r>
              <w:rPr>
                <w:rFonts w:hint="eastAsia" w:ascii="宋体" w:hAnsi="宋体" w:eastAsia="宋体" w:cs="宋体"/>
                <w:color w:val="auto"/>
                <w:sz w:val="24"/>
                <w:szCs w:val="24"/>
                <w:highlight w:val="none"/>
                <w:lang w:val="en-US" w:eastAsia="zh-CN"/>
              </w:rPr>
              <w:t>。</w:t>
            </w:r>
          </w:p>
        </w:tc>
        <w:tc>
          <w:tcPr>
            <w:tcW w:w="914" w:type="dxa"/>
            <w:noWrap w:val="0"/>
            <w:vAlign w:val="center"/>
          </w:tcPr>
          <w:p>
            <w:pPr>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816" w:type="dxa"/>
            <w:noWrap w:val="0"/>
            <w:vAlign w:val="center"/>
          </w:tcPr>
          <w:p>
            <w:pPr>
              <w:spacing w:line="0" w:lineRule="atLeast"/>
              <w:ind w:left="0" w:firstLine="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1567" w:type="dxa"/>
            <w:noWrap w:val="0"/>
            <w:vAlign w:val="center"/>
          </w:tcPr>
          <w:p>
            <w:pPr>
              <w:spacing w:line="0" w:lineRule="atLeast"/>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演出服务实施方案</w:t>
            </w: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根据供应商提供的演出服务实施方案（包含创作、编配及演员参演、演出节目安排、艺术指导等）</w:t>
            </w:r>
            <w:r>
              <w:rPr>
                <w:rFonts w:hint="eastAsia" w:ascii="宋体" w:hAnsi="宋体" w:eastAsia="宋体" w:cs="宋体"/>
                <w:color w:val="auto"/>
                <w:sz w:val="24"/>
                <w:szCs w:val="24"/>
                <w:highlight w:val="none"/>
                <w:lang w:val="en-US" w:eastAsia="zh-CN"/>
              </w:rPr>
              <w:t>完整性、合理性、可行性进行综合评</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方案思路清晰、详细完整、科学合理、安全严密、条理清晰、可操作性强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完全满足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的得9分；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方案思路较清晰、较完善、较合理、条理较清晰、安全可行、基本满足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的得7分；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方案思路有效、基本完善、合理、具有一定条理、可行、相对满足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的得5分；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方案欠缺或不足的得2分；</w:t>
            </w:r>
          </w:p>
          <w:p>
            <w:pPr>
              <w:spacing w:line="0" w:lineRule="atLeas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val="zh-CN" w:eastAsia="zh-CN"/>
              </w:rPr>
              <w:t>不得分</w:t>
            </w:r>
            <w:r>
              <w:rPr>
                <w:rFonts w:hint="eastAsia" w:ascii="宋体" w:hAnsi="宋体" w:eastAsia="宋体" w:cs="宋体"/>
                <w:color w:val="auto"/>
                <w:sz w:val="24"/>
                <w:szCs w:val="24"/>
                <w:highlight w:val="none"/>
                <w:lang w:val="en-US" w:eastAsia="zh-CN"/>
              </w:rPr>
              <w:t>。</w:t>
            </w:r>
          </w:p>
        </w:tc>
        <w:tc>
          <w:tcPr>
            <w:tcW w:w="914" w:type="dxa"/>
            <w:noWrap w:val="0"/>
            <w:vAlign w:val="center"/>
          </w:tcPr>
          <w:p>
            <w:pPr>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816" w:type="dxa"/>
            <w:noWrap w:val="0"/>
            <w:vAlign w:val="center"/>
          </w:tcPr>
          <w:p>
            <w:pPr>
              <w:spacing w:line="0" w:lineRule="atLeast"/>
              <w:ind w:left="0" w:firstLine="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567" w:type="dxa"/>
            <w:noWrap w:val="0"/>
            <w:vAlign w:val="center"/>
          </w:tcPr>
          <w:p>
            <w:pPr>
              <w:spacing w:line="0" w:lineRule="atLeast"/>
              <w:ind w:left="0" w:leftChars="0"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视频直播</w:t>
            </w:r>
            <w:r>
              <w:rPr>
                <w:rFonts w:hint="eastAsia" w:ascii="宋体" w:hAnsi="宋体" w:cs="宋体"/>
                <w:color w:val="auto"/>
                <w:sz w:val="24"/>
                <w:szCs w:val="24"/>
                <w:highlight w:val="none"/>
                <w:lang w:val="en-US" w:eastAsia="zh-CN"/>
              </w:rPr>
              <w:t>实施方案</w:t>
            </w: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根据供应商提供的</w:t>
            </w:r>
            <w:r>
              <w:rPr>
                <w:rFonts w:hint="eastAsia" w:ascii="宋体" w:hAnsi="宋体" w:eastAsia="宋体" w:cs="宋体"/>
                <w:color w:val="auto"/>
                <w:sz w:val="24"/>
                <w:szCs w:val="24"/>
                <w:highlight w:val="none"/>
              </w:rPr>
              <w:t>视频直播</w:t>
            </w:r>
            <w:r>
              <w:rPr>
                <w:rFonts w:hint="eastAsia" w:ascii="宋体" w:hAnsi="宋体" w:eastAsia="宋体" w:cs="宋体"/>
                <w:color w:val="auto"/>
                <w:kern w:val="0"/>
                <w:sz w:val="24"/>
                <w:szCs w:val="24"/>
                <w:highlight w:val="none"/>
                <w:lang w:val="en-US" w:eastAsia="zh-CN" w:bidi="ar"/>
              </w:rPr>
              <w:t>实施方案（包含直播</w:t>
            </w:r>
            <w:r>
              <w:rPr>
                <w:rFonts w:hint="eastAsia" w:ascii="宋体" w:hAnsi="宋体" w:eastAsia="宋体" w:cs="宋体"/>
                <w:color w:val="auto"/>
                <w:sz w:val="24"/>
                <w:szCs w:val="24"/>
                <w:highlight w:val="none"/>
                <w:lang w:val="en-US" w:eastAsia="zh-CN"/>
              </w:rPr>
              <w:t>拍摄</w:t>
            </w:r>
            <w:r>
              <w:rPr>
                <w:rFonts w:hint="eastAsia" w:ascii="宋体" w:hAnsi="宋体" w:eastAsia="宋体" w:cs="宋体"/>
                <w:color w:val="auto"/>
                <w:sz w:val="24"/>
                <w:szCs w:val="24"/>
                <w:highlight w:val="none"/>
              </w:rPr>
              <w:t>执行技术</w:t>
            </w:r>
            <w:r>
              <w:rPr>
                <w:rFonts w:hint="eastAsia" w:ascii="宋体" w:hAnsi="宋体" w:eastAsia="宋体" w:cs="宋体"/>
                <w:color w:val="auto"/>
                <w:sz w:val="24"/>
                <w:szCs w:val="24"/>
                <w:highlight w:val="none"/>
                <w:lang w:val="en-US" w:eastAsia="zh-CN"/>
              </w:rPr>
              <w:t>方案及直播</w:t>
            </w:r>
            <w:r>
              <w:rPr>
                <w:rFonts w:hint="eastAsia" w:ascii="宋体" w:hAnsi="宋体" w:eastAsia="宋体" w:cs="宋体"/>
                <w:color w:val="auto"/>
                <w:sz w:val="24"/>
                <w:szCs w:val="24"/>
                <w:highlight w:val="none"/>
              </w:rPr>
              <w:t>设备配置</w:t>
            </w:r>
            <w:r>
              <w:rPr>
                <w:rFonts w:hint="eastAsia" w:ascii="宋体" w:hAnsi="宋体" w:eastAsia="宋体" w:cs="宋体"/>
                <w:color w:val="auto"/>
                <w:kern w:val="0"/>
                <w:sz w:val="24"/>
                <w:szCs w:val="24"/>
                <w:highlight w:val="none"/>
                <w:lang w:val="en-US" w:eastAsia="zh-CN" w:bidi="ar"/>
              </w:rPr>
              <w:t>等）</w:t>
            </w:r>
            <w:r>
              <w:rPr>
                <w:rFonts w:hint="eastAsia" w:ascii="宋体" w:hAnsi="宋体" w:eastAsia="宋体" w:cs="宋体"/>
                <w:color w:val="auto"/>
                <w:sz w:val="24"/>
                <w:szCs w:val="24"/>
                <w:highlight w:val="none"/>
                <w:lang w:val="en-US" w:eastAsia="zh-CN"/>
              </w:rPr>
              <w:t>完整性、合理性、可行性进行综合评</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方案思路清晰、详细完整、科学合理、安全严密、条理清晰、可操作性强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完全满足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的得9分；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方案思路较清晰、较完善、较合理、条理较清晰、安全可行、基本满足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的得7分；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方案思路有效、基本完善、合理、具有一定条理、可行、相对满足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的得5分；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方案欠缺或不足的得2分；</w:t>
            </w:r>
          </w:p>
          <w:p>
            <w:pPr>
              <w:spacing w:line="0" w:lineRule="atLeas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val="zh-CN" w:eastAsia="zh-CN"/>
              </w:rPr>
              <w:t>不得分</w:t>
            </w:r>
            <w:r>
              <w:rPr>
                <w:rFonts w:hint="eastAsia" w:ascii="宋体" w:hAnsi="宋体" w:eastAsia="宋体" w:cs="宋体"/>
                <w:color w:val="auto"/>
                <w:sz w:val="24"/>
                <w:szCs w:val="24"/>
                <w:highlight w:val="none"/>
                <w:lang w:val="en-US" w:eastAsia="zh-CN"/>
              </w:rPr>
              <w:t>。</w:t>
            </w:r>
          </w:p>
        </w:tc>
        <w:tc>
          <w:tcPr>
            <w:tcW w:w="914" w:type="dxa"/>
            <w:noWrap w:val="0"/>
            <w:vAlign w:val="center"/>
          </w:tcPr>
          <w:p>
            <w:pPr>
              <w:spacing w:line="0" w:lineRule="atLeast"/>
              <w:ind w:left="0"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16" w:type="dxa"/>
            <w:noWrap w:val="0"/>
            <w:vAlign w:val="center"/>
          </w:tcPr>
          <w:p>
            <w:pPr>
              <w:spacing w:line="0" w:lineRule="atLeast"/>
              <w:ind w:left="0" w:firstLine="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1567" w:type="dxa"/>
            <w:noWrap w:val="0"/>
            <w:vAlign w:val="center"/>
          </w:tcPr>
          <w:p>
            <w:pPr>
              <w:spacing w:line="0" w:lineRule="atLeas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现场场地布置实施方案</w:t>
            </w: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根据供应商提供的现场场地布置实施方案（包含现场布置、舞台设备租赁及运维等）完整性、合理性、可行性进行综合评</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方案详细完整、科学合理、安全严密、条理清晰、可操作性强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完全满足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的得9分；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方案较完善、较合理、条理较清晰、安全可行、基本满足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的得7分；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方案基本完善、合理、具有一定条理、可行、相对满足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的得5分；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方案欠缺或不足的得2分；</w:t>
            </w:r>
          </w:p>
          <w:p>
            <w:pPr>
              <w:spacing w:line="0" w:lineRule="atLeas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val="zh-CN" w:eastAsia="zh-CN"/>
              </w:rPr>
              <w:t>不得分</w:t>
            </w:r>
            <w:r>
              <w:rPr>
                <w:rFonts w:hint="eastAsia" w:ascii="宋体" w:hAnsi="宋体" w:eastAsia="宋体" w:cs="宋体"/>
                <w:color w:val="auto"/>
                <w:sz w:val="24"/>
                <w:szCs w:val="24"/>
                <w:highlight w:val="none"/>
                <w:lang w:val="en-US" w:eastAsia="zh-CN"/>
              </w:rPr>
              <w:t>。</w:t>
            </w:r>
          </w:p>
        </w:tc>
        <w:tc>
          <w:tcPr>
            <w:tcW w:w="914" w:type="dxa"/>
            <w:noWrap w:val="0"/>
            <w:vAlign w:val="center"/>
          </w:tcPr>
          <w:p>
            <w:pPr>
              <w:spacing w:line="0" w:lineRule="atLeast"/>
              <w:ind w:lef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16" w:type="dxa"/>
            <w:noWrap w:val="0"/>
            <w:vAlign w:val="center"/>
          </w:tcPr>
          <w:p>
            <w:pPr>
              <w:spacing w:line="0" w:lineRule="atLeast"/>
              <w:ind w:left="0" w:firstLine="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1567" w:type="dxa"/>
            <w:noWrap w:val="0"/>
            <w:vAlign w:val="center"/>
          </w:tcPr>
          <w:p>
            <w:pPr>
              <w:spacing w:line="0" w:lineRule="atLeast"/>
              <w:ind w:left="0"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进度计划安排</w:t>
            </w:r>
            <w:r>
              <w:rPr>
                <w:rFonts w:hint="eastAsia" w:ascii="宋体" w:hAnsi="宋体" w:cs="宋体"/>
                <w:color w:val="auto"/>
                <w:sz w:val="24"/>
                <w:szCs w:val="24"/>
                <w:highlight w:val="none"/>
                <w:lang w:val="en-US" w:eastAsia="zh-CN"/>
              </w:rPr>
              <w:t>方案</w:t>
            </w: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根据供应商提供的进度计划安排</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完整性、合理性、可行性进行综合评分：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方案详细完整、科学合理、安全严密、条理清晰、可操作性强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完全满足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的得8分；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方案较完善、较合理、条理较清晰、安全可行、基本满足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的得6分；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方案基本完善、合理、具有一定条理、可行、相对满足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的得4分；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方案欠缺或不足的得2分；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val="zh-CN" w:eastAsia="zh-CN"/>
              </w:rPr>
              <w:t>不得分</w:t>
            </w:r>
            <w:r>
              <w:rPr>
                <w:rFonts w:hint="eastAsia" w:ascii="宋体" w:hAnsi="宋体" w:eastAsia="宋体" w:cs="宋体"/>
                <w:color w:val="auto"/>
                <w:sz w:val="24"/>
                <w:szCs w:val="24"/>
                <w:highlight w:val="none"/>
                <w:lang w:val="en-US" w:eastAsia="zh-CN"/>
              </w:rPr>
              <w:t>。</w:t>
            </w:r>
          </w:p>
        </w:tc>
        <w:tc>
          <w:tcPr>
            <w:tcW w:w="914"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16" w:type="dxa"/>
            <w:noWrap w:val="0"/>
            <w:vAlign w:val="center"/>
          </w:tcPr>
          <w:p>
            <w:pPr>
              <w:spacing w:line="0" w:lineRule="atLeast"/>
              <w:ind w:left="0" w:firstLine="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567" w:type="dxa"/>
            <w:noWrap w:val="0"/>
            <w:vAlign w:val="center"/>
          </w:tcPr>
          <w:p>
            <w:pPr>
              <w:spacing w:line="0" w:lineRule="atLeast"/>
              <w:ind w:left="0" w:firstLine="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后勤保障计划</w:t>
            </w:r>
            <w:r>
              <w:rPr>
                <w:rFonts w:hint="eastAsia" w:ascii="宋体" w:hAnsi="宋体" w:cs="宋体"/>
                <w:color w:val="auto"/>
                <w:sz w:val="24"/>
                <w:szCs w:val="24"/>
                <w:highlight w:val="none"/>
                <w:lang w:val="en-US" w:eastAsia="zh-CN"/>
              </w:rPr>
              <w:t>方案</w:t>
            </w: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根据供应商提供的组织</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rPr>
              <w:t>全过程的后勤保障计划及措施</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的完整性、合理性、规范性、可操作性等进行综合评分：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方案详细完整、科学合理、安全严密、条理清晰、可操作性强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完全满足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的得8分；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方案较完善、较合理、条理较清晰、安全可行、基本满足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的得6分；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方案基本完善、合理、具有一定条理、可行、相对满足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的得4分；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方案欠缺或不足的得2分；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val="zh-CN" w:eastAsia="zh-CN"/>
              </w:rPr>
              <w:t>不得分</w:t>
            </w:r>
            <w:r>
              <w:rPr>
                <w:rFonts w:hint="eastAsia" w:ascii="宋体" w:hAnsi="宋体" w:eastAsia="宋体" w:cs="宋体"/>
                <w:color w:val="auto"/>
                <w:sz w:val="24"/>
                <w:szCs w:val="24"/>
                <w:highlight w:val="none"/>
                <w:lang w:val="en-US" w:eastAsia="zh-CN"/>
              </w:rPr>
              <w:t>。</w:t>
            </w:r>
          </w:p>
        </w:tc>
        <w:tc>
          <w:tcPr>
            <w:tcW w:w="914"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816" w:type="dxa"/>
            <w:noWrap w:val="0"/>
            <w:vAlign w:val="center"/>
          </w:tcPr>
          <w:p>
            <w:pPr>
              <w:spacing w:line="0" w:lineRule="atLeast"/>
              <w:ind w:left="0" w:firstLine="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567" w:type="dxa"/>
            <w:noWrap w:val="0"/>
            <w:vAlign w:val="center"/>
          </w:tcPr>
          <w:p>
            <w:pPr>
              <w:spacing w:line="0" w:lineRule="atLeast"/>
              <w:ind w:left="0"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质量保障及安全保障措施方案</w:t>
            </w:r>
          </w:p>
        </w:tc>
        <w:tc>
          <w:tcPr>
            <w:tcW w:w="5702"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根据供应商针对本项目提供的质量保障及安全保障措施方案（包含现场布置实施时、活动举办时以及活动结束拆除清理时指定的安全保障方案</w:t>
            </w:r>
            <w:r>
              <w:rPr>
                <w:rFonts w:hint="eastAsia" w:ascii="宋体" w:hAnsi="宋体" w:cs="宋体"/>
                <w:color w:val="auto"/>
                <w:sz w:val="24"/>
                <w:szCs w:val="24"/>
                <w:highlight w:val="none"/>
                <w:lang w:val="en-US" w:eastAsia="zh-CN"/>
              </w:rPr>
              <w:t>以及</w:t>
            </w:r>
            <w:r>
              <w:rPr>
                <w:rFonts w:hint="eastAsia" w:ascii="宋体" w:hAnsi="宋体" w:eastAsia="宋体" w:cs="宋体"/>
                <w:color w:val="auto"/>
                <w:sz w:val="24"/>
                <w:szCs w:val="24"/>
                <w:highlight w:val="none"/>
              </w:rPr>
              <w:t>应急预案</w:t>
            </w:r>
            <w:r>
              <w:rPr>
                <w:rFonts w:hint="eastAsia" w:ascii="宋体" w:hAnsi="宋体" w:eastAsia="宋体" w:cs="宋体"/>
                <w:color w:val="auto"/>
                <w:sz w:val="24"/>
                <w:szCs w:val="24"/>
                <w:highlight w:val="none"/>
                <w:lang w:val="en-US" w:eastAsia="zh-CN"/>
              </w:rPr>
              <w:t>，现场秩序维持措施）完整性、合理性、可行性进行综合评分：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方案详细完整、科学合理、安全严密、条理清晰、可操作性强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完全满足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的得5分；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方案基本完善、合理、具有一定条理、可行、相对满足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的得3分；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方案欠缺或不足的得1分；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val="zh-CN" w:eastAsia="zh-CN"/>
              </w:rPr>
              <w:t>不得分</w:t>
            </w:r>
            <w:r>
              <w:rPr>
                <w:rFonts w:hint="eastAsia" w:ascii="宋体" w:hAnsi="宋体" w:eastAsia="宋体" w:cs="宋体"/>
                <w:color w:val="auto"/>
                <w:sz w:val="24"/>
                <w:szCs w:val="24"/>
                <w:highlight w:val="none"/>
                <w:lang w:val="en-US" w:eastAsia="zh-CN"/>
              </w:rPr>
              <w:t>。</w:t>
            </w:r>
          </w:p>
        </w:tc>
        <w:tc>
          <w:tcPr>
            <w:tcW w:w="914"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816" w:type="dxa"/>
            <w:noWrap w:val="0"/>
            <w:vAlign w:val="center"/>
          </w:tcPr>
          <w:p>
            <w:pPr>
              <w:spacing w:line="0" w:lineRule="atLeast"/>
              <w:ind w:left="0"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1567" w:type="dxa"/>
            <w:noWrap w:val="0"/>
            <w:vAlign w:val="center"/>
          </w:tcPr>
          <w:p>
            <w:pPr>
              <w:spacing w:line="0" w:lineRule="atLeast"/>
              <w:ind w:left="0"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服务情况与承诺</w:t>
            </w:r>
          </w:p>
        </w:tc>
        <w:tc>
          <w:tcPr>
            <w:tcW w:w="5702" w:type="dxa"/>
            <w:noWrap w:val="0"/>
            <w:vAlign w:val="top"/>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针对本项目提供的服务情况与承诺（包含服务特点及保证服务质量的措施，供应商是否具备一套完善的服务管理体系，在服务过程中确保服务质量，服务与技术支持）完整性、合理性、可行性进行综合评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lang w:val="en-US" w:eastAsia="zh-CN"/>
              </w:rPr>
              <w:t>详细完整、科学合理、安全严密、条理清晰、可操作性强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完全满足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的得5分；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lang w:val="en-US" w:eastAsia="zh-CN"/>
              </w:rPr>
              <w:t>基本完善、合理、具有一定条理、可行、相对满足</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求</w:t>
            </w:r>
            <w:r>
              <w:rPr>
                <w:rFonts w:hint="eastAsia" w:ascii="宋体" w:hAnsi="宋体" w:eastAsia="宋体" w:cs="宋体"/>
                <w:color w:val="auto"/>
                <w:sz w:val="24"/>
                <w:szCs w:val="24"/>
                <w:highlight w:val="none"/>
                <w:lang w:val="en-US" w:eastAsia="zh-CN"/>
              </w:rPr>
              <w:t>的得3分；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lang w:val="en-US" w:eastAsia="zh-CN"/>
              </w:rPr>
              <w:t>欠缺或不足的得1分；</w:t>
            </w:r>
          </w:p>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lang w:val="zh-CN" w:eastAsia="zh-CN"/>
              </w:rPr>
              <w:t>不得分</w:t>
            </w:r>
            <w:r>
              <w:rPr>
                <w:rFonts w:hint="eastAsia" w:ascii="宋体" w:hAnsi="宋体" w:eastAsia="宋体" w:cs="宋体"/>
                <w:color w:val="auto"/>
                <w:sz w:val="24"/>
                <w:szCs w:val="24"/>
                <w:highlight w:val="none"/>
                <w:lang w:val="en-US" w:eastAsia="zh-CN"/>
              </w:rPr>
              <w:t>。</w:t>
            </w:r>
          </w:p>
        </w:tc>
        <w:tc>
          <w:tcPr>
            <w:tcW w:w="914" w:type="dxa"/>
            <w:noWrap w:val="0"/>
            <w:vAlign w:val="center"/>
          </w:tcPr>
          <w:p>
            <w:pPr>
              <w:spacing w:line="0" w:lineRule="atLeas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16" w:type="dxa"/>
            <w:noWrap w:val="0"/>
            <w:vAlign w:val="center"/>
          </w:tcPr>
          <w:p>
            <w:pPr>
              <w:spacing w:line="0" w:lineRule="atLeast"/>
              <w:ind w:left="0" w:firstLine="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7269" w:type="dxa"/>
            <w:gridSpan w:val="2"/>
            <w:noWrap w:val="0"/>
            <w:vAlign w:val="center"/>
          </w:tcPr>
          <w:p>
            <w:pPr>
              <w:spacing w:line="0" w:lineRule="atLeast"/>
              <w:ind w:left="0" w:firstLine="0"/>
              <w:jc w:val="righ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914" w:type="dxa"/>
            <w:noWrap w:val="0"/>
            <w:vAlign w:val="center"/>
          </w:tcPr>
          <w:p>
            <w:pPr>
              <w:spacing w:line="0" w:lineRule="atLeast"/>
              <w:ind w:left="0" w:firstLine="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90分</w:t>
            </w:r>
          </w:p>
        </w:tc>
      </w:tr>
    </w:tbl>
    <w:p>
      <w:pPr>
        <w:spacing w:line="400" w:lineRule="atLeast"/>
        <w:ind w:left="0"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注：上述评分表中所涉及的所有证书、合同及相关证明材料，必须真实可信，所有证书及证明材料扫描件附入</w:t>
      </w:r>
      <w:r>
        <w:rPr>
          <w:rFonts w:hint="eastAsia" w:ascii="宋体" w:hAnsi="宋体" w:cs="宋体"/>
          <w:b/>
          <w:color w:val="auto"/>
          <w:sz w:val="24"/>
          <w:szCs w:val="24"/>
          <w:highlight w:val="none"/>
        </w:rPr>
        <w:t>电子</w:t>
      </w:r>
      <w:r>
        <w:rPr>
          <w:rFonts w:hint="eastAsia" w:ascii="宋体" w:hAnsi="宋体" w:cs="宋体"/>
          <w:b/>
          <w:color w:val="auto"/>
          <w:sz w:val="24"/>
          <w:szCs w:val="24"/>
          <w:highlight w:val="none"/>
          <w:lang w:val="zh-CN"/>
        </w:rPr>
        <w:t>磋商响应文件并</w:t>
      </w:r>
      <w:r>
        <w:rPr>
          <w:rFonts w:hint="eastAsia" w:ascii="宋体" w:hAnsi="宋体" w:cs="宋体"/>
          <w:b/>
          <w:color w:val="auto"/>
          <w:sz w:val="24"/>
          <w:szCs w:val="24"/>
          <w:highlight w:val="none"/>
        </w:rPr>
        <w:t>加盖电子签章</w:t>
      </w:r>
      <w:r>
        <w:rPr>
          <w:rFonts w:hint="eastAsia" w:ascii="宋体" w:hAnsi="宋体" w:cs="宋体"/>
          <w:b/>
          <w:color w:val="auto"/>
          <w:sz w:val="24"/>
          <w:szCs w:val="24"/>
          <w:highlight w:val="none"/>
          <w:lang w:val="zh-CN"/>
        </w:rPr>
        <w:t>。若提供的材料被核实为虚假的，则作废标处理，并将上报采购监督管理部门。</w:t>
      </w:r>
    </w:p>
    <w:p>
      <w:pPr>
        <w:spacing w:line="400" w:lineRule="atLeast"/>
        <w:ind w:left="0"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磋商小组根据评分因素表，对各有效磋商响应人的</w:t>
      </w:r>
      <w:r>
        <w:rPr>
          <w:rFonts w:hint="eastAsia" w:ascii="宋体" w:hAnsi="宋体" w:cs="宋体"/>
          <w:color w:val="auto"/>
          <w:sz w:val="24"/>
          <w:szCs w:val="24"/>
          <w:highlight w:val="none"/>
        </w:rPr>
        <w:t>商务技术</w:t>
      </w:r>
      <w:r>
        <w:rPr>
          <w:rFonts w:hint="eastAsia" w:ascii="宋体" w:hAnsi="宋体" w:cs="宋体"/>
          <w:color w:val="auto"/>
          <w:sz w:val="24"/>
          <w:szCs w:val="24"/>
          <w:highlight w:val="none"/>
          <w:lang w:val="zh-CN"/>
        </w:rPr>
        <w:t>部分进行书面审核后，由各专家独立酌情给分，打分时保留小数1位，每人一份评分表，并签名。在统计得分时，如果发现某一单项评分超过评分标准规定的分值范围，则该张评分表无效。磋商响应人最终的技术得分为评审小组所有成员的有效评分的算术平均值，计算时保留小数2位。</w:t>
      </w:r>
    </w:p>
    <w:p>
      <w:pPr>
        <w:spacing w:line="400" w:lineRule="atLeast"/>
        <w:ind w:left="0" w:firstLine="482" w:firstLineChars="200"/>
        <w:rPr>
          <w:rFonts w:hint="eastAsia" w:ascii="宋体" w:hAnsi="宋体" w:cs="宋体"/>
          <w:color w:val="auto"/>
          <w:sz w:val="24"/>
          <w:szCs w:val="24"/>
          <w:highlight w:val="none"/>
          <w:lang w:val="zh-CN"/>
        </w:rPr>
      </w:pPr>
      <w:r>
        <w:rPr>
          <w:rFonts w:hint="eastAsia" w:ascii="宋体" w:hAnsi="宋体" w:cs="宋体"/>
          <w:b/>
          <w:color w:val="auto"/>
          <w:sz w:val="24"/>
          <w:szCs w:val="24"/>
          <w:highlight w:val="none"/>
          <w:lang w:val="zh-CN"/>
        </w:rPr>
        <w:t>2</w:t>
      </w:r>
      <w:r>
        <w:rPr>
          <w:rFonts w:hint="eastAsia" w:ascii="宋体" w:hAnsi="宋体" w:cs="宋体"/>
          <w:b/>
          <w:color w:val="auto"/>
          <w:sz w:val="24"/>
          <w:szCs w:val="24"/>
          <w:highlight w:val="none"/>
        </w:rPr>
        <w:t>.报价</w:t>
      </w:r>
      <w:r>
        <w:rPr>
          <w:rFonts w:hint="eastAsia" w:ascii="宋体" w:hAnsi="宋体" w:cs="宋体"/>
          <w:b/>
          <w:color w:val="auto"/>
          <w:sz w:val="24"/>
          <w:szCs w:val="24"/>
          <w:highlight w:val="none"/>
          <w:lang w:val="zh-CN"/>
        </w:rPr>
        <w:t>分（</w:t>
      </w:r>
      <w:r>
        <w:rPr>
          <w:rFonts w:hint="eastAsia" w:ascii="宋体" w:hAnsi="宋体" w:cs="宋体"/>
          <w:b/>
          <w:color w:val="auto"/>
          <w:sz w:val="24"/>
          <w:szCs w:val="24"/>
          <w:highlight w:val="none"/>
        </w:rPr>
        <w:t>10</w:t>
      </w:r>
      <w:r>
        <w:rPr>
          <w:rFonts w:hint="eastAsia" w:ascii="宋体" w:hAnsi="宋体" w:cs="宋体"/>
          <w:b/>
          <w:color w:val="auto"/>
          <w:sz w:val="24"/>
          <w:szCs w:val="24"/>
          <w:highlight w:val="none"/>
          <w:lang w:val="zh-CN"/>
        </w:rPr>
        <w:t>分）</w:t>
      </w:r>
    </w:p>
    <w:p>
      <w:pPr>
        <w:spacing w:line="400" w:lineRule="atLeast"/>
        <w:ind w:left="0"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▲2.1最终报价：</w:t>
      </w:r>
    </w:p>
    <w:p>
      <w:pPr>
        <w:spacing w:line="400" w:lineRule="atLeast"/>
        <w:ind w:left="0" w:firstLine="482" w:firstLineChars="200"/>
        <w:jc w:val="left"/>
        <w:rPr>
          <w:rStyle w:val="20"/>
          <w:rFonts w:hint="default" w:cs="宋体"/>
          <w:b/>
          <w:color w:val="auto"/>
          <w:sz w:val="24"/>
          <w:szCs w:val="24"/>
          <w:highlight w:val="none"/>
        </w:rPr>
      </w:pPr>
      <w:r>
        <w:rPr>
          <w:rFonts w:hint="eastAsia" w:ascii="宋体" w:hAnsi="宋体" w:cs="宋体"/>
          <w:b/>
          <w:color w:val="auto"/>
          <w:sz w:val="24"/>
          <w:szCs w:val="24"/>
          <w:highlight w:val="none"/>
          <w:lang w:val="zh-CN"/>
        </w:rPr>
        <w:t>经磋商最终确定采购项目的需求后，磋商小组应当要求所有实质性响应的供应商在规定时间内进行最后报价。本</w:t>
      </w:r>
      <w:r>
        <w:rPr>
          <w:rStyle w:val="20"/>
          <w:rFonts w:hint="default" w:cs="宋体"/>
          <w:b/>
          <w:color w:val="auto"/>
          <w:sz w:val="24"/>
          <w:szCs w:val="24"/>
          <w:highlight w:val="none"/>
        </w:rPr>
        <w:t>次项目磋商响应最终报价为</w:t>
      </w:r>
      <w:r>
        <w:rPr>
          <w:rFonts w:hint="eastAsia" w:ascii="宋体" w:hAnsi="宋体" w:cs="宋体"/>
          <w:b/>
          <w:color w:val="auto"/>
          <w:sz w:val="24"/>
          <w:szCs w:val="24"/>
          <w:highlight w:val="none"/>
          <w:lang w:val="zh-CN"/>
        </w:rPr>
        <w:t>两轮（响应文件中的报价算一轮），</w:t>
      </w:r>
      <w:r>
        <w:rPr>
          <w:rStyle w:val="20"/>
          <w:rFonts w:hint="default" w:cs="宋体"/>
          <w:b/>
          <w:color w:val="auto"/>
          <w:sz w:val="24"/>
          <w:szCs w:val="24"/>
          <w:highlight w:val="none"/>
        </w:rPr>
        <w:t>二次报价超过初次报价的，其磋商无效。</w:t>
      </w:r>
    </w:p>
    <w:p>
      <w:pPr>
        <w:spacing w:line="400" w:lineRule="atLeast"/>
        <w:ind w:left="0"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zh-CN"/>
        </w:rPr>
        <w:t>最终报价是供应商磋商响应文件的有效组成部分。</w:t>
      </w:r>
      <w:r>
        <w:rPr>
          <w:rFonts w:hint="eastAsia" w:ascii="宋体" w:hAnsi="宋体" w:cs="宋体"/>
          <w:b/>
          <w:color w:val="auto"/>
          <w:sz w:val="24"/>
          <w:szCs w:val="24"/>
          <w:highlight w:val="none"/>
        </w:rPr>
        <w:t>在采购代理机构开启二轮报价后，各磋商响应人在不超过30分钟进行二轮报价。超过规定时间提交的报价作无效处理。</w:t>
      </w:r>
    </w:p>
    <w:p>
      <w:pPr>
        <w:spacing w:line="400" w:lineRule="atLeast"/>
        <w:ind w:left="0"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2.2报价评审</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甄别异常报价：有下列情况之一的磋商响应报价不进入评标价计算环节：</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投标报价超过最高限价。</w:t>
      </w:r>
    </w:p>
    <w:p>
      <w:pPr>
        <w:spacing w:line="400" w:lineRule="atLeast"/>
        <w:ind w:left="0"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2.3报价分计算</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价格分满分分值：10分</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所有合格磋商响应人中最低响应报价（或政策功能扣除后的评标价格）为评标基准价，磋商响应人的价格分统一按照下列公式计算：</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报价得分=【评标基准价/各磋商响应人的响应报价】×10%×100</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此项由磋商小组集体核实后统一打分。</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2.4根据财政部、工业和信息化部文件（财库〔2020〕46号）关于印发《政府采购促进中小企业发展管理办法》的通知精神，本项目为中小企业整体预留，不再执行价格扣除政策。本项目所属行业为</w:t>
      </w:r>
      <w:r>
        <w:rPr>
          <w:rFonts w:hint="eastAsia" w:ascii="宋体" w:hAnsi="宋体" w:cs="宋体"/>
          <w:b/>
          <w:bCs/>
          <w:color w:val="auto"/>
          <w:sz w:val="24"/>
          <w:szCs w:val="24"/>
          <w:highlight w:val="none"/>
          <w:lang w:eastAsia="zh-CN"/>
        </w:rPr>
        <w:t>文化、体育和娱乐业</w:t>
      </w:r>
      <w:r>
        <w:rPr>
          <w:rFonts w:hint="eastAsia" w:ascii="宋体" w:hAnsi="宋体" w:cs="宋体"/>
          <w:color w:val="auto"/>
          <w:sz w:val="24"/>
          <w:szCs w:val="24"/>
          <w:highlight w:val="none"/>
        </w:rPr>
        <w:t>。</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3．计算总分（满分为100分）</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计算方法：磋商响应人总分=商务技术得分+报价得分。</w:t>
      </w:r>
    </w:p>
    <w:p>
      <w:pPr>
        <w:snapToGrid w:val="0"/>
        <w:spacing w:line="440" w:lineRule="exact"/>
        <w:ind w:left="0" w:firstLine="472" w:firstLineChars="196"/>
        <w:rPr>
          <w:rFonts w:hint="eastAsia" w:ascii="宋体" w:hAnsi="宋体" w:cs="宋体"/>
          <w:b/>
          <w:bCs/>
          <w:color w:val="auto"/>
          <w:sz w:val="24"/>
          <w:szCs w:val="24"/>
          <w:highlight w:val="none"/>
        </w:rPr>
      </w:pPr>
      <w:bookmarkStart w:id="211" w:name="_Toc51872134"/>
      <w:bookmarkStart w:id="212" w:name="_Toc7157"/>
      <w:r>
        <w:rPr>
          <w:rFonts w:hint="eastAsia" w:ascii="宋体" w:hAnsi="宋体" w:cs="宋体"/>
          <w:b/>
          <w:bCs/>
          <w:color w:val="auto"/>
          <w:sz w:val="24"/>
          <w:szCs w:val="24"/>
          <w:highlight w:val="none"/>
        </w:rPr>
        <w:t>四、磋商结果及公示</w:t>
      </w:r>
      <w:bookmarkEnd w:id="211"/>
      <w:bookmarkEnd w:id="212"/>
      <w:r>
        <w:rPr>
          <w:rFonts w:hint="eastAsia" w:ascii="宋体" w:hAnsi="宋体" w:cs="宋体"/>
          <w:b/>
          <w:bCs/>
          <w:color w:val="auto"/>
          <w:sz w:val="24"/>
          <w:szCs w:val="24"/>
          <w:highlight w:val="none"/>
        </w:rPr>
        <w:t xml:space="preserve"> </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1.比较与评价。供应商最后报价结束后，磋商小组应当按照磋商文件中规定的评审方法和标准，对最后报价的供应商的响应文件和最后报价进行综合评分。</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2.复核。评分汇总结束后，磋商小组应当进行评审复核，对拟推荐为成交候选供应商的、报价最低的、供应商资格审查未通过的、供应商被无效处理的重点复核。</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3.推荐成交候选供应商。磋商小组应当根据综合评分情况，按照评审得分由高到低顺序推荐成交候选供应商。得分且最后报价相同的，按照提供的技术、服务优劣顺序推荐。</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4.出具评审报告。</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napToGrid w:val="0"/>
        <w:spacing w:line="440" w:lineRule="exact"/>
        <w:ind w:left="0" w:firstLine="470" w:firstLineChars="196"/>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5.采购代理机构在评审结束后2个工作日内将评审报告送采购人确认。</w:t>
      </w:r>
    </w:p>
    <w:p>
      <w:pPr>
        <w:snapToGrid w:val="0"/>
        <w:spacing w:line="440" w:lineRule="exact"/>
        <w:ind w:left="0" w:firstLine="470" w:firstLineChars="196"/>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7.磋商结果公示</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7.1确定第一成交候选人供应商之后，采购代理机构在浙江政府采购网（http://zfcg.czt.zj.gov.cn/）发布成交结果公示。</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7.2成交供应商因自身原因放弃成交或因不可抗力不能履行合同的；经质疑，采购代理机构审查确定因成交供应商在本次采购活动中存在违规行为或其他原因使质疑成立的；采购人可以与排位在成交人之后的成交候选人签订政府采购合同，以此类推。</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8.质疑和投诉</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8.1供应商对采购事项有疑问的，可以向采购人或采购代理机构提出询问。采购人或采购代理机构将依法作出答复，但答复的内容不涉及商业秘密。</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8.2各参加政府采购活动的供应商认为该成交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8.3供应商不得虚假质疑和恶意质疑，并对质疑内容的真实性承担责任。供应商或者其他利害关系人通过捏造事实、伪造证明材料等方式提出质疑或投诉，阻碍采购活动正常进行的，属于严重不良行为，采购人或采购代理机构将提请财政部门列入不良行为记录名单，并依法予以处罚。</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8.4采购人或采购代理机构将在收到书面质疑后7个工作日内审查质疑事项，作出答复或相关处理决定，并以书面形式通知质疑供应商和其他有关供应商，但答复的内容不涉及商业秘密。</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8.5质疑供应商对采购人或采购代理机构的答复不满意以及采购人或采购代理机构未在规定的时间内作出答复的，可以在答复期满后15个工作日内向同级政府采购监督管理部门投诉。</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9.授予合同签订资格</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9.1成交通知书</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9.1在磋商结果公示结束后，成交供应商来采购代理机构领取《成交通知书》。</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9.2《成交通知书》是成交供应商与采购人签订合同的凭证，是授予合同签订资格的合法依据。</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10.合同的签订</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10.1成交供应商应该按照《成交通知书》的要求与采购人签订合同。</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10.2竞争性磋商文件、成交供应商的磋商响应文件及磋商过程中有关澄清文件均作为签订合同的附件组成部分。</w:t>
      </w:r>
    </w:p>
    <w:p>
      <w:pPr>
        <w:spacing w:line="400" w:lineRule="atLeas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10.3成交供应商和采购人签订的合同条款不得对磋商结果及成交供应商磋商响应文件中的承诺内容作实质性改变，成交供应商和采购人不得再订立背离合同实质性内容的其他协议。</w:t>
      </w:r>
    </w:p>
    <w:p>
      <w:pPr>
        <w:spacing w:line="400" w:lineRule="atLeast"/>
        <w:ind w:left="0"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10.4成交供应商应当按照合同约定履行义务，完成项目，不得将本项目的任何部分转包给他人。</w:t>
      </w:r>
      <w:bookmarkEnd w:id="140"/>
      <w:bookmarkEnd w:id="141"/>
      <w:bookmarkEnd w:id="142"/>
      <w:bookmarkEnd w:id="143"/>
      <w:bookmarkEnd w:id="144"/>
      <w:bookmarkStart w:id="213" w:name="_Toc5186989"/>
      <w:bookmarkStart w:id="214" w:name="_Toc9777639"/>
      <w:bookmarkStart w:id="215" w:name="_Toc5543931"/>
      <w:bookmarkStart w:id="216" w:name="_Toc5543967"/>
      <w:bookmarkStart w:id="217" w:name="_Toc27937"/>
    </w:p>
    <w:p>
      <w:pPr>
        <w:pStyle w:val="3"/>
        <w:spacing w:before="0" w:after="0" w:line="0" w:lineRule="atLeast"/>
        <w:ind w:left="0" w:firstLine="0"/>
        <w:rPr>
          <w:rFonts w:hint="eastAsia" w:ascii="宋体" w:hAnsi="宋体" w:cs="宋体"/>
          <w:color w:val="auto"/>
          <w:szCs w:val="32"/>
          <w:highlight w:val="none"/>
        </w:rPr>
      </w:pPr>
      <w:bookmarkStart w:id="218" w:name="_Toc51872135"/>
      <w:r>
        <w:rPr>
          <w:rFonts w:hint="eastAsia" w:ascii="宋体" w:hAnsi="宋体" w:cs="宋体"/>
          <w:color w:val="auto"/>
          <w:szCs w:val="32"/>
          <w:highlight w:val="none"/>
        </w:rPr>
        <w:br w:type="page"/>
      </w:r>
      <w:r>
        <w:rPr>
          <w:rFonts w:hint="eastAsia" w:ascii="宋体" w:hAnsi="宋体" w:cs="宋体"/>
          <w:color w:val="auto"/>
          <w:szCs w:val="32"/>
          <w:highlight w:val="none"/>
        </w:rPr>
        <w:t>第六章  磋商响应文件相关格式</w:t>
      </w:r>
      <w:bookmarkEnd w:id="126"/>
      <w:bookmarkEnd w:id="127"/>
      <w:bookmarkEnd w:id="128"/>
      <w:bookmarkEnd w:id="129"/>
      <w:bookmarkEnd w:id="130"/>
      <w:bookmarkEnd w:id="213"/>
      <w:bookmarkEnd w:id="214"/>
      <w:bookmarkEnd w:id="215"/>
      <w:bookmarkEnd w:id="216"/>
      <w:bookmarkEnd w:id="217"/>
      <w:bookmarkEnd w:id="218"/>
    </w:p>
    <w:bookmarkEnd w:id="131"/>
    <w:bookmarkEnd w:id="132"/>
    <w:bookmarkEnd w:id="133"/>
    <w:bookmarkEnd w:id="134"/>
    <w:bookmarkEnd w:id="135"/>
    <w:bookmarkEnd w:id="136"/>
    <w:bookmarkEnd w:id="137"/>
    <w:bookmarkEnd w:id="138"/>
    <w:bookmarkEnd w:id="139"/>
    <w:p>
      <w:pPr>
        <w:jc w:val="left"/>
        <w:rPr>
          <w:rFonts w:hint="eastAsia" w:ascii="宋体" w:hAnsi="宋体" w:cs="宋体"/>
          <w:b/>
          <w:color w:val="auto"/>
          <w:sz w:val="28"/>
          <w:szCs w:val="28"/>
          <w:highlight w:val="none"/>
        </w:rPr>
      </w:pPr>
      <w:bookmarkStart w:id="219" w:name="_Toc23283"/>
      <w:r>
        <w:rPr>
          <w:rFonts w:hint="eastAsia" w:ascii="宋体" w:hAnsi="宋体" w:cs="宋体"/>
          <w:b/>
          <w:color w:val="auto"/>
          <w:sz w:val="28"/>
          <w:szCs w:val="28"/>
          <w:highlight w:val="none"/>
        </w:rPr>
        <w:t>一、“资格文件”格式</w:t>
      </w:r>
      <w:bookmarkStart w:id="220" w:name="_Toc51872137"/>
      <w:bookmarkStart w:id="221" w:name="_Toc16191"/>
    </w:p>
    <w:p>
      <w:pPr>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1.1资格文件</w:t>
      </w:r>
      <w:bookmarkEnd w:id="220"/>
      <w:bookmarkEnd w:id="221"/>
      <w:r>
        <w:rPr>
          <w:rFonts w:hint="eastAsia" w:ascii="宋体" w:hAnsi="宋体" w:cs="宋体"/>
          <w:b/>
          <w:color w:val="auto"/>
          <w:sz w:val="28"/>
          <w:szCs w:val="28"/>
          <w:highlight w:val="none"/>
        </w:rPr>
        <w:t>格式</w:t>
      </w:r>
      <w:bookmarkStart w:id="222" w:name="bookmark470"/>
      <w:bookmarkStart w:id="223" w:name="bookmark471"/>
      <w:bookmarkStart w:id="224" w:name="bookmark469"/>
      <w:r>
        <w:rPr>
          <w:rFonts w:hint="eastAsia" w:ascii="宋体" w:hAnsi="宋体" w:cs="宋体"/>
          <w:b/>
          <w:color w:val="auto"/>
          <w:sz w:val="28"/>
          <w:szCs w:val="28"/>
          <w:highlight w:val="none"/>
        </w:rPr>
        <w:t>：</w:t>
      </w:r>
    </w:p>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符合参加政府采购活动一般资格条件的承诺函</w:t>
      </w:r>
    </w:p>
    <w:p>
      <w:pPr>
        <w:spacing w:line="440" w:lineRule="exact"/>
        <w:ind w:left="0" w:firstLine="0"/>
        <w:rPr>
          <w:rFonts w:hint="eastAsia" w:ascii="宋体" w:hAnsi="宋体" w:cs="宋体"/>
          <w:b/>
          <w:color w:val="auto"/>
          <w:sz w:val="24"/>
          <w:szCs w:val="22"/>
          <w:highlight w:val="none"/>
          <w:u w:val="single"/>
        </w:rPr>
      </w:pPr>
      <w:r>
        <w:rPr>
          <w:rFonts w:hint="eastAsia" w:ascii="宋体" w:hAnsi="宋体" w:cs="宋体"/>
          <w:b/>
          <w:color w:val="auto"/>
          <w:sz w:val="24"/>
          <w:szCs w:val="22"/>
          <w:highlight w:val="none"/>
          <w:u w:val="single"/>
        </w:rPr>
        <w:t xml:space="preserve">      （采购人名称）</w:t>
      </w:r>
    </w:p>
    <w:p>
      <w:pPr>
        <w:spacing w:line="440" w:lineRule="exact"/>
        <w:ind w:left="0" w:firstLine="0"/>
        <w:rPr>
          <w:rFonts w:hint="eastAsia" w:ascii="宋体" w:hAnsi="宋体" w:cs="宋体"/>
          <w:b/>
          <w:color w:val="auto"/>
          <w:sz w:val="24"/>
          <w:szCs w:val="22"/>
          <w:highlight w:val="none"/>
        </w:rPr>
      </w:pPr>
      <w:r>
        <w:rPr>
          <w:rFonts w:hint="eastAsia" w:ascii="宋体" w:hAnsi="宋体" w:cs="宋体"/>
          <w:b/>
          <w:color w:val="auto"/>
          <w:sz w:val="24"/>
          <w:szCs w:val="22"/>
          <w:highlight w:val="none"/>
        </w:rPr>
        <w:t>衢州广泽商务秘书有限责任公司：</w:t>
      </w:r>
    </w:p>
    <w:p>
      <w:pPr>
        <w:snapToGrid w:val="0"/>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关于贵单位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日发布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）的竞争性磋商公告，本公司（企业）愿意参加磋商，并郑重承诺：</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（一）具备《中华人民共和国政府采购法》第二十二条第一款规定的条件：</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2、具有良好的商业信誉和健全的财务会计制度； </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6、具有法律、行政法规规定的其他条件。</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（三）不存在以下情况：</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1、单位负责人为同一人或者存在直接控股、管理关系的不同供应商参加同一合同项下的政府采购活动的；</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2、为采购项目提供整体设计、规范编制或者项目管理、监理、检测等服务后再参加该采购项目的其他采购活动的。</w:t>
      </w:r>
    </w:p>
    <w:p>
      <w:pPr>
        <w:spacing w:line="44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我公司已清楚磋商文件的要求及有关文件规定。本次政府采购活动中，如有违法、违规、弄虚作假行为，所造成的损失、不良后果及法律责任，一律由我公司（企业）承担。</w:t>
      </w:r>
    </w:p>
    <w:p>
      <w:pPr>
        <w:spacing w:line="380" w:lineRule="atLeast"/>
        <w:ind w:left="0" w:firstLine="482" w:firstLineChars="200"/>
        <w:jc w:val="left"/>
        <w:rPr>
          <w:rFonts w:hint="eastAsia" w:ascii="宋体" w:hAnsi="宋体" w:cs="宋体"/>
          <w:color w:val="auto"/>
          <w:spacing w:val="4"/>
          <w:sz w:val="24"/>
          <w:szCs w:val="24"/>
          <w:highlight w:val="none"/>
        </w:rPr>
      </w:pPr>
      <w:r>
        <w:rPr>
          <w:rFonts w:hint="eastAsia" w:ascii="宋体" w:hAnsi="宋体" w:cs="宋体"/>
          <w:b/>
          <w:color w:val="auto"/>
          <w:sz w:val="24"/>
          <w:szCs w:val="24"/>
          <w:highlight w:val="none"/>
        </w:rPr>
        <w:t>特此承诺！</w:t>
      </w:r>
    </w:p>
    <w:p>
      <w:pPr>
        <w:spacing w:line="400" w:lineRule="atLeast"/>
        <w:ind w:left="0" w:firstLine="3600" w:firstLineChars="1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法定代表人或授权代表（签字或盖章）：     </w:t>
      </w:r>
    </w:p>
    <w:p>
      <w:pPr>
        <w:spacing w:line="400" w:lineRule="atLeast"/>
        <w:ind w:left="0" w:firstLine="3600" w:firstLineChars="1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供应商（电子签章）：                               </w:t>
      </w:r>
    </w:p>
    <w:p>
      <w:pPr>
        <w:spacing w:line="400" w:lineRule="atLeast"/>
        <w:ind w:left="0" w:firstLine="3600" w:firstLineChars="1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p>
    <w:bookmarkEnd w:id="222"/>
    <w:bookmarkEnd w:id="223"/>
    <w:bookmarkEnd w:id="224"/>
    <w:p>
      <w:pPr>
        <w:pStyle w:val="8"/>
        <w:ind w:left="641" w:hanging="641" w:hangingChars="266"/>
        <w:rPr>
          <w:rFonts w:hint="eastAsia" w:hAnsi="宋体" w:cs="宋体"/>
          <w:b/>
          <w:bCs/>
          <w:color w:val="auto"/>
          <w:sz w:val="24"/>
          <w:highlight w:val="none"/>
        </w:rPr>
      </w:pPr>
      <w:bookmarkStart w:id="225" w:name="_Toc20974"/>
      <w:r>
        <w:rPr>
          <w:rFonts w:hint="eastAsia" w:hAnsi="宋体" w:cs="宋体"/>
          <w:b/>
          <w:color w:val="auto"/>
          <w:sz w:val="24"/>
          <w:highlight w:val="none"/>
        </w:rPr>
        <w:br w:type="page"/>
      </w:r>
      <w:r>
        <w:rPr>
          <w:rFonts w:hint="eastAsia" w:hAnsi="宋体" w:cs="宋体"/>
          <w:b/>
          <w:bCs/>
          <w:color w:val="auto"/>
          <w:sz w:val="24"/>
          <w:highlight w:val="none"/>
        </w:rPr>
        <w:t>格式1.2：中小企业声明函</w:t>
      </w:r>
    </w:p>
    <w:p>
      <w:pPr>
        <w:pStyle w:val="24"/>
        <w:spacing w:line="520" w:lineRule="exact"/>
        <w:ind w:firstLine="562" w:firstLineChars="200"/>
        <w:jc w:val="center"/>
        <w:rPr>
          <w:rFonts w:hint="eastAsia" w:cs="宋体"/>
          <w:color w:val="auto"/>
          <w:sz w:val="28"/>
          <w:szCs w:val="28"/>
          <w:highlight w:val="none"/>
          <w:lang w:eastAsia="zh-CN"/>
        </w:rPr>
      </w:pPr>
      <w:r>
        <w:rPr>
          <w:rFonts w:hint="eastAsia" w:cs="宋体"/>
          <w:b/>
          <w:bCs/>
          <w:color w:val="auto"/>
          <w:sz w:val="28"/>
          <w:szCs w:val="28"/>
          <w:highlight w:val="none"/>
          <w:lang w:eastAsia="zh-CN"/>
        </w:rPr>
        <w:t>中小企业声明函</w:t>
      </w:r>
    </w:p>
    <w:p>
      <w:pPr>
        <w:spacing w:line="50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本公司郑重声明，根据《政府采购促进中小企业发展管理办法》 （财库﹝2020﹞46 号）的规定，本公司参加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采购活动，服务全部由符合政策要求的中小企业承接。相关企业的具体情况如下：</w:t>
      </w:r>
    </w:p>
    <w:p>
      <w:pPr>
        <w:spacing w:line="50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pPr>
        <w:spacing w:line="50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pPr>
        <w:spacing w:line="500" w:lineRule="exact"/>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pPr>
        <w:pStyle w:val="24"/>
        <w:spacing w:line="440" w:lineRule="exact"/>
        <w:ind w:firstLine="480" w:firstLineChars="200"/>
        <w:rPr>
          <w:rFonts w:hint="eastAsia" w:cs="宋体"/>
          <w:color w:val="auto"/>
          <w:sz w:val="24"/>
          <w:szCs w:val="24"/>
          <w:highlight w:val="none"/>
        </w:rPr>
      </w:pPr>
      <w:r>
        <w:rPr>
          <w:rFonts w:hint="eastAsia" w:cs="宋体"/>
          <w:color w:val="auto"/>
          <w:sz w:val="24"/>
          <w:szCs w:val="24"/>
          <w:highlight w:val="none"/>
        </w:rPr>
        <w:t>以上企业，不属于大企业的分支机构，不存在控股股东为大企业的情形，也不存在与大企业的负责人为同一人的情形。</w:t>
      </w:r>
    </w:p>
    <w:p>
      <w:pPr>
        <w:pStyle w:val="24"/>
        <w:spacing w:line="440" w:lineRule="exact"/>
        <w:ind w:firstLine="480" w:firstLineChars="200"/>
        <w:rPr>
          <w:rFonts w:hint="eastAsia" w:cs="宋体"/>
          <w:color w:val="auto"/>
          <w:sz w:val="24"/>
          <w:szCs w:val="24"/>
          <w:highlight w:val="none"/>
        </w:rPr>
      </w:pPr>
      <w:r>
        <w:rPr>
          <w:rFonts w:hint="eastAsia" w:cs="宋体"/>
          <w:color w:val="auto"/>
          <w:sz w:val="24"/>
          <w:szCs w:val="24"/>
          <w:highlight w:val="none"/>
        </w:rPr>
        <w:t>本企业对上述声明内容的真实性负责。如有虚假，将依法承担相应责任。</w:t>
      </w:r>
    </w:p>
    <w:p>
      <w:pPr>
        <w:pStyle w:val="24"/>
        <w:spacing w:line="440" w:lineRule="exact"/>
        <w:ind w:firstLine="480" w:firstLineChars="200"/>
        <w:rPr>
          <w:rFonts w:hint="eastAsia" w:cs="宋体"/>
          <w:color w:val="auto"/>
          <w:sz w:val="24"/>
          <w:szCs w:val="24"/>
          <w:highlight w:val="none"/>
        </w:rPr>
      </w:pPr>
    </w:p>
    <w:p>
      <w:pPr>
        <w:pStyle w:val="24"/>
        <w:spacing w:line="440" w:lineRule="exact"/>
        <w:ind w:firstLine="480" w:firstLineChars="200"/>
        <w:rPr>
          <w:rFonts w:hint="eastAsia" w:cs="宋体"/>
          <w:color w:val="auto"/>
          <w:sz w:val="24"/>
          <w:szCs w:val="24"/>
          <w:highlight w:val="none"/>
        </w:rPr>
      </w:pPr>
      <w:r>
        <w:rPr>
          <w:rFonts w:hint="eastAsia" w:cs="宋体"/>
          <w:color w:val="auto"/>
          <w:sz w:val="24"/>
          <w:szCs w:val="24"/>
          <w:highlight w:val="none"/>
        </w:rPr>
        <w:t>企业名称（盖章）：</w:t>
      </w:r>
    </w:p>
    <w:p>
      <w:pPr>
        <w:spacing w:line="440" w:lineRule="exact"/>
        <w:jc w:val="left"/>
        <w:rPr>
          <w:rFonts w:hint="eastAsia" w:ascii="宋体" w:hAnsi="宋体" w:cs="宋体"/>
          <w:color w:val="auto"/>
          <w:sz w:val="24"/>
          <w:highlight w:val="none"/>
        </w:rPr>
      </w:pPr>
      <w:r>
        <w:rPr>
          <w:rFonts w:hint="eastAsia" w:ascii="宋体" w:hAnsi="宋体" w:cs="宋体"/>
          <w:color w:val="auto"/>
          <w:sz w:val="24"/>
          <w:szCs w:val="24"/>
          <w:highlight w:val="none"/>
        </w:rPr>
        <w:t>日 期：</w:t>
      </w:r>
    </w:p>
    <w:p>
      <w:pPr>
        <w:spacing w:line="440" w:lineRule="exact"/>
        <w:ind w:left="0" w:firstLine="422" w:firstLineChars="200"/>
        <w:jc w:val="left"/>
        <w:rPr>
          <w:rFonts w:hint="eastAsia"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44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注：1.本项目所属行业为</w:t>
      </w:r>
      <w:r>
        <w:rPr>
          <w:rFonts w:hint="eastAsia" w:ascii="宋体" w:hAnsi="宋体" w:cs="宋体"/>
          <w:b/>
          <w:bCs/>
          <w:color w:val="auto"/>
          <w:sz w:val="24"/>
          <w:highlight w:val="none"/>
          <w:lang w:eastAsia="zh-CN"/>
        </w:rPr>
        <w:t>文化、体育和娱乐业</w:t>
      </w:r>
      <w:r>
        <w:rPr>
          <w:rFonts w:hint="eastAsia" w:ascii="宋体" w:hAnsi="宋体" w:cs="宋体"/>
          <w:b/>
          <w:bCs/>
          <w:color w:val="auto"/>
          <w:sz w:val="24"/>
          <w:highlight w:val="none"/>
        </w:rPr>
        <w:t>。</w:t>
      </w:r>
    </w:p>
    <w:p>
      <w:pPr>
        <w:spacing w:line="44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2.中小企业划型标准规定参照工信部联企业[2011]300号文件。</w:t>
      </w:r>
    </w:p>
    <w:p>
      <w:pPr>
        <w:spacing w:line="44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磋商响应人提供由省级以上监狱管理局、戒毒管理局（含新疆生产建设兵团）出具的属于监狱企业证明文件的，视同为小型和微型企业。</w:t>
      </w:r>
    </w:p>
    <w:p>
      <w:pPr>
        <w:spacing w:line="440" w:lineRule="exact"/>
        <w:ind w:left="0" w:firstLine="480" w:firstLineChars="200"/>
        <w:rPr>
          <w:rFonts w:hint="eastAsia" w:ascii="宋体" w:hAnsi="宋体" w:cs="宋体"/>
          <w:color w:val="auto"/>
          <w:sz w:val="24"/>
          <w:highlight w:val="none"/>
        </w:rPr>
      </w:pPr>
    </w:p>
    <w:p>
      <w:pPr>
        <w:spacing w:line="440" w:lineRule="exact"/>
        <w:ind w:left="0" w:firstLine="482" w:firstLineChars="200"/>
        <w:rPr>
          <w:rFonts w:hint="eastAsia" w:ascii="宋体" w:hAnsi="宋体" w:cs="宋体"/>
          <w:b/>
          <w:bCs/>
          <w:color w:val="auto"/>
          <w:sz w:val="24"/>
          <w:szCs w:val="16"/>
          <w:highlight w:val="none"/>
        </w:rPr>
      </w:pPr>
      <w:r>
        <w:rPr>
          <w:rFonts w:hint="eastAsia" w:ascii="宋体" w:hAnsi="宋体" w:cs="宋体"/>
          <w:b/>
          <w:bCs/>
          <w:color w:val="auto"/>
          <w:sz w:val="24"/>
          <w:szCs w:val="16"/>
          <w:highlight w:val="none"/>
        </w:rPr>
        <w:br w:type="page"/>
      </w:r>
      <w:r>
        <w:rPr>
          <w:rFonts w:hint="eastAsia" w:ascii="宋体" w:hAnsi="宋体" w:cs="宋体"/>
          <w:b/>
          <w:bCs/>
          <w:color w:val="auto"/>
          <w:sz w:val="24"/>
          <w:szCs w:val="16"/>
          <w:highlight w:val="none"/>
        </w:rPr>
        <w:t>附件1</w:t>
      </w:r>
    </w:p>
    <w:p>
      <w:pPr>
        <w:jc w:val="center"/>
        <w:rPr>
          <w:rFonts w:hint="eastAsia" w:ascii="宋体" w:hAnsi="宋体" w:cs="宋体"/>
          <w:b/>
          <w:color w:val="auto"/>
          <w:sz w:val="28"/>
          <w:szCs w:val="28"/>
          <w:highlight w:val="none"/>
        </w:rPr>
      </w:pPr>
      <w:bookmarkStart w:id="226" w:name="OLE_LINK14"/>
      <w:bookmarkStart w:id="227" w:name="OLE_LINK13"/>
      <w:r>
        <w:rPr>
          <w:rFonts w:hint="eastAsia" w:ascii="宋体" w:hAnsi="宋体" w:cs="宋体"/>
          <w:b/>
          <w:color w:val="auto"/>
          <w:sz w:val="28"/>
          <w:szCs w:val="28"/>
          <w:highlight w:val="none"/>
        </w:rPr>
        <w:t>残疾人福利性单位声明函</w:t>
      </w:r>
    </w:p>
    <w:bookmarkEnd w:id="226"/>
    <w:bookmarkEnd w:id="227"/>
    <w:p>
      <w:pPr>
        <w:rPr>
          <w:rFonts w:hint="eastAsia" w:ascii="宋体" w:hAnsi="宋体" w:cs="宋体"/>
          <w:b/>
          <w:color w:val="auto"/>
          <w:spacing w:val="6"/>
          <w:sz w:val="30"/>
          <w:szCs w:val="30"/>
          <w:highlight w:val="none"/>
        </w:rPr>
      </w:pPr>
    </w:p>
    <w:p>
      <w:p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tabs>
          <w:tab w:val="left" w:pos="4860"/>
        </w:tabs>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磋商响应人名称（电子签名）</w:t>
      </w:r>
      <w:r>
        <w:rPr>
          <w:rFonts w:hint="eastAsia" w:ascii="宋体" w:hAnsi="宋体" w:cs="宋体"/>
          <w:color w:val="auto"/>
          <w:sz w:val="24"/>
          <w:highlight w:val="none"/>
        </w:rPr>
        <w:t>：</w:t>
      </w: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hAnsi="宋体" w:cs="宋体"/>
          <w:b/>
          <w:bCs/>
          <w:color w:val="auto"/>
          <w:sz w:val="24"/>
          <w:highlight w:val="none"/>
        </w:rPr>
      </w:pPr>
    </w:p>
    <w:p>
      <w:pPr>
        <w:pStyle w:val="28"/>
        <w:numPr>
          <w:ilvl w:val="0"/>
          <w:numId w:val="0"/>
        </w:numPr>
        <w:spacing w:line="540" w:lineRule="exact"/>
        <w:jc w:val="both"/>
        <w:rPr>
          <w:rFonts w:hint="eastAsia" w:ascii="宋体" w:hAnsi="宋体" w:eastAsia="宋体" w:cs="宋体"/>
          <w:b/>
          <w:bCs/>
          <w:color w:val="auto"/>
          <w:sz w:val="24"/>
          <w:szCs w:val="24"/>
          <w:highlight w:val="none"/>
          <w:lang w:val="en-US" w:eastAsia="zh-CN"/>
        </w:rPr>
      </w:pPr>
      <w:r>
        <w:rPr>
          <w:rFonts w:hint="eastAsia" w:hAnsi="宋体" w:cs="宋体"/>
          <w:b/>
          <w:bCs/>
          <w:color w:val="auto"/>
          <w:sz w:val="24"/>
          <w:highlight w:val="none"/>
        </w:rPr>
        <w:t>格式1.</w:t>
      </w:r>
      <w:r>
        <w:rPr>
          <w:rFonts w:hint="eastAsia" w:cs="宋体"/>
          <w:b/>
          <w:bCs/>
          <w:color w:val="auto"/>
          <w:sz w:val="24"/>
          <w:highlight w:val="none"/>
          <w:lang w:val="en-US" w:eastAsia="zh-CN"/>
        </w:rPr>
        <w:t>3</w:t>
      </w:r>
      <w:r>
        <w:rPr>
          <w:rFonts w:hint="eastAsia" w:hAnsi="宋体" w:cs="宋体"/>
          <w:b/>
          <w:bCs/>
          <w:color w:val="auto"/>
          <w:sz w:val="24"/>
          <w:highlight w:val="none"/>
        </w:rPr>
        <w:t>：</w:t>
      </w:r>
      <w:r>
        <w:rPr>
          <w:rFonts w:hint="eastAsia" w:ascii="宋体" w:hAnsi="宋体" w:eastAsia="宋体" w:cs="宋体"/>
          <w:b/>
          <w:bCs/>
          <w:color w:val="auto"/>
          <w:sz w:val="24"/>
          <w:szCs w:val="24"/>
          <w:highlight w:val="none"/>
          <w:lang w:val="en-US" w:eastAsia="zh-CN"/>
        </w:rPr>
        <w:t>联合体协议</w:t>
      </w:r>
      <w:r>
        <w:rPr>
          <w:rFonts w:hint="eastAsia" w:ascii="宋体" w:hAnsi="宋体" w:eastAsia="宋体" w:cs="宋体"/>
          <w:b/>
          <w:color w:val="auto"/>
          <w:kern w:val="0"/>
          <w:sz w:val="24"/>
          <w:szCs w:val="24"/>
          <w:highlight w:val="none"/>
          <w:lang w:val="en-US" w:eastAsia="zh-CN"/>
        </w:rPr>
        <w:t>(如有)</w:t>
      </w:r>
    </w:p>
    <w:p>
      <w:pPr>
        <w:keepNext w:val="0"/>
        <w:keepLines w:val="0"/>
        <w:pageBreakBefore w:val="0"/>
        <w:kinsoku/>
        <w:wordWrap w:val="0"/>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u w:val="single"/>
        </w:rPr>
      </w:pPr>
    </w:p>
    <w:p>
      <w:pPr>
        <w:keepNext w:val="0"/>
        <w:keepLines w:val="0"/>
        <w:pageBreakBefore w:val="0"/>
        <w:kinsoku/>
        <w:wordWrap w:val="0"/>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eastAsia="宋体" w:cs="宋体"/>
          <w:color w:val="auto"/>
          <w:kern w:val="0"/>
          <w:sz w:val="24"/>
          <w:szCs w:val="24"/>
          <w:highlight w:val="none"/>
          <w:u w:val="single"/>
          <w:lang w:eastAsia="zh-CN"/>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、（标项：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 xml:space="preserve">投标。 </w:t>
      </w:r>
    </w:p>
    <w:p>
      <w:pPr>
        <w:keepNext w:val="0"/>
        <w:keepLines w:val="0"/>
        <w:pageBreakBefore w:val="0"/>
        <w:numPr>
          <w:ilvl w:val="0"/>
          <w:numId w:val="0"/>
        </w:numPr>
        <w:kinsoku/>
        <w:wordWrap w:val="0"/>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val="zh-CN"/>
        </w:rPr>
        <w:t>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pPr>
        <w:keepNext w:val="0"/>
        <w:keepLines w:val="0"/>
        <w:pageBreakBefore w:val="0"/>
        <w:numPr>
          <w:ilvl w:val="0"/>
          <w:numId w:val="0"/>
        </w:numPr>
        <w:kinsoku/>
        <w:wordWrap w:val="0"/>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pPr>
        <w:keepNext w:val="0"/>
        <w:keepLines w:val="0"/>
        <w:pageBreakBefore w:val="0"/>
        <w:kinsoku/>
        <w:wordWrap w:val="0"/>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p>
    <w:p>
      <w:pPr>
        <w:keepNext w:val="0"/>
        <w:keepLines w:val="0"/>
        <w:pageBreakBefore w:val="0"/>
        <w:kinsoku/>
        <w:wordWrap w:val="0"/>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（联合体成员1）</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w:t>
      </w:r>
    </w:p>
    <w:p>
      <w:pPr>
        <w:keepNext w:val="0"/>
        <w:keepLines w:val="0"/>
        <w:pageBreakBefore w:val="0"/>
        <w:kinsoku/>
        <w:wordWrap w:val="0"/>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（联合体成员2）</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w:t>
      </w:r>
    </w:p>
    <w:p>
      <w:pPr>
        <w:keepNext w:val="0"/>
        <w:keepLines w:val="0"/>
        <w:pageBreakBefore w:val="0"/>
        <w:kinsoku/>
        <w:wordWrap w:val="0"/>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p>
    <w:p>
      <w:pPr>
        <w:keepNext w:val="0"/>
        <w:keepLines w:val="0"/>
        <w:pageBreakBefore w:val="0"/>
        <w:kinsoku/>
        <w:wordWrap w:val="0"/>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四、联合体成员中小企业合同份额。</w:t>
      </w:r>
    </w:p>
    <w:p>
      <w:pPr>
        <w:keepNext w:val="0"/>
        <w:keepLines w:val="0"/>
        <w:pageBreakBefore w:val="0"/>
        <w:kinsoku/>
        <w:wordWrap w:val="0"/>
        <w:overflowPunct/>
        <w:topLinePunct w:val="0"/>
        <w:autoSpaceDE/>
        <w:autoSpaceDN/>
        <w:bidi w:val="0"/>
        <w:adjustRightInd/>
        <w:spacing w:line="360" w:lineRule="auto"/>
        <w:jc w:val="left"/>
        <w:textAlignment w:val="auto"/>
        <w:rPr>
          <w:rFonts w:hint="eastAsia" w:ascii="宋体" w:hAnsi="宋体" w:eastAsia="宋体" w:cs="宋体"/>
          <w:b/>
          <w:bCs/>
          <w:color w:val="auto"/>
          <w:kern w:val="0"/>
          <w:sz w:val="24"/>
          <w:szCs w:val="24"/>
          <w:highlight w:val="none"/>
          <w:lang w:val="zh-CN"/>
        </w:rPr>
      </w:pPr>
      <w:bookmarkStart w:id="228" w:name="_Hlk101133173"/>
      <w:r>
        <w:rPr>
          <w:rFonts w:hint="eastAsia" w:ascii="宋体" w:hAnsi="宋体" w:eastAsia="宋体" w:cs="宋体"/>
          <w:color w:val="auto"/>
          <w:sz w:val="24"/>
          <w:szCs w:val="24"/>
          <w:highlight w:val="none"/>
        </w:rPr>
        <w:t>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bookmarkEnd w:id="228"/>
    </w:p>
    <w:p>
      <w:pPr>
        <w:keepNext w:val="0"/>
        <w:keepLines w:val="0"/>
        <w:pageBreakBefore w:val="0"/>
        <w:kinsoku/>
        <w:wordWrap w:val="0"/>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pPr>
        <w:keepNext w:val="0"/>
        <w:keepLines w:val="0"/>
        <w:pageBreakBefore w:val="0"/>
        <w:kinsoku/>
        <w:wordWrap w:val="0"/>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pPr>
        <w:keepNext w:val="0"/>
        <w:keepLines w:val="0"/>
        <w:pageBreakBefore w:val="0"/>
        <w:kinsoku/>
        <w:wordWrap w:val="0"/>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pPr>
        <w:keepNext w:val="0"/>
        <w:keepLines w:val="0"/>
        <w:pageBreakBefore w:val="0"/>
        <w:kinsoku/>
        <w:wordWrap w:val="0"/>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pPr>
        <w:keepNext w:val="0"/>
        <w:keepLines w:val="0"/>
        <w:pageBreakBefore w:val="0"/>
        <w:kinsoku/>
        <w:wordWrap w:val="0"/>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3、本协议提交采购人、采购机构后，联合体各方不得以任何形式对上述内容进行修改或撤销。</w:t>
      </w:r>
    </w:p>
    <w:p>
      <w:pPr>
        <w:keepNext w:val="0"/>
        <w:keepLines w:val="0"/>
        <w:pageBreakBefore w:val="0"/>
        <w:kinsoku/>
        <w:wordWrap w:val="0"/>
        <w:overflowPunct/>
        <w:topLinePunct w:val="0"/>
        <w:autoSpaceDE/>
        <w:autoSpaceDN/>
        <w:bidi w:val="0"/>
        <w:adjustRightInd/>
        <w:snapToGrid w:val="0"/>
        <w:spacing w:line="360" w:lineRule="auto"/>
        <w:ind w:firstLine="3840" w:firstLineChars="16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联合体成员名称(公章)：</w:t>
      </w:r>
    </w:p>
    <w:p>
      <w:pPr>
        <w:keepNext w:val="0"/>
        <w:keepLines w:val="0"/>
        <w:pageBreakBefore w:val="0"/>
        <w:kinsoku/>
        <w:wordWrap w:val="0"/>
        <w:overflowPunct/>
        <w:topLinePunct w:val="0"/>
        <w:autoSpaceDE/>
        <w:autoSpaceDN/>
        <w:bidi w:val="0"/>
        <w:adjustRightInd/>
        <w:snapToGrid w:val="0"/>
        <w:spacing w:line="360" w:lineRule="auto"/>
        <w:ind w:firstLine="3840" w:firstLineChars="16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联合体成员名称(公章)：</w:t>
      </w:r>
    </w:p>
    <w:p>
      <w:pPr>
        <w:keepNext w:val="0"/>
        <w:keepLines w:val="0"/>
        <w:pageBreakBefore w:val="0"/>
        <w:kinsoku/>
        <w:wordWrap w:val="0"/>
        <w:overflowPunct/>
        <w:topLinePunct w:val="0"/>
        <w:autoSpaceDE/>
        <w:autoSpaceDN/>
        <w:bidi w:val="0"/>
        <w:adjustRightInd/>
        <w:snapToGrid w:val="0"/>
        <w:spacing w:line="360" w:lineRule="auto"/>
        <w:ind w:right="96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w:t>
      </w:r>
    </w:p>
    <w:p>
      <w:pPr>
        <w:keepNext w:val="0"/>
        <w:keepLines w:val="0"/>
        <w:pageBreakBefore w:val="0"/>
        <w:kinsoku/>
        <w:wordWrap w:val="0"/>
        <w:overflowPunct/>
        <w:topLinePunct w:val="0"/>
        <w:autoSpaceDE/>
        <w:autoSpaceDN/>
        <w:bidi w:val="0"/>
        <w:adjustRightInd/>
        <w:snapToGrid w:val="0"/>
        <w:spacing w:line="360" w:lineRule="auto"/>
        <w:ind w:firstLine="3840" w:firstLineChars="16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pStyle w:val="28"/>
        <w:spacing w:line="360" w:lineRule="auto"/>
        <w:ind w:left="0" w:leftChars="0" w:firstLine="0" w:firstLineChars="0"/>
        <w:jc w:val="both"/>
        <w:rPr>
          <w:rFonts w:hint="eastAsia" w:ascii="宋体" w:hAnsi="宋体" w:eastAsia="宋体" w:cs="宋体"/>
          <w:b/>
          <w:color w:val="auto"/>
          <w:sz w:val="24"/>
          <w:highlight w:val="none"/>
        </w:rPr>
        <w:sectPr>
          <w:footerReference r:id="rId11" w:type="first"/>
          <w:footerReference r:id="rId10" w:type="default"/>
          <w:pgSz w:w="11906" w:h="16838"/>
          <w:pgMar w:top="1440" w:right="1134" w:bottom="1440" w:left="1446" w:header="851" w:footer="992" w:gutter="0"/>
          <w:cols w:space="720" w:num="1"/>
          <w:titlePg/>
          <w:docGrid w:linePitch="319" w:charSpace="0"/>
        </w:sectPr>
      </w:pPr>
      <w:r>
        <w:rPr>
          <w:rFonts w:hint="eastAsia" w:ascii="宋体" w:hAnsi="宋体" w:eastAsia="宋体" w:cs="宋体"/>
          <w:color w:val="auto"/>
          <w:sz w:val="24"/>
          <w:szCs w:val="24"/>
          <w:highlight w:val="none"/>
        </w:rPr>
        <w:t>注：按本格式和要求提供。</w:t>
      </w:r>
      <w:r>
        <w:rPr>
          <w:rFonts w:hint="eastAsia" w:ascii="宋体" w:hAnsi="宋体" w:eastAsia="宋体" w:cs="宋体"/>
          <w:color w:val="auto"/>
          <w:sz w:val="24"/>
          <w:highlight w:val="none"/>
        </w:rPr>
        <w:t xml:space="preserve">   </w:t>
      </w:r>
    </w:p>
    <w:p>
      <w:pPr>
        <w:ind w:left="0" w:right="420" w:firstLine="0"/>
        <w:rPr>
          <w:rFonts w:hint="eastAsia" w:ascii="宋体" w:hAnsi="宋体" w:cs="宋体"/>
          <w:b/>
          <w:color w:val="auto"/>
          <w:sz w:val="24"/>
          <w:highlight w:val="none"/>
        </w:rPr>
      </w:pPr>
      <w:r>
        <w:rPr>
          <w:rFonts w:hint="eastAsia" w:ascii="宋体" w:hAnsi="宋体" w:cs="宋体"/>
          <w:b/>
          <w:color w:val="auto"/>
          <w:sz w:val="24"/>
          <w:highlight w:val="none"/>
        </w:rPr>
        <w:t>二、“商务技术文件”格式</w:t>
      </w:r>
    </w:p>
    <w:p>
      <w:pPr>
        <w:pStyle w:val="24"/>
        <w:spacing w:after="100" w:line="341" w:lineRule="exact"/>
        <w:ind w:firstLine="0"/>
        <w:jc w:val="both"/>
        <w:rPr>
          <w:rFonts w:hint="eastAsia" w:cs="宋体"/>
          <w:b/>
          <w:bCs/>
          <w:color w:val="auto"/>
          <w:sz w:val="24"/>
          <w:highlight w:val="none"/>
        </w:rPr>
      </w:pPr>
      <w:r>
        <w:rPr>
          <w:rFonts w:hint="eastAsia" w:cs="宋体"/>
          <w:b/>
          <w:bCs/>
          <w:color w:val="auto"/>
          <w:sz w:val="24"/>
          <w:highlight w:val="none"/>
        </w:rPr>
        <w:t>2.1“商务技术文件”封面（格式）</w:t>
      </w:r>
    </w:p>
    <w:p>
      <w:pPr>
        <w:jc w:val="center"/>
        <w:rPr>
          <w:rFonts w:hint="eastAsia" w:ascii="宋体" w:hAnsi="宋体" w:cs="宋体"/>
          <w:color w:val="auto"/>
          <w:sz w:val="24"/>
          <w:highlight w:val="none"/>
          <w:u w:val="singl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衢州市政府采购电子交易项目</w:t>
      </w:r>
    </w:p>
    <w:p>
      <w:pPr>
        <w:jc w:val="center"/>
        <w:rPr>
          <w:rFonts w:hint="eastAsia" w:ascii="宋体" w:hAnsi="宋体" w:cs="宋体"/>
          <w:color w:val="auto"/>
          <w:sz w:val="24"/>
          <w:highlight w:val="none"/>
          <w:u w:val="single"/>
        </w:rPr>
      </w:pPr>
    </w:p>
    <w:p>
      <w:pPr>
        <w:jc w:val="center"/>
        <w:rPr>
          <w:rFonts w:hint="eastAsia" w:ascii="宋体" w:hAnsi="宋体" w:cs="宋体"/>
          <w:color w:val="auto"/>
          <w:sz w:val="52"/>
          <w:highlight w:val="none"/>
        </w:rPr>
      </w:pPr>
    </w:p>
    <w:p>
      <w:pPr>
        <w:jc w:val="center"/>
        <w:rPr>
          <w:rFonts w:hint="eastAsia" w:ascii="宋体" w:hAnsi="宋体" w:cs="宋体"/>
          <w:b/>
          <w:bCs/>
          <w:color w:val="auto"/>
          <w:sz w:val="72"/>
          <w:highlight w:val="none"/>
        </w:rPr>
      </w:pPr>
      <w:r>
        <w:rPr>
          <w:rFonts w:hint="eastAsia" w:ascii="宋体" w:hAnsi="宋体" w:cs="宋体"/>
          <w:b/>
          <w:bCs/>
          <w:color w:val="auto"/>
          <w:sz w:val="72"/>
          <w:highlight w:val="none"/>
        </w:rPr>
        <w:t>磋 商 响 应 文 件</w:t>
      </w:r>
    </w:p>
    <w:p>
      <w:pPr>
        <w:jc w:val="center"/>
        <w:rPr>
          <w:rFonts w:hint="eastAsia" w:ascii="宋体" w:hAnsi="宋体" w:cs="宋体"/>
          <w:b/>
          <w:bCs/>
          <w:color w:val="auto"/>
          <w:sz w:val="28"/>
          <w:highlight w:val="none"/>
        </w:rPr>
      </w:pPr>
      <w:r>
        <w:rPr>
          <w:rFonts w:hint="eastAsia" w:ascii="宋体" w:hAnsi="宋体" w:cs="宋体"/>
          <w:b/>
          <w:bCs/>
          <w:color w:val="auto"/>
          <w:sz w:val="28"/>
          <w:highlight w:val="none"/>
        </w:rPr>
        <w:t>（二、商务技术文件）</w:t>
      </w:r>
    </w:p>
    <w:p>
      <w:pPr>
        <w:spacing w:line="900" w:lineRule="exact"/>
        <w:ind w:left="0" w:firstLine="0"/>
        <w:rPr>
          <w:rFonts w:hint="eastAsia" w:ascii="宋体" w:hAnsi="宋体" w:eastAsia="宋体" w:cs="宋体"/>
          <w:color w:val="auto"/>
          <w:w w:val="97"/>
          <w:sz w:val="30"/>
          <w:szCs w:val="30"/>
          <w:highlight w:val="none"/>
          <w:u w:val="single"/>
          <w:lang w:eastAsia="zh-CN"/>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u w:val="single"/>
          <w:lang w:eastAsia="zh-CN"/>
        </w:rPr>
        <w:t>2024“宋韵儒风 南孔琴韵”第三届“敦煌杯”古琴室内乐新作品展演活动</w:t>
      </w:r>
    </w:p>
    <w:p>
      <w:pPr>
        <w:spacing w:line="900" w:lineRule="exact"/>
        <w:ind w:left="0" w:firstLine="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QZGZ2024015CS</w:t>
      </w:r>
    </w:p>
    <w:p>
      <w:pPr>
        <w:spacing w:line="900" w:lineRule="exact"/>
        <w:ind w:left="0" w:firstLine="0"/>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磋商响应人单位名称（电子签章）：</w:t>
      </w:r>
    </w:p>
    <w:p>
      <w:pPr>
        <w:spacing w:line="900" w:lineRule="exact"/>
        <w:ind w:left="0" w:firstLine="0"/>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磋商响应人单位地址：</w:t>
      </w:r>
    </w:p>
    <w:p>
      <w:pPr>
        <w:spacing w:line="900" w:lineRule="exact"/>
        <w:ind w:left="0" w:firstLine="0"/>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法定代表人或其委托代理人：</w:t>
      </w:r>
      <w:r>
        <w:rPr>
          <w:rFonts w:hint="eastAsia" w:ascii="宋体" w:hAnsi="宋体" w:cs="宋体"/>
          <w:color w:val="auto"/>
          <w:sz w:val="30"/>
          <w:szCs w:val="30"/>
          <w:highlight w:val="none"/>
          <w:u w:val="single"/>
        </w:rPr>
        <w:t xml:space="preserve">           （签字或盖章） </w:t>
      </w:r>
    </w:p>
    <w:p>
      <w:pPr>
        <w:spacing w:line="900" w:lineRule="exact"/>
        <w:ind w:left="0" w:firstLine="0"/>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磋商响应人联系电话：</w:t>
      </w:r>
    </w:p>
    <w:p>
      <w:pPr>
        <w:spacing w:line="900" w:lineRule="exact"/>
        <w:ind w:left="0" w:firstLine="0"/>
        <w:rPr>
          <w:rFonts w:hint="eastAsia" w:ascii="宋体" w:hAnsi="宋体" w:cs="宋体"/>
          <w:color w:val="auto"/>
          <w:sz w:val="30"/>
          <w:szCs w:val="30"/>
          <w:highlight w:val="none"/>
        </w:rPr>
      </w:pPr>
      <w:r>
        <w:rPr>
          <w:rFonts w:hint="eastAsia" w:ascii="宋体" w:hAnsi="宋体" w:cs="宋体"/>
          <w:color w:val="auto"/>
          <w:sz w:val="30"/>
          <w:szCs w:val="30"/>
          <w:highlight w:val="none"/>
        </w:rPr>
        <w:t>日 期：     年     月    日</w:t>
      </w:r>
    </w:p>
    <w:p>
      <w:pPr>
        <w:pStyle w:val="15"/>
        <w:spacing w:after="0"/>
        <w:ind w:left="0" w:leftChars="0"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8"/>
          <w:szCs w:val="24"/>
          <w:highlight w:val="none"/>
        </w:rPr>
        <w:t>磋商响应截止时间前其他单位或个人不得解密、提取</w:t>
      </w:r>
    </w:p>
    <w:p>
      <w:pPr>
        <w:pStyle w:val="15"/>
        <w:ind w:left="0" w:leftChars="0" w:firstLine="0"/>
        <w:rPr>
          <w:rFonts w:hint="eastAsia" w:ascii="宋体" w:hAnsi="宋体" w:eastAsia="宋体" w:cs="宋体"/>
          <w:color w:val="auto"/>
          <w:highlight w:val="none"/>
        </w:rPr>
      </w:pPr>
    </w:p>
    <w:p>
      <w:pPr>
        <w:pStyle w:val="15"/>
        <w:spacing w:before="240" w:beforeLines="100" w:after="240"/>
        <w:ind w:left="0" w:leftChars="0" w:firstLine="0"/>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rPr>
        <w:br w:type="page"/>
      </w:r>
      <w:bookmarkEnd w:id="225"/>
      <w:r>
        <w:rPr>
          <w:rFonts w:hint="eastAsia" w:ascii="宋体" w:hAnsi="宋体" w:eastAsia="宋体" w:cs="宋体"/>
          <w:b/>
          <w:bCs/>
          <w:color w:val="auto"/>
          <w:sz w:val="24"/>
          <w:highlight w:val="none"/>
        </w:rPr>
        <w:t>格式2.</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 xml:space="preserve">：自评分表      </w:t>
      </w:r>
    </w:p>
    <w:p>
      <w:pPr>
        <w:pStyle w:val="15"/>
        <w:ind w:left="0" w:leftChars="0" w:firstLine="0"/>
        <w:jc w:val="center"/>
        <w:rPr>
          <w:rFonts w:hint="eastAsia" w:ascii="宋体" w:hAnsi="宋体" w:eastAsia="宋体" w:cs="宋体"/>
          <w:b/>
          <w:bCs/>
          <w:color w:val="auto"/>
          <w:sz w:val="24"/>
          <w:highlight w:val="none"/>
        </w:rPr>
      </w:pPr>
      <w:r>
        <w:rPr>
          <w:rFonts w:hint="eastAsia" w:ascii="宋体" w:hAnsi="宋体" w:eastAsia="宋体" w:cs="宋体"/>
          <w:b/>
          <w:bCs/>
          <w:color w:val="auto"/>
          <w:sz w:val="36"/>
          <w:highlight w:val="none"/>
        </w:rPr>
        <w:t>自评分表</w:t>
      </w:r>
      <w:bookmarkStart w:id="229" w:name="_Toc21409"/>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80"/>
        <w:gridCol w:w="5930"/>
        <w:gridCol w:w="700"/>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42" w:type="dxa"/>
            <w:noWrap w:val="0"/>
            <w:vAlign w:val="center"/>
          </w:tcPr>
          <w:p>
            <w:pPr>
              <w:snapToGrid w:val="0"/>
              <w:spacing w:line="0" w:lineRule="atLeast"/>
              <w:ind w:left="0" w:firstLine="0"/>
              <w:jc w:val="center"/>
              <w:rPr>
                <w:rFonts w:hint="eastAsia" w:ascii="宋体" w:hAnsi="宋体" w:cs="宋体"/>
                <w:b/>
                <w:color w:val="auto"/>
                <w:sz w:val="22"/>
                <w:szCs w:val="21"/>
                <w:highlight w:val="none"/>
              </w:rPr>
            </w:pPr>
            <w:r>
              <w:rPr>
                <w:rFonts w:hint="eastAsia" w:ascii="宋体" w:hAnsi="宋体" w:cs="宋体"/>
                <w:b/>
                <w:color w:val="auto"/>
                <w:sz w:val="22"/>
                <w:szCs w:val="21"/>
                <w:highlight w:val="none"/>
              </w:rPr>
              <w:t>序号</w:t>
            </w:r>
          </w:p>
        </w:tc>
        <w:tc>
          <w:tcPr>
            <w:tcW w:w="1080" w:type="dxa"/>
            <w:noWrap w:val="0"/>
            <w:vAlign w:val="center"/>
          </w:tcPr>
          <w:p>
            <w:pPr>
              <w:snapToGrid w:val="0"/>
              <w:spacing w:line="0" w:lineRule="atLeast"/>
              <w:ind w:left="0" w:firstLine="0"/>
              <w:jc w:val="center"/>
              <w:rPr>
                <w:rFonts w:hint="eastAsia" w:ascii="宋体" w:hAnsi="宋体" w:cs="宋体"/>
                <w:b/>
                <w:color w:val="auto"/>
                <w:sz w:val="22"/>
                <w:szCs w:val="21"/>
                <w:highlight w:val="none"/>
              </w:rPr>
            </w:pPr>
            <w:r>
              <w:rPr>
                <w:rFonts w:hint="eastAsia" w:ascii="宋体" w:hAnsi="宋体" w:cs="宋体"/>
                <w:b/>
                <w:color w:val="auto"/>
                <w:sz w:val="22"/>
                <w:szCs w:val="21"/>
                <w:highlight w:val="none"/>
              </w:rPr>
              <w:t>评分内容</w:t>
            </w:r>
          </w:p>
        </w:tc>
        <w:tc>
          <w:tcPr>
            <w:tcW w:w="5930" w:type="dxa"/>
            <w:noWrap w:val="0"/>
            <w:vAlign w:val="center"/>
          </w:tcPr>
          <w:p>
            <w:pPr>
              <w:snapToGrid w:val="0"/>
              <w:spacing w:line="0" w:lineRule="atLeast"/>
              <w:ind w:left="0" w:firstLine="0"/>
              <w:jc w:val="center"/>
              <w:rPr>
                <w:rFonts w:hint="eastAsia" w:ascii="宋体" w:hAnsi="宋体" w:cs="宋体"/>
                <w:b/>
                <w:color w:val="auto"/>
                <w:sz w:val="22"/>
                <w:szCs w:val="21"/>
                <w:highlight w:val="none"/>
              </w:rPr>
            </w:pPr>
            <w:r>
              <w:rPr>
                <w:rFonts w:hint="eastAsia" w:ascii="宋体" w:hAnsi="宋体" w:cs="宋体"/>
                <w:b/>
                <w:color w:val="auto"/>
                <w:sz w:val="22"/>
                <w:szCs w:val="21"/>
                <w:highlight w:val="none"/>
              </w:rPr>
              <w:t>评分细则</w:t>
            </w:r>
          </w:p>
        </w:tc>
        <w:tc>
          <w:tcPr>
            <w:tcW w:w="700" w:type="dxa"/>
            <w:noWrap w:val="0"/>
            <w:vAlign w:val="center"/>
          </w:tcPr>
          <w:p>
            <w:pPr>
              <w:snapToGrid w:val="0"/>
              <w:spacing w:line="0" w:lineRule="atLeast"/>
              <w:ind w:left="0" w:firstLine="0"/>
              <w:jc w:val="center"/>
              <w:rPr>
                <w:rFonts w:hint="eastAsia" w:ascii="宋体" w:hAnsi="宋体" w:cs="宋体"/>
                <w:b/>
                <w:color w:val="auto"/>
                <w:sz w:val="22"/>
                <w:szCs w:val="21"/>
                <w:highlight w:val="none"/>
              </w:rPr>
            </w:pPr>
            <w:r>
              <w:rPr>
                <w:rFonts w:hint="eastAsia" w:ascii="宋体" w:hAnsi="宋体" w:cs="宋体"/>
                <w:b/>
                <w:color w:val="auto"/>
                <w:sz w:val="22"/>
                <w:szCs w:val="21"/>
                <w:highlight w:val="none"/>
              </w:rPr>
              <w:t>分值</w:t>
            </w:r>
          </w:p>
        </w:tc>
        <w:tc>
          <w:tcPr>
            <w:tcW w:w="816" w:type="dxa"/>
            <w:noWrap w:val="0"/>
            <w:vAlign w:val="center"/>
          </w:tcPr>
          <w:p>
            <w:pPr>
              <w:snapToGrid w:val="0"/>
              <w:spacing w:line="0" w:lineRule="atLeast"/>
              <w:ind w:left="0" w:firstLine="0"/>
              <w:jc w:val="center"/>
              <w:rPr>
                <w:rFonts w:ascii="宋体" w:hAnsi="宋体" w:cs="宋体"/>
                <w:b/>
                <w:color w:val="auto"/>
                <w:sz w:val="22"/>
                <w:szCs w:val="21"/>
                <w:highlight w:val="none"/>
              </w:rPr>
            </w:pPr>
            <w:r>
              <w:rPr>
                <w:rFonts w:hint="eastAsia" w:ascii="宋体" w:hAnsi="宋体" w:cs="宋体"/>
                <w:b/>
                <w:color w:val="auto"/>
                <w:sz w:val="22"/>
                <w:szCs w:val="21"/>
                <w:highlight w:val="none"/>
              </w:rPr>
              <w:t>自评分</w:t>
            </w:r>
          </w:p>
        </w:tc>
        <w:tc>
          <w:tcPr>
            <w:tcW w:w="816" w:type="dxa"/>
            <w:noWrap w:val="0"/>
            <w:vAlign w:val="center"/>
          </w:tcPr>
          <w:p>
            <w:pPr>
              <w:snapToGrid w:val="0"/>
              <w:spacing w:line="0" w:lineRule="atLeast"/>
              <w:ind w:left="0" w:firstLine="0"/>
              <w:jc w:val="center"/>
              <w:rPr>
                <w:rFonts w:hint="eastAsia" w:ascii="宋体" w:hAnsi="宋体" w:cs="宋体"/>
                <w:b/>
                <w:color w:val="auto"/>
                <w:sz w:val="22"/>
                <w:szCs w:val="21"/>
                <w:highlight w:val="none"/>
              </w:rPr>
            </w:pPr>
            <w:r>
              <w:rPr>
                <w:rFonts w:hint="eastAsia" w:ascii="宋体" w:hAnsi="宋体" w:cs="宋体"/>
                <w:b/>
                <w:color w:val="auto"/>
                <w:sz w:val="22"/>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noWrap w:val="0"/>
            <w:vAlign w:val="center"/>
          </w:tcPr>
          <w:p>
            <w:pPr>
              <w:snapToGri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080" w:type="dxa"/>
            <w:noWrap w:val="0"/>
            <w:vAlign w:val="center"/>
          </w:tcPr>
          <w:p>
            <w:pPr>
              <w:snapToGrid w:val="0"/>
              <w:spacing w:line="0" w:lineRule="atLeast"/>
              <w:ind w:left="0" w:firstLine="0"/>
              <w:jc w:val="center"/>
              <w:rPr>
                <w:rFonts w:hint="eastAsia" w:ascii="宋体" w:hAnsi="宋体" w:cs="宋体"/>
                <w:color w:val="auto"/>
                <w:szCs w:val="21"/>
                <w:highlight w:val="none"/>
              </w:rPr>
            </w:pPr>
          </w:p>
        </w:tc>
        <w:tc>
          <w:tcPr>
            <w:tcW w:w="5930" w:type="dxa"/>
            <w:noWrap w:val="0"/>
            <w:vAlign w:val="center"/>
          </w:tcPr>
          <w:p>
            <w:pPr>
              <w:snapToGrid w:val="0"/>
              <w:spacing w:line="0" w:lineRule="atLeast"/>
              <w:ind w:left="0" w:firstLine="0"/>
              <w:rPr>
                <w:rFonts w:hint="eastAsia" w:ascii="宋体" w:hAnsi="宋体" w:cs="宋体"/>
                <w:color w:val="auto"/>
                <w:szCs w:val="21"/>
                <w:highlight w:val="none"/>
              </w:rPr>
            </w:pPr>
          </w:p>
        </w:tc>
        <w:tc>
          <w:tcPr>
            <w:tcW w:w="700" w:type="dxa"/>
            <w:noWrap w:val="0"/>
            <w:vAlign w:val="center"/>
          </w:tcPr>
          <w:p>
            <w:pPr>
              <w:snapToGrid w:val="0"/>
              <w:spacing w:line="0" w:lineRule="atLeast"/>
              <w:ind w:left="0" w:firstLine="0"/>
              <w:jc w:val="center"/>
              <w:rPr>
                <w:rFonts w:hint="eastAsia" w:ascii="宋体" w:hAnsi="宋体" w:cs="宋体"/>
                <w:color w:val="auto"/>
                <w:szCs w:val="21"/>
                <w:highlight w:val="none"/>
              </w:rPr>
            </w:pPr>
          </w:p>
        </w:tc>
        <w:tc>
          <w:tcPr>
            <w:tcW w:w="816" w:type="dxa"/>
            <w:noWrap w:val="0"/>
            <w:vAlign w:val="center"/>
          </w:tcPr>
          <w:p>
            <w:pPr>
              <w:snapToGrid w:val="0"/>
              <w:spacing w:line="0" w:lineRule="atLeast"/>
              <w:ind w:left="0" w:firstLine="0"/>
              <w:jc w:val="center"/>
              <w:rPr>
                <w:rFonts w:hint="eastAsia" w:ascii="宋体" w:hAnsi="宋体" w:cs="宋体"/>
                <w:color w:val="auto"/>
                <w:szCs w:val="21"/>
                <w:highlight w:val="none"/>
              </w:rPr>
            </w:pPr>
          </w:p>
        </w:tc>
        <w:tc>
          <w:tcPr>
            <w:tcW w:w="816" w:type="dxa"/>
            <w:noWrap w:val="0"/>
            <w:vAlign w:val="center"/>
          </w:tcPr>
          <w:p>
            <w:pPr>
              <w:snapToGrid w:val="0"/>
              <w:spacing w:line="0" w:lineRule="atLeast"/>
              <w:ind w:left="0" w:firstLine="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noWrap w:val="0"/>
            <w:vAlign w:val="center"/>
          </w:tcPr>
          <w:p>
            <w:pPr>
              <w:snapToGrid w:val="0"/>
              <w:spacing w:line="0" w:lineRule="atLeast"/>
              <w:ind w:left="0" w:firstLine="0"/>
              <w:jc w:val="center"/>
              <w:rPr>
                <w:rFonts w:ascii="宋体" w:hAnsi="宋体" w:cs="宋体"/>
                <w:color w:val="auto"/>
                <w:szCs w:val="21"/>
                <w:highlight w:val="none"/>
              </w:rPr>
            </w:pPr>
            <w:r>
              <w:rPr>
                <w:rFonts w:hint="eastAsia" w:ascii="宋体" w:hAnsi="宋体" w:cs="宋体"/>
                <w:color w:val="auto"/>
                <w:szCs w:val="21"/>
                <w:highlight w:val="none"/>
              </w:rPr>
              <w:t>2</w:t>
            </w:r>
          </w:p>
        </w:tc>
        <w:tc>
          <w:tcPr>
            <w:tcW w:w="1080" w:type="dxa"/>
            <w:noWrap w:val="0"/>
            <w:vAlign w:val="center"/>
          </w:tcPr>
          <w:p>
            <w:pPr>
              <w:snapToGrid w:val="0"/>
              <w:spacing w:line="0" w:lineRule="atLeast"/>
              <w:ind w:left="0" w:firstLine="0"/>
              <w:jc w:val="center"/>
              <w:rPr>
                <w:rFonts w:ascii="宋体" w:hAnsi="宋体" w:cs="宋体"/>
                <w:color w:val="auto"/>
                <w:szCs w:val="21"/>
                <w:highlight w:val="none"/>
              </w:rPr>
            </w:pPr>
          </w:p>
        </w:tc>
        <w:tc>
          <w:tcPr>
            <w:tcW w:w="5930" w:type="dxa"/>
            <w:noWrap w:val="0"/>
            <w:vAlign w:val="center"/>
          </w:tcPr>
          <w:p>
            <w:pPr>
              <w:snapToGrid w:val="0"/>
              <w:spacing w:line="0" w:lineRule="atLeast"/>
              <w:ind w:left="0" w:firstLine="0"/>
              <w:rPr>
                <w:rFonts w:hint="eastAsia" w:ascii="宋体" w:hAnsi="宋体" w:cs="宋体"/>
                <w:color w:val="auto"/>
                <w:szCs w:val="21"/>
                <w:highlight w:val="none"/>
              </w:rPr>
            </w:pPr>
          </w:p>
        </w:tc>
        <w:tc>
          <w:tcPr>
            <w:tcW w:w="700" w:type="dxa"/>
            <w:noWrap w:val="0"/>
            <w:vAlign w:val="center"/>
          </w:tcPr>
          <w:p>
            <w:pPr>
              <w:snapToGrid w:val="0"/>
              <w:spacing w:line="0" w:lineRule="atLeast"/>
              <w:ind w:left="0" w:firstLine="0"/>
              <w:jc w:val="center"/>
              <w:rPr>
                <w:rFonts w:ascii="宋体" w:hAnsi="宋体" w:cs="宋体"/>
                <w:color w:val="auto"/>
                <w:szCs w:val="21"/>
                <w:highlight w:val="none"/>
              </w:rPr>
            </w:pPr>
          </w:p>
        </w:tc>
        <w:tc>
          <w:tcPr>
            <w:tcW w:w="816" w:type="dxa"/>
            <w:noWrap w:val="0"/>
            <w:vAlign w:val="center"/>
          </w:tcPr>
          <w:p>
            <w:pPr>
              <w:snapToGrid w:val="0"/>
              <w:spacing w:line="0" w:lineRule="atLeast"/>
              <w:ind w:left="0" w:firstLine="0"/>
              <w:jc w:val="center"/>
              <w:rPr>
                <w:rFonts w:hint="eastAsia" w:ascii="宋体" w:hAnsi="宋体" w:cs="宋体"/>
                <w:color w:val="auto"/>
                <w:szCs w:val="21"/>
                <w:highlight w:val="none"/>
              </w:rPr>
            </w:pPr>
          </w:p>
        </w:tc>
        <w:tc>
          <w:tcPr>
            <w:tcW w:w="816" w:type="dxa"/>
            <w:noWrap w:val="0"/>
            <w:vAlign w:val="center"/>
          </w:tcPr>
          <w:p>
            <w:pPr>
              <w:snapToGrid w:val="0"/>
              <w:spacing w:line="0" w:lineRule="atLeast"/>
              <w:ind w:left="0" w:firstLine="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noWrap w:val="0"/>
            <w:vAlign w:val="center"/>
          </w:tcPr>
          <w:p>
            <w:pPr>
              <w:snapToGrid w:val="0"/>
              <w:spacing w:line="0" w:lineRule="atLeast"/>
              <w:ind w:left="0" w:firstLine="0"/>
              <w:jc w:val="center"/>
              <w:rPr>
                <w:rFonts w:ascii="宋体" w:hAnsi="宋体" w:cs="宋体"/>
                <w:color w:val="auto"/>
                <w:szCs w:val="21"/>
                <w:highlight w:val="none"/>
              </w:rPr>
            </w:pPr>
            <w:r>
              <w:rPr>
                <w:rFonts w:hint="eastAsia" w:ascii="宋体" w:hAnsi="宋体" w:cs="宋体"/>
                <w:color w:val="auto"/>
                <w:szCs w:val="21"/>
                <w:highlight w:val="none"/>
              </w:rPr>
              <w:t>3</w:t>
            </w:r>
          </w:p>
        </w:tc>
        <w:tc>
          <w:tcPr>
            <w:tcW w:w="1080" w:type="dxa"/>
            <w:noWrap w:val="0"/>
            <w:vAlign w:val="center"/>
          </w:tcPr>
          <w:p>
            <w:pPr>
              <w:snapToGrid w:val="0"/>
              <w:spacing w:line="0" w:lineRule="atLeast"/>
              <w:ind w:left="0" w:firstLine="0"/>
              <w:jc w:val="center"/>
              <w:rPr>
                <w:rFonts w:hint="eastAsia" w:ascii="宋体" w:hAnsi="宋体" w:cs="宋体"/>
                <w:color w:val="auto"/>
                <w:szCs w:val="21"/>
                <w:highlight w:val="none"/>
              </w:rPr>
            </w:pPr>
          </w:p>
        </w:tc>
        <w:tc>
          <w:tcPr>
            <w:tcW w:w="5930" w:type="dxa"/>
            <w:noWrap w:val="0"/>
            <w:vAlign w:val="center"/>
          </w:tcPr>
          <w:p>
            <w:pPr>
              <w:snapToGrid w:val="0"/>
              <w:spacing w:line="0" w:lineRule="atLeast"/>
              <w:ind w:left="0" w:firstLine="0"/>
              <w:rPr>
                <w:rFonts w:hint="eastAsia" w:ascii="宋体" w:hAnsi="宋体" w:cs="宋体"/>
                <w:color w:val="auto"/>
                <w:szCs w:val="21"/>
                <w:highlight w:val="none"/>
              </w:rPr>
            </w:pPr>
          </w:p>
        </w:tc>
        <w:tc>
          <w:tcPr>
            <w:tcW w:w="700" w:type="dxa"/>
            <w:noWrap w:val="0"/>
            <w:vAlign w:val="center"/>
          </w:tcPr>
          <w:p>
            <w:pPr>
              <w:snapToGrid w:val="0"/>
              <w:spacing w:line="0" w:lineRule="atLeast"/>
              <w:ind w:left="0" w:firstLine="0"/>
              <w:jc w:val="center"/>
              <w:rPr>
                <w:rFonts w:ascii="宋体" w:hAnsi="宋体" w:cs="宋体"/>
                <w:color w:val="auto"/>
                <w:szCs w:val="21"/>
                <w:highlight w:val="none"/>
              </w:rPr>
            </w:pPr>
          </w:p>
        </w:tc>
        <w:tc>
          <w:tcPr>
            <w:tcW w:w="816" w:type="dxa"/>
            <w:noWrap w:val="0"/>
            <w:vAlign w:val="center"/>
          </w:tcPr>
          <w:p>
            <w:pPr>
              <w:snapToGrid w:val="0"/>
              <w:spacing w:line="0" w:lineRule="atLeast"/>
              <w:ind w:left="0" w:firstLine="0"/>
              <w:jc w:val="center"/>
              <w:rPr>
                <w:rFonts w:hint="eastAsia" w:ascii="宋体" w:hAnsi="宋体" w:cs="宋体"/>
                <w:color w:val="auto"/>
                <w:szCs w:val="21"/>
                <w:highlight w:val="none"/>
              </w:rPr>
            </w:pPr>
          </w:p>
        </w:tc>
        <w:tc>
          <w:tcPr>
            <w:tcW w:w="816" w:type="dxa"/>
            <w:noWrap w:val="0"/>
            <w:vAlign w:val="center"/>
          </w:tcPr>
          <w:p>
            <w:pPr>
              <w:snapToGrid w:val="0"/>
              <w:spacing w:line="0" w:lineRule="atLeast"/>
              <w:ind w:left="0" w:firstLine="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noWrap w:val="0"/>
            <w:vAlign w:val="center"/>
          </w:tcPr>
          <w:p>
            <w:pPr>
              <w:snapToGrid w:val="0"/>
              <w:spacing w:line="0" w:lineRule="atLeast"/>
              <w:ind w:left="0" w:firstLine="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080" w:type="dxa"/>
            <w:noWrap w:val="0"/>
            <w:vAlign w:val="center"/>
          </w:tcPr>
          <w:p>
            <w:pPr>
              <w:snapToGrid w:val="0"/>
              <w:spacing w:line="0" w:lineRule="atLeast"/>
              <w:ind w:left="0" w:firstLine="0"/>
              <w:jc w:val="center"/>
              <w:rPr>
                <w:rFonts w:hint="eastAsia" w:ascii="宋体" w:hAnsi="宋体" w:cs="宋体"/>
                <w:color w:val="auto"/>
                <w:szCs w:val="21"/>
                <w:highlight w:val="none"/>
              </w:rPr>
            </w:pPr>
          </w:p>
        </w:tc>
        <w:tc>
          <w:tcPr>
            <w:tcW w:w="5930" w:type="dxa"/>
            <w:noWrap w:val="0"/>
            <w:vAlign w:val="center"/>
          </w:tcPr>
          <w:p>
            <w:pPr>
              <w:snapToGrid w:val="0"/>
              <w:spacing w:line="0" w:lineRule="atLeast"/>
              <w:ind w:left="0" w:firstLine="0"/>
              <w:rPr>
                <w:rFonts w:hint="eastAsia" w:ascii="宋体" w:hAnsi="宋体" w:cs="宋体"/>
                <w:color w:val="auto"/>
                <w:szCs w:val="21"/>
                <w:highlight w:val="none"/>
              </w:rPr>
            </w:pPr>
          </w:p>
        </w:tc>
        <w:tc>
          <w:tcPr>
            <w:tcW w:w="700" w:type="dxa"/>
            <w:noWrap w:val="0"/>
            <w:vAlign w:val="center"/>
          </w:tcPr>
          <w:p>
            <w:pPr>
              <w:snapToGrid w:val="0"/>
              <w:spacing w:line="0" w:lineRule="atLeast"/>
              <w:ind w:left="0" w:firstLine="0"/>
              <w:jc w:val="center"/>
              <w:rPr>
                <w:rFonts w:hint="eastAsia" w:ascii="宋体" w:hAnsi="宋体" w:cs="宋体"/>
                <w:color w:val="auto"/>
                <w:szCs w:val="21"/>
                <w:highlight w:val="none"/>
              </w:rPr>
            </w:pPr>
          </w:p>
        </w:tc>
        <w:tc>
          <w:tcPr>
            <w:tcW w:w="816" w:type="dxa"/>
            <w:noWrap w:val="0"/>
            <w:vAlign w:val="center"/>
          </w:tcPr>
          <w:p>
            <w:pPr>
              <w:snapToGrid w:val="0"/>
              <w:spacing w:line="0" w:lineRule="atLeast"/>
              <w:ind w:left="0" w:firstLine="0"/>
              <w:jc w:val="center"/>
              <w:rPr>
                <w:rFonts w:hint="eastAsia" w:ascii="宋体" w:hAnsi="宋体" w:cs="宋体"/>
                <w:color w:val="auto"/>
                <w:szCs w:val="21"/>
                <w:highlight w:val="none"/>
              </w:rPr>
            </w:pPr>
          </w:p>
        </w:tc>
        <w:tc>
          <w:tcPr>
            <w:tcW w:w="816" w:type="dxa"/>
            <w:noWrap w:val="0"/>
            <w:vAlign w:val="center"/>
          </w:tcPr>
          <w:p>
            <w:pPr>
              <w:snapToGrid w:val="0"/>
              <w:spacing w:line="0" w:lineRule="atLeast"/>
              <w:ind w:left="0" w:firstLine="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2" w:type="dxa"/>
            <w:noWrap w:val="0"/>
            <w:vAlign w:val="center"/>
          </w:tcPr>
          <w:p>
            <w:pPr>
              <w:snapToGrid w:val="0"/>
              <w:spacing w:line="0" w:lineRule="atLeast"/>
              <w:ind w:left="0" w:firstLine="0"/>
              <w:jc w:val="center"/>
              <w:rPr>
                <w:rFonts w:hint="eastAsia" w:ascii="宋体" w:hAnsi="宋体" w:cs="宋体"/>
                <w:color w:val="auto"/>
                <w:highlight w:val="none"/>
              </w:rPr>
            </w:pPr>
            <w:r>
              <w:rPr>
                <w:rFonts w:hint="eastAsia" w:ascii="宋体" w:hAnsi="宋体" w:cs="宋体"/>
                <w:color w:val="auto"/>
                <w:highlight w:val="none"/>
              </w:rPr>
              <w:t>5</w:t>
            </w:r>
          </w:p>
        </w:tc>
        <w:tc>
          <w:tcPr>
            <w:tcW w:w="1080" w:type="dxa"/>
            <w:noWrap w:val="0"/>
            <w:vAlign w:val="center"/>
          </w:tcPr>
          <w:p>
            <w:pPr>
              <w:widowControl/>
              <w:spacing w:line="0" w:lineRule="atLeast"/>
              <w:ind w:left="0" w:firstLine="0"/>
              <w:jc w:val="center"/>
              <w:rPr>
                <w:rFonts w:hint="eastAsia" w:ascii="宋体" w:hAnsi="宋体" w:cs="宋体"/>
                <w:color w:val="auto"/>
                <w:highlight w:val="none"/>
              </w:rPr>
            </w:pPr>
          </w:p>
        </w:tc>
        <w:tc>
          <w:tcPr>
            <w:tcW w:w="5930" w:type="dxa"/>
            <w:noWrap w:val="0"/>
            <w:vAlign w:val="center"/>
          </w:tcPr>
          <w:p>
            <w:pPr>
              <w:spacing w:line="0" w:lineRule="atLeast"/>
              <w:ind w:left="0" w:firstLine="0"/>
              <w:rPr>
                <w:rFonts w:hint="eastAsia" w:ascii="宋体" w:hAnsi="宋体" w:cs="宋体"/>
                <w:color w:val="auto"/>
                <w:highlight w:val="none"/>
              </w:rPr>
            </w:pPr>
          </w:p>
        </w:tc>
        <w:tc>
          <w:tcPr>
            <w:tcW w:w="700" w:type="dxa"/>
            <w:noWrap w:val="0"/>
            <w:vAlign w:val="center"/>
          </w:tcPr>
          <w:p>
            <w:pPr>
              <w:snapToGrid w:val="0"/>
              <w:spacing w:line="0" w:lineRule="atLeast"/>
              <w:ind w:left="0" w:firstLine="0"/>
              <w:jc w:val="center"/>
              <w:rPr>
                <w:rFonts w:ascii="宋体" w:hAnsi="宋体" w:cs="宋体"/>
                <w:color w:val="auto"/>
                <w:highlight w:val="none"/>
              </w:rPr>
            </w:pPr>
          </w:p>
        </w:tc>
        <w:tc>
          <w:tcPr>
            <w:tcW w:w="816" w:type="dxa"/>
            <w:noWrap w:val="0"/>
            <w:vAlign w:val="center"/>
          </w:tcPr>
          <w:p>
            <w:pPr>
              <w:snapToGrid w:val="0"/>
              <w:spacing w:line="0" w:lineRule="atLeast"/>
              <w:ind w:left="0" w:firstLine="0"/>
              <w:jc w:val="center"/>
              <w:rPr>
                <w:rFonts w:hint="eastAsia" w:ascii="宋体" w:hAnsi="宋体" w:cs="宋体"/>
                <w:color w:val="auto"/>
                <w:highlight w:val="none"/>
              </w:rPr>
            </w:pPr>
          </w:p>
        </w:tc>
        <w:tc>
          <w:tcPr>
            <w:tcW w:w="816" w:type="dxa"/>
            <w:noWrap w:val="0"/>
            <w:vAlign w:val="center"/>
          </w:tcPr>
          <w:p>
            <w:pPr>
              <w:snapToGrid w:val="0"/>
              <w:spacing w:line="0" w:lineRule="atLeast"/>
              <w:ind w:left="0" w:firstLine="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2" w:type="dxa"/>
            <w:noWrap w:val="0"/>
            <w:vAlign w:val="center"/>
          </w:tcPr>
          <w:p>
            <w:pPr>
              <w:snapToGrid w:val="0"/>
              <w:spacing w:line="0" w:lineRule="atLeast"/>
              <w:ind w:left="0" w:firstLine="0"/>
              <w:jc w:val="center"/>
              <w:rPr>
                <w:rFonts w:ascii="宋体" w:hAnsi="宋体" w:cs="宋体"/>
                <w:color w:val="auto"/>
                <w:szCs w:val="21"/>
                <w:highlight w:val="none"/>
              </w:rPr>
            </w:pPr>
            <w:r>
              <w:rPr>
                <w:rFonts w:hint="eastAsia" w:ascii="宋体" w:hAnsi="宋体" w:cs="宋体"/>
                <w:color w:val="auto"/>
                <w:szCs w:val="21"/>
                <w:highlight w:val="none"/>
              </w:rPr>
              <w:t>6</w:t>
            </w:r>
          </w:p>
        </w:tc>
        <w:tc>
          <w:tcPr>
            <w:tcW w:w="1080" w:type="dxa"/>
            <w:noWrap w:val="0"/>
            <w:vAlign w:val="center"/>
          </w:tcPr>
          <w:p>
            <w:pPr>
              <w:widowControl/>
              <w:spacing w:line="0" w:lineRule="atLeast"/>
              <w:ind w:left="0" w:firstLine="0"/>
              <w:jc w:val="center"/>
              <w:rPr>
                <w:rFonts w:hint="eastAsia" w:ascii="宋体" w:hAnsi="宋体" w:cs="宋体"/>
                <w:color w:val="auto"/>
                <w:szCs w:val="21"/>
                <w:highlight w:val="none"/>
              </w:rPr>
            </w:pPr>
          </w:p>
        </w:tc>
        <w:tc>
          <w:tcPr>
            <w:tcW w:w="5930" w:type="dxa"/>
            <w:noWrap w:val="0"/>
            <w:vAlign w:val="center"/>
          </w:tcPr>
          <w:p>
            <w:pPr>
              <w:widowControl/>
              <w:spacing w:line="0" w:lineRule="atLeast"/>
              <w:ind w:left="0" w:firstLine="0"/>
              <w:rPr>
                <w:rFonts w:ascii="宋体" w:hAnsi="宋体" w:cs="宋体"/>
                <w:color w:val="auto"/>
                <w:szCs w:val="21"/>
                <w:highlight w:val="none"/>
              </w:rPr>
            </w:pPr>
          </w:p>
        </w:tc>
        <w:tc>
          <w:tcPr>
            <w:tcW w:w="700" w:type="dxa"/>
            <w:noWrap w:val="0"/>
            <w:vAlign w:val="center"/>
          </w:tcPr>
          <w:p>
            <w:pPr>
              <w:widowControl/>
              <w:spacing w:line="0" w:lineRule="atLeast"/>
              <w:ind w:left="0" w:firstLine="0"/>
              <w:jc w:val="center"/>
              <w:rPr>
                <w:rFonts w:hint="eastAsia" w:ascii="宋体" w:hAnsi="宋体" w:cs="宋体"/>
                <w:color w:val="auto"/>
                <w:szCs w:val="21"/>
                <w:highlight w:val="none"/>
              </w:rPr>
            </w:pPr>
          </w:p>
        </w:tc>
        <w:tc>
          <w:tcPr>
            <w:tcW w:w="816" w:type="dxa"/>
            <w:noWrap w:val="0"/>
            <w:vAlign w:val="center"/>
          </w:tcPr>
          <w:p>
            <w:pPr>
              <w:widowControl/>
              <w:spacing w:line="0" w:lineRule="atLeast"/>
              <w:ind w:left="0" w:firstLine="0"/>
              <w:jc w:val="center"/>
              <w:rPr>
                <w:rFonts w:hint="eastAsia" w:ascii="宋体" w:hAnsi="宋体" w:cs="宋体"/>
                <w:color w:val="auto"/>
                <w:szCs w:val="21"/>
                <w:highlight w:val="none"/>
              </w:rPr>
            </w:pPr>
          </w:p>
        </w:tc>
        <w:tc>
          <w:tcPr>
            <w:tcW w:w="816" w:type="dxa"/>
            <w:noWrap w:val="0"/>
            <w:vAlign w:val="center"/>
          </w:tcPr>
          <w:p>
            <w:pPr>
              <w:widowControl/>
              <w:spacing w:line="0" w:lineRule="atLeast"/>
              <w:ind w:left="0" w:firstLine="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2" w:type="dxa"/>
            <w:noWrap w:val="0"/>
            <w:vAlign w:val="center"/>
          </w:tcPr>
          <w:p>
            <w:pPr>
              <w:snapToGrid w:val="0"/>
              <w:spacing w:line="0" w:lineRule="atLeast"/>
              <w:ind w:left="0" w:firstLine="0"/>
              <w:jc w:val="center"/>
              <w:rPr>
                <w:rFonts w:ascii="宋体" w:hAnsi="宋体" w:cs="宋体"/>
                <w:color w:val="auto"/>
                <w:szCs w:val="21"/>
                <w:highlight w:val="none"/>
              </w:rPr>
            </w:pPr>
            <w:r>
              <w:rPr>
                <w:rFonts w:hint="eastAsia" w:ascii="宋体" w:hAnsi="宋体" w:cs="宋体"/>
                <w:color w:val="auto"/>
                <w:szCs w:val="21"/>
                <w:highlight w:val="none"/>
              </w:rPr>
              <w:t>……</w:t>
            </w:r>
          </w:p>
        </w:tc>
        <w:tc>
          <w:tcPr>
            <w:tcW w:w="1080" w:type="dxa"/>
            <w:noWrap w:val="0"/>
            <w:vAlign w:val="center"/>
          </w:tcPr>
          <w:p>
            <w:pPr>
              <w:widowControl/>
              <w:spacing w:line="0" w:lineRule="atLeast"/>
              <w:ind w:left="0" w:firstLine="0"/>
              <w:jc w:val="center"/>
              <w:rPr>
                <w:rFonts w:hint="eastAsia" w:ascii="宋体" w:hAnsi="宋体" w:cs="宋体"/>
                <w:color w:val="auto"/>
                <w:szCs w:val="21"/>
                <w:highlight w:val="none"/>
              </w:rPr>
            </w:pPr>
          </w:p>
        </w:tc>
        <w:tc>
          <w:tcPr>
            <w:tcW w:w="5930" w:type="dxa"/>
            <w:noWrap w:val="0"/>
            <w:vAlign w:val="center"/>
          </w:tcPr>
          <w:p>
            <w:pPr>
              <w:widowControl/>
              <w:spacing w:line="0" w:lineRule="atLeast"/>
              <w:ind w:left="0" w:firstLine="0"/>
              <w:rPr>
                <w:rFonts w:hint="eastAsia" w:ascii="宋体" w:hAnsi="宋体" w:cs="宋体"/>
                <w:color w:val="auto"/>
                <w:szCs w:val="21"/>
                <w:highlight w:val="none"/>
              </w:rPr>
            </w:pPr>
          </w:p>
        </w:tc>
        <w:tc>
          <w:tcPr>
            <w:tcW w:w="700" w:type="dxa"/>
            <w:noWrap w:val="0"/>
            <w:vAlign w:val="center"/>
          </w:tcPr>
          <w:p>
            <w:pPr>
              <w:widowControl/>
              <w:spacing w:line="0" w:lineRule="atLeast"/>
              <w:ind w:left="0" w:firstLine="0"/>
              <w:jc w:val="center"/>
              <w:rPr>
                <w:rFonts w:hint="eastAsia" w:ascii="宋体" w:hAnsi="宋体" w:cs="宋体"/>
                <w:color w:val="auto"/>
                <w:szCs w:val="21"/>
                <w:highlight w:val="none"/>
              </w:rPr>
            </w:pPr>
          </w:p>
        </w:tc>
        <w:tc>
          <w:tcPr>
            <w:tcW w:w="816" w:type="dxa"/>
            <w:noWrap w:val="0"/>
            <w:vAlign w:val="center"/>
          </w:tcPr>
          <w:p>
            <w:pPr>
              <w:widowControl/>
              <w:spacing w:line="0" w:lineRule="atLeast"/>
              <w:ind w:left="0" w:firstLine="0"/>
              <w:jc w:val="center"/>
              <w:rPr>
                <w:rFonts w:hint="eastAsia" w:ascii="宋体" w:hAnsi="宋体" w:cs="宋体"/>
                <w:color w:val="auto"/>
                <w:szCs w:val="21"/>
                <w:highlight w:val="none"/>
              </w:rPr>
            </w:pPr>
          </w:p>
        </w:tc>
        <w:tc>
          <w:tcPr>
            <w:tcW w:w="816" w:type="dxa"/>
            <w:noWrap w:val="0"/>
            <w:vAlign w:val="center"/>
          </w:tcPr>
          <w:p>
            <w:pPr>
              <w:widowControl/>
              <w:spacing w:line="0" w:lineRule="atLeast"/>
              <w:ind w:left="0" w:firstLine="0"/>
              <w:jc w:val="center"/>
              <w:rPr>
                <w:rFonts w:hint="eastAsia" w:ascii="宋体" w:hAnsi="宋体" w:cs="宋体"/>
                <w:color w:val="auto"/>
                <w:szCs w:val="21"/>
                <w:highlight w:val="none"/>
              </w:rPr>
            </w:pPr>
          </w:p>
        </w:tc>
      </w:tr>
    </w:tbl>
    <w:p>
      <w:pPr>
        <w:pStyle w:val="15"/>
        <w:ind w:left="0" w:leftChars="0" w:firstLine="0"/>
        <w:rPr>
          <w:rFonts w:hint="eastAsia" w:ascii="宋体" w:hAnsi="宋体" w:eastAsia="宋体" w:cs="宋体"/>
          <w:b/>
          <w:bCs/>
          <w:color w:val="auto"/>
          <w:sz w:val="24"/>
          <w:highlight w:val="none"/>
        </w:rPr>
      </w:pPr>
    </w:p>
    <w:p>
      <w:pPr>
        <w:pStyle w:val="15"/>
        <w:ind w:left="0" w:leftChars="0" w:firstLine="0"/>
        <w:rPr>
          <w:rFonts w:hint="eastAsia" w:ascii="宋体" w:hAnsi="宋体" w:eastAsia="宋体" w:cs="宋体"/>
          <w:b/>
          <w:bCs/>
          <w:color w:val="auto"/>
          <w:sz w:val="24"/>
          <w:highlight w:val="none"/>
        </w:rPr>
      </w:pPr>
    </w:p>
    <w:p>
      <w:pPr>
        <w:pStyle w:val="15"/>
        <w:ind w:left="0" w:leftChars="0" w:firstLine="0"/>
        <w:rPr>
          <w:rFonts w:hint="eastAsia" w:ascii="宋体" w:hAnsi="宋体" w:eastAsia="宋体" w:cs="宋体"/>
          <w:b/>
          <w:bCs/>
          <w:color w:val="auto"/>
          <w:sz w:val="24"/>
          <w:highlight w:val="none"/>
        </w:rPr>
      </w:pPr>
    </w:p>
    <w:p>
      <w:pPr>
        <w:pStyle w:val="15"/>
        <w:ind w:left="0" w:leftChars="0" w:firstLine="0"/>
        <w:rPr>
          <w:rFonts w:hint="eastAsia" w:ascii="宋体" w:hAnsi="宋体" w:eastAsia="宋体" w:cs="宋体"/>
          <w:b/>
          <w:bCs/>
          <w:color w:val="auto"/>
          <w:sz w:val="24"/>
          <w:highlight w:val="none"/>
        </w:rPr>
      </w:pPr>
    </w:p>
    <w:p>
      <w:pPr>
        <w:pStyle w:val="15"/>
        <w:ind w:left="0" w:leftChars="0" w:firstLine="0"/>
        <w:rPr>
          <w:rFonts w:hint="eastAsia" w:ascii="宋体" w:hAnsi="宋体" w:eastAsia="宋体" w:cs="宋体"/>
          <w:b/>
          <w:bCs/>
          <w:color w:val="auto"/>
          <w:sz w:val="24"/>
          <w:highlight w:val="none"/>
        </w:rPr>
      </w:pPr>
    </w:p>
    <w:p>
      <w:pPr>
        <w:spacing w:line="540" w:lineRule="exact"/>
        <w:ind w:left="0" w:firstLine="3402"/>
        <w:rPr>
          <w:rFonts w:hint="eastAsia" w:ascii="宋体" w:hAnsi="宋体" w:cs="宋体"/>
          <w:color w:val="auto"/>
          <w:sz w:val="24"/>
          <w:highlight w:val="none"/>
        </w:rPr>
      </w:pPr>
      <w:r>
        <w:rPr>
          <w:rFonts w:hint="eastAsia" w:ascii="宋体" w:hAnsi="宋体" w:cs="宋体"/>
          <w:color w:val="auto"/>
          <w:sz w:val="24"/>
          <w:highlight w:val="none"/>
        </w:rPr>
        <w:t xml:space="preserve">磋商响应人：（电子签章）                </w:t>
      </w:r>
    </w:p>
    <w:p>
      <w:pPr>
        <w:spacing w:line="540" w:lineRule="exact"/>
        <w:ind w:left="0" w:firstLine="3402"/>
        <w:rPr>
          <w:rFonts w:hint="eastAsia" w:ascii="宋体" w:hAnsi="宋体" w:cs="宋体"/>
          <w:b/>
          <w:bCs/>
          <w:color w:val="auto"/>
          <w:sz w:val="24"/>
          <w:highlight w:val="none"/>
        </w:rPr>
        <w:sectPr>
          <w:pgSz w:w="11906" w:h="16838"/>
          <w:pgMar w:top="1440" w:right="1134" w:bottom="1440" w:left="1531" w:header="851" w:footer="992" w:gutter="0"/>
          <w:cols w:space="720" w:num="1"/>
          <w:titlePg/>
          <w:docGrid w:linePitch="319" w:charSpace="0"/>
        </w:sectPr>
      </w:pPr>
      <w:r>
        <w:rPr>
          <w:rFonts w:hint="eastAsia" w:ascii="宋体" w:hAnsi="宋体" w:cs="宋体"/>
          <w:color w:val="auto"/>
          <w:sz w:val="24"/>
          <w:highlight w:val="none"/>
        </w:rPr>
        <w:t>日期：    年   月    日</w:t>
      </w:r>
    </w:p>
    <w:p>
      <w:pPr>
        <w:widowControl/>
        <w:snapToGrid w:val="0"/>
        <w:ind w:left="0" w:firstLine="0"/>
        <w:jc w:val="left"/>
        <w:rPr>
          <w:rFonts w:hint="eastAsia" w:ascii="宋体" w:hAnsi="宋体" w:cs="宋体"/>
          <w:b/>
          <w:bCs/>
          <w:color w:val="auto"/>
          <w:sz w:val="24"/>
          <w:szCs w:val="22"/>
          <w:highlight w:val="none"/>
        </w:rPr>
      </w:pPr>
      <w:r>
        <w:rPr>
          <w:rFonts w:hint="eastAsia" w:ascii="宋体" w:hAnsi="宋体" w:cs="宋体"/>
          <w:b/>
          <w:bCs/>
          <w:color w:val="auto"/>
          <w:sz w:val="24"/>
          <w:highlight w:val="none"/>
        </w:rPr>
        <w:t>格式2.3：</w:t>
      </w:r>
      <w:r>
        <w:rPr>
          <w:rFonts w:hint="eastAsia" w:ascii="宋体" w:hAnsi="宋体" w:cs="宋体"/>
          <w:b/>
          <w:bCs/>
          <w:color w:val="auto"/>
          <w:sz w:val="24"/>
          <w:szCs w:val="22"/>
          <w:highlight w:val="none"/>
        </w:rPr>
        <w:t>法定代表人或主要负责人证明书：</w:t>
      </w:r>
    </w:p>
    <w:p>
      <w:pPr>
        <w:spacing w:line="480" w:lineRule="auto"/>
        <w:jc w:val="center"/>
        <w:rPr>
          <w:rFonts w:hint="eastAsia" w:ascii="宋体" w:hAnsi="宋体" w:cs="宋体"/>
          <w:color w:val="auto"/>
          <w:sz w:val="36"/>
          <w:szCs w:val="36"/>
          <w:highlight w:val="none"/>
        </w:rPr>
      </w:pPr>
      <w:r>
        <w:rPr>
          <w:rFonts w:hint="eastAsia" w:ascii="宋体" w:hAnsi="宋体" w:cs="宋体"/>
          <w:b/>
          <w:bCs/>
          <w:color w:val="auto"/>
          <w:sz w:val="36"/>
          <w:szCs w:val="36"/>
          <w:highlight w:val="none"/>
        </w:rPr>
        <w:t>法定代表人或主要负责人证明书</w:t>
      </w:r>
    </w:p>
    <w:p>
      <w:pPr>
        <w:spacing w:line="540" w:lineRule="exact"/>
        <w:rPr>
          <w:rFonts w:hint="eastAsia" w:ascii="宋体" w:hAnsi="宋体" w:cs="宋体"/>
          <w:color w:val="auto"/>
          <w:sz w:val="24"/>
          <w:highlight w:val="none"/>
        </w:rPr>
      </w:pPr>
    </w:p>
    <w:p>
      <w:pPr>
        <w:spacing w:line="540" w:lineRule="exact"/>
        <w:rPr>
          <w:rFonts w:hint="eastAsia" w:ascii="宋体" w:hAnsi="宋体" w:cs="宋体"/>
          <w:color w:val="auto"/>
          <w:sz w:val="24"/>
          <w:highlight w:val="none"/>
        </w:rPr>
      </w:pPr>
    </w:p>
    <w:p>
      <w:pPr>
        <w:spacing w:line="540" w:lineRule="exact"/>
        <w:rPr>
          <w:rFonts w:hint="eastAsia" w:ascii="宋体" w:hAnsi="宋体" w:cs="宋体"/>
          <w:color w:val="auto"/>
          <w:sz w:val="24"/>
          <w:highlight w:val="none"/>
        </w:rPr>
      </w:pPr>
    </w:p>
    <w:p>
      <w:pPr>
        <w:spacing w:line="540" w:lineRule="exact"/>
        <w:ind w:left="0" w:firstLine="0"/>
        <w:rPr>
          <w:rFonts w:hint="eastAsia" w:ascii="宋体" w:hAnsi="宋体" w:cs="宋体"/>
          <w:color w:val="auto"/>
          <w:sz w:val="24"/>
          <w:highlight w:val="none"/>
        </w:rPr>
      </w:pPr>
      <w:r>
        <w:rPr>
          <w:rFonts w:hint="eastAsia" w:ascii="宋体" w:hAnsi="宋体" w:cs="宋体"/>
          <w:color w:val="auto"/>
          <w:sz w:val="24"/>
          <w:highlight w:val="none"/>
        </w:rPr>
        <w:t>姓名：                           性别：</w:t>
      </w:r>
    </w:p>
    <w:p>
      <w:pPr>
        <w:spacing w:line="540" w:lineRule="exact"/>
        <w:ind w:left="0" w:firstLine="0"/>
        <w:rPr>
          <w:rFonts w:hint="eastAsia" w:ascii="宋体" w:hAnsi="宋体" w:cs="宋体"/>
          <w:color w:val="auto"/>
          <w:sz w:val="24"/>
          <w:highlight w:val="none"/>
        </w:rPr>
      </w:pPr>
      <w:r>
        <w:rPr>
          <w:rFonts w:hint="eastAsia" w:ascii="宋体" w:hAnsi="宋体" w:cs="宋体"/>
          <w:color w:val="auto"/>
          <w:sz w:val="24"/>
          <w:highlight w:val="none"/>
        </w:rPr>
        <w:t>年龄：                           职务：</w:t>
      </w:r>
    </w:p>
    <w:p>
      <w:pPr>
        <w:spacing w:line="540" w:lineRule="exact"/>
        <w:ind w:left="0" w:firstLine="0"/>
        <w:rPr>
          <w:rFonts w:hint="eastAsia" w:ascii="宋体" w:hAnsi="宋体" w:cs="宋体"/>
          <w:color w:val="auto"/>
          <w:sz w:val="24"/>
          <w:highlight w:val="none"/>
        </w:rPr>
      </w:pPr>
      <w:r>
        <w:rPr>
          <w:rFonts w:hint="eastAsia" w:ascii="宋体" w:hAnsi="宋体" w:cs="宋体"/>
          <w:color w:val="auto"/>
          <w:sz w:val="24"/>
          <w:highlight w:val="none"/>
        </w:rPr>
        <w:t>身份证号码：</w:t>
      </w:r>
    </w:p>
    <w:p>
      <w:pPr>
        <w:spacing w:line="54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（单位名称）的法定代表人，法定地址：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项目的磋商、开标等事宜，签署上述磋商响应文件，进行合同协商、签署合同和处理与之有关的一切事务。</w:t>
      </w:r>
    </w:p>
    <w:p>
      <w:pPr>
        <w:spacing w:line="540" w:lineRule="exact"/>
        <w:ind w:firstLine="480" w:firstLineChars="200"/>
        <w:rPr>
          <w:rFonts w:hint="eastAsia" w:ascii="宋体" w:hAnsi="宋体" w:cs="宋体"/>
          <w:color w:val="auto"/>
          <w:sz w:val="24"/>
          <w:highlight w:val="none"/>
        </w:rPr>
      </w:pPr>
    </w:p>
    <w:p>
      <w:pPr>
        <w:spacing w:line="540" w:lineRule="exact"/>
        <w:rPr>
          <w:rFonts w:hint="eastAsia" w:ascii="宋体" w:hAnsi="宋体" w:cs="宋体"/>
          <w:color w:val="auto"/>
          <w:sz w:val="24"/>
          <w:highlight w:val="none"/>
        </w:rPr>
      </w:pPr>
      <w:r>
        <w:rPr>
          <w:rFonts w:hint="eastAsia" w:ascii="宋体" w:hAnsi="宋体" w:cs="宋体"/>
          <w:color w:val="auto"/>
          <w:sz w:val="24"/>
          <w:highlight w:val="none"/>
        </w:rPr>
        <w:t>特此证明</w:t>
      </w:r>
    </w:p>
    <w:p>
      <w:pPr>
        <w:spacing w:line="540" w:lineRule="exact"/>
        <w:rPr>
          <w:rFonts w:hint="eastAsia" w:ascii="宋体" w:hAnsi="宋体" w:cs="宋体"/>
          <w:b/>
          <w:color w:val="auto"/>
          <w:sz w:val="24"/>
          <w:highlight w:val="none"/>
        </w:rPr>
      </w:pPr>
      <w:r>
        <w:rPr>
          <w:rFonts w:hint="eastAsia" w:ascii="宋体" w:hAnsi="宋体" w:cs="宋体"/>
          <w:b/>
          <w:color w:val="auto"/>
          <w:sz w:val="24"/>
          <w:highlight w:val="none"/>
        </w:rPr>
        <w:t>附：法定代表人或主要负责人身份证（正反面）</w:t>
      </w:r>
    </w:p>
    <w:p>
      <w:pPr>
        <w:spacing w:line="540" w:lineRule="exact"/>
        <w:rPr>
          <w:rFonts w:hint="eastAsia" w:ascii="宋体" w:hAnsi="宋体" w:cs="宋体"/>
          <w:color w:val="auto"/>
          <w:sz w:val="24"/>
          <w:highlight w:val="none"/>
        </w:rPr>
      </w:pPr>
    </w:p>
    <w:p>
      <w:pPr>
        <w:pStyle w:val="15"/>
        <w:rPr>
          <w:rFonts w:hint="eastAsia" w:ascii="宋体" w:hAnsi="宋体" w:eastAsia="宋体" w:cs="宋体"/>
          <w:color w:val="auto"/>
          <w:sz w:val="24"/>
          <w:highlight w:val="none"/>
        </w:rPr>
      </w:pPr>
    </w:p>
    <w:p>
      <w:pPr>
        <w:pStyle w:val="15"/>
        <w:ind w:left="0" w:leftChars="0" w:firstLine="0"/>
        <w:rPr>
          <w:rFonts w:hint="eastAsia" w:ascii="宋体" w:hAnsi="宋体" w:eastAsia="宋体" w:cs="宋体"/>
          <w:color w:val="auto"/>
          <w:highlight w:val="none"/>
        </w:rPr>
      </w:pPr>
    </w:p>
    <w:p>
      <w:pPr>
        <w:spacing w:line="540" w:lineRule="exact"/>
        <w:ind w:left="0" w:firstLine="3402"/>
        <w:rPr>
          <w:rFonts w:hint="eastAsia" w:ascii="宋体" w:hAnsi="宋体" w:cs="宋体"/>
          <w:color w:val="auto"/>
          <w:sz w:val="24"/>
          <w:highlight w:val="none"/>
        </w:rPr>
      </w:pPr>
    </w:p>
    <w:p>
      <w:pPr>
        <w:spacing w:line="540" w:lineRule="exact"/>
        <w:ind w:left="0" w:firstLine="3402"/>
        <w:rPr>
          <w:rFonts w:hint="eastAsia" w:ascii="宋体" w:hAnsi="宋体" w:cs="宋体"/>
          <w:color w:val="auto"/>
          <w:sz w:val="24"/>
          <w:highlight w:val="none"/>
        </w:rPr>
      </w:pPr>
      <w:bookmarkStart w:id="230" w:name="_Toc2672"/>
      <w:bookmarkStart w:id="231" w:name="_Toc51872139"/>
      <w:r>
        <w:rPr>
          <w:rFonts w:hint="eastAsia" w:ascii="宋体" w:hAnsi="宋体" w:cs="宋体"/>
          <w:color w:val="auto"/>
          <w:sz w:val="24"/>
          <w:highlight w:val="none"/>
        </w:rPr>
        <w:t>磋商响应人：（电子签章）</w:t>
      </w:r>
      <w:bookmarkEnd w:id="230"/>
      <w:bookmarkEnd w:id="231"/>
      <w:r>
        <w:rPr>
          <w:rFonts w:hint="eastAsia" w:ascii="宋体" w:hAnsi="宋体" w:cs="宋体"/>
          <w:color w:val="auto"/>
          <w:sz w:val="24"/>
          <w:highlight w:val="none"/>
        </w:rPr>
        <w:t xml:space="preserve">                </w:t>
      </w:r>
    </w:p>
    <w:p>
      <w:pPr>
        <w:spacing w:line="540" w:lineRule="exact"/>
        <w:ind w:left="0" w:firstLine="3402"/>
        <w:rPr>
          <w:rFonts w:hint="eastAsia" w:ascii="宋体" w:hAnsi="宋体" w:cs="宋体"/>
          <w:color w:val="auto"/>
          <w:sz w:val="24"/>
          <w:highlight w:val="none"/>
        </w:rPr>
      </w:pPr>
      <w:r>
        <w:rPr>
          <w:rFonts w:hint="eastAsia" w:ascii="宋体" w:hAnsi="宋体" w:cs="宋体"/>
          <w:color w:val="auto"/>
          <w:sz w:val="24"/>
          <w:highlight w:val="none"/>
        </w:rPr>
        <w:t>法定代表人签字或盖章：</w:t>
      </w:r>
    </w:p>
    <w:p>
      <w:pPr>
        <w:spacing w:line="540" w:lineRule="exact"/>
        <w:ind w:left="0" w:firstLine="3402"/>
        <w:rPr>
          <w:rFonts w:hint="eastAsia" w:ascii="宋体" w:hAnsi="宋体" w:cs="宋体"/>
          <w:color w:val="auto"/>
          <w:sz w:val="24"/>
          <w:highlight w:val="none"/>
        </w:rPr>
      </w:pPr>
      <w:r>
        <w:rPr>
          <w:rFonts w:hint="eastAsia" w:ascii="宋体" w:hAnsi="宋体" w:cs="宋体"/>
          <w:color w:val="auto"/>
          <w:sz w:val="24"/>
          <w:highlight w:val="none"/>
        </w:rPr>
        <w:t xml:space="preserve">日期：    年   月    日 </w:t>
      </w:r>
    </w:p>
    <w:p>
      <w:pPr>
        <w:spacing w:line="480" w:lineRule="auto"/>
        <w:ind w:left="0" w:firstLine="0"/>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格式</w:t>
      </w:r>
      <w:r>
        <w:rPr>
          <w:rFonts w:hint="eastAsia" w:ascii="宋体" w:hAnsi="宋体" w:cs="宋体"/>
          <w:b/>
          <w:bCs/>
          <w:color w:val="auto"/>
          <w:sz w:val="24"/>
          <w:szCs w:val="22"/>
          <w:highlight w:val="none"/>
        </w:rPr>
        <w:t>2.4</w:t>
      </w:r>
      <w:r>
        <w:rPr>
          <w:rFonts w:hint="eastAsia" w:ascii="宋体" w:hAnsi="宋体" w:cs="宋体"/>
          <w:b/>
          <w:bCs/>
          <w:color w:val="auto"/>
          <w:sz w:val="24"/>
          <w:highlight w:val="none"/>
        </w:rPr>
        <w:t>：</w:t>
      </w:r>
      <w:r>
        <w:rPr>
          <w:rFonts w:hint="eastAsia" w:ascii="宋体" w:hAnsi="宋体" w:cs="宋体"/>
          <w:b/>
          <w:bCs/>
          <w:color w:val="auto"/>
          <w:sz w:val="24"/>
          <w:szCs w:val="22"/>
          <w:highlight w:val="none"/>
        </w:rPr>
        <w:t>法定代表人</w:t>
      </w:r>
      <w:r>
        <w:rPr>
          <w:rFonts w:hint="eastAsia" w:ascii="宋体" w:hAnsi="宋体" w:cs="宋体"/>
          <w:b/>
          <w:bCs/>
          <w:color w:val="auto"/>
          <w:sz w:val="24"/>
          <w:highlight w:val="none"/>
        </w:rPr>
        <w:t>授权委托书</w:t>
      </w:r>
    </w:p>
    <w:p>
      <w:pPr>
        <w:spacing w:line="48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法定代表人授权委托书（适用于非联合体</w:t>
      </w:r>
      <w:r>
        <w:rPr>
          <w:rFonts w:hint="eastAsia" w:ascii="宋体" w:hAnsi="宋体" w:cs="宋体"/>
          <w:b/>
          <w:bCs/>
          <w:color w:val="auto"/>
          <w:sz w:val="36"/>
          <w:szCs w:val="36"/>
          <w:highlight w:val="none"/>
          <w:lang w:val="en-US" w:eastAsia="zh-CN"/>
        </w:rPr>
        <w:t>响应</w:t>
      </w:r>
      <w:r>
        <w:rPr>
          <w:rFonts w:hint="eastAsia" w:ascii="宋体" w:hAnsi="宋体" w:cs="宋体"/>
          <w:b/>
          <w:bCs/>
          <w:color w:val="auto"/>
          <w:sz w:val="36"/>
          <w:szCs w:val="36"/>
          <w:highlight w:val="none"/>
        </w:rPr>
        <w:t>）</w:t>
      </w:r>
    </w:p>
    <w:p>
      <w:pPr>
        <w:pStyle w:val="25"/>
        <w:spacing w:line="360" w:lineRule="auto"/>
        <w:rPr>
          <w:rFonts w:hint="eastAsia" w:ascii="宋体" w:hAnsi="宋体" w:cs="宋体"/>
          <w:color w:val="auto"/>
          <w:sz w:val="24"/>
          <w:szCs w:val="21"/>
          <w:highlight w:val="none"/>
          <w:u w:val="single"/>
        </w:rPr>
      </w:pPr>
      <w:r>
        <w:rPr>
          <w:rFonts w:hint="eastAsia" w:ascii="宋体" w:hAnsi="宋体" w:cs="宋体"/>
          <w:color w:val="auto"/>
          <w:sz w:val="24"/>
          <w:szCs w:val="21"/>
          <w:highlight w:val="none"/>
          <w:u w:val="single"/>
          <w:lang w:eastAsia="zh-CN"/>
        </w:rPr>
        <w:t>中共衢州市委宣传部</w:t>
      </w:r>
      <w:r>
        <w:rPr>
          <w:rFonts w:hint="eastAsia" w:ascii="宋体" w:hAnsi="宋体" w:cs="宋体"/>
          <w:color w:val="auto"/>
          <w:sz w:val="24"/>
          <w:szCs w:val="21"/>
          <w:highlight w:val="none"/>
          <w:u w:val="single"/>
        </w:rPr>
        <w:t>：</w:t>
      </w:r>
    </w:p>
    <w:p>
      <w:pPr>
        <w:pStyle w:val="25"/>
        <w:spacing w:line="360" w:lineRule="auto"/>
        <w:rPr>
          <w:rFonts w:hint="eastAsia" w:ascii="宋体" w:hAnsi="宋体" w:cs="宋体"/>
          <w:b/>
          <w:color w:val="auto"/>
          <w:sz w:val="24"/>
          <w:szCs w:val="21"/>
          <w:highlight w:val="none"/>
        </w:rPr>
      </w:pPr>
      <w:r>
        <w:rPr>
          <w:rFonts w:hint="eastAsia" w:ascii="宋体" w:hAnsi="宋体" w:cs="宋体"/>
          <w:color w:val="auto"/>
          <w:sz w:val="24"/>
          <w:szCs w:val="21"/>
          <w:highlight w:val="none"/>
          <w:u w:val="single"/>
        </w:rPr>
        <w:t xml:space="preserve">（代理机构名称） </w:t>
      </w:r>
      <w:r>
        <w:rPr>
          <w:rFonts w:hint="eastAsia" w:ascii="宋体" w:hAnsi="宋体" w:cs="宋体"/>
          <w:color w:val="auto"/>
          <w:sz w:val="24"/>
          <w:szCs w:val="21"/>
          <w:highlight w:val="none"/>
        </w:rPr>
        <w:t>：</w:t>
      </w:r>
    </w:p>
    <w:p>
      <w:pPr>
        <w:pStyle w:val="25"/>
        <w:autoSpaceDE w:val="0"/>
        <w:autoSpaceDN w:val="0"/>
        <w:spacing w:line="360" w:lineRule="auto"/>
        <w:textAlignment w:val="bottom"/>
        <w:rPr>
          <w:rFonts w:hint="eastAsia" w:ascii="宋体" w:hAnsi="宋体" w:cs="宋体"/>
          <w:color w:val="auto"/>
          <w:sz w:val="24"/>
          <w:szCs w:val="20"/>
          <w:highlight w:val="none"/>
        </w:rPr>
      </w:pPr>
      <w:r>
        <w:rPr>
          <w:rFonts w:hint="eastAsia" w:ascii="宋体" w:hAnsi="宋体" w:cs="宋体"/>
          <w:color w:val="auto"/>
          <w:highlight w:val="none"/>
        </w:rPr>
        <w:t xml:space="preserve">   </w:t>
      </w:r>
      <w:r>
        <w:rPr>
          <w:rFonts w:hint="eastAsia" w:ascii="宋体" w:hAnsi="宋体" w:cs="宋体"/>
          <w:color w:val="auto"/>
          <w:sz w:val="24"/>
          <w:szCs w:val="20"/>
          <w:highlight w:val="none"/>
        </w:rPr>
        <w:t xml:space="preserve">  我</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负责人姓名）系</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（供应商全称）的负责人，现授权委托本单位在职职工</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（姓名）以我方的名义参加贵方组织的</w:t>
      </w:r>
      <w:r>
        <w:rPr>
          <w:rFonts w:hint="eastAsia" w:ascii="宋体" w:hAnsi="宋体" w:cs="宋体"/>
          <w:color w:val="auto"/>
          <w:sz w:val="24"/>
          <w:szCs w:val="20"/>
          <w:highlight w:val="none"/>
          <w:u w:val="single"/>
        </w:rPr>
        <w:t xml:space="preserve">            （采购项目名称）</w:t>
      </w:r>
      <w:r>
        <w:rPr>
          <w:rFonts w:hint="eastAsia" w:ascii="宋体" w:hAnsi="宋体" w:cs="宋体"/>
          <w:color w:val="auto"/>
          <w:sz w:val="24"/>
          <w:szCs w:val="20"/>
          <w:highlight w:val="none"/>
        </w:rPr>
        <w:t>（采购编号：</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）项目的磋商活动，并代表我方全权办理针对上述项目的磋商、开标、评审、签约等具体事务和签署相关文件。</w:t>
      </w:r>
    </w:p>
    <w:p>
      <w:pPr>
        <w:pStyle w:val="25"/>
        <w:autoSpaceDE w:val="0"/>
        <w:autoSpaceDN w:val="0"/>
        <w:spacing w:line="360" w:lineRule="auto"/>
        <w:textAlignment w:val="bottom"/>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我方对委托代理人的签字或盖章事项负全部责任。</w:t>
      </w:r>
    </w:p>
    <w:p>
      <w:pPr>
        <w:pStyle w:val="25"/>
        <w:spacing w:line="360" w:lineRule="auto"/>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pPr>
        <w:pStyle w:val="25"/>
        <w:spacing w:line="360" w:lineRule="auto"/>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委托代理人无转委托权，特此声明。</w:t>
      </w:r>
    </w:p>
    <w:p>
      <w:pPr>
        <w:pStyle w:val="25"/>
        <w:spacing w:line="440" w:lineRule="exact"/>
        <w:ind w:firstLine="480"/>
        <w:rPr>
          <w:rFonts w:hint="eastAsia" w:ascii="宋体" w:hAnsi="宋体" w:cs="宋体"/>
          <w:color w:val="auto"/>
          <w:sz w:val="24"/>
          <w:szCs w:val="21"/>
          <w:highlight w:val="none"/>
        </w:rPr>
      </w:pPr>
    </w:p>
    <w:p>
      <w:pPr>
        <w:pStyle w:val="25"/>
        <w:spacing w:line="440" w:lineRule="exact"/>
        <w:ind w:firstLine="2733" w:firstLineChars="1139"/>
        <w:rPr>
          <w:rFonts w:hint="eastAsia" w:ascii="宋体" w:hAnsi="宋体" w:cs="宋体"/>
          <w:color w:val="auto"/>
          <w:spacing w:val="20"/>
          <w:sz w:val="24"/>
          <w:szCs w:val="21"/>
          <w:highlight w:val="none"/>
        </w:rPr>
      </w:pPr>
      <w:r>
        <w:rPr>
          <w:rFonts w:hint="eastAsia" w:ascii="宋体" w:hAnsi="宋体" w:cs="宋体"/>
          <w:color w:val="auto"/>
          <w:sz w:val="24"/>
          <w:szCs w:val="21"/>
          <w:highlight w:val="none"/>
        </w:rPr>
        <w:t>法定代表人或</w:t>
      </w:r>
      <w:r>
        <w:rPr>
          <w:rFonts w:hint="eastAsia" w:ascii="宋体" w:hAnsi="宋体" w:cs="宋体"/>
          <w:color w:val="auto"/>
          <w:spacing w:val="20"/>
          <w:sz w:val="24"/>
          <w:szCs w:val="21"/>
          <w:highlight w:val="none"/>
        </w:rPr>
        <w:t>负责人签字或盖章：</w:t>
      </w:r>
      <w:r>
        <w:rPr>
          <w:rFonts w:hint="eastAsia" w:ascii="宋体" w:hAnsi="宋体" w:cs="宋体"/>
          <w:color w:val="auto"/>
          <w:spacing w:val="20"/>
          <w:sz w:val="24"/>
          <w:szCs w:val="21"/>
          <w:highlight w:val="none"/>
          <w:u w:val="single"/>
        </w:rPr>
        <w:t xml:space="preserve">           </w:t>
      </w:r>
      <w:r>
        <w:rPr>
          <w:rFonts w:hint="eastAsia" w:ascii="宋体" w:hAnsi="宋体" w:cs="宋体"/>
          <w:color w:val="auto"/>
          <w:spacing w:val="20"/>
          <w:sz w:val="24"/>
          <w:szCs w:val="21"/>
          <w:highlight w:val="none"/>
        </w:rPr>
        <w:t xml:space="preserve"> </w:t>
      </w:r>
    </w:p>
    <w:p>
      <w:pPr>
        <w:pStyle w:val="25"/>
        <w:spacing w:line="440" w:lineRule="exact"/>
        <w:rPr>
          <w:rFonts w:hint="eastAsia" w:ascii="宋体" w:hAnsi="宋体" w:cs="宋体"/>
          <w:color w:val="auto"/>
          <w:spacing w:val="20"/>
          <w:sz w:val="24"/>
          <w:szCs w:val="21"/>
          <w:highlight w:val="none"/>
          <w:u w:val="single"/>
        </w:rPr>
      </w:pPr>
      <w:r>
        <w:rPr>
          <w:rFonts w:hint="eastAsia" w:ascii="宋体" w:hAnsi="宋体" w:cs="宋体"/>
          <w:color w:val="auto"/>
          <w:spacing w:val="20"/>
          <w:sz w:val="24"/>
          <w:szCs w:val="21"/>
          <w:highlight w:val="none"/>
        </w:rPr>
        <w:t xml:space="preserve">                 供应商（电子签章）：</w:t>
      </w:r>
      <w:r>
        <w:rPr>
          <w:rFonts w:hint="eastAsia" w:ascii="宋体" w:hAnsi="宋体" w:cs="宋体"/>
          <w:color w:val="auto"/>
          <w:spacing w:val="20"/>
          <w:sz w:val="24"/>
          <w:szCs w:val="21"/>
          <w:highlight w:val="none"/>
          <w:u w:val="single"/>
        </w:rPr>
        <w:t xml:space="preserve">           </w:t>
      </w:r>
    </w:p>
    <w:p>
      <w:pPr>
        <w:pStyle w:val="25"/>
        <w:spacing w:line="440" w:lineRule="exact"/>
        <w:rPr>
          <w:rFonts w:hint="eastAsia" w:ascii="宋体" w:hAnsi="宋体" w:cs="宋体"/>
          <w:color w:val="auto"/>
          <w:spacing w:val="20"/>
          <w:sz w:val="24"/>
          <w:szCs w:val="21"/>
          <w:highlight w:val="none"/>
          <w:u w:val="single"/>
        </w:rPr>
      </w:pPr>
      <w:r>
        <w:rPr>
          <w:rFonts w:hint="eastAsia" w:ascii="宋体" w:hAnsi="宋体" w:cs="宋体"/>
          <w:color w:val="auto"/>
          <w:spacing w:val="20"/>
          <w:sz w:val="24"/>
          <w:szCs w:val="21"/>
          <w:highlight w:val="none"/>
        </w:rPr>
        <w:t xml:space="preserve">                 日     期：</w:t>
      </w:r>
      <w:r>
        <w:rPr>
          <w:rFonts w:hint="eastAsia" w:ascii="宋体" w:hAnsi="宋体" w:cs="宋体"/>
          <w:color w:val="auto"/>
          <w:spacing w:val="20"/>
          <w:sz w:val="24"/>
          <w:szCs w:val="21"/>
          <w:highlight w:val="none"/>
          <w:u w:val="single"/>
        </w:rPr>
        <w:t xml:space="preserve">           </w:t>
      </w:r>
    </w:p>
    <w:p>
      <w:pPr>
        <w:pStyle w:val="25"/>
        <w:spacing w:line="44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_____________________________________________________________________</w:t>
      </w:r>
    </w:p>
    <w:p>
      <w:pPr>
        <w:pStyle w:val="25"/>
        <w:spacing w:line="440" w:lineRule="exact"/>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 xml:space="preserve">附：1、委托代理人姓名：             </w:t>
      </w:r>
      <w:r>
        <w:rPr>
          <w:rFonts w:hint="eastAsia" w:ascii="宋体" w:hAnsi="宋体" w:cs="宋体"/>
          <w:color w:val="auto"/>
          <w:sz w:val="24"/>
          <w:szCs w:val="21"/>
          <w:highlight w:val="none"/>
        </w:rPr>
        <w:tab/>
      </w:r>
      <w:r>
        <w:rPr>
          <w:rFonts w:hint="eastAsia" w:ascii="宋体" w:hAnsi="宋体" w:cs="宋体"/>
          <w:color w:val="auto"/>
          <w:sz w:val="24"/>
          <w:szCs w:val="21"/>
          <w:highlight w:val="none"/>
        </w:rPr>
        <w:t xml:space="preserve">职务： </w:t>
      </w:r>
    </w:p>
    <w:p>
      <w:pPr>
        <w:pStyle w:val="25"/>
        <w:spacing w:line="440" w:lineRule="exact"/>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 xml:space="preserve">       身份证号码：　　　　　　　　</w:t>
      </w:r>
      <w:r>
        <w:rPr>
          <w:rFonts w:hint="eastAsia" w:ascii="宋体" w:hAnsi="宋体" w:cs="宋体"/>
          <w:color w:val="auto"/>
          <w:sz w:val="24"/>
          <w:szCs w:val="21"/>
          <w:highlight w:val="none"/>
        </w:rPr>
        <w:tab/>
      </w:r>
      <w:r>
        <w:rPr>
          <w:rFonts w:hint="eastAsia" w:ascii="宋体" w:hAnsi="宋体" w:cs="宋体"/>
          <w:color w:val="auto"/>
          <w:sz w:val="24"/>
          <w:szCs w:val="21"/>
          <w:highlight w:val="none"/>
        </w:rPr>
        <w:t xml:space="preserve">联系方式：　    </w:t>
      </w:r>
    </w:p>
    <w:p>
      <w:pPr>
        <w:pStyle w:val="25"/>
        <w:spacing w:line="360" w:lineRule="auto"/>
        <w:ind w:firstLine="420"/>
        <w:rPr>
          <w:rFonts w:hint="eastAsia" w:ascii="宋体" w:hAnsi="宋体" w:cs="宋体"/>
          <w:b/>
          <w:color w:val="auto"/>
          <w:sz w:val="24"/>
          <w:szCs w:val="21"/>
          <w:highlight w:val="none"/>
        </w:rPr>
      </w:pPr>
    </w:p>
    <w:p>
      <w:pPr>
        <w:pStyle w:val="25"/>
        <w:spacing w:line="360" w:lineRule="auto"/>
        <w:ind w:firstLine="420"/>
        <w:rPr>
          <w:rFonts w:hint="eastAsia" w:ascii="宋体" w:hAnsi="宋体" w:cs="宋体"/>
          <w:color w:val="auto"/>
          <w:sz w:val="24"/>
          <w:szCs w:val="21"/>
          <w:highlight w:val="none"/>
        </w:rPr>
      </w:pPr>
      <w:r>
        <w:rPr>
          <w:rFonts w:hint="eastAsia" w:ascii="宋体" w:hAnsi="宋体" w:cs="宋体"/>
          <w:b/>
          <w:color w:val="auto"/>
          <w:sz w:val="24"/>
          <w:szCs w:val="21"/>
          <w:highlight w:val="none"/>
        </w:rPr>
        <w:t>注：</w:t>
      </w:r>
      <w:r>
        <w:rPr>
          <w:rFonts w:hint="eastAsia" w:ascii="宋体" w:hAnsi="宋体" w:cs="宋体"/>
          <w:color w:val="auto"/>
          <w:sz w:val="24"/>
          <w:szCs w:val="21"/>
          <w:highlight w:val="none"/>
        </w:rPr>
        <w:t>1、供应商为法人企业的，其负责人为其法定代表人或负责人；供应商为其他组织的，其负责人为法律、行政法规规定代表单位行使职权的主要负责人。</w:t>
      </w:r>
    </w:p>
    <w:p>
      <w:pPr>
        <w:pStyle w:val="25"/>
        <w:spacing w:line="360" w:lineRule="auto"/>
        <w:ind w:firstLine="900" w:firstLineChars="375"/>
        <w:rPr>
          <w:rFonts w:hint="eastAsia" w:ascii="宋体" w:hAnsi="宋体" w:cs="宋体"/>
          <w:color w:val="auto"/>
          <w:sz w:val="24"/>
          <w:szCs w:val="21"/>
          <w:highlight w:val="none"/>
        </w:rPr>
      </w:pPr>
      <w:r>
        <w:rPr>
          <w:rFonts w:hint="eastAsia" w:ascii="宋体" w:hAnsi="宋体" w:cs="宋体"/>
          <w:color w:val="auto"/>
          <w:sz w:val="24"/>
          <w:szCs w:val="21"/>
          <w:highlight w:val="none"/>
        </w:rPr>
        <w:t>2、委托人为上述条款中的法定代表人或主要负责人。</w:t>
      </w:r>
    </w:p>
    <w:p>
      <w:pPr>
        <w:pStyle w:val="25"/>
        <w:spacing w:line="360" w:lineRule="auto"/>
        <w:ind w:firstLine="720" w:firstLineChars="300"/>
        <w:rPr>
          <w:rFonts w:hint="eastAsia" w:ascii="宋体" w:hAnsi="宋体" w:cs="宋体"/>
          <w:b/>
          <w:color w:val="auto"/>
          <w:sz w:val="32"/>
          <w:szCs w:val="32"/>
          <w:highlight w:val="none"/>
        </w:rPr>
      </w:pPr>
      <w:r>
        <w:rPr>
          <w:rFonts w:hint="eastAsia" w:ascii="宋体" w:hAnsi="宋体" w:cs="宋体"/>
          <w:color w:val="auto"/>
          <w:sz w:val="24"/>
          <w:szCs w:val="21"/>
          <w:highlight w:val="none"/>
        </w:rPr>
        <w:t>▲3、本“授权委托书”需附法定代表人或主要负责人和委托代理人身份证件扫描件（或扫描件），如扫描件（或扫描件）不清晰或错误的，后果由供应商承担。</w:t>
      </w:r>
    </w:p>
    <w:p>
      <w:pPr>
        <w:pStyle w:val="26"/>
        <w:spacing w:line="440" w:lineRule="exact"/>
        <w:rPr>
          <w:rFonts w:hint="eastAsia" w:hAnsi="宋体" w:cs="宋体"/>
          <w:bCs/>
          <w:color w:val="auto"/>
          <w:sz w:val="24"/>
          <w:highlight w:val="none"/>
        </w:rPr>
      </w:pPr>
    </w:p>
    <w:p>
      <w:pPr>
        <w:pStyle w:val="26"/>
        <w:spacing w:line="440" w:lineRule="exact"/>
        <w:rPr>
          <w:rFonts w:hint="eastAsia" w:hAnsi="宋体" w:cs="宋体"/>
          <w:bCs/>
          <w:color w:val="auto"/>
          <w:sz w:val="24"/>
          <w:highlight w:val="none"/>
        </w:rPr>
      </w:pPr>
      <w:r>
        <w:rPr>
          <w:rFonts w:hint="eastAsia" w:hAnsi="宋体" w:cs="宋体"/>
          <w:bCs/>
          <w:color w:val="auto"/>
          <w:sz w:val="24"/>
          <w:highlight w:val="none"/>
        </w:rPr>
        <w:br w:type="page"/>
      </w:r>
      <w:r>
        <w:rPr>
          <w:rFonts w:hint="eastAsia" w:hAnsi="宋体" w:cs="宋体"/>
          <w:bCs/>
          <w:color w:val="auto"/>
          <w:sz w:val="24"/>
          <w:highlight w:val="none"/>
        </w:rPr>
        <w:t>法人或负责人身份证件扫描件：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6"/>
              <w:spacing w:line="440" w:lineRule="exact"/>
              <w:rPr>
                <w:rFonts w:hint="eastAsia" w:hAnsi="宋体" w:cs="宋体"/>
                <w:bCs/>
                <w:color w:val="auto"/>
                <w:sz w:val="24"/>
                <w:highlight w:val="none"/>
              </w:rPr>
            </w:pPr>
            <w:r>
              <w:rPr>
                <w:rFonts w:hint="eastAsia" w:hAnsi="宋体" w:cs="宋体"/>
                <w:bCs/>
                <w:color w:val="auto"/>
                <w:sz w:val="24"/>
                <w:highlight w:val="none"/>
              </w:rPr>
              <w:t>正面：                                 反面：</w:t>
            </w:r>
          </w:p>
          <w:p>
            <w:pPr>
              <w:pStyle w:val="26"/>
              <w:spacing w:line="440" w:lineRule="exact"/>
              <w:rPr>
                <w:rFonts w:hint="eastAsia" w:hAnsi="宋体" w:cs="宋体"/>
                <w:bCs/>
                <w:color w:val="auto"/>
                <w:sz w:val="24"/>
                <w:highlight w:val="none"/>
              </w:rPr>
            </w:pPr>
          </w:p>
        </w:tc>
      </w:tr>
    </w:tbl>
    <w:p>
      <w:pPr>
        <w:pStyle w:val="26"/>
        <w:spacing w:line="440" w:lineRule="exact"/>
        <w:rPr>
          <w:rFonts w:hint="eastAsia" w:hAnsi="宋体" w:cs="宋体"/>
          <w:bCs/>
          <w:color w:val="auto"/>
          <w:sz w:val="24"/>
          <w:highlight w:val="none"/>
        </w:rPr>
      </w:pPr>
      <w:r>
        <w:rPr>
          <w:rFonts w:hint="eastAsia" w:hAnsi="宋体" w:cs="宋体"/>
          <w:bCs/>
          <w:color w:val="auto"/>
          <w:sz w:val="24"/>
          <w:highlight w:val="none"/>
        </w:rPr>
        <w:t>委托代理人身份证件扫描件：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6"/>
              <w:spacing w:line="440" w:lineRule="exact"/>
              <w:rPr>
                <w:rFonts w:hint="eastAsia" w:hAnsi="宋体" w:cs="宋体"/>
                <w:bCs/>
                <w:color w:val="auto"/>
                <w:sz w:val="24"/>
                <w:highlight w:val="none"/>
              </w:rPr>
            </w:pPr>
            <w:r>
              <w:rPr>
                <w:rFonts w:hint="eastAsia" w:hAnsi="宋体" w:cs="宋体"/>
                <w:bCs/>
                <w:color w:val="auto"/>
                <w:sz w:val="24"/>
                <w:highlight w:val="none"/>
              </w:rPr>
              <w:t>正面：                                 反面：</w:t>
            </w:r>
          </w:p>
          <w:p>
            <w:pPr>
              <w:pStyle w:val="26"/>
              <w:spacing w:line="440" w:lineRule="exact"/>
              <w:rPr>
                <w:rFonts w:hint="eastAsia" w:hAnsi="宋体" w:cs="宋体"/>
                <w:bCs/>
                <w:color w:val="auto"/>
                <w:sz w:val="24"/>
                <w:highlight w:val="none"/>
              </w:rPr>
            </w:pPr>
          </w:p>
        </w:tc>
      </w:tr>
    </w:tbl>
    <w:p>
      <w:pPr>
        <w:snapToGrid w:val="0"/>
        <w:spacing w:before="50" w:after="120" w:afterLines="50"/>
        <w:ind w:left="0" w:firstLine="0"/>
        <w:rPr>
          <w:rFonts w:hint="eastAsia" w:ascii="宋体" w:hAnsi="宋体" w:cs="宋体"/>
          <w:b/>
          <w:bCs/>
          <w:color w:val="auto"/>
          <w:sz w:val="24"/>
          <w:szCs w:val="21"/>
          <w:highlight w:val="none"/>
        </w:rPr>
      </w:pPr>
    </w:p>
    <w:p>
      <w:pPr>
        <w:pStyle w:val="24"/>
        <w:tabs>
          <w:tab w:val="left" w:leader="underscore" w:pos="4107"/>
        </w:tabs>
        <w:spacing w:line="341" w:lineRule="exact"/>
        <w:ind w:firstLine="440"/>
        <w:rPr>
          <w:rFonts w:hint="eastAsia" w:cs="宋体"/>
          <w:color w:val="auto"/>
          <w:highlight w:val="none"/>
        </w:rPr>
      </w:pPr>
    </w:p>
    <w:p>
      <w:pPr>
        <w:spacing w:line="480" w:lineRule="auto"/>
        <w:jc w:val="center"/>
        <w:rPr>
          <w:rFonts w:hint="eastAsia" w:ascii="宋体" w:hAnsi="宋体" w:cs="宋体"/>
          <w:b/>
          <w:bCs/>
          <w:color w:val="auto"/>
          <w:sz w:val="36"/>
          <w:szCs w:val="36"/>
          <w:highlight w:val="none"/>
        </w:rPr>
      </w:pPr>
    </w:p>
    <w:p>
      <w:pPr>
        <w:spacing w:line="480" w:lineRule="auto"/>
        <w:ind w:left="0" w:leftChars="0" w:firstLine="0" w:firstLineChars="0"/>
        <w:jc w:val="both"/>
        <w:rPr>
          <w:rFonts w:hint="eastAsia" w:ascii="宋体" w:hAnsi="宋体" w:cs="宋体"/>
          <w:b/>
          <w:bCs/>
          <w:color w:val="auto"/>
          <w:sz w:val="36"/>
          <w:szCs w:val="36"/>
          <w:highlight w:val="none"/>
        </w:rPr>
      </w:pPr>
    </w:p>
    <w:p>
      <w:pPr>
        <w:spacing w:line="48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法定代表人授权委托书（适用于联合体</w:t>
      </w:r>
      <w:r>
        <w:rPr>
          <w:rFonts w:hint="eastAsia" w:ascii="宋体" w:hAnsi="宋体" w:cs="宋体"/>
          <w:b/>
          <w:bCs/>
          <w:color w:val="auto"/>
          <w:sz w:val="36"/>
          <w:szCs w:val="36"/>
          <w:highlight w:val="none"/>
          <w:lang w:val="en-US" w:eastAsia="zh-CN"/>
        </w:rPr>
        <w:t>响应</w:t>
      </w:r>
      <w:r>
        <w:rPr>
          <w:rFonts w:hint="eastAsia" w:ascii="宋体" w:hAnsi="宋体" w:cs="宋体"/>
          <w:b/>
          <w:bCs/>
          <w:color w:val="auto"/>
          <w:sz w:val="36"/>
          <w:szCs w:val="36"/>
          <w:highlight w:val="none"/>
        </w:rPr>
        <w:t>）</w:t>
      </w:r>
    </w:p>
    <w:p>
      <w:pPr>
        <w:pStyle w:val="25"/>
        <w:spacing w:line="360" w:lineRule="auto"/>
        <w:rPr>
          <w:rFonts w:hint="eastAsia" w:ascii="宋体" w:hAnsi="宋体" w:cs="宋体"/>
          <w:color w:val="auto"/>
          <w:sz w:val="24"/>
          <w:szCs w:val="21"/>
          <w:highlight w:val="none"/>
          <w:u w:val="single"/>
        </w:rPr>
      </w:pPr>
      <w:r>
        <w:rPr>
          <w:rFonts w:hint="eastAsia" w:ascii="宋体" w:hAnsi="宋体" w:cs="宋体"/>
          <w:color w:val="auto"/>
          <w:sz w:val="24"/>
          <w:szCs w:val="21"/>
          <w:highlight w:val="none"/>
          <w:u w:val="single"/>
          <w:lang w:eastAsia="zh-CN"/>
        </w:rPr>
        <w:t>中共衢州市委宣传部</w:t>
      </w:r>
      <w:r>
        <w:rPr>
          <w:rFonts w:hint="eastAsia" w:ascii="宋体" w:hAnsi="宋体" w:cs="宋体"/>
          <w:color w:val="auto"/>
          <w:sz w:val="24"/>
          <w:szCs w:val="21"/>
          <w:highlight w:val="none"/>
          <w:u w:val="single"/>
        </w:rPr>
        <w:t>：</w:t>
      </w:r>
    </w:p>
    <w:p>
      <w:pPr>
        <w:pStyle w:val="25"/>
        <w:spacing w:line="360" w:lineRule="auto"/>
        <w:rPr>
          <w:rFonts w:hint="eastAsia" w:ascii="宋体" w:hAnsi="宋体" w:cs="宋体"/>
          <w:b/>
          <w:color w:val="auto"/>
          <w:sz w:val="24"/>
          <w:szCs w:val="21"/>
          <w:highlight w:val="none"/>
        </w:rPr>
      </w:pPr>
      <w:r>
        <w:rPr>
          <w:rFonts w:hint="eastAsia" w:ascii="宋体" w:hAnsi="宋体" w:cs="宋体"/>
          <w:color w:val="auto"/>
          <w:sz w:val="24"/>
          <w:szCs w:val="21"/>
          <w:highlight w:val="none"/>
          <w:u w:val="single"/>
        </w:rPr>
        <w:t xml:space="preserve">（代理机构名称） </w:t>
      </w:r>
      <w:r>
        <w:rPr>
          <w:rFonts w:hint="eastAsia" w:ascii="宋体" w:hAnsi="宋体" w:cs="宋体"/>
          <w:color w:val="auto"/>
          <w:sz w:val="24"/>
          <w:szCs w:val="21"/>
          <w:highlight w:val="none"/>
        </w:rPr>
        <w:t>：</w:t>
      </w:r>
    </w:p>
    <w:p>
      <w:pPr>
        <w:pStyle w:val="25"/>
        <w:autoSpaceDE w:val="0"/>
        <w:autoSpaceDN w:val="0"/>
        <w:spacing w:line="360" w:lineRule="auto"/>
        <w:textAlignment w:val="bottom"/>
        <w:rPr>
          <w:rFonts w:hint="eastAsia" w:ascii="宋体" w:hAnsi="宋体" w:cs="宋体"/>
          <w:color w:val="auto"/>
          <w:sz w:val="24"/>
          <w:szCs w:val="20"/>
          <w:highlight w:val="none"/>
        </w:rPr>
      </w:pPr>
      <w:r>
        <w:rPr>
          <w:rFonts w:hint="eastAsia" w:ascii="宋体" w:hAnsi="宋体" w:cs="宋体"/>
          <w:color w:val="auto"/>
          <w:highlight w:val="none"/>
        </w:rPr>
        <w:t xml:space="preserve">   </w:t>
      </w:r>
      <w:r>
        <w:rPr>
          <w:rFonts w:hint="eastAsia" w:ascii="宋体" w:hAnsi="宋体" w:cs="宋体"/>
          <w:color w:val="auto"/>
          <w:sz w:val="24"/>
          <w:szCs w:val="20"/>
          <w:highlight w:val="none"/>
        </w:rPr>
        <w:t xml:space="preserve">  现授权委托</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（姓名）为全权代表</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参加贵方组织的</w:t>
      </w:r>
      <w:r>
        <w:rPr>
          <w:rFonts w:hint="eastAsia" w:ascii="宋体" w:hAnsi="宋体" w:cs="宋体"/>
          <w:color w:val="auto"/>
          <w:sz w:val="24"/>
          <w:szCs w:val="20"/>
          <w:highlight w:val="none"/>
          <w:u w:val="single"/>
        </w:rPr>
        <w:t xml:space="preserve">            （采购项目名称）</w:t>
      </w:r>
      <w:r>
        <w:rPr>
          <w:rFonts w:hint="eastAsia" w:ascii="宋体" w:hAnsi="宋体" w:cs="宋体"/>
          <w:color w:val="auto"/>
          <w:sz w:val="24"/>
          <w:szCs w:val="20"/>
          <w:highlight w:val="none"/>
        </w:rPr>
        <w:t>（采购编号：</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）项目的磋商活动，并代表我方全权办理针对上述项目的磋商、开标、评审、签约等具体事务和签署相关文件。</w:t>
      </w:r>
    </w:p>
    <w:p>
      <w:pPr>
        <w:pStyle w:val="25"/>
        <w:autoSpaceDE w:val="0"/>
        <w:autoSpaceDN w:val="0"/>
        <w:spacing w:line="360" w:lineRule="auto"/>
        <w:textAlignment w:val="bottom"/>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我方对委托代理人的签字或盖章事项负全部责任。</w:t>
      </w:r>
    </w:p>
    <w:p>
      <w:pPr>
        <w:pStyle w:val="25"/>
        <w:spacing w:line="360" w:lineRule="auto"/>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pPr>
        <w:pStyle w:val="25"/>
        <w:spacing w:line="360" w:lineRule="auto"/>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委托代理人无转委托权，特此声明。</w:t>
      </w:r>
    </w:p>
    <w:p>
      <w:pPr>
        <w:pStyle w:val="25"/>
        <w:spacing w:line="440" w:lineRule="exact"/>
        <w:ind w:firstLine="480"/>
        <w:rPr>
          <w:rFonts w:hint="eastAsia" w:ascii="宋体" w:hAnsi="宋体" w:cs="宋体"/>
          <w:color w:val="auto"/>
          <w:sz w:val="24"/>
          <w:szCs w:val="21"/>
          <w:highlight w:val="none"/>
        </w:rPr>
      </w:pPr>
    </w:p>
    <w:p>
      <w:pPr>
        <w:pStyle w:val="25"/>
        <w:spacing w:line="440" w:lineRule="exact"/>
        <w:jc w:val="center"/>
        <w:rPr>
          <w:rFonts w:hint="default" w:ascii="宋体" w:hAnsi="宋体" w:eastAsia="宋体" w:cs="宋体"/>
          <w:color w:val="auto"/>
          <w:spacing w:val="20"/>
          <w:sz w:val="24"/>
          <w:szCs w:val="21"/>
          <w:highlight w:val="none"/>
          <w:u w:val="single"/>
          <w:lang w:val="en-US" w:eastAsia="zh-CN"/>
        </w:rPr>
      </w:pPr>
      <w:r>
        <w:rPr>
          <w:rFonts w:hint="eastAsia" w:ascii="宋体" w:hAnsi="宋体" w:cs="宋体"/>
          <w:color w:val="auto"/>
          <w:spacing w:val="20"/>
          <w:sz w:val="24"/>
          <w:szCs w:val="21"/>
          <w:highlight w:val="none"/>
          <w:u w:val="none"/>
        </w:rPr>
        <w:t>联合体成员名称（公章）：</w:t>
      </w:r>
      <w:r>
        <w:rPr>
          <w:rFonts w:hint="eastAsia" w:ascii="宋体" w:hAnsi="宋体" w:cs="宋体"/>
          <w:color w:val="auto"/>
          <w:spacing w:val="20"/>
          <w:sz w:val="24"/>
          <w:szCs w:val="21"/>
          <w:highlight w:val="none"/>
          <w:u w:val="single"/>
          <w:lang w:val="en-US" w:eastAsia="zh-CN"/>
        </w:rPr>
        <w:t xml:space="preserve">          </w:t>
      </w:r>
    </w:p>
    <w:p>
      <w:pPr>
        <w:pStyle w:val="25"/>
        <w:spacing w:line="440" w:lineRule="exact"/>
        <w:jc w:val="center"/>
        <w:rPr>
          <w:rFonts w:hint="default" w:ascii="宋体" w:hAnsi="宋体" w:eastAsia="宋体" w:cs="宋体"/>
          <w:color w:val="auto"/>
          <w:spacing w:val="20"/>
          <w:sz w:val="24"/>
          <w:szCs w:val="21"/>
          <w:highlight w:val="none"/>
          <w:u w:val="single"/>
          <w:lang w:val="en-US" w:eastAsia="zh-CN"/>
        </w:rPr>
      </w:pPr>
      <w:r>
        <w:rPr>
          <w:rFonts w:hint="eastAsia" w:ascii="宋体" w:hAnsi="宋体" w:cs="宋体"/>
          <w:color w:val="auto"/>
          <w:spacing w:val="20"/>
          <w:sz w:val="24"/>
          <w:szCs w:val="21"/>
          <w:highlight w:val="none"/>
          <w:u w:val="none"/>
        </w:rPr>
        <w:t>联合体成员名称（公章）：</w:t>
      </w:r>
      <w:r>
        <w:rPr>
          <w:rFonts w:hint="eastAsia" w:ascii="宋体" w:hAnsi="宋体" w:cs="宋体"/>
          <w:color w:val="auto"/>
          <w:spacing w:val="20"/>
          <w:sz w:val="24"/>
          <w:szCs w:val="21"/>
          <w:highlight w:val="none"/>
          <w:u w:val="single"/>
          <w:lang w:val="en-US" w:eastAsia="zh-CN"/>
        </w:rPr>
        <w:t xml:space="preserve">        </w:t>
      </w:r>
    </w:p>
    <w:p>
      <w:pPr>
        <w:pStyle w:val="25"/>
        <w:spacing w:line="440" w:lineRule="exact"/>
        <w:rPr>
          <w:rFonts w:hint="eastAsia" w:ascii="宋体" w:hAnsi="宋体" w:cs="宋体"/>
          <w:color w:val="auto"/>
          <w:spacing w:val="20"/>
          <w:sz w:val="24"/>
          <w:szCs w:val="21"/>
          <w:highlight w:val="none"/>
          <w:u w:val="single"/>
        </w:rPr>
      </w:pPr>
      <w:r>
        <w:rPr>
          <w:rFonts w:hint="eastAsia" w:ascii="宋体" w:hAnsi="宋体" w:cs="宋体"/>
          <w:color w:val="auto"/>
          <w:spacing w:val="20"/>
          <w:sz w:val="24"/>
          <w:szCs w:val="21"/>
          <w:highlight w:val="none"/>
        </w:rPr>
        <w:t xml:space="preserve">                 </w:t>
      </w:r>
      <w:r>
        <w:rPr>
          <w:rFonts w:hint="eastAsia" w:ascii="宋体" w:hAnsi="宋体" w:cs="宋体"/>
          <w:color w:val="auto"/>
          <w:spacing w:val="20"/>
          <w:sz w:val="24"/>
          <w:szCs w:val="21"/>
          <w:highlight w:val="none"/>
          <w:lang w:val="en-US" w:eastAsia="zh-CN"/>
        </w:rPr>
        <w:t xml:space="preserve">   </w:t>
      </w:r>
      <w:r>
        <w:rPr>
          <w:rFonts w:hint="eastAsia" w:ascii="宋体" w:hAnsi="宋体" w:cs="宋体"/>
          <w:color w:val="auto"/>
          <w:spacing w:val="20"/>
          <w:sz w:val="24"/>
          <w:szCs w:val="21"/>
          <w:highlight w:val="none"/>
        </w:rPr>
        <w:t>日     期：</w:t>
      </w:r>
      <w:r>
        <w:rPr>
          <w:rFonts w:hint="eastAsia" w:ascii="宋体" w:hAnsi="宋体" w:cs="宋体"/>
          <w:color w:val="auto"/>
          <w:spacing w:val="20"/>
          <w:sz w:val="24"/>
          <w:szCs w:val="21"/>
          <w:highlight w:val="none"/>
          <w:u w:val="single"/>
        </w:rPr>
        <w:t xml:space="preserve">           </w:t>
      </w:r>
    </w:p>
    <w:p>
      <w:pPr>
        <w:pStyle w:val="25"/>
        <w:spacing w:line="44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_____________________________________________________________________</w:t>
      </w:r>
    </w:p>
    <w:p>
      <w:pPr>
        <w:pStyle w:val="25"/>
        <w:spacing w:line="440" w:lineRule="exact"/>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rPr>
        <w:t xml:space="preserve">附：1、委托代理人姓名：             </w:t>
      </w:r>
      <w:r>
        <w:rPr>
          <w:rFonts w:hint="eastAsia" w:ascii="宋体" w:hAnsi="宋体" w:cs="宋体"/>
          <w:color w:val="auto"/>
          <w:sz w:val="24"/>
          <w:szCs w:val="21"/>
          <w:highlight w:val="none"/>
        </w:rPr>
        <w:tab/>
      </w:r>
      <w:r>
        <w:rPr>
          <w:rFonts w:hint="eastAsia" w:ascii="宋体" w:hAnsi="宋体" w:cs="宋体"/>
          <w:color w:val="auto"/>
          <w:sz w:val="24"/>
          <w:szCs w:val="21"/>
          <w:highlight w:val="none"/>
        </w:rPr>
        <w:t xml:space="preserve">职务： </w:t>
      </w:r>
    </w:p>
    <w:p>
      <w:pPr>
        <w:pStyle w:val="25"/>
        <w:spacing w:line="440" w:lineRule="exact"/>
        <w:ind w:firstLine="480"/>
        <w:rPr>
          <w:rFonts w:hint="eastAsia" w:hAnsi="宋体" w:cs="宋体"/>
          <w:bCs/>
          <w:color w:val="auto"/>
          <w:sz w:val="24"/>
          <w:highlight w:val="none"/>
        </w:rPr>
      </w:pPr>
      <w:r>
        <w:rPr>
          <w:rFonts w:hint="eastAsia" w:ascii="宋体" w:hAnsi="宋体" w:cs="宋体"/>
          <w:color w:val="auto"/>
          <w:sz w:val="24"/>
          <w:szCs w:val="21"/>
          <w:highlight w:val="none"/>
        </w:rPr>
        <w:t xml:space="preserve">       身份证号码：　　　　　　　　</w:t>
      </w:r>
      <w:r>
        <w:rPr>
          <w:rFonts w:hint="eastAsia" w:ascii="宋体" w:hAnsi="宋体" w:cs="宋体"/>
          <w:color w:val="auto"/>
          <w:sz w:val="24"/>
          <w:szCs w:val="21"/>
          <w:highlight w:val="none"/>
        </w:rPr>
        <w:tab/>
      </w:r>
      <w:r>
        <w:rPr>
          <w:rFonts w:hint="eastAsia" w:ascii="宋体" w:hAnsi="宋体" w:cs="宋体"/>
          <w:color w:val="auto"/>
          <w:sz w:val="24"/>
          <w:szCs w:val="21"/>
          <w:highlight w:val="none"/>
        </w:rPr>
        <w:t xml:space="preserve">联系方式：　    </w:t>
      </w:r>
      <w:r>
        <w:rPr>
          <w:rFonts w:hint="eastAsia" w:hAnsi="宋体" w:cs="宋体"/>
          <w:bCs/>
          <w:color w:val="auto"/>
          <w:sz w:val="24"/>
          <w:highlight w:val="none"/>
        </w:rPr>
        <w:br w:type="page"/>
      </w:r>
      <w:r>
        <w:rPr>
          <w:rFonts w:hint="eastAsia" w:hAnsi="宋体" w:cs="宋体"/>
          <w:bCs/>
          <w:color w:val="auto"/>
          <w:sz w:val="24"/>
          <w:highlight w:val="none"/>
        </w:rPr>
        <w:t>委托代理人身份证件扫描件：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6"/>
              <w:spacing w:line="440" w:lineRule="exact"/>
              <w:rPr>
                <w:rFonts w:hint="eastAsia" w:hAnsi="宋体" w:cs="宋体"/>
                <w:bCs/>
                <w:color w:val="auto"/>
                <w:sz w:val="24"/>
                <w:highlight w:val="none"/>
              </w:rPr>
            </w:pPr>
            <w:r>
              <w:rPr>
                <w:rFonts w:hint="eastAsia" w:hAnsi="宋体" w:cs="宋体"/>
                <w:bCs/>
                <w:color w:val="auto"/>
                <w:sz w:val="24"/>
                <w:highlight w:val="none"/>
              </w:rPr>
              <w:t>正面：                                 反面：</w:t>
            </w:r>
          </w:p>
          <w:p>
            <w:pPr>
              <w:pStyle w:val="26"/>
              <w:spacing w:line="440" w:lineRule="exact"/>
              <w:rPr>
                <w:rFonts w:hint="eastAsia" w:hAnsi="宋体" w:cs="宋体"/>
                <w:bCs/>
                <w:color w:val="auto"/>
                <w:sz w:val="24"/>
                <w:highlight w:val="none"/>
              </w:rPr>
            </w:pPr>
          </w:p>
        </w:tc>
      </w:tr>
    </w:tbl>
    <w:p>
      <w:pPr>
        <w:spacing w:line="0" w:lineRule="atLeast"/>
        <w:ind w:left="0" w:firstLine="0"/>
        <w:rPr>
          <w:rFonts w:hint="eastAsia" w:ascii="宋体" w:hAnsi="宋体" w:cs="宋体"/>
          <w:b/>
          <w:bCs/>
          <w:color w:val="auto"/>
          <w:sz w:val="24"/>
          <w:highlight w:val="none"/>
        </w:rPr>
      </w:pPr>
    </w:p>
    <w:p>
      <w:pPr>
        <w:spacing w:line="0" w:lineRule="atLeast"/>
        <w:ind w:left="0" w:firstLine="0"/>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格式2.5：类似项目业绩情况一览表格式：</w:t>
      </w:r>
    </w:p>
    <w:p>
      <w:pPr>
        <w:pStyle w:val="12"/>
        <w:snapToGrid w:val="0"/>
        <w:ind w:left="643" w:hanging="643"/>
        <w:jc w:val="center"/>
        <w:rPr>
          <w:rFonts w:hint="eastAsia" w:ascii="宋体" w:hAnsi="宋体" w:eastAsia="宋体" w:cs="宋体"/>
          <w:b/>
          <w:color w:val="auto"/>
          <w:sz w:val="32"/>
          <w:szCs w:val="32"/>
          <w:highlight w:val="none"/>
        </w:rPr>
      </w:pPr>
    </w:p>
    <w:p>
      <w:pPr>
        <w:pStyle w:val="12"/>
        <w:snapToGrid w:val="0"/>
        <w:ind w:left="643" w:hanging="643"/>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类似项目业绩情况一览表</w:t>
      </w:r>
    </w:p>
    <w:p>
      <w:pPr>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项目名称：                                           项目编号：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984"/>
        <w:gridCol w:w="720"/>
        <w:gridCol w:w="1123"/>
        <w:gridCol w:w="1134"/>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80" w:type="dxa"/>
            <w:noWrap w:val="0"/>
            <w:vAlign w:val="center"/>
          </w:tcPr>
          <w:p>
            <w:pPr>
              <w:spacing w:line="500" w:lineRule="exact"/>
              <w:ind w:left="0" w:firstLine="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2192" w:type="dxa"/>
            <w:noWrap w:val="0"/>
            <w:vAlign w:val="center"/>
          </w:tcPr>
          <w:p>
            <w:pPr>
              <w:spacing w:line="500" w:lineRule="exact"/>
              <w:ind w:left="0" w:firstLine="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项目名称</w:t>
            </w:r>
          </w:p>
        </w:tc>
        <w:tc>
          <w:tcPr>
            <w:tcW w:w="1984" w:type="dxa"/>
            <w:noWrap w:val="0"/>
            <w:vAlign w:val="center"/>
          </w:tcPr>
          <w:p>
            <w:pPr>
              <w:spacing w:line="500" w:lineRule="exact"/>
              <w:ind w:left="0" w:firstLine="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用户单位</w:t>
            </w:r>
          </w:p>
        </w:tc>
        <w:tc>
          <w:tcPr>
            <w:tcW w:w="720" w:type="dxa"/>
            <w:noWrap w:val="0"/>
            <w:vAlign w:val="center"/>
          </w:tcPr>
          <w:p>
            <w:pPr>
              <w:spacing w:line="500" w:lineRule="exact"/>
              <w:ind w:left="0" w:firstLine="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数量</w:t>
            </w:r>
          </w:p>
        </w:tc>
        <w:tc>
          <w:tcPr>
            <w:tcW w:w="1123" w:type="dxa"/>
            <w:noWrap w:val="0"/>
            <w:vAlign w:val="center"/>
          </w:tcPr>
          <w:p>
            <w:pPr>
              <w:spacing w:line="500" w:lineRule="exact"/>
              <w:ind w:left="0" w:firstLine="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合同金额</w:t>
            </w:r>
          </w:p>
        </w:tc>
        <w:tc>
          <w:tcPr>
            <w:tcW w:w="1134" w:type="dxa"/>
            <w:noWrap w:val="0"/>
            <w:vAlign w:val="center"/>
          </w:tcPr>
          <w:p>
            <w:pPr>
              <w:spacing w:line="500" w:lineRule="exact"/>
              <w:ind w:left="0" w:firstLine="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合同签订时间</w:t>
            </w:r>
          </w:p>
        </w:tc>
        <w:tc>
          <w:tcPr>
            <w:tcW w:w="1727" w:type="dxa"/>
            <w:noWrap w:val="0"/>
            <w:vAlign w:val="center"/>
          </w:tcPr>
          <w:p>
            <w:pPr>
              <w:spacing w:line="500" w:lineRule="exact"/>
              <w:ind w:left="0" w:firstLine="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2192"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98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72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23"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3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727" w:type="dxa"/>
            <w:noWrap w:val="0"/>
            <w:vAlign w:val="center"/>
          </w:tcPr>
          <w:p>
            <w:pPr>
              <w:spacing w:line="500" w:lineRule="exact"/>
              <w:ind w:left="0" w:firstLine="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2192"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98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72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23"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3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727" w:type="dxa"/>
            <w:noWrap w:val="0"/>
            <w:vAlign w:val="center"/>
          </w:tcPr>
          <w:p>
            <w:pPr>
              <w:spacing w:line="500" w:lineRule="exact"/>
              <w:ind w:left="0" w:firstLine="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2192"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98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72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23"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3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727" w:type="dxa"/>
            <w:noWrap w:val="0"/>
            <w:vAlign w:val="center"/>
          </w:tcPr>
          <w:p>
            <w:pPr>
              <w:spacing w:line="500" w:lineRule="exact"/>
              <w:ind w:left="0" w:firstLine="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2192"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98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72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23"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3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727" w:type="dxa"/>
            <w:noWrap w:val="0"/>
            <w:vAlign w:val="center"/>
          </w:tcPr>
          <w:p>
            <w:pPr>
              <w:spacing w:line="500" w:lineRule="exact"/>
              <w:ind w:left="0" w:firstLine="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2192"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98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72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23"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3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727" w:type="dxa"/>
            <w:noWrap w:val="0"/>
            <w:vAlign w:val="center"/>
          </w:tcPr>
          <w:p>
            <w:pPr>
              <w:spacing w:line="500" w:lineRule="exact"/>
              <w:ind w:left="0" w:firstLine="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2192"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98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72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23"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3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727" w:type="dxa"/>
            <w:noWrap w:val="0"/>
            <w:vAlign w:val="center"/>
          </w:tcPr>
          <w:p>
            <w:pPr>
              <w:spacing w:line="500" w:lineRule="exact"/>
              <w:ind w:left="0" w:firstLine="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2192"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98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72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23"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3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727" w:type="dxa"/>
            <w:noWrap w:val="0"/>
            <w:vAlign w:val="center"/>
          </w:tcPr>
          <w:p>
            <w:pPr>
              <w:spacing w:line="500" w:lineRule="exact"/>
              <w:ind w:left="0" w:firstLine="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2192"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98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72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23"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3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727" w:type="dxa"/>
            <w:noWrap w:val="0"/>
            <w:vAlign w:val="center"/>
          </w:tcPr>
          <w:p>
            <w:pPr>
              <w:spacing w:line="500" w:lineRule="exact"/>
              <w:ind w:left="0" w:firstLine="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2192"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98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720"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23"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134" w:type="dxa"/>
            <w:noWrap w:val="0"/>
            <w:vAlign w:val="center"/>
          </w:tcPr>
          <w:p>
            <w:pPr>
              <w:spacing w:line="500" w:lineRule="exact"/>
              <w:ind w:left="0" w:firstLine="0"/>
              <w:jc w:val="center"/>
              <w:rPr>
                <w:rFonts w:hint="eastAsia" w:ascii="宋体" w:hAnsi="宋体" w:cs="宋体"/>
                <w:bCs/>
                <w:color w:val="auto"/>
                <w:sz w:val="24"/>
                <w:szCs w:val="24"/>
                <w:highlight w:val="none"/>
              </w:rPr>
            </w:pPr>
          </w:p>
        </w:tc>
        <w:tc>
          <w:tcPr>
            <w:tcW w:w="1727" w:type="dxa"/>
            <w:noWrap w:val="0"/>
            <w:vAlign w:val="center"/>
          </w:tcPr>
          <w:p>
            <w:pPr>
              <w:spacing w:line="500" w:lineRule="exact"/>
              <w:ind w:left="0" w:firstLine="0"/>
              <w:jc w:val="center"/>
              <w:rPr>
                <w:rFonts w:hint="eastAsia" w:ascii="宋体" w:hAnsi="宋体" w:cs="宋体"/>
                <w:bCs/>
                <w:color w:val="auto"/>
                <w:sz w:val="24"/>
                <w:szCs w:val="24"/>
                <w:highlight w:val="none"/>
              </w:rPr>
            </w:pPr>
          </w:p>
        </w:tc>
      </w:tr>
    </w:tbl>
    <w:p>
      <w:pPr>
        <w:spacing w:line="0" w:lineRule="atLeast"/>
        <w:ind w:left="425" w:firstLine="0"/>
        <w:jc w:val="left"/>
        <w:rPr>
          <w:rFonts w:hint="eastAsia" w:ascii="宋体" w:hAnsi="宋体" w:cs="宋体"/>
          <w:color w:val="auto"/>
          <w:szCs w:val="21"/>
          <w:highlight w:val="none"/>
        </w:rPr>
      </w:pPr>
      <w:r>
        <w:rPr>
          <w:rFonts w:hint="eastAsia" w:ascii="宋体" w:hAnsi="宋体" w:cs="宋体"/>
          <w:color w:val="auto"/>
          <w:szCs w:val="21"/>
          <w:highlight w:val="none"/>
        </w:rPr>
        <w:t>注：1.须提供合同复印件，否则不得分，时间以合同签订时间为准；</w:t>
      </w:r>
    </w:p>
    <w:p>
      <w:pPr>
        <w:spacing w:line="0" w:lineRule="atLeast"/>
        <w:jc w:val="left"/>
        <w:rPr>
          <w:rFonts w:hint="eastAsia" w:ascii="宋体" w:hAnsi="宋体" w:cs="宋体"/>
          <w:color w:val="auto"/>
          <w:szCs w:val="21"/>
          <w:highlight w:val="none"/>
        </w:rPr>
      </w:pPr>
      <w:r>
        <w:rPr>
          <w:rFonts w:hint="eastAsia" w:ascii="宋体" w:hAnsi="宋体" w:cs="宋体"/>
          <w:color w:val="auto"/>
          <w:szCs w:val="21"/>
          <w:highlight w:val="none"/>
        </w:rPr>
        <w:t>2.本表可在不改变格式的情况下根据具体需要自行增减。</w:t>
      </w:r>
    </w:p>
    <w:p>
      <w:pPr>
        <w:adjustRightInd w:val="0"/>
        <w:snapToGrid w:val="0"/>
        <w:rPr>
          <w:rFonts w:hint="eastAsia" w:ascii="宋体" w:hAnsi="宋体" w:cs="宋体"/>
          <w:b/>
          <w:bCs/>
          <w:color w:val="auto"/>
          <w:sz w:val="36"/>
          <w:szCs w:val="36"/>
          <w:highlight w:val="none"/>
        </w:rPr>
      </w:pPr>
    </w:p>
    <w:p>
      <w:pPr>
        <w:spacing w:line="540" w:lineRule="exact"/>
        <w:ind w:left="0" w:firstLine="3402"/>
        <w:rPr>
          <w:rFonts w:hint="eastAsia" w:ascii="宋体" w:hAnsi="宋体" w:cs="宋体"/>
          <w:color w:val="auto"/>
          <w:sz w:val="24"/>
          <w:highlight w:val="none"/>
        </w:rPr>
      </w:pPr>
      <w:r>
        <w:rPr>
          <w:rFonts w:hint="eastAsia" w:ascii="宋体" w:hAnsi="宋体" w:cs="宋体"/>
          <w:color w:val="auto"/>
          <w:sz w:val="24"/>
          <w:highlight w:val="none"/>
        </w:rPr>
        <w:t xml:space="preserve">磋商响应人：（电子签章）           </w:t>
      </w:r>
    </w:p>
    <w:p>
      <w:pPr>
        <w:spacing w:line="540" w:lineRule="exact"/>
        <w:ind w:left="0" w:firstLine="3402"/>
        <w:rPr>
          <w:rFonts w:hint="eastAsia" w:ascii="宋体" w:hAnsi="宋体" w:cs="宋体"/>
          <w:color w:val="auto"/>
          <w:sz w:val="24"/>
          <w:highlight w:val="none"/>
        </w:rPr>
      </w:pPr>
      <w:r>
        <w:rPr>
          <w:rFonts w:hint="eastAsia" w:ascii="宋体" w:hAnsi="宋体" w:cs="宋体"/>
          <w:color w:val="auto"/>
          <w:sz w:val="24"/>
          <w:highlight w:val="none"/>
        </w:rPr>
        <w:t xml:space="preserve">日期：    年   月    日 </w:t>
      </w:r>
    </w:p>
    <w:p>
      <w:pPr>
        <w:spacing w:line="540" w:lineRule="exact"/>
        <w:ind w:left="0" w:firstLine="3402"/>
        <w:rPr>
          <w:rFonts w:hint="eastAsia" w:ascii="宋体" w:hAnsi="宋体" w:cs="宋体"/>
          <w:color w:val="auto"/>
          <w:sz w:val="24"/>
          <w:highlight w:val="none"/>
        </w:rPr>
      </w:pPr>
    </w:p>
    <w:p>
      <w:pPr>
        <w:spacing w:line="0" w:lineRule="atLeast"/>
        <w:jc w:val="left"/>
        <w:rPr>
          <w:rFonts w:hint="eastAsia" w:ascii="宋体" w:hAnsi="宋体" w:cs="宋体"/>
          <w:color w:val="auto"/>
          <w:szCs w:val="21"/>
          <w:highlight w:val="none"/>
        </w:rPr>
      </w:pPr>
    </w:p>
    <w:p>
      <w:pPr>
        <w:pStyle w:val="15"/>
        <w:rPr>
          <w:rFonts w:hint="eastAsia" w:ascii="宋体" w:hAnsi="宋体" w:eastAsia="宋体" w:cs="宋体"/>
          <w:color w:val="auto"/>
          <w:highlight w:val="none"/>
        </w:rPr>
      </w:pPr>
    </w:p>
    <w:p>
      <w:pPr>
        <w:spacing w:line="0" w:lineRule="atLeast"/>
        <w:jc w:val="left"/>
        <w:rPr>
          <w:rFonts w:hint="eastAsia" w:ascii="宋体" w:hAnsi="宋体" w:cs="宋体"/>
          <w:b/>
          <w:bCs/>
          <w:color w:val="auto"/>
          <w:sz w:val="24"/>
          <w:highlight w:val="none"/>
        </w:rPr>
      </w:pPr>
    </w:p>
    <w:p>
      <w:pPr>
        <w:pStyle w:val="12"/>
        <w:snapToGrid w:val="0"/>
        <w:ind w:left="482" w:hanging="482"/>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szCs w:val="20"/>
          <w:highlight w:val="none"/>
        </w:rPr>
        <w:t>格式2.6项目组人员情况一览表格式：</w:t>
      </w:r>
    </w:p>
    <w:p>
      <w:pPr>
        <w:pStyle w:val="12"/>
        <w:snapToGrid w:val="0"/>
        <w:ind w:left="723" w:hanging="723"/>
        <w:jc w:val="center"/>
        <w:rPr>
          <w:rFonts w:hint="eastAsia" w:ascii="宋体" w:hAnsi="宋体" w:eastAsia="宋体" w:cs="宋体"/>
          <w:b/>
          <w:bCs/>
          <w:color w:val="auto"/>
          <w:sz w:val="36"/>
          <w:szCs w:val="24"/>
          <w:highlight w:val="none"/>
        </w:rPr>
      </w:pPr>
      <w:r>
        <w:rPr>
          <w:rFonts w:hint="eastAsia" w:ascii="宋体" w:hAnsi="宋体" w:eastAsia="宋体" w:cs="宋体"/>
          <w:b/>
          <w:bCs/>
          <w:color w:val="auto"/>
          <w:sz w:val="36"/>
          <w:szCs w:val="24"/>
          <w:highlight w:val="none"/>
        </w:rPr>
        <w:t>项目组人员情况一览表</w:t>
      </w:r>
    </w:p>
    <w:tbl>
      <w:tblPr>
        <w:tblStyle w:val="16"/>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588"/>
        <w:gridCol w:w="1035"/>
        <w:gridCol w:w="1320"/>
        <w:gridCol w:w="1064"/>
        <w:gridCol w:w="1362"/>
        <w:gridCol w:w="1537"/>
        <w:gridCol w:w="77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序号</w:t>
            </w:r>
          </w:p>
        </w:tc>
        <w:tc>
          <w:tcPr>
            <w:tcW w:w="1588" w:type="dxa"/>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姓名</w:t>
            </w:r>
          </w:p>
        </w:tc>
        <w:tc>
          <w:tcPr>
            <w:tcW w:w="1035" w:type="dxa"/>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年龄</w:t>
            </w:r>
          </w:p>
        </w:tc>
        <w:tc>
          <w:tcPr>
            <w:tcW w:w="1320" w:type="dxa"/>
            <w:noWrap w:val="0"/>
            <w:vAlign w:val="center"/>
          </w:tcPr>
          <w:p>
            <w:pPr>
              <w:autoSpaceDE w:val="0"/>
              <w:autoSpaceDN w:val="0"/>
              <w:adjustRightInd w:val="0"/>
              <w:spacing w:line="240" w:lineRule="atLeast"/>
              <w:ind w:left="0" w:firstLine="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职称/执业资格</w:t>
            </w:r>
          </w:p>
        </w:tc>
        <w:tc>
          <w:tcPr>
            <w:tcW w:w="1064" w:type="dxa"/>
            <w:noWrap w:val="0"/>
            <w:vAlign w:val="center"/>
          </w:tcPr>
          <w:p>
            <w:pPr>
              <w:autoSpaceDE w:val="0"/>
              <w:autoSpaceDN w:val="0"/>
              <w:adjustRightInd w:val="0"/>
              <w:spacing w:line="240" w:lineRule="atLeast"/>
              <w:ind w:left="0" w:firstLine="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学历</w:t>
            </w:r>
          </w:p>
        </w:tc>
        <w:tc>
          <w:tcPr>
            <w:tcW w:w="1362" w:type="dxa"/>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同类工作年限</w:t>
            </w:r>
          </w:p>
        </w:tc>
        <w:tc>
          <w:tcPr>
            <w:tcW w:w="1537" w:type="dxa"/>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在本项目中拟担任职务</w:t>
            </w:r>
          </w:p>
        </w:tc>
        <w:tc>
          <w:tcPr>
            <w:tcW w:w="0" w:type="auto"/>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0" w:type="auto"/>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p>
        </w:tc>
        <w:tc>
          <w:tcPr>
            <w:tcW w:w="1588"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35"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20"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64"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62"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537"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0" w:type="auto"/>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w:t>
            </w:r>
          </w:p>
        </w:tc>
        <w:tc>
          <w:tcPr>
            <w:tcW w:w="1588"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35"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20"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64"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62"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537"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0" w:type="auto"/>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w:t>
            </w:r>
          </w:p>
        </w:tc>
        <w:tc>
          <w:tcPr>
            <w:tcW w:w="1588"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35"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20"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64"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62"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537"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0" w:type="auto"/>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w:t>
            </w:r>
          </w:p>
        </w:tc>
        <w:tc>
          <w:tcPr>
            <w:tcW w:w="1588"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35"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20"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64"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62"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537"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0" w:type="auto"/>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noWrap w:val="0"/>
            <w:vAlign w:val="center"/>
          </w:tcPr>
          <w:p>
            <w:pPr>
              <w:autoSpaceDE w:val="0"/>
              <w:autoSpaceDN w:val="0"/>
              <w:adjustRightInd w:val="0"/>
              <w:spacing w:line="240" w:lineRule="atLeast"/>
              <w:ind w:left="0" w:firstLine="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w:t>
            </w:r>
          </w:p>
        </w:tc>
        <w:tc>
          <w:tcPr>
            <w:tcW w:w="1588"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35"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20"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64"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62"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537"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0" w:type="auto"/>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noWrap w:val="0"/>
            <w:vAlign w:val="center"/>
          </w:tcPr>
          <w:p>
            <w:pPr>
              <w:autoSpaceDE w:val="0"/>
              <w:autoSpaceDN w:val="0"/>
              <w:adjustRightInd w:val="0"/>
              <w:spacing w:line="240" w:lineRule="atLeast"/>
              <w:ind w:left="0" w:firstLine="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w:t>
            </w:r>
          </w:p>
        </w:tc>
        <w:tc>
          <w:tcPr>
            <w:tcW w:w="1588"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35"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20"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64"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62"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537"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0" w:type="auto"/>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noWrap w:val="0"/>
            <w:vAlign w:val="center"/>
          </w:tcPr>
          <w:p>
            <w:pPr>
              <w:autoSpaceDE w:val="0"/>
              <w:autoSpaceDN w:val="0"/>
              <w:adjustRightInd w:val="0"/>
              <w:spacing w:line="240" w:lineRule="atLeast"/>
              <w:ind w:left="0"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p>
        </w:tc>
        <w:tc>
          <w:tcPr>
            <w:tcW w:w="1588"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35"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20"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064"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362"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1537" w:type="dxa"/>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c>
          <w:tcPr>
            <w:tcW w:w="0" w:type="auto"/>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457" w:type="dxa"/>
            <w:gridSpan w:val="8"/>
            <w:noWrap w:val="0"/>
            <w:vAlign w:val="center"/>
          </w:tcPr>
          <w:p>
            <w:pPr>
              <w:autoSpaceDE w:val="0"/>
              <w:autoSpaceDN w:val="0"/>
              <w:adjustRightInd w:val="0"/>
              <w:spacing w:line="240" w:lineRule="atLeast"/>
              <w:ind w:left="0" w:firstLine="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其他说明：（如有）</w:t>
            </w:r>
          </w:p>
        </w:tc>
      </w:tr>
    </w:tbl>
    <w:p>
      <w:pPr>
        <w:pStyle w:val="8"/>
        <w:spacing w:line="400" w:lineRule="atLeast"/>
        <w:rPr>
          <w:rFonts w:ascii="新宋体" w:hAnsi="新宋体" w:eastAsia="新宋体"/>
          <w:color w:val="auto"/>
          <w:sz w:val="22"/>
          <w:highlight w:val="none"/>
        </w:rPr>
      </w:pPr>
      <w:r>
        <w:rPr>
          <w:rFonts w:hint="eastAsia" w:ascii="新宋体" w:hAnsi="新宋体" w:eastAsia="新宋体"/>
          <w:color w:val="auto"/>
          <w:sz w:val="22"/>
          <w:highlight w:val="none"/>
        </w:rPr>
        <w:t>须提供相关证明材料，具体详见评分标准。</w:t>
      </w:r>
    </w:p>
    <w:p>
      <w:pPr>
        <w:pStyle w:val="8"/>
        <w:spacing w:line="400" w:lineRule="atLeast"/>
        <w:ind w:left="657" w:leftChars="313" w:firstLine="3960" w:firstLineChars="1800"/>
        <w:rPr>
          <w:rFonts w:ascii="新宋体" w:hAnsi="新宋体" w:eastAsia="新宋体"/>
          <w:color w:val="auto"/>
          <w:sz w:val="22"/>
          <w:highlight w:val="none"/>
        </w:rPr>
      </w:pPr>
    </w:p>
    <w:p>
      <w:pPr>
        <w:pStyle w:val="8"/>
        <w:spacing w:line="400" w:lineRule="atLeast"/>
        <w:ind w:left="657" w:leftChars="313" w:firstLine="3960" w:firstLineChars="1800"/>
        <w:rPr>
          <w:rFonts w:ascii="新宋体" w:hAnsi="新宋体" w:eastAsia="新宋体"/>
          <w:color w:val="auto"/>
          <w:sz w:val="22"/>
          <w:highlight w:val="none"/>
        </w:rPr>
      </w:pPr>
    </w:p>
    <w:p>
      <w:pPr>
        <w:pStyle w:val="8"/>
        <w:spacing w:line="400" w:lineRule="atLeast"/>
        <w:ind w:left="657" w:leftChars="313" w:firstLine="3960" w:firstLineChars="1800"/>
        <w:rPr>
          <w:rFonts w:ascii="新宋体" w:hAnsi="新宋体" w:eastAsia="新宋体"/>
          <w:color w:val="auto"/>
          <w:sz w:val="22"/>
          <w:highlight w:val="none"/>
        </w:rPr>
      </w:pPr>
    </w:p>
    <w:p>
      <w:pPr>
        <w:spacing w:line="540" w:lineRule="exact"/>
        <w:ind w:left="0" w:firstLine="3402"/>
        <w:rPr>
          <w:rFonts w:hint="eastAsia" w:ascii="宋体" w:hAnsi="宋体" w:cs="宋体"/>
          <w:color w:val="auto"/>
          <w:sz w:val="24"/>
          <w:highlight w:val="none"/>
        </w:rPr>
      </w:pPr>
      <w:r>
        <w:rPr>
          <w:rFonts w:hint="eastAsia" w:ascii="宋体" w:hAnsi="宋体" w:cs="宋体"/>
          <w:color w:val="auto"/>
          <w:sz w:val="24"/>
          <w:highlight w:val="none"/>
        </w:rPr>
        <w:t xml:space="preserve">磋商响应人：（电子签章）           </w:t>
      </w:r>
    </w:p>
    <w:p>
      <w:pPr>
        <w:spacing w:line="540" w:lineRule="exact"/>
        <w:ind w:left="0" w:firstLine="3402"/>
        <w:rPr>
          <w:color w:val="auto"/>
          <w:highlight w:val="none"/>
        </w:rPr>
      </w:pPr>
      <w:r>
        <w:rPr>
          <w:rFonts w:hint="eastAsia" w:ascii="宋体" w:hAnsi="宋体" w:cs="宋体"/>
          <w:color w:val="auto"/>
          <w:sz w:val="24"/>
          <w:highlight w:val="none"/>
        </w:rPr>
        <w:t>日期：    年   月    日</w:t>
      </w:r>
    </w:p>
    <w:p>
      <w:pPr>
        <w:pStyle w:val="24"/>
        <w:spacing w:after="100" w:line="341" w:lineRule="exact"/>
        <w:ind w:firstLine="0"/>
        <w:jc w:val="both"/>
        <w:rPr>
          <w:rFonts w:hint="eastAsia" w:cs="宋体"/>
          <w:b/>
          <w:bCs/>
          <w:color w:val="auto"/>
          <w:sz w:val="24"/>
          <w:highlight w:val="none"/>
          <w:lang w:val="en-US" w:eastAsia="zh-CN"/>
        </w:rPr>
      </w:pPr>
      <w:r>
        <w:rPr>
          <w:rFonts w:hint="eastAsia" w:cs="宋体"/>
          <w:b/>
          <w:color w:val="auto"/>
          <w:sz w:val="32"/>
          <w:szCs w:val="32"/>
          <w:highlight w:val="none"/>
        </w:rPr>
        <w:br w:type="page"/>
      </w:r>
      <w:bookmarkEnd w:id="229"/>
      <w:bookmarkStart w:id="232" w:name="_Toc51872143"/>
      <w:r>
        <w:rPr>
          <w:rFonts w:hint="eastAsia" w:cs="宋体"/>
          <w:b/>
          <w:bCs/>
          <w:color w:val="auto"/>
          <w:sz w:val="24"/>
          <w:highlight w:val="none"/>
          <w:lang w:val="en-US" w:eastAsia="zh-CN"/>
        </w:rPr>
        <w:t>三、“报价文件”格式</w:t>
      </w:r>
    </w:p>
    <w:p>
      <w:pPr>
        <w:pStyle w:val="24"/>
        <w:spacing w:after="100" w:line="341" w:lineRule="exact"/>
        <w:ind w:firstLine="0"/>
        <w:jc w:val="both"/>
        <w:rPr>
          <w:rFonts w:hint="eastAsia" w:cs="宋体"/>
          <w:b/>
          <w:bCs/>
          <w:color w:val="auto"/>
          <w:sz w:val="24"/>
          <w:highlight w:val="none"/>
        </w:rPr>
      </w:pPr>
      <w:r>
        <w:rPr>
          <w:rFonts w:hint="eastAsia" w:cs="宋体"/>
          <w:b/>
          <w:bCs/>
          <w:color w:val="auto"/>
          <w:sz w:val="24"/>
          <w:highlight w:val="none"/>
        </w:rPr>
        <w:t>3.1“报价文件”封面（格式）</w:t>
      </w:r>
    </w:p>
    <w:p>
      <w:pPr>
        <w:jc w:val="center"/>
        <w:rPr>
          <w:rFonts w:hint="eastAsia" w:ascii="宋体" w:hAnsi="宋体" w:cs="宋体"/>
          <w:color w:val="auto"/>
          <w:sz w:val="24"/>
          <w:highlight w:val="none"/>
          <w:u w:val="singl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衢州市政府采购电子交易项目</w:t>
      </w:r>
    </w:p>
    <w:p>
      <w:pPr>
        <w:jc w:val="center"/>
        <w:rPr>
          <w:rFonts w:hint="eastAsia" w:ascii="宋体" w:hAnsi="宋体" w:cs="宋体"/>
          <w:color w:val="auto"/>
          <w:sz w:val="16"/>
          <w:szCs w:val="11"/>
          <w:highlight w:val="none"/>
          <w:u w:val="single"/>
        </w:rPr>
      </w:pPr>
    </w:p>
    <w:p>
      <w:pPr>
        <w:jc w:val="center"/>
        <w:rPr>
          <w:rFonts w:hint="eastAsia" w:ascii="宋体" w:hAnsi="宋体" w:cs="宋体"/>
          <w:color w:val="auto"/>
          <w:sz w:val="22"/>
          <w:szCs w:val="6"/>
          <w:highlight w:val="none"/>
        </w:rPr>
      </w:pPr>
    </w:p>
    <w:p>
      <w:pPr>
        <w:jc w:val="center"/>
        <w:rPr>
          <w:rFonts w:hint="eastAsia" w:ascii="宋体" w:hAnsi="宋体" w:cs="宋体"/>
          <w:b/>
          <w:bCs/>
          <w:color w:val="auto"/>
          <w:sz w:val="72"/>
          <w:highlight w:val="none"/>
        </w:rPr>
      </w:pPr>
      <w:r>
        <w:rPr>
          <w:rFonts w:hint="eastAsia" w:ascii="宋体" w:hAnsi="宋体" w:cs="宋体"/>
          <w:b/>
          <w:bCs/>
          <w:color w:val="auto"/>
          <w:sz w:val="72"/>
          <w:highlight w:val="none"/>
        </w:rPr>
        <w:t>磋 商 响 应 文 件</w:t>
      </w:r>
    </w:p>
    <w:p>
      <w:pPr>
        <w:jc w:val="center"/>
        <w:rPr>
          <w:rFonts w:hint="eastAsia" w:ascii="宋体" w:hAnsi="宋体" w:cs="宋体"/>
          <w:b/>
          <w:bCs/>
          <w:color w:val="auto"/>
          <w:sz w:val="28"/>
          <w:highlight w:val="none"/>
        </w:rPr>
      </w:pPr>
      <w:r>
        <w:rPr>
          <w:rFonts w:hint="eastAsia" w:ascii="宋体" w:hAnsi="宋体" w:cs="宋体"/>
          <w:b/>
          <w:bCs/>
          <w:color w:val="auto"/>
          <w:sz w:val="28"/>
          <w:highlight w:val="none"/>
        </w:rPr>
        <w:t>（三、报价文件）</w:t>
      </w:r>
    </w:p>
    <w:p>
      <w:pPr>
        <w:jc w:val="center"/>
        <w:rPr>
          <w:rFonts w:hint="eastAsia" w:ascii="宋体" w:hAnsi="宋体" w:cs="宋体"/>
          <w:b/>
          <w:bCs/>
          <w:color w:val="auto"/>
          <w:sz w:val="18"/>
          <w:szCs w:val="11"/>
          <w:highlight w:val="none"/>
        </w:rPr>
      </w:pPr>
    </w:p>
    <w:p>
      <w:pPr>
        <w:spacing w:line="900" w:lineRule="exact"/>
        <w:ind w:left="0" w:firstLine="0"/>
        <w:rPr>
          <w:rFonts w:hint="eastAsia" w:ascii="宋体" w:hAnsi="宋体" w:eastAsia="宋体" w:cs="宋体"/>
          <w:color w:val="auto"/>
          <w:sz w:val="30"/>
          <w:szCs w:val="30"/>
          <w:highlight w:val="none"/>
          <w:u w:val="single"/>
          <w:lang w:eastAsia="zh-CN"/>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u w:val="single"/>
          <w:lang w:eastAsia="zh-CN"/>
        </w:rPr>
        <w:t>2024“宋韵儒风 南孔琴韵”第三届“敦煌杯”古琴室内乐新作品展演活动</w:t>
      </w:r>
    </w:p>
    <w:p>
      <w:pPr>
        <w:spacing w:line="900" w:lineRule="exact"/>
        <w:ind w:left="0" w:firstLine="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QZGZ2024015CS</w:t>
      </w:r>
    </w:p>
    <w:p>
      <w:pPr>
        <w:spacing w:line="900" w:lineRule="exact"/>
        <w:ind w:left="0" w:firstLine="0"/>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磋商响应人单位名称（电子签章）：</w:t>
      </w:r>
    </w:p>
    <w:p>
      <w:pPr>
        <w:spacing w:line="900" w:lineRule="exact"/>
        <w:ind w:left="0" w:firstLine="0"/>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磋商响应人单位地址：</w:t>
      </w:r>
    </w:p>
    <w:p>
      <w:pPr>
        <w:spacing w:line="900" w:lineRule="exact"/>
        <w:ind w:left="0" w:firstLine="0"/>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法定代表人或其委托代理人：</w:t>
      </w:r>
      <w:r>
        <w:rPr>
          <w:rFonts w:hint="eastAsia" w:ascii="宋体" w:hAnsi="宋体" w:cs="宋体"/>
          <w:color w:val="auto"/>
          <w:sz w:val="30"/>
          <w:szCs w:val="30"/>
          <w:highlight w:val="none"/>
          <w:u w:val="single"/>
        </w:rPr>
        <w:t xml:space="preserve">           （签字或盖章） </w:t>
      </w:r>
    </w:p>
    <w:p>
      <w:pPr>
        <w:spacing w:line="900" w:lineRule="exact"/>
        <w:ind w:left="0" w:firstLine="0"/>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磋商响应人联系电话：</w:t>
      </w:r>
    </w:p>
    <w:p>
      <w:pPr>
        <w:spacing w:line="900" w:lineRule="exact"/>
        <w:ind w:left="0" w:firstLine="0"/>
        <w:rPr>
          <w:rFonts w:hint="eastAsia" w:ascii="宋体" w:hAnsi="宋体" w:cs="宋体"/>
          <w:color w:val="auto"/>
          <w:sz w:val="30"/>
          <w:szCs w:val="30"/>
          <w:highlight w:val="none"/>
        </w:rPr>
      </w:pPr>
      <w:r>
        <w:rPr>
          <w:rFonts w:hint="eastAsia" w:ascii="宋体" w:hAnsi="宋体" w:cs="宋体"/>
          <w:color w:val="auto"/>
          <w:sz w:val="30"/>
          <w:szCs w:val="30"/>
          <w:highlight w:val="none"/>
        </w:rPr>
        <w:t>日 期：     年     月    日</w:t>
      </w:r>
    </w:p>
    <w:p>
      <w:pPr>
        <w:pStyle w:val="15"/>
        <w:spacing w:after="0"/>
        <w:ind w:left="0" w:leftChars="0"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8"/>
          <w:szCs w:val="24"/>
          <w:highlight w:val="none"/>
        </w:rPr>
        <w:t>磋商响应截止时间前其他单位或个人不得解密、提取</w:t>
      </w:r>
    </w:p>
    <w:p>
      <w:pPr>
        <w:pStyle w:val="8"/>
        <w:spacing w:line="400" w:lineRule="atLeast"/>
        <w:ind w:left="0" w:firstLine="0"/>
        <w:rPr>
          <w:rFonts w:hint="eastAsia" w:hAnsi="宋体" w:cs="宋体"/>
          <w:b/>
          <w:bCs/>
          <w:color w:val="auto"/>
          <w:sz w:val="24"/>
          <w:szCs w:val="24"/>
          <w:highlight w:val="none"/>
        </w:rPr>
      </w:pPr>
      <w:r>
        <w:rPr>
          <w:rFonts w:hint="eastAsia" w:hAnsi="宋体" w:cs="宋体"/>
          <w:color w:val="auto"/>
          <w:sz w:val="24"/>
          <w:szCs w:val="24"/>
          <w:highlight w:val="none"/>
        </w:rPr>
        <w:br w:type="page"/>
      </w:r>
      <w:bookmarkEnd w:id="232"/>
      <w:r>
        <w:rPr>
          <w:rFonts w:hint="eastAsia" w:hAnsi="宋体" w:cs="宋体"/>
          <w:b/>
          <w:bCs/>
          <w:color w:val="auto"/>
          <w:sz w:val="24"/>
          <w:szCs w:val="24"/>
          <w:highlight w:val="none"/>
        </w:rPr>
        <w:t>格式3.2：磋商响应函</w:t>
      </w:r>
    </w:p>
    <w:p>
      <w:pPr>
        <w:pStyle w:val="8"/>
        <w:spacing w:line="400" w:lineRule="atLeast"/>
        <w:ind w:left="0" w:firstLine="0"/>
        <w:jc w:val="center"/>
        <w:rPr>
          <w:rFonts w:hint="eastAsia" w:hAnsi="宋体" w:cs="宋体"/>
          <w:b/>
          <w:bCs/>
          <w:color w:val="auto"/>
          <w:sz w:val="36"/>
          <w:szCs w:val="36"/>
          <w:highlight w:val="none"/>
        </w:rPr>
      </w:pPr>
      <w:r>
        <w:rPr>
          <w:rFonts w:hint="eastAsia" w:hAnsi="宋体" w:cs="宋体"/>
          <w:b/>
          <w:bCs/>
          <w:color w:val="auto"/>
          <w:sz w:val="36"/>
          <w:szCs w:val="36"/>
          <w:highlight w:val="none"/>
        </w:rPr>
        <w:t>磋商响应函</w:t>
      </w:r>
    </w:p>
    <w:p>
      <w:pPr>
        <w:pStyle w:val="8"/>
        <w:spacing w:line="440" w:lineRule="exact"/>
        <w:ind w:left="559" w:hanging="559" w:hangingChars="233"/>
        <w:rPr>
          <w:rFonts w:hint="eastAsia" w:hAnsi="宋体" w:eastAsia="宋体" w:cs="宋体"/>
          <w:color w:val="auto"/>
          <w:sz w:val="24"/>
          <w:highlight w:val="none"/>
          <w:lang w:eastAsia="zh-CN"/>
        </w:rPr>
      </w:pPr>
      <w:r>
        <w:rPr>
          <w:rFonts w:hint="eastAsia" w:hAnsi="宋体" w:cs="宋体"/>
          <w:color w:val="auto"/>
          <w:sz w:val="24"/>
          <w:highlight w:val="none"/>
        </w:rPr>
        <w:t>致：</w:t>
      </w:r>
      <w:r>
        <w:rPr>
          <w:rFonts w:hint="eastAsia" w:hAnsi="宋体" w:cs="宋体"/>
          <w:color w:val="auto"/>
          <w:sz w:val="24"/>
          <w:highlight w:val="none"/>
          <w:u w:val="single"/>
          <w:lang w:eastAsia="zh-CN"/>
        </w:rPr>
        <w:t>中共衢州市委宣传部</w:t>
      </w:r>
    </w:p>
    <w:p>
      <w:pPr>
        <w:pStyle w:val="8"/>
        <w:spacing w:line="440" w:lineRule="exact"/>
        <w:ind w:left="559" w:hanging="559" w:hangingChars="233"/>
        <w:rPr>
          <w:rFonts w:hint="eastAsia" w:hAnsi="宋体" w:cs="宋体"/>
          <w:color w:val="auto"/>
          <w:sz w:val="24"/>
          <w:highlight w:val="none"/>
        </w:rPr>
      </w:pPr>
      <w:r>
        <w:rPr>
          <w:rFonts w:hint="eastAsia" w:hAnsi="宋体" w:cs="宋体"/>
          <w:color w:val="auto"/>
          <w:sz w:val="24"/>
          <w:highlight w:val="none"/>
          <w:u w:val="single"/>
        </w:rPr>
        <w:t>衢州广泽商务秘书有限责任公司</w:t>
      </w:r>
    </w:p>
    <w:p>
      <w:pPr>
        <w:autoSpaceDE w:val="0"/>
        <w:autoSpaceDN w:val="0"/>
        <w:adjustRightInd w:val="0"/>
        <w:spacing w:line="440" w:lineRule="exact"/>
        <w:ind w:left="0" w:firstLine="526" w:firstLineChars="200"/>
        <w:rPr>
          <w:rFonts w:hint="eastAsia" w:ascii="宋体" w:hAnsi="宋体" w:cs="宋体"/>
          <w:color w:val="auto"/>
          <w:spacing w:val="11"/>
          <w:sz w:val="24"/>
          <w:highlight w:val="none"/>
          <w:lang w:val="zh-CN"/>
        </w:rPr>
      </w:pPr>
      <w:r>
        <w:rPr>
          <w:rFonts w:hint="eastAsia" w:ascii="宋体" w:hAnsi="宋体" w:cs="宋体"/>
          <w:b/>
          <w:color w:val="auto"/>
          <w:spacing w:val="11"/>
          <w:sz w:val="24"/>
          <w:highlight w:val="none"/>
          <w:u w:val="single"/>
          <w:lang w:val="zh-CN"/>
        </w:rPr>
        <w:t xml:space="preserve">           </w:t>
      </w:r>
      <w:r>
        <w:rPr>
          <w:rFonts w:hint="eastAsia" w:ascii="宋体" w:hAnsi="宋体" w:cs="宋体"/>
          <w:color w:val="auto"/>
          <w:spacing w:val="11"/>
          <w:sz w:val="24"/>
          <w:highlight w:val="none"/>
          <w:u w:val="single"/>
          <w:lang w:val="zh-CN"/>
        </w:rPr>
        <w:t xml:space="preserve">     </w:t>
      </w:r>
      <w:r>
        <w:rPr>
          <w:rFonts w:hint="eastAsia" w:ascii="宋体" w:hAnsi="宋体" w:cs="宋体"/>
          <w:color w:val="auto"/>
          <w:spacing w:val="11"/>
          <w:sz w:val="24"/>
          <w:highlight w:val="none"/>
          <w:lang w:val="zh-CN"/>
        </w:rPr>
        <w:t>（供应商全称）授权</w:t>
      </w:r>
      <w:r>
        <w:rPr>
          <w:rFonts w:hint="eastAsia" w:ascii="宋体" w:hAnsi="宋体" w:cs="宋体"/>
          <w:color w:val="auto"/>
          <w:spacing w:val="11"/>
          <w:sz w:val="24"/>
          <w:highlight w:val="none"/>
          <w:u w:val="single"/>
          <w:lang w:val="zh-CN"/>
        </w:rPr>
        <w:t xml:space="preserve">      </w:t>
      </w:r>
      <w:r>
        <w:rPr>
          <w:rFonts w:hint="eastAsia" w:ascii="宋体" w:hAnsi="宋体" w:cs="宋体"/>
          <w:color w:val="auto"/>
          <w:spacing w:val="11"/>
          <w:sz w:val="24"/>
          <w:highlight w:val="none"/>
          <w:lang w:val="zh-CN"/>
        </w:rPr>
        <w:t xml:space="preserve"> （授权代表名称）</w:t>
      </w:r>
      <w:r>
        <w:rPr>
          <w:rFonts w:hint="eastAsia" w:ascii="宋体" w:hAnsi="宋体" w:cs="宋体"/>
          <w:color w:val="auto"/>
          <w:spacing w:val="11"/>
          <w:sz w:val="24"/>
          <w:highlight w:val="none"/>
          <w:u w:val="single"/>
          <w:lang w:val="zh-CN"/>
        </w:rPr>
        <w:t xml:space="preserve"> </w:t>
      </w:r>
      <w:r>
        <w:rPr>
          <w:rFonts w:hint="eastAsia" w:ascii="宋体" w:hAnsi="宋体" w:cs="宋体"/>
          <w:color w:val="auto"/>
          <w:spacing w:val="11"/>
          <w:sz w:val="24"/>
          <w:highlight w:val="none"/>
          <w:u w:val="single"/>
        </w:rPr>
        <w:t xml:space="preserve"> </w:t>
      </w:r>
      <w:r>
        <w:rPr>
          <w:rFonts w:hint="eastAsia" w:ascii="宋体" w:hAnsi="宋体" w:cs="宋体"/>
          <w:color w:val="auto"/>
          <w:spacing w:val="11"/>
          <w:sz w:val="24"/>
          <w:highlight w:val="none"/>
          <w:u w:val="single"/>
          <w:lang w:val="zh-CN"/>
        </w:rPr>
        <w:t xml:space="preserve">   （职务、职称）</w:t>
      </w:r>
      <w:r>
        <w:rPr>
          <w:rFonts w:hint="eastAsia" w:ascii="宋体" w:hAnsi="宋体" w:cs="宋体"/>
          <w:color w:val="auto"/>
          <w:spacing w:val="11"/>
          <w:sz w:val="24"/>
          <w:highlight w:val="none"/>
          <w:lang w:val="zh-CN"/>
        </w:rPr>
        <w:t>为授权代表，参加贵方组织的</w:t>
      </w:r>
      <w:r>
        <w:rPr>
          <w:rFonts w:hint="eastAsia" w:ascii="宋体" w:hAnsi="宋体" w:cs="宋体"/>
          <w:color w:val="auto"/>
          <w:spacing w:val="11"/>
          <w:sz w:val="24"/>
          <w:highlight w:val="none"/>
          <w:u w:val="single"/>
          <w:lang w:val="zh-CN"/>
        </w:rPr>
        <w:t xml:space="preserve">    </w:t>
      </w:r>
      <w:r>
        <w:rPr>
          <w:rFonts w:hint="eastAsia" w:ascii="宋体" w:hAnsi="宋体" w:cs="宋体"/>
          <w:color w:val="auto"/>
          <w:spacing w:val="11"/>
          <w:sz w:val="24"/>
          <w:highlight w:val="none"/>
          <w:u w:val="single"/>
        </w:rPr>
        <w:t xml:space="preserve">                </w:t>
      </w:r>
      <w:r>
        <w:rPr>
          <w:rFonts w:hint="eastAsia" w:ascii="宋体" w:hAnsi="宋体" w:cs="宋体"/>
          <w:color w:val="auto"/>
          <w:spacing w:val="11"/>
          <w:sz w:val="24"/>
          <w:highlight w:val="none"/>
          <w:lang w:val="zh-CN"/>
        </w:rPr>
        <w:t>（项目名称）的有关活动，并对本项目全部进行报价。为此，签字代表宣布同意如下：</w:t>
      </w:r>
    </w:p>
    <w:p>
      <w:pPr>
        <w:spacing w:line="44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1.提供磋商须知规定的全部报价文件：报价文件（电子加密磋商响应报价文件、以邮件形式发送的备份磋商响应报价文件）。</w:t>
      </w:r>
    </w:p>
    <w:p>
      <w:pPr>
        <w:pStyle w:val="8"/>
        <w:spacing w:line="440" w:lineRule="exact"/>
        <w:ind w:left="0" w:firstLine="480" w:firstLineChars="200"/>
        <w:rPr>
          <w:rFonts w:hint="eastAsia" w:hAnsi="宋体" w:cs="宋体"/>
          <w:color w:val="auto"/>
          <w:sz w:val="24"/>
          <w:highlight w:val="none"/>
        </w:rPr>
      </w:pPr>
      <w:r>
        <w:rPr>
          <w:rFonts w:hint="eastAsia" w:hAnsi="宋体" w:cs="宋体"/>
          <w:color w:val="auto"/>
          <w:sz w:val="24"/>
          <w:highlight w:val="none"/>
        </w:rPr>
        <w:t>2.我方已详细审查全部“竞争性磋商文件”，包括修改文件（如有的话）以及全部参考资料和有关附件，我方完全理解并接受竞争性磋商文件的各项规定和要求，对竞争性磋商文件的合理性、合法性不再有异议。</w:t>
      </w:r>
    </w:p>
    <w:p>
      <w:pPr>
        <w:pStyle w:val="8"/>
        <w:spacing w:line="440" w:lineRule="exact"/>
        <w:ind w:left="0" w:firstLine="480" w:firstLineChars="200"/>
        <w:rPr>
          <w:rFonts w:hint="eastAsia" w:hAnsi="宋体" w:cs="宋体"/>
          <w:color w:val="auto"/>
          <w:sz w:val="24"/>
          <w:highlight w:val="none"/>
        </w:rPr>
      </w:pPr>
      <w:r>
        <w:rPr>
          <w:rFonts w:hint="eastAsia" w:hAnsi="宋体" w:cs="宋体"/>
          <w:color w:val="auto"/>
          <w:sz w:val="24"/>
          <w:highlight w:val="none"/>
        </w:rPr>
        <w:t>3.我方没有被本项目所在地的政府采购管理部门限制参加报价。</w:t>
      </w:r>
    </w:p>
    <w:p>
      <w:pPr>
        <w:pStyle w:val="8"/>
        <w:spacing w:line="440" w:lineRule="exact"/>
        <w:ind w:left="0" w:firstLine="480" w:firstLineChars="200"/>
        <w:rPr>
          <w:rFonts w:hint="eastAsia" w:hAnsi="宋体" w:cs="宋体"/>
          <w:color w:val="auto"/>
          <w:sz w:val="24"/>
          <w:highlight w:val="none"/>
        </w:rPr>
      </w:pPr>
      <w:r>
        <w:rPr>
          <w:rFonts w:hint="eastAsia" w:hAnsi="宋体" w:cs="宋体"/>
          <w:color w:val="auto"/>
          <w:sz w:val="24"/>
          <w:highlight w:val="none"/>
        </w:rPr>
        <w:t>4.如成交，我方保证按竞争性磋商文件、成交通知书、本磋商响应文件及政府采购法律法规的规定履行合同责任和义务。</w:t>
      </w:r>
    </w:p>
    <w:p>
      <w:pPr>
        <w:pStyle w:val="8"/>
        <w:spacing w:line="440" w:lineRule="exact"/>
        <w:ind w:left="0" w:firstLine="480" w:firstLineChars="200"/>
        <w:rPr>
          <w:rFonts w:hint="eastAsia" w:hAnsi="宋体" w:cs="宋体"/>
          <w:color w:val="auto"/>
          <w:sz w:val="24"/>
          <w:highlight w:val="none"/>
        </w:rPr>
      </w:pPr>
      <w:r>
        <w:rPr>
          <w:rFonts w:hint="eastAsia" w:hAnsi="宋体" w:cs="宋体"/>
          <w:color w:val="auto"/>
          <w:sz w:val="24"/>
          <w:highlight w:val="none"/>
        </w:rPr>
        <w:t>5.我方同意所递交的磋商响应文件在“磋商须知前附表”规定的磋商有效期内有效，在此期间内我方有可能成交，我方将受此约束。</w:t>
      </w:r>
    </w:p>
    <w:p>
      <w:pPr>
        <w:pStyle w:val="8"/>
        <w:spacing w:line="440" w:lineRule="exact"/>
        <w:ind w:left="0" w:firstLine="480" w:firstLineChars="200"/>
        <w:rPr>
          <w:rFonts w:hint="eastAsia" w:hAnsi="宋体" w:cs="宋体"/>
          <w:color w:val="auto"/>
          <w:sz w:val="24"/>
          <w:highlight w:val="none"/>
        </w:rPr>
      </w:pPr>
      <w:r>
        <w:rPr>
          <w:rFonts w:hint="eastAsia" w:hAnsi="宋体" w:cs="宋体"/>
          <w:color w:val="auto"/>
          <w:sz w:val="24"/>
          <w:highlight w:val="none"/>
        </w:rPr>
        <w:t>6.除非另外达成协议并生效，贵方的成交通知书和本磋商响应文件将成为约束我们双方的合同文件组成部分。</w:t>
      </w:r>
    </w:p>
    <w:p>
      <w:pPr>
        <w:pStyle w:val="8"/>
        <w:spacing w:line="440" w:lineRule="exact"/>
        <w:ind w:left="0" w:firstLine="480" w:firstLineChars="200"/>
        <w:rPr>
          <w:rFonts w:hint="eastAsia" w:hAnsi="宋体" w:cs="宋体"/>
          <w:color w:val="auto"/>
          <w:sz w:val="24"/>
          <w:highlight w:val="none"/>
        </w:rPr>
      </w:pPr>
      <w:r>
        <w:rPr>
          <w:rFonts w:hint="eastAsia" w:hAnsi="宋体" w:cs="宋体"/>
          <w:color w:val="auto"/>
          <w:sz w:val="24"/>
          <w:highlight w:val="none"/>
        </w:rPr>
        <w:t>7.兹证明上述声明是真实的、正确的，并提供了全部能提供的资料和数据，我们同意遵照贵方要求出示有关证明文件。</w:t>
      </w:r>
    </w:p>
    <w:p>
      <w:pPr>
        <w:pStyle w:val="8"/>
        <w:spacing w:line="440" w:lineRule="exact"/>
        <w:ind w:left="0" w:firstLine="480" w:firstLineChars="200"/>
        <w:rPr>
          <w:rFonts w:hint="eastAsia" w:hAnsi="宋体" w:cs="宋体"/>
          <w:color w:val="auto"/>
          <w:sz w:val="24"/>
          <w:highlight w:val="none"/>
        </w:rPr>
      </w:pPr>
      <w:r>
        <w:rPr>
          <w:rFonts w:hint="eastAsia" w:hAnsi="宋体" w:cs="宋体"/>
          <w:color w:val="auto"/>
          <w:sz w:val="24"/>
          <w:highlight w:val="none"/>
        </w:rPr>
        <w:t>8.以上事项如有虚假或隐瞒，我方愿意承担一切后果，并不再寻求任何旨在减轻或免除法律责任的辩解。</w:t>
      </w:r>
    </w:p>
    <w:p>
      <w:pPr>
        <w:pStyle w:val="8"/>
        <w:spacing w:line="440" w:lineRule="exact"/>
        <w:ind w:left="0" w:firstLine="480" w:firstLineChars="200"/>
        <w:rPr>
          <w:rFonts w:hint="eastAsia" w:hAnsi="宋体" w:cs="宋体"/>
          <w:color w:val="auto"/>
          <w:sz w:val="24"/>
          <w:highlight w:val="none"/>
        </w:rPr>
      </w:pPr>
      <w:r>
        <w:rPr>
          <w:rFonts w:hint="eastAsia" w:hAnsi="宋体" w:cs="宋体"/>
          <w:color w:val="auto"/>
          <w:sz w:val="24"/>
          <w:highlight w:val="none"/>
        </w:rPr>
        <w:t>9.与本磋商有关的一切正式往来信函请寄：</w:t>
      </w:r>
    </w:p>
    <w:p>
      <w:pPr>
        <w:pStyle w:val="8"/>
        <w:spacing w:line="440" w:lineRule="exact"/>
        <w:ind w:left="0" w:firstLine="480" w:firstLineChars="200"/>
        <w:rPr>
          <w:rFonts w:hint="eastAsia" w:hAnsi="宋体" w:cs="宋体"/>
          <w:color w:val="auto"/>
          <w:sz w:val="24"/>
          <w:highlight w:val="none"/>
        </w:rPr>
      </w:pPr>
      <w:r>
        <w:rPr>
          <w:rFonts w:hint="eastAsia" w:hAnsi="宋体" w:cs="宋体"/>
          <w:color w:val="auto"/>
          <w:sz w:val="24"/>
          <w:highlight w:val="none"/>
        </w:rPr>
        <w:t>地址：</w:t>
      </w:r>
      <w:r>
        <w:rPr>
          <w:rFonts w:hint="eastAsia" w:hAnsi="宋体" w:cs="宋体"/>
          <w:color w:val="auto"/>
          <w:sz w:val="24"/>
          <w:highlight w:val="none"/>
          <w:u w:val="single"/>
        </w:rPr>
        <w:t xml:space="preserve">                    </w:t>
      </w:r>
      <w:r>
        <w:rPr>
          <w:rFonts w:hint="eastAsia" w:hAnsi="宋体" w:cs="宋体"/>
          <w:color w:val="auto"/>
          <w:sz w:val="24"/>
          <w:highlight w:val="none"/>
        </w:rPr>
        <w:t xml:space="preserve">           邮编：</w:t>
      </w:r>
      <w:r>
        <w:rPr>
          <w:rFonts w:hint="eastAsia" w:hAnsi="宋体" w:cs="宋体"/>
          <w:color w:val="auto"/>
          <w:sz w:val="24"/>
          <w:highlight w:val="none"/>
          <w:u w:val="single"/>
        </w:rPr>
        <w:t xml:space="preserve">                  </w:t>
      </w:r>
    </w:p>
    <w:p>
      <w:pPr>
        <w:pStyle w:val="8"/>
        <w:spacing w:line="440" w:lineRule="exact"/>
        <w:ind w:left="0" w:firstLine="480" w:firstLineChars="200"/>
        <w:rPr>
          <w:rFonts w:hAnsi="宋体" w:cs="宋体"/>
          <w:color w:val="auto"/>
          <w:sz w:val="24"/>
          <w:highlight w:val="none"/>
        </w:rPr>
      </w:pPr>
      <w:r>
        <w:rPr>
          <w:rFonts w:hint="eastAsia" w:hAnsi="宋体" w:cs="宋体"/>
          <w:color w:val="auto"/>
          <w:sz w:val="24"/>
          <w:highlight w:val="none"/>
        </w:rPr>
        <w:t>电话：</w:t>
      </w:r>
      <w:r>
        <w:rPr>
          <w:rFonts w:hint="eastAsia" w:hAnsi="宋体" w:cs="宋体"/>
          <w:color w:val="auto"/>
          <w:sz w:val="24"/>
          <w:highlight w:val="none"/>
          <w:u w:val="single"/>
        </w:rPr>
        <w:t xml:space="preserve">                    </w:t>
      </w:r>
      <w:r>
        <w:rPr>
          <w:rFonts w:hint="eastAsia" w:hAnsi="宋体" w:cs="宋体"/>
          <w:color w:val="auto"/>
          <w:sz w:val="24"/>
          <w:highlight w:val="none"/>
        </w:rPr>
        <w:t xml:space="preserve">           传真：</w:t>
      </w:r>
      <w:r>
        <w:rPr>
          <w:rFonts w:hint="eastAsia" w:hAnsi="宋体" w:cs="宋体"/>
          <w:color w:val="auto"/>
          <w:sz w:val="24"/>
          <w:highlight w:val="none"/>
          <w:u w:val="single"/>
        </w:rPr>
        <w:t xml:space="preserve">                  </w:t>
      </w:r>
    </w:p>
    <w:p>
      <w:pPr>
        <w:pStyle w:val="8"/>
        <w:spacing w:line="440" w:lineRule="exact"/>
        <w:ind w:left="0" w:firstLine="480" w:firstLineChars="200"/>
        <w:rPr>
          <w:rFonts w:hint="eastAsia" w:hAnsi="宋体" w:cs="宋体"/>
          <w:color w:val="auto"/>
          <w:sz w:val="24"/>
          <w:highlight w:val="none"/>
        </w:rPr>
      </w:pPr>
      <w:r>
        <w:rPr>
          <w:rFonts w:hint="eastAsia" w:hAnsi="宋体" w:cs="宋体"/>
          <w:color w:val="auto"/>
          <w:sz w:val="24"/>
          <w:highlight w:val="none"/>
        </w:rPr>
        <w:t>开户银行：</w:t>
      </w:r>
      <w:r>
        <w:rPr>
          <w:rFonts w:hint="eastAsia" w:hAnsi="宋体" w:cs="宋体"/>
          <w:color w:val="auto"/>
          <w:sz w:val="24"/>
          <w:highlight w:val="none"/>
          <w:u w:val="single"/>
        </w:rPr>
        <w:t xml:space="preserve">                </w:t>
      </w:r>
      <w:r>
        <w:rPr>
          <w:rFonts w:hint="eastAsia" w:hAnsi="宋体" w:cs="宋体"/>
          <w:color w:val="auto"/>
          <w:sz w:val="24"/>
          <w:highlight w:val="none"/>
        </w:rPr>
        <w:t xml:space="preserve">           银行账号：</w:t>
      </w:r>
      <w:r>
        <w:rPr>
          <w:rFonts w:hint="eastAsia" w:hAnsi="宋体" w:cs="宋体"/>
          <w:color w:val="auto"/>
          <w:sz w:val="24"/>
          <w:highlight w:val="none"/>
          <w:u w:val="single"/>
        </w:rPr>
        <w:t xml:space="preserve">              </w:t>
      </w:r>
    </w:p>
    <w:p>
      <w:pPr>
        <w:ind w:firstLine="0"/>
        <w:jc w:val="right"/>
        <w:rPr>
          <w:rFonts w:hint="eastAsia" w:ascii="宋体" w:hAnsi="宋体" w:cs="宋体"/>
          <w:color w:val="auto"/>
          <w:sz w:val="24"/>
          <w:highlight w:val="none"/>
        </w:rPr>
      </w:pPr>
    </w:p>
    <w:p>
      <w:pPr>
        <w:ind w:firstLine="0"/>
        <w:jc w:val="right"/>
        <w:rPr>
          <w:rFonts w:hint="eastAsia" w:ascii="宋体" w:hAnsi="宋体" w:cs="宋体"/>
          <w:color w:val="auto"/>
          <w:sz w:val="24"/>
          <w:highlight w:val="none"/>
        </w:rPr>
      </w:pPr>
      <w:r>
        <w:rPr>
          <w:rFonts w:hint="eastAsia" w:ascii="宋体" w:hAnsi="宋体" w:cs="宋体"/>
          <w:color w:val="auto"/>
          <w:sz w:val="24"/>
          <w:highlight w:val="none"/>
        </w:rPr>
        <w:t>磋商响应人名称：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（电子签章）</w:t>
      </w:r>
    </w:p>
    <w:p>
      <w:pPr>
        <w:pStyle w:val="8"/>
        <w:ind w:left="0" w:firstLine="3600" w:firstLineChars="1500"/>
        <w:rPr>
          <w:rFonts w:hint="eastAsia" w:hAnsi="宋体" w:cs="宋体"/>
          <w:color w:val="auto"/>
          <w:sz w:val="24"/>
          <w:highlight w:val="none"/>
        </w:rPr>
      </w:pPr>
      <w:r>
        <w:rPr>
          <w:rFonts w:hint="eastAsia" w:hAnsi="宋体" w:cs="宋体"/>
          <w:color w:val="auto"/>
          <w:sz w:val="24"/>
          <w:highlight w:val="none"/>
        </w:rPr>
        <w:t>日   期：</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pPr>
        <w:pStyle w:val="8"/>
        <w:spacing w:line="0" w:lineRule="atLeast"/>
        <w:ind w:left="0" w:firstLine="0"/>
        <w:rPr>
          <w:rFonts w:hint="eastAsia" w:hAnsi="宋体" w:cs="宋体"/>
          <w:b/>
          <w:bCs/>
          <w:color w:val="auto"/>
          <w:sz w:val="32"/>
          <w:highlight w:val="none"/>
        </w:rPr>
      </w:pPr>
      <w:r>
        <w:rPr>
          <w:rFonts w:hint="eastAsia" w:hAnsi="宋体" w:cs="宋体"/>
          <w:b/>
          <w:bCs/>
          <w:color w:val="auto"/>
          <w:sz w:val="32"/>
          <w:highlight w:val="none"/>
        </w:rPr>
        <w:br w:type="page"/>
      </w:r>
    </w:p>
    <w:p>
      <w:pPr>
        <w:pStyle w:val="8"/>
        <w:ind w:left="0" w:firstLine="0"/>
        <w:rPr>
          <w:rFonts w:hint="eastAsia" w:hAnsi="宋体" w:cs="宋体"/>
          <w:b/>
          <w:bCs/>
          <w:color w:val="auto"/>
          <w:sz w:val="32"/>
          <w:highlight w:val="none"/>
        </w:rPr>
      </w:pPr>
      <w:r>
        <w:rPr>
          <w:rFonts w:hint="eastAsia" w:hAnsi="宋体" w:cs="宋体"/>
          <w:b/>
          <w:bCs/>
          <w:color w:val="auto"/>
          <w:sz w:val="24"/>
          <w:szCs w:val="16"/>
          <w:highlight w:val="none"/>
        </w:rPr>
        <w:t>格式3.3：开标一览表（磋商初次报价）</w:t>
      </w:r>
    </w:p>
    <w:p>
      <w:pPr>
        <w:pStyle w:val="8"/>
        <w:spacing w:line="400" w:lineRule="atLeast"/>
        <w:ind w:left="0" w:firstLine="0"/>
        <w:jc w:val="center"/>
        <w:rPr>
          <w:rFonts w:hint="eastAsia" w:hAnsi="宋体" w:cs="宋体"/>
          <w:b/>
          <w:bCs/>
          <w:color w:val="auto"/>
          <w:sz w:val="36"/>
          <w:szCs w:val="36"/>
          <w:highlight w:val="none"/>
        </w:rPr>
      </w:pPr>
      <w:bookmarkStart w:id="233" w:name="_Toc3312"/>
      <w:bookmarkStart w:id="234" w:name="_Toc51872146"/>
      <w:r>
        <w:rPr>
          <w:rFonts w:hint="eastAsia" w:hAnsi="宋体" w:cs="宋体"/>
          <w:b/>
          <w:bCs/>
          <w:color w:val="auto"/>
          <w:sz w:val="36"/>
          <w:szCs w:val="36"/>
          <w:highlight w:val="none"/>
        </w:rPr>
        <w:t>报价一览表（磋商初次报价）</w:t>
      </w:r>
      <w:bookmarkEnd w:id="233"/>
      <w:bookmarkEnd w:id="234"/>
    </w:p>
    <w:p>
      <w:pPr>
        <w:tabs>
          <w:tab w:val="left" w:pos="2911"/>
          <w:tab w:val="center" w:pos="4216"/>
        </w:tabs>
        <w:rPr>
          <w:rFonts w:hint="eastAsia" w:ascii="宋体" w:hAnsi="宋体" w:cs="宋体"/>
          <w:color w:val="auto"/>
          <w:highlight w:val="none"/>
        </w:rPr>
      </w:pPr>
      <w:r>
        <w:rPr>
          <w:rFonts w:hint="eastAsia" w:ascii="宋体" w:hAnsi="宋体" w:cs="宋体"/>
          <w:b/>
          <w:bCs/>
          <w:color w:val="auto"/>
          <w:sz w:val="24"/>
          <w:szCs w:val="24"/>
          <w:highlight w:val="none"/>
        </w:rPr>
        <w:t xml:space="preserve">项目名称：                                </w:t>
      </w:r>
      <w:r>
        <w:rPr>
          <w:rFonts w:hint="eastAsia" w:ascii="宋体" w:hAnsi="宋体" w:cs="宋体"/>
          <w:b/>
          <w:color w:val="auto"/>
          <w:sz w:val="24"/>
          <w:szCs w:val="24"/>
          <w:highlight w:val="none"/>
        </w:rPr>
        <w:t>项目编号：</w:t>
      </w:r>
      <w:r>
        <w:rPr>
          <w:rFonts w:hint="eastAsia" w:ascii="宋体" w:hAnsi="宋体" w:cs="宋体"/>
          <w:b/>
          <w:color w:val="auto"/>
          <w:sz w:val="28"/>
          <w:szCs w:val="28"/>
          <w:highlight w:val="none"/>
        </w:rPr>
        <w:t xml:space="preserve">  </w:t>
      </w:r>
      <w:r>
        <w:rPr>
          <w:rFonts w:hint="eastAsia" w:ascii="宋体" w:hAnsi="宋体" w:cs="宋体"/>
          <w:color w:val="auto"/>
          <w:highlight w:val="none"/>
        </w:rPr>
        <w:t xml:space="preserve">            </w:t>
      </w:r>
    </w:p>
    <w:tbl>
      <w:tblPr>
        <w:tblStyle w:val="1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2"/>
        <w:gridCol w:w="5042"/>
        <w:gridCol w:w="26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jc w:val="center"/>
        </w:trPr>
        <w:tc>
          <w:tcPr>
            <w:tcW w:w="992"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0" w:lineRule="atLeast"/>
              <w:ind w:left="0" w:firstLine="0"/>
              <w:jc w:val="center"/>
              <w:rPr>
                <w:rFonts w:ascii="宋体" w:hAnsi="宋体" w:cs="宋体"/>
                <w:b/>
                <w:color w:val="auto"/>
                <w:sz w:val="24"/>
                <w:highlight w:val="none"/>
                <w:lang w:val="zh-CN"/>
              </w:rPr>
            </w:pPr>
            <w:r>
              <w:rPr>
                <w:rFonts w:hint="eastAsia" w:ascii="宋体" w:hAnsi="宋体" w:cs="宋体"/>
                <w:b/>
                <w:color w:val="auto"/>
                <w:sz w:val="24"/>
                <w:highlight w:val="none"/>
                <w:lang w:val="zh-CN"/>
              </w:rPr>
              <w:t>序号</w:t>
            </w:r>
          </w:p>
        </w:tc>
        <w:tc>
          <w:tcPr>
            <w:tcW w:w="5042"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0" w:lineRule="atLeast"/>
              <w:ind w:left="0" w:firstLine="0"/>
              <w:jc w:val="center"/>
              <w:rPr>
                <w:rFonts w:ascii="宋体" w:hAnsi="宋体" w:cs="宋体"/>
                <w:b/>
                <w:color w:val="auto"/>
                <w:sz w:val="24"/>
                <w:highlight w:val="none"/>
                <w:lang w:val="zh-CN"/>
              </w:rPr>
            </w:pPr>
            <w:r>
              <w:rPr>
                <w:rFonts w:hint="eastAsia" w:ascii="宋体" w:hAnsi="宋体" w:cs="宋体"/>
                <w:b/>
                <w:color w:val="auto"/>
                <w:sz w:val="24"/>
                <w:highlight w:val="none"/>
                <w:lang w:val="zh-CN"/>
              </w:rPr>
              <w:t>项目</w:t>
            </w:r>
          </w:p>
        </w:tc>
        <w:tc>
          <w:tcPr>
            <w:tcW w:w="2625"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0" w:lineRule="atLeast"/>
              <w:ind w:left="0" w:firstLine="0"/>
              <w:jc w:val="center"/>
              <w:rPr>
                <w:rFonts w:ascii="宋体" w:hAnsi="宋体" w:cs="宋体"/>
                <w:b/>
                <w:color w:val="auto"/>
                <w:sz w:val="24"/>
                <w:highlight w:val="none"/>
              </w:rPr>
            </w:pPr>
            <w:r>
              <w:rPr>
                <w:rFonts w:hint="eastAsia" w:ascii="宋体" w:hAnsi="宋体" w:cs="宋体"/>
                <w:b/>
                <w:color w:val="auto"/>
                <w:sz w:val="24"/>
                <w:highlight w:val="none"/>
              </w:rPr>
              <w:t>投标报价（元）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0" w:hRule="atLeast"/>
          <w:jc w:val="center"/>
        </w:trPr>
        <w:tc>
          <w:tcPr>
            <w:tcW w:w="992"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0" w:lineRule="atLeast"/>
              <w:ind w:left="0" w:firstLine="0"/>
              <w:jc w:val="center"/>
              <w:rPr>
                <w:rFonts w:ascii="宋体" w:hAnsi="宋体" w:cs="宋体"/>
                <w:color w:val="auto"/>
                <w:sz w:val="24"/>
                <w:highlight w:val="none"/>
                <w:lang w:val="zh-CN"/>
              </w:rPr>
            </w:pPr>
            <w:r>
              <w:rPr>
                <w:rFonts w:hint="eastAsia" w:ascii="宋体" w:hAnsi="宋体" w:cs="宋体"/>
                <w:color w:val="auto"/>
                <w:sz w:val="24"/>
                <w:highlight w:val="none"/>
              </w:rPr>
              <w:t>1</w:t>
            </w:r>
          </w:p>
        </w:tc>
        <w:tc>
          <w:tcPr>
            <w:tcW w:w="5042"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0" w:lineRule="atLeast"/>
              <w:ind w:left="0" w:firstLine="0"/>
              <w:jc w:val="center"/>
              <w:rPr>
                <w:rFonts w:ascii="宋体" w:hAnsi="宋体" w:cs="宋体"/>
                <w:color w:val="auto"/>
                <w:sz w:val="24"/>
                <w:highlight w:val="none"/>
                <w:lang w:val="zh-CN"/>
              </w:rPr>
            </w:pPr>
          </w:p>
        </w:tc>
        <w:tc>
          <w:tcPr>
            <w:tcW w:w="2625"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0" w:lineRule="atLeast"/>
              <w:ind w:left="0" w:firstLine="0"/>
              <w:jc w:val="center"/>
              <w:rPr>
                <w:rFonts w:ascii="宋体" w:hAnsi="宋体" w:cs="宋体"/>
                <w:color w:val="auto"/>
                <w:sz w:val="24"/>
                <w:highlight w:val="none"/>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5" w:hRule="atLeast"/>
          <w:jc w:val="center"/>
        </w:trPr>
        <w:tc>
          <w:tcPr>
            <w:tcW w:w="8659" w:type="dxa"/>
            <w:gridSpan w:val="3"/>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0" w:lineRule="atLeast"/>
              <w:ind w:left="0" w:firstLine="0"/>
              <w:rPr>
                <w:rFonts w:ascii="宋体" w:hAnsi="宋体" w:cs="宋体"/>
                <w:color w:val="auto"/>
                <w:sz w:val="24"/>
                <w:highlight w:val="none"/>
                <w:u w:val="single"/>
                <w:lang w:val="zh-CN"/>
              </w:rPr>
            </w:pPr>
            <w:r>
              <w:rPr>
                <w:rFonts w:hint="eastAsia" w:ascii="宋体" w:hAnsi="宋体" w:cs="宋体"/>
                <w:color w:val="auto"/>
                <w:sz w:val="24"/>
                <w:highlight w:val="none"/>
                <w:lang w:val="zh-CN"/>
              </w:rPr>
              <w:t>大写：</w:t>
            </w:r>
            <w:r>
              <w:rPr>
                <w:rFonts w:hint="eastAsia" w:ascii="宋体" w:hAnsi="宋体" w:cs="宋体"/>
                <w:color w:val="auto"/>
                <w:sz w:val="24"/>
                <w:highlight w:val="none"/>
              </w:rPr>
              <w:t>人民币</w:t>
            </w:r>
            <w:r>
              <w:rPr>
                <w:rFonts w:hint="eastAsia" w:ascii="宋体" w:hAnsi="宋体" w:cs="宋体"/>
                <w:color w:val="auto"/>
                <w:sz w:val="24"/>
                <w:highlight w:val="none"/>
                <w:u w:val="single"/>
                <w:lang w:val="zh-CN"/>
              </w:rPr>
              <w:t xml:space="preserve">                        </w:t>
            </w:r>
          </w:p>
        </w:tc>
      </w:tr>
    </w:tbl>
    <w:p>
      <w:pPr>
        <w:autoSpaceDE w:val="0"/>
        <w:autoSpaceDN w:val="0"/>
        <w:ind w:left="0" w:firstLine="482" w:firstLineChars="200"/>
        <w:jc w:val="left"/>
        <w:rPr>
          <w:rFonts w:hint="eastAsia"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rPr>
        <w:t>不提</w:t>
      </w:r>
      <w:r>
        <w:rPr>
          <w:rFonts w:hint="eastAsia" w:ascii="宋体" w:hAnsi="宋体" w:cs="宋体"/>
          <w:color w:val="auto"/>
          <w:sz w:val="24"/>
          <w:highlight w:val="none"/>
        </w:rPr>
        <w:t>供此表格将被视为没有实质性响应竞争性磋商文件，其响应文件将被拒绝。</w:t>
      </w:r>
    </w:p>
    <w:p>
      <w:p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.投标报价超过最高限价的，视为无效标处理。</w:t>
      </w:r>
    </w:p>
    <w:p>
      <w:pPr>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.此表在不改变格式的情况下，可自行制作。</w:t>
      </w:r>
    </w:p>
    <w:p>
      <w:pPr>
        <w:spacing w:line="360" w:lineRule="exact"/>
        <w:ind w:left="0" w:firstLine="420" w:firstLineChars="200"/>
        <w:rPr>
          <w:rFonts w:hint="eastAsia" w:ascii="宋体" w:hAnsi="宋体" w:cs="宋体"/>
          <w:color w:val="auto"/>
          <w:szCs w:val="21"/>
          <w:highlight w:val="none"/>
        </w:rPr>
      </w:pPr>
    </w:p>
    <w:p>
      <w:pPr>
        <w:spacing w:line="800" w:lineRule="exact"/>
        <w:ind w:left="559" w:hanging="559" w:hangingChars="232"/>
        <w:rPr>
          <w:rFonts w:hint="eastAsia" w:ascii="宋体" w:hAnsi="宋体" w:cs="宋体"/>
          <w:b/>
          <w:bCs/>
          <w:color w:val="auto"/>
          <w:sz w:val="24"/>
          <w:highlight w:val="none"/>
        </w:rPr>
      </w:pPr>
    </w:p>
    <w:p>
      <w:pPr>
        <w:spacing w:line="800" w:lineRule="exact"/>
        <w:ind w:left="0" w:firstLine="2650" w:firstLineChars="1100"/>
        <w:rPr>
          <w:rFonts w:hint="eastAsia" w:ascii="宋体" w:hAnsi="宋体" w:cs="宋体"/>
          <w:b/>
          <w:bCs/>
          <w:color w:val="auto"/>
          <w:sz w:val="24"/>
          <w:highlight w:val="none"/>
        </w:rPr>
      </w:pPr>
      <w:r>
        <w:rPr>
          <w:rFonts w:hint="eastAsia" w:ascii="宋体" w:hAnsi="宋体" w:cs="宋体"/>
          <w:b/>
          <w:bCs/>
          <w:color w:val="auto"/>
          <w:sz w:val="24"/>
          <w:highlight w:val="none"/>
        </w:rPr>
        <w:t>磋商响应人（电子签章）：</w:t>
      </w:r>
    </w:p>
    <w:p>
      <w:pPr>
        <w:spacing w:line="800" w:lineRule="exact"/>
        <w:ind w:left="0" w:firstLine="2650" w:firstLineChars="1100"/>
        <w:rPr>
          <w:rFonts w:hint="eastAsia" w:ascii="宋体" w:hAnsi="宋体" w:cs="宋体"/>
          <w:b/>
          <w:bCs/>
          <w:color w:val="auto"/>
          <w:sz w:val="24"/>
          <w:highlight w:val="none"/>
        </w:rPr>
      </w:pPr>
      <w:r>
        <w:rPr>
          <w:rFonts w:hint="eastAsia" w:ascii="宋体" w:hAnsi="宋体" w:cs="宋体"/>
          <w:b/>
          <w:bCs/>
          <w:color w:val="auto"/>
          <w:sz w:val="24"/>
          <w:highlight w:val="none"/>
        </w:rPr>
        <w:t xml:space="preserve">法定代表人或其授权代表人（签字或盖章）：                                   </w:t>
      </w:r>
    </w:p>
    <w:p>
      <w:pPr>
        <w:spacing w:line="800" w:lineRule="exact"/>
        <w:ind w:left="0" w:firstLine="2650" w:firstLineChars="1100"/>
        <w:rPr>
          <w:rStyle w:val="27"/>
          <w:rFonts w:hint="eastAsia" w:eastAsia="宋体" w:cs="宋体"/>
          <w:color w:val="auto"/>
          <w:highlight w:val="none"/>
        </w:rPr>
      </w:pPr>
      <w:r>
        <w:rPr>
          <w:rFonts w:hint="eastAsia" w:ascii="宋体" w:hAnsi="宋体" w:cs="宋体"/>
          <w:b/>
          <w:bCs/>
          <w:color w:val="auto"/>
          <w:sz w:val="24"/>
          <w:highlight w:val="none"/>
        </w:rPr>
        <w:t>日期：</w:t>
      </w:r>
    </w:p>
    <w:bookmarkEnd w:id="219"/>
    <w:p>
      <w:pPr>
        <w:pStyle w:val="8"/>
        <w:ind w:left="559" w:hanging="558" w:hangingChars="266"/>
        <w:rPr>
          <w:rFonts w:hint="eastAsia" w:hAnsi="宋体" w:cs="宋体"/>
          <w:b/>
          <w:bCs/>
          <w:color w:val="auto"/>
          <w:sz w:val="24"/>
          <w:szCs w:val="16"/>
          <w:highlight w:val="none"/>
        </w:rPr>
      </w:pPr>
      <w:r>
        <w:rPr>
          <w:rFonts w:hint="eastAsia" w:hAnsi="宋体" w:cs="宋体"/>
          <w:color w:val="auto"/>
          <w:highlight w:val="none"/>
        </w:rPr>
        <w:br w:type="page"/>
      </w:r>
      <w:r>
        <w:rPr>
          <w:rFonts w:hint="eastAsia" w:hAnsi="宋体" w:cs="宋体"/>
          <w:b/>
          <w:bCs/>
          <w:color w:val="auto"/>
          <w:sz w:val="24"/>
          <w:szCs w:val="16"/>
          <w:highlight w:val="none"/>
        </w:rPr>
        <w:t>格式3.4：磋商分项报价明细表</w:t>
      </w:r>
    </w:p>
    <w:p>
      <w:pPr>
        <w:pStyle w:val="8"/>
        <w:spacing w:line="400" w:lineRule="atLeast"/>
        <w:ind w:left="0" w:firstLine="0"/>
        <w:jc w:val="center"/>
        <w:rPr>
          <w:rFonts w:hint="eastAsia" w:hAnsi="宋体" w:cs="宋体"/>
          <w:b/>
          <w:bCs/>
          <w:color w:val="auto"/>
          <w:sz w:val="36"/>
          <w:szCs w:val="36"/>
          <w:highlight w:val="none"/>
        </w:rPr>
      </w:pPr>
      <w:r>
        <w:rPr>
          <w:rFonts w:hint="eastAsia" w:hAnsi="宋体" w:cs="宋体"/>
          <w:b/>
          <w:bCs/>
          <w:color w:val="auto"/>
          <w:sz w:val="36"/>
          <w:szCs w:val="36"/>
          <w:highlight w:val="none"/>
        </w:rPr>
        <w:t>磋商分项报价明细表</w:t>
      </w:r>
    </w:p>
    <w:p>
      <w:pPr>
        <w:pStyle w:val="8"/>
        <w:ind w:left="641" w:hanging="641" w:hangingChars="266"/>
        <w:rPr>
          <w:rFonts w:hint="eastAsia" w:hAnsi="宋体" w:cs="宋体"/>
          <w:color w:val="auto"/>
          <w:highlight w:val="none"/>
        </w:rPr>
      </w:pPr>
      <w:r>
        <w:rPr>
          <w:rFonts w:hint="eastAsia" w:hAnsi="宋体" w:cs="宋体"/>
          <w:b/>
          <w:bCs/>
          <w:color w:val="auto"/>
          <w:sz w:val="24"/>
          <w:szCs w:val="16"/>
          <w:highlight w:val="none"/>
        </w:rPr>
        <w:t xml:space="preserve">项目名称：                              项目编号：  </w:t>
      </w:r>
    </w:p>
    <w:tbl>
      <w:tblPr>
        <w:tblStyle w:val="16"/>
        <w:tblW w:w="45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36"/>
        <w:gridCol w:w="1210"/>
        <w:gridCol w:w="752"/>
        <w:gridCol w:w="767"/>
        <w:gridCol w:w="1240"/>
        <w:gridCol w:w="1210"/>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ascii="黑体" w:hAnsi="黑体" w:eastAsia="黑体" w:cs="黑体"/>
                <w:color w:val="auto"/>
                <w:highlight w:val="none"/>
              </w:rPr>
            </w:pPr>
            <w:r>
              <w:rPr>
                <w:rFonts w:hint="eastAsia" w:ascii="黑体" w:hAnsi="黑体" w:eastAsia="黑体" w:cs="黑体"/>
                <w:color w:val="auto"/>
                <w:highlight w:val="none"/>
              </w:rPr>
              <w:t>序号</w:t>
            </w:r>
          </w:p>
        </w:tc>
        <w:tc>
          <w:tcPr>
            <w:tcW w:w="2446"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ascii="黑体" w:hAnsi="黑体" w:eastAsia="黑体" w:cs="黑体"/>
                <w:color w:val="auto"/>
                <w:highlight w:val="none"/>
              </w:rPr>
            </w:pPr>
            <w:r>
              <w:rPr>
                <w:rFonts w:hint="eastAsia" w:ascii="黑体" w:hAnsi="黑体" w:eastAsia="黑体" w:cs="黑体"/>
                <w:color w:val="auto"/>
                <w:highlight w:val="none"/>
              </w:rPr>
              <w:t>内容名称</w:t>
            </w:r>
          </w:p>
        </w:tc>
        <w:tc>
          <w:tcPr>
            <w:tcW w:w="752"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ascii="黑体" w:hAnsi="黑体" w:eastAsia="黑体" w:cs="黑体"/>
                <w:color w:val="auto"/>
                <w:highlight w:val="none"/>
              </w:rPr>
            </w:pPr>
            <w:r>
              <w:rPr>
                <w:rFonts w:hint="eastAsia" w:ascii="黑体" w:hAnsi="黑体" w:eastAsia="黑体" w:cs="黑体"/>
                <w:color w:val="auto"/>
                <w:highlight w:val="none"/>
              </w:rPr>
              <w:t>数量</w:t>
            </w: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ascii="黑体" w:hAnsi="黑体" w:eastAsia="黑体" w:cs="黑体"/>
                <w:color w:val="auto"/>
                <w:highlight w:val="none"/>
              </w:rPr>
            </w:pPr>
            <w:r>
              <w:rPr>
                <w:rFonts w:hint="eastAsia" w:ascii="黑体" w:hAnsi="黑体" w:eastAsia="黑体" w:cs="黑体"/>
                <w:color w:val="auto"/>
                <w:highlight w:val="none"/>
              </w:rPr>
              <w:t>单位</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ascii="黑体" w:hAnsi="黑体" w:eastAsia="黑体" w:cs="黑体"/>
                <w:color w:val="auto"/>
                <w:highlight w:val="none"/>
              </w:rPr>
            </w:pPr>
            <w:r>
              <w:rPr>
                <w:rFonts w:hint="eastAsia" w:ascii="黑体" w:hAnsi="黑体" w:eastAsia="黑体" w:cs="黑体"/>
                <w:color w:val="auto"/>
                <w:highlight w:val="none"/>
              </w:rPr>
              <w:t>单价</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ascii="黑体" w:hAnsi="黑体" w:eastAsia="黑体" w:cs="黑体"/>
                <w:color w:val="auto"/>
                <w:highlight w:val="none"/>
              </w:rPr>
            </w:pPr>
            <w:r>
              <w:rPr>
                <w:rFonts w:hint="eastAsia" w:ascii="黑体" w:hAnsi="黑体" w:eastAsia="黑体" w:cs="黑体"/>
                <w:color w:val="auto"/>
                <w:highlight w:val="none"/>
              </w:rPr>
              <w:t>合价</w:t>
            </w:r>
          </w:p>
        </w:tc>
        <w:tc>
          <w:tcPr>
            <w:tcW w:w="1278"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ascii="黑体" w:hAnsi="黑体" w:eastAsia="黑体" w:cs="黑体"/>
                <w:color w:val="auto"/>
                <w:highlight w:val="none"/>
              </w:rPr>
            </w:pPr>
            <w:r>
              <w:rPr>
                <w:rFonts w:hint="eastAsia" w:ascii="黑体" w:hAnsi="黑体" w:eastAsia="黑体" w:cs="黑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2446"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752"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78"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2446"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752"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78"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2446"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752"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78"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2446"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752"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c>
          <w:tcPr>
            <w:tcW w:w="1278" w:type="dxa"/>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136"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eastAsia="宋体" w:cs="Calibri"/>
                <w:b/>
                <w:bCs/>
                <w:color w:val="auto"/>
                <w:highlight w:val="none"/>
                <w:lang w:val="en-US" w:eastAsia="zh-CN"/>
              </w:rPr>
            </w:pPr>
            <w:r>
              <w:rPr>
                <w:rFonts w:hint="eastAsia" w:cs="Calibri"/>
                <w:b/>
                <w:bCs/>
                <w:color w:val="auto"/>
                <w:highlight w:val="none"/>
                <w:lang w:val="en-US" w:eastAsia="zh-CN"/>
              </w:rPr>
              <w:t>总计</w:t>
            </w:r>
          </w:p>
        </w:tc>
        <w:tc>
          <w:tcPr>
            <w:tcW w:w="6457" w:type="dxa"/>
            <w:gridSpan w:val="6"/>
            <w:noWrap w:val="0"/>
            <w:vAlign w:val="center"/>
          </w:tcPr>
          <w:p>
            <w:pPr>
              <w:keepNext w:val="0"/>
              <w:keepLines w:val="0"/>
              <w:pageBreakBefore w:val="0"/>
              <w:widowControl w:val="0"/>
              <w:kinsoku/>
              <w:wordWrap/>
              <w:overflowPunct/>
              <w:topLinePunct w:val="0"/>
              <w:autoSpaceDE/>
              <w:autoSpaceDN/>
              <w:bidi w:val="0"/>
              <w:adjustRightInd/>
              <w:snapToGrid/>
              <w:ind w:left="0" w:firstLine="0"/>
              <w:jc w:val="center"/>
              <w:textAlignment w:val="auto"/>
              <w:rPr>
                <w:rFonts w:cs="Calibri"/>
                <w:b/>
                <w:bCs/>
                <w:color w:val="auto"/>
                <w:highlight w:val="none"/>
              </w:rPr>
            </w:pPr>
          </w:p>
        </w:tc>
      </w:tr>
    </w:tbl>
    <w:p>
      <w:pPr>
        <w:spacing w:line="0" w:lineRule="atLeast"/>
        <w:ind w:left="0" w:leftChars="0" w:firstLine="0" w:firstLineChars="0"/>
        <w:jc w:val="left"/>
        <w:rPr>
          <w:rFonts w:hint="eastAsia" w:ascii="宋体" w:hAnsi="宋体" w:cs="宋体"/>
          <w:color w:val="auto"/>
          <w:sz w:val="22"/>
          <w:szCs w:val="22"/>
          <w:highlight w:val="none"/>
        </w:rPr>
      </w:pPr>
    </w:p>
    <w:p>
      <w:pPr>
        <w:spacing w:line="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注：1.本表投标总价应与报价一览表中投标报价相一致，所有价格均为含税价。</w:t>
      </w:r>
    </w:p>
    <w:p>
      <w:pPr>
        <w:spacing w:line="0" w:lineRule="atLeast"/>
        <w:ind w:left="985" w:leftChars="350" w:hanging="250" w:hangingChars="114"/>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2.不提供本表将视为没有实质性响应磋商文件，作无效响应处理。</w:t>
      </w:r>
    </w:p>
    <w:p>
      <w:pPr>
        <w:spacing w:line="0" w:lineRule="atLeast"/>
        <w:ind w:left="985" w:leftChars="350" w:hanging="250" w:hangingChars="114"/>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3.本表可在不改变格式的情况下根据具体需要自行增减。</w:t>
      </w:r>
    </w:p>
    <w:p>
      <w:pPr>
        <w:spacing w:line="0" w:lineRule="atLeast"/>
        <w:jc w:val="left"/>
        <w:rPr>
          <w:rFonts w:hint="eastAsia" w:ascii="宋体" w:hAnsi="宋体" w:cs="宋体"/>
          <w:b/>
          <w:bCs/>
          <w:color w:val="auto"/>
          <w:szCs w:val="21"/>
          <w:highlight w:val="none"/>
        </w:rPr>
      </w:pPr>
    </w:p>
    <w:p>
      <w:pPr>
        <w:pStyle w:val="15"/>
        <w:ind w:left="0" w:leftChars="0" w:firstLine="0"/>
        <w:rPr>
          <w:rFonts w:hint="eastAsia" w:ascii="宋体" w:hAnsi="宋体" w:eastAsia="宋体" w:cs="宋体"/>
          <w:color w:val="auto"/>
          <w:highlight w:val="none"/>
        </w:rPr>
      </w:pPr>
    </w:p>
    <w:p>
      <w:pPr>
        <w:spacing w:line="800" w:lineRule="exact"/>
        <w:ind w:left="0" w:firstLine="2650" w:firstLineChars="1100"/>
        <w:rPr>
          <w:rFonts w:hint="eastAsia" w:ascii="宋体" w:hAnsi="宋体" w:cs="宋体"/>
          <w:b/>
          <w:bCs/>
          <w:color w:val="auto"/>
          <w:sz w:val="24"/>
          <w:highlight w:val="none"/>
        </w:rPr>
      </w:pPr>
      <w:r>
        <w:rPr>
          <w:rFonts w:hint="eastAsia" w:ascii="宋体" w:hAnsi="宋体" w:cs="宋体"/>
          <w:b/>
          <w:bCs/>
          <w:color w:val="auto"/>
          <w:sz w:val="24"/>
          <w:highlight w:val="none"/>
        </w:rPr>
        <w:t>磋商响应人（电子签章）：</w:t>
      </w:r>
    </w:p>
    <w:p>
      <w:pPr>
        <w:spacing w:line="800" w:lineRule="exact"/>
        <w:ind w:left="0" w:firstLine="2650" w:firstLineChars="1100"/>
        <w:rPr>
          <w:rFonts w:hint="eastAsia" w:ascii="宋体" w:hAnsi="宋体" w:cs="宋体"/>
          <w:b/>
          <w:bCs/>
          <w:color w:val="auto"/>
          <w:sz w:val="24"/>
          <w:highlight w:val="none"/>
        </w:rPr>
      </w:pPr>
      <w:r>
        <w:rPr>
          <w:rFonts w:hint="eastAsia" w:ascii="宋体" w:hAnsi="宋体" w:cs="宋体"/>
          <w:b/>
          <w:bCs/>
          <w:color w:val="auto"/>
          <w:sz w:val="24"/>
          <w:highlight w:val="none"/>
        </w:rPr>
        <w:t xml:space="preserve">法定代表人或其授权代表人（签字或盖章）：                                   </w:t>
      </w:r>
    </w:p>
    <w:p>
      <w:pPr>
        <w:spacing w:line="800" w:lineRule="exact"/>
        <w:ind w:left="0" w:firstLine="2650" w:firstLineChars="1100"/>
        <w:rPr>
          <w:rFonts w:hint="eastAsia" w:ascii="宋体" w:hAnsi="宋体" w:cs="宋体"/>
          <w:b/>
          <w:bCs/>
          <w:color w:val="auto"/>
          <w:sz w:val="24"/>
          <w:highlight w:val="none"/>
        </w:rPr>
      </w:pPr>
      <w:r>
        <w:rPr>
          <w:rFonts w:hint="eastAsia" w:ascii="宋体" w:hAnsi="宋体" w:cs="宋体"/>
          <w:b/>
          <w:bCs/>
          <w:color w:val="auto"/>
          <w:sz w:val="24"/>
          <w:highlight w:val="none"/>
        </w:rPr>
        <w:t>日期：</w:t>
      </w:r>
    </w:p>
    <w:p>
      <w:pPr>
        <w:pStyle w:val="15"/>
        <w:rPr>
          <w:rFonts w:hint="eastAsia"/>
          <w:color w:val="auto"/>
          <w:highlight w:val="none"/>
        </w:rPr>
      </w:pPr>
    </w:p>
    <w:p>
      <w:pPr>
        <w:ind w:left="0" w:right="420" w:firstLine="0"/>
        <w:rPr>
          <w:rFonts w:hint="eastAsia" w:ascii="宋体" w:hAnsi="宋体" w:cs="宋体"/>
          <w:b/>
          <w:color w:val="auto"/>
          <w:sz w:val="24"/>
          <w:highlight w:val="none"/>
        </w:rPr>
        <w:sectPr>
          <w:pgSz w:w="11906" w:h="16838"/>
          <w:pgMar w:top="1440" w:right="1134" w:bottom="1440" w:left="1531" w:header="851" w:footer="992" w:gutter="0"/>
          <w:cols w:space="720" w:num="1"/>
          <w:titlePg/>
          <w:docGrid w:linePitch="319" w:charSpace="0"/>
        </w:sectPr>
      </w:pPr>
    </w:p>
    <w:p>
      <w:pPr>
        <w:spacing w:line="400" w:lineRule="exact"/>
        <w:ind w:left="0" w:firstLine="0"/>
        <w:rPr>
          <w:rFonts w:hint="eastAsia" w:ascii="宋体" w:hAnsi="宋体" w:cs="宋体"/>
          <w:b/>
          <w:bCs/>
          <w:color w:val="auto"/>
          <w:sz w:val="24"/>
          <w:highlight w:val="none"/>
        </w:rPr>
      </w:pPr>
      <w:r>
        <w:rPr>
          <w:rFonts w:hint="eastAsia" w:ascii="宋体" w:hAnsi="宋体" w:cs="宋体"/>
          <w:b/>
          <w:bCs/>
          <w:color w:val="auto"/>
          <w:sz w:val="24"/>
          <w:highlight w:val="none"/>
        </w:rPr>
        <w:t>四、其他格式</w:t>
      </w:r>
    </w:p>
    <w:p>
      <w:pPr>
        <w:pStyle w:val="15"/>
        <w:spacing w:after="0"/>
        <w:ind w:left="0" w:leftChars="0" w:firstLine="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政府采购活动现场确认声明书</w:t>
      </w:r>
    </w:p>
    <w:p>
      <w:pPr>
        <w:pStyle w:val="15"/>
        <w:spacing w:after="0" w:line="440" w:lineRule="exact"/>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衢州广泽商务秘书有限责任公司 : </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本人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（授权代表姓名），经由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（单位）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（法定代表人姓名）合法授权参加</w:t>
      </w:r>
      <w:r>
        <w:rPr>
          <w:rFonts w:hint="eastAsia" w:ascii="宋体" w:hAnsi="宋体" w:eastAsia="宋体" w:cs="宋体"/>
          <w:color w:val="auto"/>
          <w:sz w:val="24"/>
          <w:szCs w:val="24"/>
          <w:highlight w:val="none"/>
          <w:lang w:eastAsia="zh-CN"/>
        </w:rPr>
        <w:t>2024“宋韵儒风 南孔琴韵”第三届“敦煌杯”古琴室内乐新作品展演活动</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QZGZ2024015CS</w:t>
      </w:r>
      <w:r>
        <w:rPr>
          <w:rFonts w:hint="eastAsia" w:ascii="宋体" w:hAnsi="宋体" w:eastAsia="宋体" w:cs="宋体"/>
          <w:color w:val="auto"/>
          <w:sz w:val="24"/>
          <w:szCs w:val="24"/>
          <w:highlight w:val="none"/>
        </w:rPr>
        <w:t>）政府采购活动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经与本单位</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（负责人）联系确认，现就有关公平竞争事项郑重声明如下</w:t>
      </w:r>
      <w:r>
        <w:rPr>
          <w:rFonts w:hint="eastAsia" w:ascii="宋体" w:hAnsi="宋体" w:eastAsia="宋体" w:cs="宋体"/>
          <w:color w:val="auto"/>
          <w:sz w:val="24"/>
          <w:szCs w:val="24"/>
          <w:highlight w:val="none"/>
          <w:lang w:eastAsia="zh-CN"/>
        </w:rPr>
        <w:t>：</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一、本单位与采购人之间</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不存在利害关系</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存在下列利害关系</w:t>
      </w:r>
      <w:r>
        <w:rPr>
          <w:rFonts w:hint="eastAsia" w:ascii="宋体" w:hAnsi="宋体" w:eastAsia="宋体" w:cs="宋体"/>
          <w:color w:val="auto"/>
          <w:sz w:val="24"/>
          <w:szCs w:val="24"/>
          <w:highlight w:val="none"/>
          <w:lang w:eastAsia="zh-CN"/>
        </w:rPr>
        <w:t>：</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A．投资关系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B．行政隶属关系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C．业务指导关系 </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D．其他可能影响采购公正的利害关系（如有，请如实说明）。 </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现已</w:t>
      </w:r>
      <w:r>
        <w:rPr>
          <w:rFonts w:hint="eastAsia" w:ascii="宋体" w:hAnsi="宋体" w:eastAsia="宋体" w:cs="宋体"/>
          <w:color w:val="auto"/>
          <w:sz w:val="24"/>
          <w:szCs w:val="24"/>
          <w:highlight w:val="none"/>
        </w:rPr>
        <w:t xml:space="preserve">清楚知道参加本项目采购活动的其他所有供应商名称，本单位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与其他所有供应商之间均不存在利害关系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（供应商名称）之间存在下列利害关系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A．法定代表人或负责人或实际控制人是同一人</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B．法定代表人或负责人或实际控制人是夫妻关系</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C．法定代表人或负责人或实际控制人是直系血亲关系</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D．法定代表人或负责人或实际控制人存在三代以内旁系血亲关系</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E．法定代表人或负责人或实际控制人存在近姻亲关系</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F．法定代表人或负责人或实际控制人存在股份控制或实际控制关系 </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G．存在共同直接或间接投资设立子公司、联营企业和合营企业情况 </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H．存在分级代理或代销关系、同一生产制造商关系、管理关系、重要业务（占主营业务收入 50 ％以上）或重要财务往来关系（如融资）等其他实质性控制关系</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I．其他利害关系情况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现已</w:t>
      </w:r>
      <w:r>
        <w:rPr>
          <w:rFonts w:hint="eastAsia" w:ascii="宋体" w:hAnsi="宋体" w:eastAsia="宋体" w:cs="宋体"/>
          <w:color w:val="auto"/>
          <w:sz w:val="24"/>
          <w:szCs w:val="24"/>
          <w:highlight w:val="none"/>
        </w:rPr>
        <w:t>清楚知道并严格遵守政府采购法律法规和现场纪律。</w:t>
      </w:r>
    </w:p>
    <w:p>
      <w:pPr>
        <w:pStyle w:val="15"/>
        <w:spacing w:after="0"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四、我发现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供应商之间存在或可能存在上述第二条第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项利害关系。</w:t>
      </w:r>
    </w:p>
    <w:p>
      <w:pPr>
        <w:pStyle w:val="15"/>
        <w:spacing w:after="0" w:line="360" w:lineRule="auto"/>
        <w:ind w:left="239" w:leftChars="114"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pStyle w:val="15"/>
        <w:spacing w:after="0" w:line="360" w:lineRule="auto"/>
        <w:ind w:left="239" w:leftChars="114" w:firstLine="3120" w:firstLineChars="1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2024年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日</w:t>
      </w:r>
    </w:p>
    <w:p>
      <w:pPr>
        <w:pStyle w:val="15"/>
        <w:spacing w:after="0" w:line="400" w:lineRule="exact"/>
        <w:ind w:left="0" w:leftChars="0" w:firstLine="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磋商响应文件解密结束后，各磋商响应人签署“政府采购活动现场确认声明书”发送至邮箱：719155005@qq.com，如在规定时间（开标结束后30分钟）内未签署“政府采购活动现场确认声明书”的，将视同该磋商响应人已如实确认与采购人以及参加本次采购的其他磋商响应人不存在影响公平竞争的利害关系。</w:t>
      </w:r>
    </w:p>
    <w:p>
      <w:pPr>
        <w:rPr>
          <w:color w:val="auto"/>
          <w:highlight w:val="none"/>
        </w:rPr>
      </w:pPr>
    </w:p>
    <w:sectPr>
      <w:footerReference r:id="rId12" w:type="default"/>
      <w:pgSz w:w="11906" w:h="16838"/>
      <w:pgMar w:top="1440" w:right="1134" w:bottom="1440" w:left="1531" w:header="851" w:footer="992" w:gutter="0"/>
      <w:cols w:space="720" w:num="1"/>
      <w:titlePg/>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KaiTi_GB2312">
    <w:altName w:val="楷体"/>
    <w:panose1 w:val="020106090300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 w:val="clear" w:pos="4140"/>
        <w:tab w:val="clear" w:pos="8300"/>
      </w:tabs>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 w:val="clear" w:pos="4140"/>
        <w:tab w:val="clear" w:pos="8300"/>
      </w:tabs>
      <w:jc w:val="center"/>
      <w:rPr>
        <w:sz w:val="24"/>
        <w:szCs w:val="21"/>
      </w:rPr>
    </w:pPr>
    <w:r>
      <w:rPr>
        <w:sz w:val="21"/>
      </w:rPr>
      <w:fldChar w:fldCharType="begin"/>
    </w:r>
    <w:r>
      <w:rPr>
        <w:sz w:val="21"/>
      </w:rPr>
      <w:instrText xml:space="preserve"> PAGE   \* MERGEFORMAT </w:instrText>
    </w:r>
    <w:r>
      <w:rPr>
        <w:sz w:val="21"/>
      </w:rPr>
      <w:fldChar w:fldCharType="separate"/>
    </w:r>
    <w:r>
      <w:rPr>
        <w:sz w:val="21"/>
        <w:lang w:val="zh-CN"/>
      </w:rPr>
      <w:t>28</w:t>
    </w:r>
    <w:r>
      <w:rPr>
        <w:sz w:val="21"/>
      </w:rPr>
      <w:fldChar w:fldCharType="end"/>
    </w:r>
  </w:p>
  <w:p>
    <w:pPr>
      <w:pStyle w:val="9"/>
      <w:tabs>
        <w:tab w:val="center" w:pos="4153"/>
        <w:tab w:val="right" w:pos="8306"/>
        <w:tab w:val="clear" w:pos="4140"/>
        <w:tab w:val="clear" w:pos="8300"/>
      </w:tabs>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 w:val="clear" w:pos="4140"/>
        <w:tab w:val="clear" w:pos="8300"/>
      </w:tabs>
      <w:jc w:val="center"/>
      <w:rPr>
        <w:sz w:val="24"/>
        <w:szCs w:val="21"/>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tabs>
                              <w:tab w:val="center" w:pos="4153"/>
                              <w:tab w:val="right" w:pos="8306"/>
                              <w:tab w:val="clear" w:pos="4140"/>
                              <w:tab w:val="clear" w:pos="8300"/>
                            </w:tabs>
                            <w:jc w:val="center"/>
                          </w:pPr>
                          <w:r>
                            <w:rPr>
                              <w:sz w:val="24"/>
                              <w:szCs w:val="21"/>
                            </w:rPr>
                            <w:fldChar w:fldCharType="begin"/>
                          </w:r>
                          <w:r>
                            <w:rPr>
                              <w:sz w:val="24"/>
                              <w:szCs w:val="21"/>
                            </w:rPr>
                            <w:instrText xml:space="preserve"> PAGE   \* MERGEFORMAT </w:instrText>
                          </w:r>
                          <w:r>
                            <w:rPr>
                              <w:sz w:val="24"/>
                              <w:szCs w:val="21"/>
                            </w:rPr>
                            <w:fldChar w:fldCharType="separate"/>
                          </w:r>
                          <w:r>
                            <w:rPr>
                              <w:sz w:val="24"/>
                              <w:szCs w:val="21"/>
                              <w:lang w:val="zh-CN"/>
                            </w:rPr>
                            <w:t>46</w:t>
                          </w:r>
                          <w:r>
                            <w:rPr>
                              <w:sz w:val="24"/>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9"/>
                      <w:tabs>
                        <w:tab w:val="center" w:pos="4153"/>
                        <w:tab w:val="right" w:pos="8306"/>
                        <w:tab w:val="clear" w:pos="4140"/>
                        <w:tab w:val="clear" w:pos="8300"/>
                      </w:tabs>
                      <w:jc w:val="center"/>
                    </w:pPr>
                    <w:r>
                      <w:rPr>
                        <w:sz w:val="24"/>
                        <w:szCs w:val="21"/>
                      </w:rPr>
                      <w:fldChar w:fldCharType="begin"/>
                    </w:r>
                    <w:r>
                      <w:rPr>
                        <w:sz w:val="24"/>
                        <w:szCs w:val="21"/>
                      </w:rPr>
                      <w:instrText xml:space="preserve"> PAGE   \* MERGEFORMAT </w:instrText>
                    </w:r>
                    <w:r>
                      <w:rPr>
                        <w:sz w:val="24"/>
                        <w:szCs w:val="21"/>
                      </w:rPr>
                      <w:fldChar w:fldCharType="separate"/>
                    </w:r>
                    <w:r>
                      <w:rPr>
                        <w:sz w:val="24"/>
                        <w:szCs w:val="21"/>
                        <w:lang w:val="zh-CN"/>
                      </w:rPr>
                      <w:t>46</w:t>
                    </w:r>
                    <w:r>
                      <w:rPr>
                        <w:sz w:val="24"/>
                        <w:szCs w:val="21"/>
                      </w:rPr>
                      <w:fldChar w:fldCharType="end"/>
                    </w:r>
                  </w:p>
                </w:txbxContent>
              </v:textbox>
            </v:shape>
          </w:pict>
        </mc:Fallback>
      </mc:AlternateContent>
    </w:r>
  </w:p>
  <w:p>
    <w:pPr>
      <w:pStyle w:val="9"/>
      <w:tabs>
        <w:tab w:val="center" w:pos="4153"/>
        <w:tab w:val="right" w:pos="8306"/>
        <w:tab w:val="clear" w:pos="4140"/>
        <w:tab w:val="clear" w:pos="8300"/>
      </w:tabs>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67</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9"/>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67</w:t>
                    </w:r>
                    <w:r>
                      <w:rPr>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 w:val="clear" w:pos="4140"/>
        <w:tab w:val="clear" w:pos="8300"/>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tabs>
                              <w:tab w:val="center" w:pos="4153"/>
                              <w:tab w:val="right" w:pos="8306"/>
                              <w:tab w:val="clear" w:pos="4140"/>
                              <w:tab w:val="clear" w:pos="8300"/>
                            </w:tabs>
                            <w:jc w:val="center"/>
                          </w:pPr>
                          <w:r>
                            <w:fldChar w:fldCharType="begin"/>
                          </w:r>
                          <w:r>
                            <w:instrText xml:space="preserve">PAGE   \* MERGEFORMAT</w:instrText>
                          </w:r>
                          <w:r>
                            <w:fldChar w:fldCharType="separate"/>
                          </w:r>
                          <w:r>
                            <w:rPr>
                              <w:lang w:val="zh-CN"/>
                            </w:rPr>
                            <w:t>58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tabs>
                        <w:tab w:val="center" w:pos="4153"/>
                        <w:tab w:val="right" w:pos="8306"/>
                        <w:tab w:val="clear" w:pos="4140"/>
                        <w:tab w:val="clear" w:pos="8300"/>
                      </w:tabs>
                      <w:jc w:val="center"/>
                    </w:pPr>
                    <w:r>
                      <w:fldChar w:fldCharType="begin"/>
                    </w:r>
                    <w:r>
                      <w:instrText xml:space="preserve">PAGE   \* MERGEFORMAT</w:instrText>
                    </w:r>
                    <w:r>
                      <w:fldChar w:fldCharType="separate"/>
                    </w:r>
                    <w:r>
                      <w:rPr>
                        <w:lang w:val="zh-CN"/>
                      </w:rPr>
                      <w:t>58</w:t>
                    </w:r>
                    <w:r>
                      <w:fldChar w:fldCharType="end"/>
                    </w:r>
                  </w:p>
                </w:txbxContent>
              </v:textbox>
            </v:shape>
          </w:pict>
        </mc:Fallback>
      </mc:AlternateContent>
    </w:r>
  </w:p>
  <w:p>
    <w:pPr>
      <w:pStyle w:val="9"/>
      <w:tabs>
        <w:tab w:val="center" w:pos="4153"/>
        <w:tab w:val="right" w:pos="8306"/>
        <w:tab w:val="clear" w:pos="4140"/>
        <w:tab w:val="clear" w:pos="8300"/>
      </w:tabs>
      <w:ind w:left="0" w:firstLine="0"/>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 w:val="clear" w:pos="4140"/>
        <w:tab w:val="clear" w:pos="8300"/>
      </w:tabs>
      <w:ind w:left="0" w:firstLine="0"/>
    </w:pPr>
  </w:p>
  <w:p>
    <w:pPr>
      <w:pStyle w:val="10"/>
      <w:pBdr>
        <w:bottom w:val="single" w:color="auto" w:sz="4" w:space="1"/>
      </w:pBdr>
      <w:tabs>
        <w:tab w:val="center" w:pos="4153"/>
        <w:tab w:val="right" w:pos="8306"/>
        <w:tab w:val="clear" w:pos="4140"/>
        <w:tab w:val="clear" w:pos="8300"/>
      </w:tabs>
      <w:ind w:left="0" w:firstLine="0"/>
    </w:pPr>
    <w:r>
      <w:rPr>
        <w:rFonts w:hint="eastAsia"/>
      </w:rPr>
      <w:drawing>
        <wp:inline distT="0" distB="0" distL="114300" distR="114300">
          <wp:extent cx="955040" cy="314325"/>
          <wp:effectExtent l="0" t="0" r="5080" b="5715"/>
          <wp:docPr id="4"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logo"/>
                  <pic:cNvPicPr>
                    <a:picLocks noChangeAspect="1"/>
                  </pic:cNvPicPr>
                </pic:nvPicPr>
                <pic:blipFill>
                  <a:blip r:embed="rId1"/>
                  <a:srcRect t="17482" b="34966"/>
                  <a:stretch>
                    <a:fillRect/>
                  </a:stretch>
                </pic:blipFill>
                <pic:spPr>
                  <a:xfrm>
                    <a:off x="0" y="0"/>
                    <a:ext cx="955040" cy="314325"/>
                  </a:xfrm>
                  <a:prstGeom prst="rect">
                    <a:avLst/>
                  </a:prstGeom>
                  <a:noFill/>
                  <a:ln>
                    <a:noFill/>
                  </a:ln>
                </pic:spPr>
              </pic:pic>
            </a:graphicData>
          </a:graphic>
        </wp:inline>
      </w:drawing>
    </w:r>
    <w:r>
      <w:rPr>
        <w:rFonts w:hint="eastAsi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tabs>
        <w:tab w:val="center" w:pos="4153"/>
        <w:tab w:val="right" w:pos="8306"/>
        <w:tab w:val="clear" w:pos="4140"/>
        <w:tab w:val="clear" w:pos="8300"/>
      </w:tabs>
      <w:ind w:left="0" w:firstLine="0"/>
    </w:pPr>
    <w:r>
      <w:rPr>
        <w:rFonts w:hint="eastAsia"/>
      </w:rPr>
      <w:drawing>
        <wp:inline distT="0" distB="0" distL="114300" distR="114300">
          <wp:extent cx="955040" cy="314325"/>
          <wp:effectExtent l="0" t="0" r="5080" b="5715"/>
          <wp:docPr id="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pic:cNvPicPr>
                    <a:picLocks noChangeAspect="1"/>
                  </pic:cNvPicPr>
                </pic:nvPicPr>
                <pic:blipFill>
                  <a:blip r:embed="rId1"/>
                  <a:srcRect t="17482" b="34966"/>
                  <a:stretch>
                    <a:fillRect/>
                  </a:stretch>
                </pic:blipFill>
                <pic:spPr>
                  <a:xfrm>
                    <a:off x="0" y="0"/>
                    <a:ext cx="955040" cy="314325"/>
                  </a:xfrm>
                  <a:prstGeom prst="rect">
                    <a:avLst/>
                  </a:prstGeom>
                  <a:noFill/>
                  <a:ln>
                    <a:noFill/>
                  </a:ln>
                </pic:spPr>
              </pic:pic>
            </a:graphicData>
          </a:graphic>
        </wp:inline>
      </w:drawing>
    </w:r>
    <w:r>
      <w:rPr>
        <w:rFonts w:hint="eastAsia"/>
      </w:rPr>
      <w:t xml:space="preserve">                                                                       竞争性磋商文件</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2D59C"/>
    <w:multiLevelType w:val="singleLevel"/>
    <w:tmpl w:val="8242D59C"/>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2"/>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E"/>
    <w:multiLevelType w:val="singleLevel"/>
    <w:tmpl w:val="0000000E"/>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1F493B28"/>
    <w:rsid w:val="015177E1"/>
    <w:rsid w:val="01F754E2"/>
    <w:rsid w:val="029A3B22"/>
    <w:rsid w:val="0BD9023A"/>
    <w:rsid w:val="0CDE3AE1"/>
    <w:rsid w:val="0D8933C0"/>
    <w:rsid w:val="0DA2480E"/>
    <w:rsid w:val="0E093F77"/>
    <w:rsid w:val="11F8062F"/>
    <w:rsid w:val="14396A7F"/>
    <w:rsid w:val="147815B3"/>
    <w:rsid w:val="154A0758"/>
    <w:rsid w:val="15885B62"/>
    <w:rsid w:val="16DE6045"/>
    <w:rsid w:val="17D1549B"/>
    <w:rsid w:val="187A7FF0"/>
    <w:rsid w:val="1AF916A0"/>
    <w:rsid w:val="1CA92C52"/>
    <w:rsid w:val="1F493B28"/>
    <w:rsid w:val="2044036D"/>
    <w:rsid w:val="21BE151D"/>
    <w:rsid w:val="22975239"/>
    <w:rsid w:val="25606C02"/>
    <w:rsid w:val="2A7518AA"/>
    <w:rsid w:val="2EC851B9"/>
    <w:rsid w:val="301B337D"/>
    <w:rsid w:val="30C827FD"/>
    <w:rsid w:val="346516FC"/>
    <w:rsid w:val="34D128EE"/>
    <w:rsid w:val="350D0FEC"/>
    <w:rsid w:val="36486BE0"/>
    <w:rsid w:val="3A792F4B"/>
    <w:rsid w:val="3D42082D"/>
    <w:rsid w:val="3DA45A2A"/>
    <w:rsid w:val="3F033128"/>
    <w:rsid w:val="429F71AB"/>
    <w:rsid w:val="434846C3"/>
    <w:rsid w:val="44583BA6"/>
    <w:rsid w:val="45B147A1"/>
    <w:rsid w:val="4A0A4979"/>
    <w:rsid w:val="4A681856"/>
    <w:rsid w:val="4CB701C3"/>
    <w:rsid w:val="4D08754F"/>
    <w:rsid w:val="4D622346"/>
    <w:rsid w:val="536A5F90"/>
    <w:rsid w:val="53AD3CA8"/>
    <w:rsid w:val="53FA6179"/>
    <w:rsid w:val="54856783"/>
    <w:rsid w:val="55862577"/>
    <w:rsid w:val="57A600FF"/>
    <w:rsid w:val="5A236474"/>
    <w:rsid w:val="5D26561D"/>
    <w:rsid w:val="5D93094D"/>
    <w:rsid w:val="5E03770C"/>
    <w:rsid w:val="61C06A8D"/>
    <w:rsid w:val="63CB6FF9"/>
    <w:rsid w:val="645A608A"/>
    <w:rsid w:val="668B0DF1"/>
    <w:rsid w:val="66B77F68"/>
    <w:rsid w:val="69CF15C9"/>
    <w:rsid w:val="69D00DEB"/>
    <w:rsid w:val="6BCD5CBB"/>
    <w:rsid w:val="6C9A4242"/>
    <w:rsid w:val="6EDF73DA"/>
    <w:rsid w:val="707F0E75"/>
    <w:rsid w:val="71FA573D"/>
    <w:rsid w:val="72921EFD"/>
    <w:rsid w:val="75C75406"/>
    <w:rsid w:val="77824E57"/>
    <w:rsid w:val="795733DC"/>
    <w:rsid w:val="7B372587"/>
    <w:rsid w:val="7D463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left="992" w:hanging="56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widowControl w:val="0"/>
      <w:spacing w:before="100" w:after="100" w:line="360" w:lineRule="auto"/>
      <w:ind w:left="992" w:right="0" w:hanging="560"/>
      <w:jc w:val="center"/>
      <w:outlineLvl w:val="0"/>
    </w:pPr>
    <w:rPr>
      <w:b/>
      <w:bCs/>
      <w:kern w:val="44"/>
      <w:sz w:val="32"/>
      <w:szCs w:val="44"/>
    </w:rPr>
  </w:style>
  <w:style w:type="paragraph" w:styleId="2">
    <w:name w:val="heading 2"/>
    <w:basedOn w:val="1"/>
    <w:next w:val="1"/>
    <w:link w:val="27"/>
    <w:qFormat/>
    <w:uiPriority w:val="0"/>
    <w:pPr>
      <w:keepNext/>
      <w:keepLines/>
      <w:widowControl w:val="0"/>
      <w:spacing w:before="100" w:after="100" w:line="360" w:lineRule="auto"/>
      <w:ind w:left="992" w:right="0" w:hanging="560"/>
      <w:jc w:val="center"/>
      <w:outlineLvl w:val="1"/>
    </w:pPr>
    <w:rPr>
      <w:rFonts w:ascii="宋体" w:hAnsi="宋体" w:eastAsia="仿宋_GB2312"/>
      <w:bCs/>
      <w:sz w:val="28"/>
      <w:szCs w:val="32"/>
    </w:rPr>
  </w:style>
  <w:style w:type="character" w:default="1" w:styleId="17">
    <w:name w:val="Default Paragraph Font"/>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widowControl/>
      <w:adjustRightInd w:val="0"/>
      <w:spacing w:before="0" w:after="0" w:line="480" w:lineRule="exact"/>
      <w:ind w:left="992" w:right="0" w:firstLine="560"/>
      <w:jc w:val="both"/>
    </w:pPr>
    <w:rPr>
      <w:rFonts w:ascii="宋体"/>
      <w:snapToGrid w:val="0"/>
      <w:color w:val="000000"/>
      <w:kern w:val="28"/>
      <w:sz w:val="28"/>
    </w:rPr>
  </w:style>
  <w:style w:type="paragraph" w:styleId="5">
    <w:name w:val="Body Text Indent"/>
    <w:basedOn w:val="1"/>
    <w:next w:val="4"/>
    <w:autoRedefine/>
    <w:qFormat/>
    <w:uiPriority w:val="0"/>
    <w:pPr>
      <w:spacing w:after="0" w:line="360" w:lineRule="auto"/>
      <w:ind w:firstLine="420"/>
    </w:pPr>
    <w:rPr>
      <w:sz w:val="28"/>
      <w:szCs w:val="24"/>
    </w:rPr>
  </w:style>
  <w:style w:type="paragraph" w:styleId="6">
    <w:name w:val="Body Text"/>
    <w:basedOn w:val="1"/>
    <w:next w:val="7"/>
    <w:qFormat/>
    <w:uiPriority w:val="1"/>
    <w:rPr>
      <w:rFonts w:ascii="仿宋" w:hAnsi="仿宋" w:eastAsia="仿宋" w:cs="仿宋"/>
      <w:sz w:val="28"/>
      <w:szCs w:val="28"/>
      <w:lang w:val="zh-CN" w:bidi="zh-CN"/>
    </w:rPr>
  </w:style>
  <w:style w:type="paragraph" w:styleId="7">
    <w:name w:val="Body Text First Indent"/>
    <w:basedOn w:val="6"/>
    <w:next w:val="1"/>
    <w:qFormat/>
    <w:uiPriority w:val="0"/>
    <w:pPr>
      <w:adjustRightInd w:val="0"/>
      <w:spacing w:after="120" w:afterLines="0" w:line="360" w:lineRule="auto"/>
      <w:ind w:firstLine="420"/>
      <w:textAlignment w:val="baseline"/>
    </w:pPr>
    <w:rPr>
      <w:rFonts w:ascii="Calibri" w:hAnsi="Calibri" w:eastAsia="KaiTi_GB2312" w:cs="Times New Roman"/>
      <w:spacing w:val="0"/>
      <w:kern w:val="0"/>
      <w:sz w:val="24"/>
      <w:szCs w:val="20"/>
    </w:rPr>
  </w:style>
  <w:style w:type="paragraph" w:styleId="8">
    <w:name w:val="Plain Text"/>
    <w:basedOn w:val="1"/>
    <w:qFormat/>
    <w:uiPriority w:val="0"/>
    <w:pPr>
      <w:widowControl w:val="0"/>
      <w:spacing w:before="0" w:after="0" w:line="360" w:lineRule="auto"/>
      <w:ind w:left="992" w:right="0" w:hanging="560"/>
      <w:jc w:val="both"/>
    </w:pPr>
    <w:rPr>
      <w:rFonts w:ascii="宋体" w:hAnsi="Courier New"/>
    </w:rPr>
  </w:style>
  <w:style w:type="paragraph" w:styleId="9">
    <w:name w:val="footer"/>
    <w:basedOn w:val="1"/>
    <w:qFormat/>
    <w:uiPriority w:val="0"/>
    <w:pPr>
      <w:widowControl w:val="0"/>
      <w:tabs>
        <w:tab w:val="center" w:pos="4140"/>
        <w:tab w:val="right" w:pos="8300"/>
      </w:tabs>
      <w:snapToGrid w:val="0"/>
      <w:spacing w:before="0" w:after="0" w:line="360" w:lineRule="auto"/>
      <w:ind w:left="992" w:right="0" w:hanging="560"/>
      <w:jc w:val="left"/>
    </w:pPr>
    <w:rPr>
      <w:sz w:val="18"/>
      <w:szCs w:val="18"/>
    </w:rPr>
  </w:style>
  <w:style w:type="paragraph" w:styleId="10">
    <w:name w:val="header"/>
    <w:basedOn w:val="1"/>
    <w:qFormat/>
    <w:uiPriority w:val="0"/>
    <w:pPr>
      <w:widowControl w:val="0"/>
      <w:tabs>
        <w:tab w:val="center" w:pos="4140"/>
        <w:tab w:val="right" w:pos="8300"/>
      </w:tabs>
      <w:snapToGrid w:val="0"/>
      <w:spacing w:before="0" w:after="0" w:line="240" w:lineRule="auto"/>
      <w:ind w:left="992" w:right="0" w:hanging="560"/>
      <w:jc w:val="both"/>
      <w:outlineLvl w:val="9"/>
    </w:pPr>
    <w:rPr>
      <w:sz w:val="18"/>
    </w:rPr>
  </w:style>
  <w:style w:type="paragraph" w:styleId="11">
    <w:name w:val="toc 1"/>
    <w:basedOn w:val="1"/>
    <w:next w:val="1"/>
    <w:autoRedefine/>
    <w:qFormat/>
    <w:uiPriority w:val="0"/>
    <w:pPr>
      <w:widowControl w:val="0"/>
      <w:spacing w:before="0" w:after="0" w:line="360" w:lineRule="auto"/>
      <w:ind w:left="567" w:right="0" w:hanging="560"/>
      <w:jc w:val="left"/>
    </w:pPr>
    <w:rPr>
      <w:rFonts w:ascii="Calibri" w:hAnsi="Calibri" w:eastAsia="宋体" w:cs="Calibri"/>
      <w:b/>
      <w:bCs/>
      <w:caps/>
      <w:kern w:val="2"/>
      <w:sz w:val="20"/>
      <w:lang w:val="en-US" w:eastAsia="zh-CN" w:bidi="ar-SA"/>
    </w:rPr>
  </w:style>
  <w:style w:type="paragraph" w:styleId="12">
    <w:name w:val="List"/>
    <w:basedOn w:val="1"/>
    <w:autoRedefine/>
    <w:qFormat/>
    <w:uiPriority w:val="0"/>
    <w:pPr>
      <w:widowControl w:val="0"/>
      <w:spacing w:before="0" w:after="0" w:line="360" w:lineRule="auto"/>
      <w:ind w:left="200" w:right="0" w:hanging="200" w:hangingChars="200"/>
      <w:jc w:val="both"/>
    </w:pPr>
    <w:rPr>
      <w:rFonts w:ascii="仿宋_GB2312" w:hAnsi="Times New Roman" w:eastAsia="仿宋_GB2312" w:cs="Times New Roman"/>
      <w:kern w:val="2"/>
      <w:sz w:val="28"/>
      <w:szCs w:val="28"/>
      <w:lang w:val="en-US" w:eastAsia="zh-CN" w:bidi="ar-SA"/>
    </w:rPr>
  </w:style>
  <w:style w:type="paragraph" w:styleId="13">
    <w:name w:val="toc 2"/>
    <w:basedOn w:val="1"/>
    <w:next w:val="1"/>
    <w:qFormat/>
    <w:uiPriority w:val="0"/>
    <w:pPr>
      <w:widowControl w:val="0"/>
      <w:spacing w:before="0" w:after="0" w:line="360" w:lineRule="auto"/>
      <w:ind w:left="0" w:leftChars="100" w:right="0" w:rightChars="100" w:hanging="560"/>
      <w:jc w:val="left"/>
    </w:pPr>
    <w:rPr>
      <w:rFonts w:ascii="Calibri" w:hAnsi="Calibri" w:eastAsia="宋体" w:cs="Calibri"/>
      <w:smallCaps/>
      <w:kern w:val="2"/>
      <w:sz w:val="20"/>
      <w:lang w:val="en-US" w:eastAsia="zh-CN" w:bidi="ar-SA"/>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15">
    <w:name w:val="Body Text First Indent 2"/>
    <w:basedOn w:val="5"/>
    <w:next w:val="1"/>
    <w:autoRedefine/>
    <w:qFormat/>
    <w:uiPriority w:val="0"/>
    <w:pPr>
      <w:tabs>
        <w:tab w:val="left" w:pos="900"/>
      </w:tabs>
      <w:spacing w:before="0" w:after="120" w:line="240" w:lineRule="auto"/>
      <w:ind w:left="420" w:leftChars="200" w:right="0" w:firstLine="420"/>
    </w:pPr>
    <w:rPr>
      <w:rFonts w:ascii="仿宋_GB2312" w:eastAsia="仿宋_GB2312"/>
      <w:sz w:val="21"/>
      <w:szCs w:val="21"/>
    </w:r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paragraph" w:customStyle="1" w:styleId="19">
    <w:name w:val="p0"/>
    <w:basedOn w:val="1"/>
    <w:autoRedefine/>
    <w:qFormat/>
    <w:uiPriority w:val="0"/>
    <w:pPr>
      <w:widowControl/>
    </w:pPr>
    <w:rPr>
      <w:rFonts w:ascii="仿宋_GB2312" w:hAnsi="宋体" w:eastAsia="仿宋_GB2312" w:cs="宋体"/>
      <w:kern w:val="0"/>
      <w:sz w:val="28"/>
      <w:szCs w:val="28"/>
    </w:rPr>
  </w:style>
  <w:style w:type="character" w:customStyle="1" w:styleId="20">
    <w:name w:val="large1"/>
    <w:autoRedefine/>
    <w:qFormat/>
    <w:uiPriority w:val="0"/>
    <w:rPr>
      <w:rFonts w:hint="eastAsia" w:ascii="宋体" w:hAnsi="宋体" w:eastAsia="宋体" w:cs="Times New Roman"/>
      <w:sz w:val="21"/>
      <w:szCs w:val="21"/>
    </w:rPr>
  </w:style>
  <w:style w:type="paragraph" w:customStyle="1" w:styleId="21">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2">
    <w:name w:val="正文2"/>
    <w:basedOn w:val="1"/>
    <w:autoRedefine/>
    <w:qFormat/>
    <w:uiPriority w:val="0"/>
    <w:pPr>
      <w:spacing w:before="156"/>
      <w:ind w:left="0" w:firstLine="510" w:firstLineChars="200"/>
    </w:pPr>
    <w:rPr>
      <w:sz w:val="24"/>
      <w:szCs w:val="24"/>
    </w:rPr>
  </w:style>
  <w:style w:type="paragraph" w:customStyle="1" w:styleId="23">
    <w:name w:val="其他"/>
    <w:basedOn w:val="1"/>
    <w:autoRedefine/>
    <w:qFormat/>
    <w:uiPriority w:val="0"/>
    <w:pPr>
      <w:ind w:left="0" w:firstLine="400"/>
      <w:jc w:val="left"/>
    </w:pPr>
    <w:rPr>
      <w:rFonts w:ascii="宋体" w:hAnsi="宋体"/>
      <w:kern w:val="0"/>
      <w:sz w:val="20"/>
    </w:rPr>
  </w:style>
  <w:style w:type="paragraph" w:customStyle="1" w:styleId="24">
    <w:name w:val="正文文本1"/>
    <w:basedOn w:val="1"/>
    <w:autoRedefine/>
    <w:qFormat/>
    <w:uiPriority w:val="0"/>
    <w:pPr>
      <w:ind w:left="0" w:firstLine="400"/>
      <w:jc w:val="left"/>
    </w:pPr>
    <w:rPr>
      <w:rFonts w:ascii="宋体" w:hAnsi="宋体"/>
      <w:kern w:val="0"/>
      <w:sz w:val="20"/>
    </w:rPr>
  </w:style>
  <w:style w:type="paragraph" w:customStyle="1" w:styleId="2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纯文本_0_0"/>
    <w:basedOn w:val="25"/>
    <w:autoRedefine/>
    <w:qFormat/>
    <w:uiPriority w:val="0"/>
    <w:rPr>
      <w:rFonts w:ascii="宋体" w:hAnsi="Courier New" w:eastAsia="宋体" w:cs="Times New Roman"/>
      <w:szCs w:val="21"/>
    </w:rPr>
  </w:style>
  <w:style w:type="character" w:customStyle="1" w:styleId="27">
    <w:name w:val="标题 2 Char"/>
    <w:link w:val="2"/>
    <w:autoRedefine/>
    <w:qFormat/>
    <w:uiPriority w:val="0"/>
    <w:rPr>
      <w:rFonts w:ascii="宋体" w:hAnsi="宋体" w:eastAsia="仿宋_GB2312"/>
      <w:bCs/>
      <w:sz w:val="28"/>
      <w:szCs w:val="32"/>
    </w:rPr>
  </w:style>
  <w:style w:type="paragraph" w:customStyle="1" w:styleId="2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9">
    <w:name w:val="Body Text Indent"/>
    <w:basedOn w:val="1"/>
    <w:qFormat/>
    <w:uiPriority w:val="0"/>
    <w:pPr>
      <w:spacing w:line="360" w:lineRule="auto"/>
      <w:ind w:firstLine="435"/>
    </w:pPr>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37553</Words>
  <Characters>39781</Characters>
  <Lines>0</Lines>
  <Paragraphs>0</Paragraphs>
  <TotalTime>17</TotalTime>
  <ScaleCrop>false</ScaleCrop>
  <LinksUpToDate>false</LinksUpToDate>
  <CharactersWithSpaces>41817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2024-02-06T01:25:00Z</dcterms:created>
  <dc:creator>yumeiqin</dc:creator>
  <cp:lastModifiedBy>g</cp:lastModifiedBy>
  <dcterms:modified xsi:type="dcterms:W3CDTF">2024-06-07T10:22:01Z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F5E28068AA0B47FB83A5C9D8CB30D075_11</vt:lpwstr>
  </property>
</Properties>
</file>