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b/>
          <w:bCs/>
          <w:color w:val="000000" w:themeColor="text1"/>
          <w:sz w:val="24"/>
          <w:highlight w:val="none"/>
          <w14:textFill>
            <w14:solidFill>
              <w14:schemeClr w14:val="tx1"/>
            </w14:solidFill>
          </w14:textFill>
        </w:rPr>
      </w:pPr>
    </w:p>
    <w:p>
      <w:pPr>
        <w:jc w:val="center"/>
        <w:rPr>
          <w:rFonts w:hint="eastAsia" w:ascii="仿宋" w:hAnsi="仿宋" w:eastAsia="仿宋" w:cs="仿宋"/>
          <w:b/>
          <w:bCs/>
          <w:color w:val="000000" w:themeColor="text1"/>
          <w:sz w:val="36"/>
          <w:szCs w:val="36"/>
          <w:highlight w:val="none"/>
          <w:lang w:eastAsia="zh-CN"/>
          <w14:textFill>
            <w14:solidFill>
              <w14:schemeClr w14:val="tx1"/>
            </w14:solidFill>
          </w14:textFill>
        </w:rPr>
      </w:pPr>
      <w:r>
        <w:rPr>
          <w:rFonts w:hint="eastAsia" w:ascii="仿宋" w:hAnsi="仿宋" w:eastAsia="仿宋" w:cs="仿宋"/>
          <w:b/>
          <w:bCs/>
          <w:color w:val="000000" w:themeColor="text1"/>
          <w:sz w:val="36"/>
          <w:szCs w:val="36"/>
          <w:highlight w:val="none"/>
          <w:lang w:eastAsia="zh-CN"/>
          <w14:textFill>
            <w14:solidFill>
              <w14:schemeClr w14:val="tx1"/>
            </w14:solidFill>
          </w14:textFill>
        </w:rPr>
        <w:t>常山县城区餐厨（厨余）垃圾收运处置服务项目</w:t>
      </w:r>
    </w:p>
    <w:p>
      <w:pPr>
        <w:spacing w:before="634"/>
        <w:jc w:val="cente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公开招标文件</w:t>
      </w:r>
    </w:p>
    <w:p>
      <w:pPr>
        <w:jc w:val="center"/>
        <w:rPr>
          <w:rFonts w:hint="eastAsia" w:ascii="仿宋" w:hAnsi="仿宋" w:eastAsia="仿宋" w:cs="仿宋"/>
          <w:b/>
          <w:bCs/>
          <w:color w:val="000000" w:themeColor="text1"/>
          <w:sz w:val="36"/>
          <w:szCs w:val="36"/>
          <w:highlight w:val="none"/>
          <w14:textFill>
            <w14:solidFill>
              <w14:schemeClr w14:val="tx1"/>
            </w14:solidFill>
          </w14:textFill>
        </w:rPr>
      </w:pPr>
    </w:p>
    <w:p>
      <w:pPr>
        <w:jc w:val="cente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（线上电子招投标）</w:t>
      </w:r>
    </w:p>
    <w:p>
      <w:pPr>
        <w:rPr>
          <w:rFonts w:hint="eastAsia" w:ascii="仿宋" w:hAnsi="仿宋" w:eastAsia="仿宋" w:cs="仿宋"/>
          <w:b/>
          <w:bCs/>
          <w:color w:val="000000" w:themeColor="text1"/>
          <w:sz w:val="24"/>
          <w:highlight w:val="none"/>
          <w14:textFill>
            <w14:solidFill>
              <w14:schemeClr w14:val="tx1"/>
            </w14:solidFill>
          </w14:textFill>
        </w:rPr>
      </w:pPr>
    </w:p>
    <w:p>
      <w:pPr>
        <w:ind w:firstLine="2265" w:firstLineChars="940"/>
        <w:rPr>
          <w:rFonts w:hint="eastAsia" w:ascii="仿宋" w:hAnsi="仿宋" w:eastAsia="仿宋" w:cs="仿宋"/>
          <w:b/>
          <w:bCs/>
          <w:color w:val="000000" w:themeColor="text1"/>
          <w:sz w:val="24"/>
          <w:highlight w:val="none"/>
          <w14:textFill>
            <w14:solidFill>
              <w14:schemeClr w14:val="tx1"/>
            </w14:solidFill>
          </w14:textFill>
        </w:rPr>
      </w:pPr>
    </w:p>
    <w:p>
      <w:pPr>
        <w:rPr>
          <w:rFonts w:hint="eastAsia" w:ascii="仿宋" w:hAnsi="仿宋" w:eastAsia="仿宋" w:cs="仿宋"/>
          <w:b/>
          <w:bCs/>
          <w:color w:val="000000" w:themeColor="text1"/>
          <w:sz w:val="24"/>
          <w:highlight w:val="none"/>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spacing w:line="72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w:t>
      </w:r>
    </w:p>
    <w:p>
      <w:pPr>
        <w:pStyle w:val="99"/>
        <w:rPr>
          <w:rFonts w:hint="eastAsia" w:ascii="仿宋" w:hAnsi="仿宋" w:eastAsia="仿宋" w:cs="仿宋"/>
          <w:b/>
          <w:bCs/>
          <w:color w:val="000000" w:themeColor="text1"/>
          <w:szCs w:val="24"/>
          <w:highlight w:val="none"/>
          <w14:textFill>
            <w14:solidFill>
              <w14:schemeClr w14:val="tx1"/>
            </w14:solidFill>
          </w14:textFill>
        </w:rPr>
      </w:pPr>
    </w:p>
    <w:p>
      <w:pPr>
        <w:pStyle w:val="99"/>
        <w:rPr>
          <w:rFonts w:hint="eastAsia" w:ascii="仿宋" w:hAnsi="仿宋" w:eastAsia="仿宋" w:cs="仿宋"/>
          <w:b/>
          <w:bCs/>
          <w:color w:val="000000" w:themeColor="text1"/>
          <w:szCs w:val="24"/>
          <w:highlight w:val="none"/>
          <w14:textFill>
            <w14:solidFill>
              <w14:schemeClr w14:val="tx1"/>
            </w14:solidFill>
          </w14:textFill>
        </w:rPr>
      </w:pPr>
    </w:p>
    <w:p>
      <w:pPr>
        <w:pStyle w:val="99"/>
        <w:rPr>
          <w:rFonts w:hint="eastAsia" w:ascii="仿宋" w:hAnsi="仿宋" w:eastAsia="仿宋" w:cs="仿宋"/>
          <w:b/>
          <w:bCs/>
          <w:color w:val="000000" w:themeColor="text1"/>
          <w:szCs w:val="24"/>
          <w:highlight w:val="none"/>
          <w14:textFill>
            <w14:solidFill>
              <w14:schemeClr w14:val="tx1"/>
            </w14:solidFill>
          </w14:textFill>
        </w:rPr>
      </w:pPr>
    </w:p>
    <w:p>
      <w:pPr>
        <w:pStyle w:val="99"/>
        <w:rPr>
          <w:rFonts w:hint="eastAsia" w:ascii="仿宋" w:hAnsi="仿宋" w:eastAsia="仿宋" w:cs="仿宋"/>
          <w:b/>
          <w:bCs/>
          <w:color w:val="000000" w:themeColor="text1"/>
          <w:szCs w:val="24"/>
          <w:highlight w:val="none"/>
          <w14:textFill>
            <w14:solidFill>
              <w14:schemeClr w14:val="tx1"/>
            </w14:solidFill>
          </w14:textFill>
        </w:rPr>
      </w:pPr>
    </w:p>
    <w:p>
      <w:pPr>
        <w:pStyle w:val="99"/>
        <w:rPr>
          <w:rFonts w:hint="eastAsia" w:ascii="仿宋" w:hAnsi="仿宋" w:eastAsia="仿宋" w:cs="仿宋"/>
          <w:b/>
          <w:bCs/>
          <w:color w:val="000000" w:themeColor="text1"/>
          <w:szCs w:val="24"/>
          <w:highlight w:val="none"/>
          <w14:textFill>
            <w14:solidFill>
              <w14:schemeClr w14:val="tx1"/>
            </w14:solidFill>
          </w14:textFill>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14"/>
        <w:gridCol w:w="5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3914" w:type="dxa"/>
            <w:vAlign w:val="center"/>
          </w:tcPr>
          <w:p>
            <w:pPr>
              <w:spacing w:line="72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14:textFill>
                  <w14:solidFill>
                    <w14:schemeClr w14:val="tx1"/>
                  </w14:solidFill>
                </w14:textFill>
              </w:rPr>
              <w:t>项目编号：</w:t>
            </w:r>
          </w:p>
        </w:tc>
        <w:tc>
          <w:tcPr>
            <w:tcW w:w="5344" w:type="dxa"/>
            <w:vAlign w:val="center"/>
          </w:tcPr>
          <w:p>
            <w:pPr>
              <w:spacing w:line="720" w:lineRule="auto"/>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JYZFCG-2024-GK018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3914" w:type="dxa"/>
            <w:vAlign w:val="center"/>
          </w:tcPr>
          <w:p>
            <w:pPr>
              <w:spacing w:line="72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14:textFill>
                  <w14:solidFill>
                    <w14:schemeClr w14:val="tx1"/>
                  </w14:solidFill>
                </w14:textFill>
              </w:rPr>
              <w:t>采购单位：</w:t>
            </w:r>
          </w:p>
        </w:tc>
        <w:tc>
          <w:tcPr>
            <w:tcW w:w="5344" w:type="dxa"/>
            <w:vAlign w:val="center"/>
          </w:tcPr>
          <w:p>
            <w:pPr>
              <w:spacing w:line="720" w:lineRule="auto"/>
              <w:jc w:val="left"/>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常山县市容环卫中心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3914" w:type="dxa"/>
            <w:vAlign w:val="center"/>
          </w:tcPr>
          <w:p>
            <w:pPr>
              <w:spacing w:line="72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highlight w:val="none"/>
                <w14:textFill>
                  <w14:solidFill>
                    <w14:schemeClr w14:val="tx1"/>
                  </w14:solidFill>
                </w14:textFill>
              </w:rPr>
              <w:t>采购代理机构：</w:t>
            </w:r>
          </w:p>
        </w:tc>
        <w:tc>
          <w:tcPr>
            <w:tcW w:w="5344" w:type="dxa"/>
            <w:vAlign w:val="center"/>
          </w:tcPr>
          <w:p>
            <w:pPr>
              <w:spacing w:line="720" w:lineRule="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浙江九越建设管理有限公司</w:t>
            </w:r>
          </w:p>
        </w:tc>
      </w:tr>
    </w:tbl>
    <w:p>
      <w:pPr>
        <w:spacing w:line="600" w:lineRule="auto"/>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二〇二四年</w:t>
      </w:r>
      <w:r>
        <w:rPr>
          <w:rFonts w:hint="eastAsia" w:ascii="仿宋" w:hAnsi="仿宋" w:eastAsia="仿宋" w:cs="仿宋"/>
          <w:b/>
          <w:bCs/>
          <w:color w:val="000000" w:themeColor="text1"/>
          <w:sz w:val="32"/>
          <w:szCs w:val="32"/>
          <w:highlight w:val="none"/>
          <w:lang w:eastAsia="zh-CN"/>
          <w14:textFill>
            <w14:solidFill>
              <w14:schemeClr w14:val="tx1"/>
            </w14:solidFill>
          </w14:textFill>
        </w:rPr>
        <w:t>六</w:t>
      </w:r>
      <w:r>
        <w:rPr>
          <w:rFonts w:hint="eastAsia" w:ascii="仿宋" w:hAnsi="仿宋" w:eastAsia="仿宋" w:cs="仿宋"/>
          <w:b/>
          <w:bCs/>
          <w:color w:val="000000" w:themeColor="text1"/>
          <w:sz w:val="32"/>
          <w:szCs w:val="32"/>
          <w:highlight w:val="none"/>
          <w14:textFill>
            <w14:solidFill>
              <w14:schemeClr w14:val="tx1"/>
            </w14:solidFill>
          </w14:textFill>
        </w:rPr>
        <w:t>月</w:t>
      </w:r>
    </w:p>
    <w:p>
      <w:pPr>
        <w:spacing w:line="600" w:lineRule="auto"/>
        <w:rPr>
          <w:rFonts w:hint="eastAsia" w:ascii="仿宋" w:hAnsi="仿宋" w:eastAsia="仿宋" w:cs="仿宋"/>
          <w:b/>
          <w:bCs/>
          <w:color w:val="000000" w:themeColor="text1"/>
          <w:sz w:val="32"/>
          <w:szCs w:val="32"/>
          <w:highlight w:val="none"/>
          <w14:textFill>
            <w14:solidFill>
              <w14:schemeClr w14:val="tx1"/>
            </w14:solidFill>
          </w14:textFill>
        </w:rPr>
        <w:sectPr>
          <w:headerReference r:id="rId4" w:type="default"/>
          <w:footerReference r:id="rId5" w:type="default"/>
          <w:pgSz w:w="11906" w:h="16838"/>
          <w:pgMar w:top="1440" w:right="850" w:bottom="1440" w:left="850" w:header="737" w:footer="992" w:gutter="0"/>
          <w:pgBorders>
            <w:top w:val="none" w:sz="0" w:space="0"/>
            <w:left w:val="none" w:sz="0" w:space="0"/>
            <w:bottom w:val="none" w:sz="0" w:space="0"/>
            <w:right w:val="none" w:sz="0" w:space="0"/>
          </w:pgBorders>
          <w:pgNumType w:fmt="decimal" w:start="1"/>
          <w:cols w:space="720" w:num="1"/>
          <w:docGrid w:type="lines" w:linePitch="317" w:charSpace="0"/>
        </w:sectPr>
      </w:pP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目  录</w:t>
      </w:r>
    </w:p>
    <w:p>
      <w:pPr>
        <w:pStyle w:val="11"/>
        <w:tabs>
          <w:tab w:val="right" w:leader="dot" w:pos="10206"/>
          <w:tab w:val="clear" w:pos="9628"/>
        </w:tabs>
        <w:spacing w:line="60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fldChar w:fldCharType="begin"/>
      </w:r>
      <w:r>
        <w:rPr>
          <w:rFonts w:hint="eastAsia" w:ascii="仿宋" w:hAnsi="仿宋" w:eastAsia="仿宋" w:cs="仿宋"/>
          <w:b/>
          <w:color w:val="000000" w:themeColor="text1"/>
          <w:sz w:val="28"/>
          <w:szCs w:val="28"/>
          <w:highlight w:val="none"/>
          <w14:textFill>
            <w14:solidFill>
              <w14:schemeClr w14:val="tx1"/>
            </w14:solidFill>
          </w14:textFill>
        </w:rPr>
        <w:instrText xml:space="preserve">TOC \o "1-1" \h \u </w:instrText>
      </w:r>
      <w:r>
        <w:rPr>
          <w:rFonts w:hint="eastAsia" w:ascii="仿宋" w:hAnsi="仿宋" w:eastAsia="仿宋" w:cs="仿宋"/>
          <w:b/>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_Toc23692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kern w:val="2"/>
          <w:sz w:val="28"/>
          <w:szCs w:val="28"/>
          <w:highlight w:val="none"/>
          <w14:textFill>
            <w14:solidFill>
              <w14:schemeClr w14:val="tx1"/>
            </w14:solidFill>
          </w14:textFill>
        </w:rPr>
        <w:t>第一章  招标公告</w:t>
      </w:r>
      <w:r>
        <w:rPr>
          <w:rFonts w:hint="eastAsia" w:ascii="仿宋" w:hAnsi="仿宋" w:eastAsia="仿宋" w:cs="仿宋"/>
          <w:b/>
          <w:bCs/>
          <w:color w:val="000000" w:themeColor="text1"/>
          <w:sz w:val="28"/>
          <w:szCs w:val="28"/>
          <w:highlight w:val="none"/>
          <w14:textFill>
            <w14:solidFill>
              <w14:schemeClr w14:val="tx1"/>
            </w14:solidFill>
          </w14:textFill>
        </w:rPr>
        <w:tab/>
      </w: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PAGEREF _Toc23692 \h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3</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1"/>
        <w:tabs>
          <w:tab w:val="right" w:leader="dot" w:pos="10206"/>
          <w:tab w:val="clear" w:pos="9628"/>
        </w:tabs>
        <w:spacing w:line="60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_Toc28752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第二章  投标人须知</w:t>
      </w:r>
      <w:r>
        <w:rPr>
          <w:rFonts w:hint="eastAsia" w:ascii="仿宋" w:hAnsi="仿宋" w:eastAsia="仿宋" w:cs="仿宋"/>
          <w:b/>
          <w:bCs/>
          <w:color w:val="000000" w:themeColor="text1"/>
          <w:sz w:val="28"/>
          <w:szCs w:val="28"/>
          <w:highlight w:val="none"/>
          <w14:textFill>
            <w14:solidFill>
              <w14:schemeClr w14:val="tx1"/>
            </w14:solidFill>
          </w14:textFill>
        </w:rPr>
        <w:tab/>
      </w: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PAGEREF _Toc28752 \h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7</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1"/>
        <w:tabs>
          <w:tab w:val="right" w:leader="dot" w:pos="10206"/>
          <w:tab w:val="clear" w:pos="9628"/>
        </w:tabs>
        <w:spacing w:line="60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_Toc28404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第三章  招标内容及要求</w:t>
      </w:r>
      <w:r>
        <w:rPr>
          <w:rFonts w:hint="eastAsia" w:ascii="仿宋" w:hAnsi="仿宋" w:eastAsia="仿宋" w:cs="仿宋"/>
          <w:b/>
          <w:bCs/>
          <w:color w:val="000000" w:themeColor="text1"/>
          <w:sz w:val="28"/>
          <w:szCs w:val="28"/>
          <w:highlight w:val="none"/>
          <w14:textFill>
            <w14:solidFill>
              <w14:schemeClr w14:val="tx1"/>
            </w14:solidFill>
          </w14:textFill>
        </w:rPr>
        <w:tab/>
      </w: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PAGEREF _Toc28404 \h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26</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1"/>
        <w:tabs>
          <w:tab w:val="right" w:leader="dot" w:pos="10206"/>
          <w:tab w:val="clear" w:pos="9628"/>
        </w:tabs>
        <w:spacing w:line="60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_Toc21784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 xml:space="preserve">第四章 </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合同主要条款</w:t>
      </w:r>
      <w:r>
        <w:rPr>
          <w:rFonts w:hint="eastAsia" w:ascii="仿宋" w:hAnsi="仿宋" w:eastAsia="仿宋" w:cs="仿宋"/>
          <w:b/>
          <w:bCs/>
          <w:color w:val="000000" w:themeColor="text1"/>
          <w:sz w:val="28"/>
          <w:szCs w:val="28"/>
          <w:highlight w:val="none"/>
          <w14:textFill>
            <w14:solidFill>
              <w14:schemeClr w14:val="tx1"/>
            </w14:solidFill>
          </w14:textFill>
        </w:rPr>
        <w:tab/>
      </w: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PAGEREF _Toc21784 \h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32</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1"/>
        <w:tabs>
          <w:tab w:val="right" w:leader="dot" w:pos="10206"/>
          <w:tab w:val="clear" w:pos="9628"/>
        </w:tabs>
        <w:spacing w:line="60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_Toc13747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 xml:space="preserve">第五章 </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评标原则及办法</w:t>
      </w:r>
      <w:r>
        <w:rPr>
          <w:rFonts w:hint="eastAsia" w:ascii="仿宋" w:hAnsi="仿宋" w:eastAsia="仿宋" w:cs="仿宋"/>
          <w:b/>
          <w:bCs/>
          <w:color w:val="000000" w:themeColor="text1"/>
          <w:sz w:val="28"/>
          <w:szCs w:val="28"/>
          <w:highlight w:val="none"/>
          <w14:textFill>
            <w14:solidFill>
              <w14:schemeClr w14:val="tx1"/>
            </w14:solidFill>
          </w14:textFill>
        </w:rPr>
        <w:tab/>
      </w: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PAGEREF _Toc13747 \h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44</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1"/>
        <w:tabs>
          <w:tab w:val="right" w:leader="dot" w:pos="10206"/>
          <w:tab w:val="clear" w:pos="9628"/>
        </w:tabs>
        <w:spacing w:line="60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HYPERLINK \l _Toc6747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 xml:space="preserve">第六章 </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投标文件格式</w:t>
      </w:r>
      <w:r>
        <w:rPr>
          <w:rFonts w:hint="eastAsia" w:ascii="仿宋" w:hAnsi="仿宋" w:eastAsia="仿宋" w:cs="仿宋"/>
          <w:b/>
          <w:bCs/>
          <w:color w:val="000000" w:themeColor="text1"/>
          <w:sz w:val="28"/>
          <w:szCs w:val="28"/>
          <w:highlight w:val="none"/>
          <w14:textFill>
            <w14:solidFill>
              <w14:schemeClr w14:val="tx1"/>
            </w14:solidFill>
          </w14:textFill>
        </w:rPr>
        <w:tab/>
      </w:r>
      <w:r>
        <w:rPr>
          <w:rFonts w:hint="eastAsia" w:ascii="仿宋" w:hAnsi="仿宋" w:eastAsia="仿宋" w:cs="仿宋"/>
          <w:b/>
          <w:bCs/>
          <w:color w:val="000000" w:themeColor="text1"/>
          <w:sz w:val="28"/>
          <w:szCs w:val="28"/>
          <w:highlight w:val="none"/>
          <w14:textFill>
            <w14:solidFill>
              <w14:schemeClr w14:val="tx1"/>
            </w14:solidFill>
          </w14:textFill>
        </w:rPr>
        <w:fldChar w:fldCharType="begin"/>
      </w:r>
      <w:r>
        <w:rPr>
          <w:rFonts w:hint="eastAsia" w:ascii="仿宋" w:hAnsi="仿宋" w:eastAsia="仿宋" w:cs="仿宋"/>
          <w:b/>
          <w:bCs/>
          <w:color w:val="000000" w:themeColor="text1"/>
          <w:sz w:val="28"/>
          <w:szCs w:val="28"/>
          <w:highlight w:val="none"/>
          <w14:textFill>
            <w14:solidFill>
              <w14:schemeClr w14:val="tx1"/>
            </w14:solidFill>
          </w14:textFill>
        </w:rPr>
        <w:instrText xml:space="preserve"> PAGEREF _Toc6747 \h </w:instrText>
      </w:r>
      <w:r>
        <w:rPr>
          <w:rFonts w:hint="eastAsia" w:ascii="仿宋" w:hAnsi="仿宋" w:eastAsia="仿宋" w:cs="仿宋"/>
          <w:b/>
          <w:bCs/>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color w:val="000000" w:themeColor="text1"/>
          <w:sz w:val="28"/>
          <w:szCs w:val="28"/>
          <w:highlight w:val="none"/>
          <w14:textFill>
            <w14:solidFill>
              <w14:schemeClr w14:val="tx1"/>
            </w14:solidFill>
          </w14:textFill>
        </w:rPr>
        <w:t>48</w:t>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r>
        <w:rPr>
          <w:rFonts w:hint="eastAsia" w:ascii="仿宋" w:hAnsi="仿宋" w:eastAsia="仿宋" w:cs="仿宋"/>
          <w:b/>
          <w:bCs/>
          <w:color w:val="000000" w:themeColor="text1"/>
          <w:sz w:val="28"/>
          <w:szCs w:val="28"/>
          <w:highlight w:val="none"/>
          <w14:textFill>
            <w14:solidFill>
              <w14:schemeClr w14:val="tx1"/>
            </w14:solidFill>
          </w14:textFill>
        </w:rPr>
        <w:fldChar w:fldCharType="end"/>
      </w:r>
    </w:p>
    <w:p>
      <w:pPr>
        <w:pStyle w:val="11"/>
        <w:tabs>
          <w:tab w:val="right" w:leader="dot" w:pos="10206"/>
          <w:tab w:val="clear" w:pos="9628"/>
        </w:tabs>
        <w:spacing w:line="600" w:lineRule="auto"/>
        <w:rPr>
          <w:rFonts w:hint="eastAsia" w:ascii="仿宋" w:hAnsi="仿宋" w:eastAsia="仿宋" w:cs="仿宋"/>
          <w:color w:val="000000" w:themeColor="text1"/>
          <w:highlight w:val="none"/>
          <w14:textFill>
            <w14:solidFill>
              <w14:schemeClr w14:val="tx1"/>
            </w14:solidFill>
          </w14:textFill>
        </w:rPr>
      </w:pPr>
    </w:p>
    <w:p>
      <w:pPr>
        <w:spacing w:line="720" w:lineRule="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Cs w:val="28"/>
          <w:highlight w:val="none"/>
          <w14:textFill>
            <w14:solidFill>
              <w14:schemeClr w14:val="tx1"/>
            </w14:solidFill>
          </w14:textFill>
        </w:rPr>
        <w:fldChar w:fldCharType="end"/>
      </w:r>
    </w:p>
    <w:p>
      <w:pPr>
        <w:pStyle w:val="108"/>
        <w:tabs>
          <w:tab w:val="right" w:leader="dot" w:pos="10206"/>
        </w:tabs>
        <w:rPr>
          <w:rFonts w:hint="eastAsia" w:ascii="仿宋" w:hAnsi="仿宋" w:eastAsia="仿宋" w:cs="仿宋"/>
          <w:color w:val="000000" w:themeColor="text1"/>
          <w:sz w:val="24"/>
          <w:szCs w:val="24"/>
          <w:highlight w:val="none"/>
          <w14:textFill>
            <w14:solidFill>
              <w14:schemeClr w14:val="tx1"/>
            </w14:solidFill>
          </w14:textFill>
        </w:rPr>
      </w:pPr>
    </w:p>
    <w:p>
      <w:pPr>
        <w:pStyle w:val="58"/>
        <w:ind w:left="900" w:hanging="480"/>
        <w:rPr>
          <w:rFonts w:hint="eastAsia" w:ascii="仿宋" w:hAnsi="仿宋" w:eastAsia="仿宋" w:cs="仿宋"/>
          <w:color w:val="000000" w:themeColor="text1"/>
          <w:sz w:val="24"/>
          <w:szCs w:val="24"/>
          <w:highlight w:val="none"/>
          <w14:textFill>
            <w14:solidFill>
              <w14:schemeClr w14:val="tx1"/>
            </w14:solidFill>
          </w14:textFill>
        </w:rPr>
      </w:pPr>
    </w:p>
    <w:p>
      <w:pPr>
        <w:pStyle w:val="20"/>
        <w:jc w:val="both"/>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20"/>
        <w:bidi w:val="0"/>
        <w:rPr>
          <w:rFonts w:hint="eastAsia" w:ascii="仿宋" w:hAnsi="仿宋" w:eastAsia="仿宋" w:cs="仿宋"/>
          <w:color w:val="000000" w:themeColor="text1"/>
          <w:sz w:val="24"/>
          <w:szCs w:val="24"/>
          <w:highlight w:val="none"/>
          <w14:textFill>
            <w14:solidFill>
              <w14:schemeClr w14:val="tx1"/>
            </w14:solidFill>
          </w14:textFill>
        </w:rPr>
      </w:pPr>
      <w:bookmarkStart w:id="0" w:name="_Toc15588"/>
      <w:bookmarkEnd w:id="0"/>
      <w:bookmarkStart w:id="1" w:name="_Toc30291"/>
      <w:bookmarkEnd w:id="1"/>
      <w:bookmarkStart w:id="2" w:name="OLE_LINK3"/>
      <w:r>
        <w:rPr>
          <w:rFonts w:hint="eastAsia" w:ascii="仿宋" w:hAnsi="仿宋" w:eastAsia="仿宋" w:cs="仿宋"/>
          <w:color w:val="000000" w:themeColor="text1"/>
          <w:sz w:val="24"/>
          <w:szCs w:val="24"/>
          <w:highlight w:val="none"/>
          <w14:textFill>
            <w14:solidFill>
              <w14:schemeClr w14:val="tx1"/>
            </w14:solidFill>
          </w14:textFill>
        </w:rPr>
        <w:br w:type="page"/>
      </w:r>
      <w:bookmarkStart w:id="3" w:name="_Toc23692"/>
      <w:r>
        <w:rPr>
          <w:rStyle w:val="19"/>
          <w:rFonts w:hint="eastAsia" w:ascii="仿宋" w:hAnsi="仿宋" w:eastAsia="仿宋" w:cs="仿宋"/>
          <w:b w:val="0"/>
          <w:bCs w:val="0"/>
          <w:color w:val="000000" w:themeColor="text1"/>
          <w:kern w:val="2"/>
          <w:sz w:val="28"/>
          <w:szCs w:val="28"/>
          <w:highlight w:val="none"/>
          <w14:textFill>
            <w14:solidFill>
              <w14:schemeClr w14:val="tx1"/>
            </w14:solidFill>
          </w14:textFill>
        </w:rPr>
        <w:t>第一章  招标公告</w:t>
      </w:r>
      <w:bookmarkEnd w:id="3"/>
    </w:p>
    <w:p>
      <w:pPr>
        <w:pBdr>
          <w:top w:val="single" w:color="000000" w:sz="4" w:space="1"/>
          <w:left w:val="single" w:color="000000" w:sz="4" w:space="4"/>
          <w:bottom w:val="single" w:color="000000" w:sz="4" w:space="1"/>
          <w:right w:val="single" w:color="000000" w:sz="4" w:space="4"/>
        </w:pBdr>
        <w:spacing w:line="44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常山县城区餐厨（厨余）垃圾收运处置服务项目</w:t>
      </w:r>
      <w:r>
        <w:rPr>
          <w:rFonts w:hint="eastAsia" w:ascii="仿宋" w:hAnsi="仿宋" w:eastAsia="仿宋" w:cs="仿宋"/>
          <w:color w:val="000000" w:themeColor="text1"/>
          <w:sz w:val="24"/>
          <w:highlight w:val="none"/>
          <w14:textFill>
            <w14:solidFill>
              <w14:schemeClr w14:val="tx1"/>
            </w14:solidFill>
          </w14:textFill>
        </w:rPr>
        <w:t>的潜在投标人应在政府采购云平台（www.zcygov.cn）上获取招标文件，并于</w:t>
      </w:r>
      <w:r>
        <w:rPr>
          <w:rFonts w:hint="eastAsia" w:ascii="仿宋" w:hAnsi="仿宋" w:eastAsia="仿宋" w:cs="仿宋"/>
          <w:color w:val="000000" w:themeColor="text1"/>
          <w:sz w:val="24"/>
          <w:highlight w:val="none"/>
          <w:u w:val="single"/>
          <w:lang w:eastAsia="zh-CN"/>
          <w14:textFill>
            <w14:solidFill>
              <w14:schemeClr w14:val="tx1"/>
            </w14:solidFill>
          </w14:textFill>
        </w:rPr>
        <w:t>2024年07月09日09时30分</w:t>
      </w:r>
      <w:r>
        <w:rPr>
          <w:rFonts w:hint="eastAsia" w:ascii="仿宋" w:hAnsi="仿宋" w:eastAsia="仿宋" w:cs="仿宋"/>
          <w:bCs/>
          <w:color w:val="000000" w:themeColor="text1"/>
          <w:sz w:val="24"/>
          <w:highlight w:val="none"/>
          <w14:textFill>
            <w14:solidFill>
              <w14:schemeClr w14:val="tx1"/>
            </w14:solidFill>
          </w14:textFill>
        </w:rPr>
        <w:t>（北京时间）前递交投标文件</w:t>
      </w:r>
      <w:r>
        <w:rPr>
          <w:rFonts w:hint="eastAsia" w:ascii="仿宋" w:hAnsi="仿宋" w:eastAsia="仿宋" w:cs="仿宋"/>
          <w:color w:val="000000" w:themeColor="text1"/>
          <w:sz w:val="24"/>
          <w:highlight w:val="none"/>
          <w14:textFill>
            <w14:solidFill>
              <w14:schemeClr w14:val="tx1"/>
            </w14:solidFill>
          </w14:textFill>
        </w:rPr>
        <w:t>。</w:t>
      </w:r>
    </w:p>
    <w:p>
      <w:pPr>
        <w:pStyle w:val="28"/>
        <w:spacing w:before="100" w:after="100" w:line="440" w:lineRule="exact"/>
        <w:rPr>
          <w:rFonts w:hint="eastAsia" w:ascii="仿宋" w:hAnsi="仿宋" w:eastAsia="仿宋" w:cs="仿宋"/>
          <w:bCs w:val="0"/>
          <w:color w:val="000000" w:themeColor="text1"/>
          <w:sz w:val="24"/>
          <w:szCs w:val="24"/>
          <w:highlight w:val="none"/>
          <w14:textFill>
            <w14:solidFill>
              <w14:schemeClr w14:val="tx1"/>
            </w14:solidFill>
          </w14:textFill>
        </w:rPr>
      </w:pPr>
      <w:bookmarkStart w:id="4" w:name="_Toc35393790"/>
      <w:bookmarkEnd w:id="4"/>
      <w:bookmarkStart w:id="5" w:name="_Toc28359002"/>
      <w:bookmarkEnd w:id="5"/>
      <w:bookmarkStart w:id="6" w:name="_Toc35393621"/>
      <w:bookmarkEnd w:id="6"/>
      <w:bookmarkStart w:id="7" w:name="_Toc28359079"/>
      <w:bookmarkEnd w:id="7"/>
      <w:bookmarkStart w:id="8" w:name="_Hlk24379207"/>
      <w:r>
        <w:rPr>
          <w:rFonts w:hint="eastAsia" w:ascii="仿宋" w:hAnsi="仿宋" w:eastAsia="仿宋" w:cs="仿宋"/>
          <w:bCs w:val="0"/>
          <w:color w:val="000000" w:themeColor="text1"/>
          <w:sz w:val="24"/>
          <w:szCs w:val="24"/>
          <w:highlight w:val="none"/>
          <w14:textFill>
            <w14:solidFill>
              <w14:schemeClr w14:val="tx1"/>
            </w14:solidFill>
          </w14:textFill>
        </w:rPr>
        <w:t>一、项目基本情况</w:t>
      </w:r>
    </w:p>
    <w:p>
      <w:pPr>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JYZFCG-2024-GK018</w:t>
      </w:r>
    </w:p>
    <w:p>
      <w:pPr>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lang w:eastAsia="zh-CN"/>
          <w14:textFill>
            <w14:solidFill>
              <w14:schemeClr w14:val="tx1"/>
            </w14:solidFill>
          </w14:textFill>
        </w:rPr>
        <w:t>常山县城区餐厨（厨余）垃圾收运处置服务项目</w:t>
      </w:r>
    </w:p>
    <w:p>
      <w:pPr>
        <w:pStyle w:val="43"/>
        <w:spacing w:line="440" w:lineRule="exact"/>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采购方式：公开招标</w:t>
      </w:r>
    </w:p>
    <w:bookmarkEnd w:id="8"/>
    <w:p>
      <w:pPr>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预算金额：</w:t>
      </w:r>
      <w:r>
        <w:rPr>
          <w:rFonts w:hint="eastAsia" w:ascii="仿宋" w:hAnsi="仿宋" w:eastAsia="仿宋" w:cs="仿宋"/>
          <w:color w:val="000000" w:themeColor="text1"/>
          <w:sz w:val="24"/>
          <w:highlight w:val="none"/>
          <w:lang w:eastAsia="zh-CN"/>
          <w14:textFill>
            <w14:solidFill>
              <w14:schemeClr w14:val="tx1"/>
            </w14:solidFill>
          </w14:textFill>
        </w:rPr>
        <w:t>222.65万元</w:t>
      </w:r>
    </w:p>
    <w:p>
      <w:pPr>
        <w:pStyle w:val="58"/>
        <w:spacing w:line="440" w:lineRule="exact"/>
        <w:ind w:left="900" w:hanging="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采购需求：</w:t>
      </w:r>
    </w:p>
    <w:tbl>
      <w:tblPr>
        <w:tblStyle w:val="17"/>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50"/>
        <w:gridCol w:w="855"/>
        <w:gridCol w:w="818"/>
        <w:gridCol w:w="1695"/>
        <w:gridCol w:w="2681"/>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650" w:type="dxa"/>
            <w:vAlign w:val="center"/>
          </w:tcPr>
          <w:p>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采购内容</w:t>
            </w:r>
          </w:p>
        </w:tc>
        <w:tc>
          <w:tcPr>
            <w:tcW w:w="855" w:type="dxa"/>
            <w:vAlign w:val="center"/>
          </w:tcPr>
          <w:p>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818" w:type="dxa"/>
            <w:vAlign w:val="center"/>
          </w:tcPr>
          <w:p>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1695" w:type="dxa"/>
            <w:vAlign w:val="center"/>
          </w:tcPr>
          <w:p>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采购预算总价</w:t>
            </w:r>
          </w:p>
        </w:tc>
        <w:tc>
          <w:tcPr>
            <w:tcW w:w="2681" w:type="dxa"/>
            <w:vAlign w:val="center"/>
          </w:tcPr>
          <w:p>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tc>
        <w:tc>
          <w:tcPr>
            <w:tcW w:w="886" w:type="dxa"/>
            <w:vAlign w:val="center"/>
          </w:tcPr>
          <w:p>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2650" w:type="dxa"/>
            <w:vAlign w:val="center"/>
          </w:tcPr>
          <w:p>
            <w:pPr>
              <w:pStyle w:val="58"/>
              <w:spacing w:after="0" w:line="440" w:lineRule="exact"/>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常山县城区餐厨（厨余）垃圾收运处置服务项目</w:t>
            </w:r>
          </w:p>
        </w:tc>
        <w:tc>
          <w:tcPr>
            <w:tcW w:w="855" w:type="dxa"/>
            <w:vAlign w:val="center"/>
          </w:tcPr>
          <w:p>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818" w:type="dxa"/>
            <w:vAlign w:val="center"/>
          </w:tcPr>
          <w:p>
            <w:pPr>
              <w:snapToGrid w:val="0"/>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w:t>
            </w:r>
          </w:p>
        </w:tc>
        <w:tc>
          <w:tcPr>
            <w:tcW w:w="1695" w:type="dxa"/>
            <w:vAlign w:val="center"/>
          </w:tcPr>
          <w:p>
            <w:pPr>
              <w:snapToGrid w:val="0"/>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222.65万元</w:t>
            </w:r>
          </w:p>
        </w:tc>
        <w:tc>
          <w:tcPr>
            <w:tcW w:w="2681" w:type="dxa"/>
            <w:vAlign w:val="center"/>
          </w:tcPr>
          <w:p>
            <w:pPr>
              <w:snapToGrid w:val="0"/>
              <w:spacing w:line="44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详见本采购文件第三章《招标内容及要求》</w:t>
            </w:r>
          </w:p>
        </w:tc>
        <w:tc>
          <w:tcPr>
            <w:tcW w:w="886" w:type="dxa"/>
            <w:vAlign w:val="center"/>
          </w:tcPr>
          <w:p>
            <w:pPr>
              <w:snapToGrid w:val="0"/>
              <w:spacing w:line="440" w:lineRule="exact"/>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合同履行期限：</w:t>
      </w:r>
      <w:r>
        <w:rPr>
          <w:rFonts w:hint="eastAsia" w:ascii="仿宋" w:hAnsi="仿宋" w:eastAsia="仿宋" w:cs="仿宋"/>
          <w:color w:val="000000" w:themeColor="text1"/>
          <w:sz w:val="24"/>
          <w:highlight w:val="none"/>
          <w:lang w:eastAsia="zh-CN"/>
          <w14:textFill>
            <w14:solidFill>
              <w14:schemeClr w14:val="tx1"/>
            </w14:solidFill>
          </w14:textFill>
        </w:rPr>
        <w:t>2024.7.27-2025.7.26</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本项目不接受联合体投标。</w:t>
      </w:r>
    </w:p>
    <w:p>
      <w:pPr>
        <w:pStyle w:val="28"/>
        <w:spacing w:before="100" w:after="100" w:line="440" w:lineRule="exact"/>
        <w:rPr>
          <w:rFonts w:hint="eastAsia" w:ascii="仿宋" w:hAnsi="仿宋" w:eastAsia="仿宋" w:cs="仿宋"/>
          <w:bCs w:val="0"/>
          <w:color w:val="000000" w:themeColor="text1"/>
          <w:sz w:val="24"/>
          <w:szCs w:val="24"/>
          <w:highlight w:val="none"/>
          <w14:textFill>
            <w14:solidFill>
              <w14:schemeClr w14:val="tx1"/>
            </w14:solidFill>
          </w14:textFill>
        </w:rPr>
      </w:pPr>
      <w:bookmarkStart w:id="9" w:name="_Toc28359003"/>
      <w:bookmarkEnd w:id="9"/>
      <w:bookmarkStart w:id="10" w:name="_Toc35393622"/>
      <w:bookmarkEnd w:id="10"/>
      <w:bookmarkStart w:id="11" w:name="_Toc28359080"/>
      <w:bookmarkEnd w:id="11"/>
      <w:bookmarkStart w:id="12" w:name="_Toc35393791"/>
      <w:bookmarkEnd w:id="12"/>
      <w:r>
        <w:rPr>
          <w:rFonts w:hint="eastAsia" w:ascii="仿宋" w:hAnsi="仿宋" w:eastAsia="仿宋" w:cs="仿宋"/>
          <w:bCs w:val="0"/>
          <w:color w:val="000000" w:themeColor="text1"/>
          <w:sz w:val="24"/>
          <w:szCs w:val="24"/>
          <w:highlight w:val="none"/>
          <w14:textFill>
            <w14:solidFill>
              <w14:schemeClr w14:val="tx1"/>
            </w14:solidFill>
          </w14:textFill>
        </w:rPr>
        <w:t>二、申请人的资格要求：</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3" w:name="_Toc35393623"/>
      <w:bookmarkStart w:id="14" w:name="_Toc35393792"/>
      <w:bookmarkStart w:id="15" w:name="_Toc28359004"/>
      <w:bookmarkStart w:id="16" w:name="_Toc28359081"/>
      <w:r>
        <w:rPr>
          <w:rFonts w:hint="eastAsia" w:ascii="仿宋" w:hAnsi="仿宋" w:eastAsia="仿宋" w:cs="仿宋"/>
          <w:color w:val="000000" w:themeColor="text1"/>
          <w:sz w:val="24"/>
          <w:highlight w:val="none"/>
          <w14:textFill>
            <w14:solidFill>
              <w14:schemeClr w14:val="tx1"/>
            </w14:solidFill>
          </w14:textFill>
        </w:rPr>
        <w:t>1.满足《中华人民共和国政府采购法》第二十二条规定。</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2.未被列入“信用中国”（www.creditchina.gov.cn）失信被执行人、重大税收违法案件当事人名单；未被列入中国政府采购网（www.ccgp.gov.cn）政府采购严重违法失信行为信息记录名单。</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w:t>
      </w:r>
      <w:r>
        <w:rPr>
          <w:rFonts w:hint="eastAsia" w:ascii="仿宋" w:hAnsi="仿宋" w:eastAsia="仿宋" w:cs="仿宋"/>
          <w:b/>
          <w:bCs/>
          <w:color w:val="000000" w:themeColor="text1"/>
          <w:sz w:val="24"/>
          <w:highlight w:val="none"/>
          <w14:textFill>
            <w14:solidFill>
              <w14:schemeClr w14:val="tx1"/>
            </w14:solidFill>
          </w14:textFill>
        </w:rPr>
        <w:t>无</w:t>
      </w:r>
      <w:r>
        <w:rPr>
          <w:rFonts w:hint="eastAsia" w:ascii="仿宋" w:hAnsi="仿宋" w:eastAsia="仿宋" w:cs="仿宋"/>
          <w:color w:val="000000" w:themeColor="text1"/>
          <w:sz w:val="24"/>
          <w:highlight w:val="none"/>
          <w14:textFill>
            <w14:solidFill>
              <w14:schemeClr w14:val="tx1"/>
            </w14:solidFill>
          </w14:textFill>
        </w:rPr>
        <w:t>。</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4.本项目的特定资格要求：无。</w:t>
      </w:r>
    </w:p>
    <w:bookmarkEnd w:id="13"/>
    <w:bookmarkEnd w:id="14"/>
    <w:bookmarkEnd w:id="15"/>
    <w:bookmarkEnd w:id="16"/>
    <w:p>
      <w:pPr>
        <w:pStyle w:val="28"/>
        <w:spacing w:before="100" w:after="100" w:line="440" w:lineRule="exact"/>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三、获取招标文件</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7" w:name="_Toc28359005"/>
      <w:bookmarkStart w:id="18" w:name="_Toc35393793"/>
      <w:bookmarkStart w:id="19" w:name="_Toc35393624"/>
      <w:bookmarkStart w:id="20" w:name="_Toc28359082"/>
      <w:r>
        <w:rPr>
          <w:rFonts w:hint="eastAsia" w:ascii="仿宋" w:hAnsi="仿宋" w:eastAsia="仿宋" w:cs="仿宋"/>
          <w:color w:val="000000" w:themeColor="text1"/>
          <w:sz w:val="24"/>
          <w:highlight w:val="none"/>
          <w14:textFill>
            <w14:solidFill>
              <w14:schemeClr w14:val="tx1"/>
            </w14:solidFill>
          </w14:textFill>
        </w:rPr>
        <w:t>1.获取时间：2024年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14</w:t>
      </w:r>
      <w:r>
        <w:rPr>
          <w:rFonts w:hint="eastAsia" w:ascii="仿宋" w:hAnsi="仿宋" w:eastAsia="仿宋" w:cs="仿宋"/>
          <w:color w:val="000000" w:themeColor="text1"/>
          <w:sz w:val="24"/>
          <w:highlight w:val="none"/>
          <w14:textFill>
            <w14:solidFill>
              <w14:schemeClr w14:val="tx1"/>
            </w14:solidFill>
          </w14:textFill>
        </w:rPr>
        <w:t>日至 2024年</w:t>
      </w:r>
      <w:r>
        <w:rPr>
          <w:rFonts w:hint="eastAsia" w:ascii="仿宋" w:hAnsi="仿宋" w:eastAsia="仿宋" w:cs="仿宋"/>
          <w:color w:val="000000" w:themeColor="text1"/>
          <w:sz w:val="24"/>
          <w:highlight w:val="none"/>
          <w:lang w:val="en-US" w:eastAsia="zh-CN"/>
          <w14:textFill>
            <w14:solidFill>
              <w14:schemeClr w14:val="tx1"/>
            </w14:solidFill>
          </w14:textFill>
        </w:rPr>
        <w:t>07</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09</w:t>
      </w:r>
      <w:r>
        <w:rPr>
          <w:rFonts w:hint="eastAsia" w:ascii="仿宋" w:hAnsi="仿宋" w:eastAsia="仿宋" w:cs="仿宋"/>
          <w:color w:val="000000" w:themeColor="text1"/>
          <w:sz w:val="24"/>
          <w:highlight w:val="none"/>
          <w14:textFill>
            <w14:solidFill>
              <w14:schemeClr w14:val="tx1"/>
            </w14:solidFill>
          </w14:textFill>
        </w:rPr>
        <w:t>日，每天上午00：00至12：00，下午12：00至23：59（北京时间）。</w:t>
      </w:r>
    </w:p>
    <w:p>
      <w:pPr>
        <w:spacing w:line="440" w:lineRule="exact"/>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2.本项目采购文件实行在线获取，不提供采购文件纸质版。供应商获取采购文件前应先完成“政府采购云平台--政府采购供应商入驻”（网址：</w:t>
      </w:r>
      <w:r>
        <w:rPr>
          <w:rFonts w:hint="eastAsia" w:ascii="仿宋" w:hAnsi="仿宋" w:eastAsia="仿宋" w:cs="仿宋"/>
          <w:b/>
          <w:color w:val="000000" w:themeColor="text1"/>
          <w:kern w:val="0"/>
          <w:sz w:val="24"/>
          <w:highlight w:val="none"/>
          <w:u w:val="single"/>
          <w14:textFill>
            <w14:solidFill>
              <w14:schemeClr w14:val="tx1"/>
            </w14:solidFill>
          </w14:textFill>
        </w:rPr>
        <w:t>https://middle.zcygov.cn/settle-front/#/registry）</w:t>
      </w:r>
      <w:r>
        <w:rPr>
          <w:rFonts w:hint="eastAsia" w:ascii="仿宋" w:hAnsi="仿宋" w:eastAsia="仿宋" w:cs="仿宋"/>
          <w:b/>
          <w:color w:val="000000" w:themeColor="text1"/>
          <w:kern w:val="0"/>
          <w:sz w:val="24"/>
          <w:highlight w:val="none"/>
          <w14:textFill>
            <w14:solidFill>
              <w14:schemeClr w14:val="tx1"/>
            </w14:solidFill>
          </w14:textFill>
        </w:rPr>
        <w:t>；已注册供应商：（直接登录</w:t>
      </w:r>
      <w:r>
        <w:rPr>
          <w:rFonts w:hint="eastAsia" w:ascii="仿宋" w:hAnsi="仿宋" w:eastAsia="仿宋" w:cs="仿宋"/>
          <w:b/>
          <w:color w:val="000000" w:themeColor="text1"/>
          <w:kern w:val="0"/>
          <w:sz w:val="24"/>
          <w:highlight w:val="none"/>
          <w:u w:val="single"/>
          <w14:textFill>
            <w14:solidFill>
              <w14:schemeClr w14:val="tx1"/>
            </w14:solidFill>
          </w14:textFill>
        </w:rPr>
        <w:t>https://login.zcygov.cn/user-login/#/login ）</w:t>
      </w:r>
      <w:r>
        <w:rPr>
          <w:rFonts w:hint="eastAsia" w:ascii="仿宋" w:hAnsi="仿宋" w:eastAsia="仿宋" w:cs="仿宋"/>
          <w:b/>
          <w:color w:val="000000" w:themeColor="text1"/>
          <w:kern w:val="0"/>
          <w:sz w:val="24"/>
          <w:highlight w:val="none"/>
          <w14:textFill>
            <w14:solidFill>
              <w14:schemeClr w14:val="tx1"/>
            </w14:solidFill>
          </w14:textFill>
        </w:rPr>
        <w:t>。</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方式：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44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注：请供应商按上述要求获取采购文件，如未在“政采云”系统内完成相关流程，引起的投标无效责任自负。</w:t>
      </w:r>
    </w:p>
    <w:bookmarkEnd w:id="17"/>
    <w:bookmarkEnd w:id="18"/>
    <w:bookmarkEnd w:id="19"/>
    <w:bookmarkEnd w:id="20"/>
    <w:p>
      <w:pPr>
        <w:pStyle w:val="28"/>
        <w:spacing w:before="100" w:after="100" w:line="440" w:lineRule="exact"/>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四、</w:t>
      </w:r>
      <w:r>
        <w:rPr>
          <w:rFonts w:hint="eastAsia" w:ascii="仿宋" w:hAnsi="仿宋" w:eastAsia="仿宋" w:cs="仿宋"/>
          <w:b w:val="0"/>
          <w:color w:val="000000" w:themeColor="text1"/>
          <w:sz w:val="24"/>
          <w:szCs w:val="24"/>
          <w:highlight w:val="none"/>
          <w14:textFill>
            <w14:solidFill>
              <w14:schemeClr w14:val="tx1"/>
            </w14:solidFill>
          </w14:textFill>
        </w:rPr>
        <w:t>提交投标文件截止时间、开标时间和地点</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截止时间、开标时间：</w:t>
      </w:r>
      <w:r>
        <w:rPr>
          <w:rFonts w:hint="eastAsia" w:ascii="仿宋" w:hAnsi="仿宋" w:eastAsia="仿宋" w:cs="仿宋"/>
          <w:bCs/>
          <w:color w:val="000000" w:themeColor="text1"/>
          <w:sz w:val="24"/>
          <w:highlight w:val="none"/>
          <w:u w:val="single"/>
          <w:lang w:eastAsia="zh-CN"/>
          <w14:textFill>
            <w14:solidFill>
              <w14:schemeClr w14:val="tx1"/>
            </w14:solidFill>
          </w14:textFill>
        </w:rPr>
        <w:t>2024年07月09日09时30分</w:t>
      </w:r>
      <w:r>
        <w:rPr>
          <w:rFonts w:hint="eastAsia" w:ascii="仿宋" w:hAnsi="仿宋" w:eastAsia="仿宋" w:cs="仿宋"/>
          <w:bCs/>
          <w:color w:val="000000" w:themeColor="text1"/>
          <w:sz w:val="24"/>
          <w:highlight w:val="none"/>
          <w:u w:val="single"/>
          <w14:textFill>
            <w14:solidFill>
              <w14:schemeClr w14:val="tx1"/>
            </w14:solidFill>
          </w14:textFill>
        </w:rPr>
        <w:t>（北</w:t>
      </w:r>
      <w:r>
        <w:rPr>
          <w:rFonts w:hint="eastAsia" w:ascii="仿宋" w:hAnsi="仿宋" w:eastAsia="仿宋" w:cs="仿宋"/>
          <w:bCs/>
          <w:color w:val="000000" w:themeColor="text1"/>
          <w:sz w:val="24"/>
          <w:highlight w:val="none"/>
          <w14:textFill>
            <w14:solidFill>
              <w14:schemeClr w14:val="tx1"/>
            </w14:solidFill>
          </w14:textFill>
        </w:rPr>
        <w:t>京时间）</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地点：政府采购云平台（www.zcygov.cn）</w:t>
      </w:r>
    </w:p>
    <w:p>
      <w:pPr>
        <w:pStyle w:val="28"/>
        <w:spacing w:before="100" w:after="100" w:line="440" w:lineRule="exact"/>
        <w:rPr>
          <w:rFonts w:hint="eastAsia" w:ascii="仿宋" w:hAnsi="仿宋" w:eastAsia="仿宋" w:cs="仿宋"/>
          <w:bCs w:val="0"/>
          <w:color w:val="000000" w:themeColor="text1"/>
          <w:sz w:val="24"/>
          <w:szCs w:val="24"/>
          <w:highlight w:val="none"/>
          <w14:textFill>
            <w14:solidFill>
              <w14:schemeClr w14:val="tx1"/>
            </w14:solidFill>
          </w14:textFill>
        </w:rPr>
      </w:pPr>
      <w:bookmarkStart w:id="21" w:name="_Toc28359084"/>
      <w:bookmarkEnd w:id="21"/>
      <w:bookmarkStart w:id="22" w:name="_Toc35393625"/>
      <w:bookmarkEnd w:id="22"/>
      <w:bookmarkStart w:id="23" w:name="_Toc28359007"/>
      <w:bookmarkEnd w:id="23"/>
      <w:bookmarkStart w:id="24" w:name="_Toc35393794"/>
      <w:bookmarkEnd w:id="24"/>
      <w:r>
        <w:rPr>
          <w:rFonts w:hint="eastAsia" w:ascii="仿宋" w:hAnsi="仿宋" w:eastAsia="仿宋" w:cs="仿宋"/>
          <w:bCs w:val="0"/>
          <w:color w:val="000000" w:themeColor="text1"/>
          <w:sz w:val="24"/>
          <w:szCs w:val="24"/>
          <w:highlight w:val="none"/>
          <w14:textFill>
            <w14:solidFill>
              <w14:schemeClr w14:val="tx1"/>
            </w14:solidFill>
          </w14:textFill>
        </w:rPr>
        <w:t>五、公告期限</w:t>
      </w:r>
    </w:p>
    <w:p>
      <w:pPr>
        <w:spacing w:line="44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自本公告发布之日起7个工作日。</w:t>
      </w:r>
    </w:p>
    <w:p>
      <w:pPr>
        <w:pStyle w:val="28"/>
        <w:spacing w:before="100" w:after="100" w:line="440" w:lineRule="exact"/>
        <w:rPr>
          <w:rFonts w:hint="eastAsia" w:ascii="仿宋" w:hAnsi="仿宋" w:eastAsia="仿宋" w:cs="仿宋"/>
          <w:bCs w:val="0"/>
          <w:color w:val="000000" w:themeColor="text1"/>
          <w:sz w:val="24"/>
          <w:szCs w:val="24"/>
          <w:highlight w:val="none"/>
          <w14:textFill>
            <w14:solidFill>
              <w14:schemeClr w14:val="tx1"/>
            </w14:solidFill>
          </w14:textFill>
        </w:rPr>
      </w:pPr>
      <w:bookmarkStart w:id="25" w:name="_Toc35393795"/>
      <w:bookmarkEnd w:id="25"/>
      <w:bookmarkStart w:id="26" w:name="_Toc35393626"/>
      <w:bookmarkEnd w:id="26"/>
      <w:r>
        <w:rPr>
          <w:rFonts w:hint="eastAsia" w:ascii="仿宋" w:hAnsi="仿宋" w:eastAsia="仿宋" w:cs="仿宋"/>
          <w:bCs w:val="0"/>
          <w:color w:val="000000" w:themeColor="text1"/>
          <w:sz w:val="24"/>
          <w:szCs w:val="24"/>
          <w:highlight w:val="none"/>
          <w14:textFill>
            <w14:solidFill>
              <w14:schemeClr w14:val="tx1"/>
            </w14:solidFill>
          </w14:textFill>
        </w:rPr>
        <w:t>六、其他补充事宜</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27" w:name="_Toc35393627"/>
      <w:bookmarkStart w:id="28" w:name="_Toc35393796"/>
      <w:bookmarkStart w:id="29" w:name="_Toc28359008"/>
      <w:bookmarkStart w:id="30" w:name="_Toc28359085"/>
      <w:r>
        <w:rPr>
          <w:rFonts w:hint="eastAsia" w:ascii="仿宋" w:hAnsi="仿宋" w:eastAsia="仿宋" w:cs="仿宋"/>
          <w:color w:val="000000" w:themeColor="text1"/>
          <w:sz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仿宋" w:hAnsi="仿宋" w:eastAsia="仿宋" w:cs="仿宋"/>
          <w:b/>
          <w:bCs/>
          <w:color w:val="000000" w:themeColor="text1"/>
          <w:sz w:val="24"/>
          <w:highlight w:val="none"/>
          <w14:textFill>
            <w14:solidFill>
              <w14:schemeClr w14:val="tx1"/>
            </w14:solidFill>
          </w14:textFill>
        </w:rPr>
        <w:t>质疑函范本、投诉书范本请到浙江政府采购网下载专区下载。</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4.在线投标（电子交易）说明</w:t>
      </w:r>
      <w:r>
        <w:rPr>
          <w:rFonts w:hint="eastAsia" w:ascii="仿宋" w:hAnsi="仿宋" w:eastAsia="仿宋" w:cs="仿宋"/>
          <w:b/>
          <w:bCs/>
          <w:color w:val="000000" w:themeColor="text1"/>
          <w:sz w:val="24"/>
          <w:highlight w:val="none"/>
          <w14:textFill>
            <w14:solidFill>
              <w14:schemeClr w14:val="tx1"/>
            </w14:solidFill>
          </w14:textFill>
        </w:rPr>
        <w:t>：</w:t>
      </w:r>
    </w:p>
    <w:p>
      <w:pPr>
        <w:pStyle w:val="33"/>
        <w:wordWrap w:val="0"/>
        <w:snapToGrid w:val="0"/>
        <w:spacing w:line="440" w:lineRule="exact"/>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4.1投标人应在投标前完成CA数字证书办理。（办理流程详见</w:t>
      </w:r>
      <w:r>
        <w:rPr>
          <w:rFonts w:hint="eastAsia" w:ascii="仿宋" w:hAnsi="仿宋" w:eastAsia="仿宋" w:cs="仿宋"/>
          <w:bCs/>
          <w:color w:val="000000" w:themeColor="text1"/>
          <w:kern w:val="0"/>
          <w:sz w:val="24"/>
          <w:szCs w:val="24"/>
          <w:highlight w:val="none"/>
          <w:u w:val="single"/>
          <w14:textFill>
            <w14:solidFill>
              <w14:schemeClr w14:val="tx1"/>
            </w14:solidFill>
          </w14:textFill>
        </w:rPr>
        <w:fldChar w:fldCharType="begin"/>
      </w:r>
      <w:r>
        <w:rPr>
          <w:rFonts w:hint="eastAsia" w:ascii="仿宋" w:hAnsi="仿宋" w:eastAsia="仿宋" w:cs="仿宋"/>
          <w:bCs/>
          <w:color w:val="000000" w:themeColor="text1"/>
          <w:kern w:val="0"/>
          <w:sz w:val="24"/>
          <w:szCs w:val="24"/>
          <w:highlight w:val="none"/>
          <w:u w:val="single"/>
          <w14:textFill>
            <w14:solidFill>
              <w14:schemeClr w14:val="tx1"/>
            </w14:solidFill>
          </w14:textFill>
        </w:rPr>
        <w:instrText xml:space="preserve"> HYPERLINK "http://zfcg.czt.zj.gov.cn/bidClientTemplate/2019-05-27/12945.html" </w:instrText>
      </w:r>
      <w:r>
        <w:rPr>
          <w:rFonts w:hint="eastAsia" w:ascii="仿宋" w:hAnsi="仿宋" w:eastAsia="仿宋" w:cs="仿宋"/>
          <w:bCs/>
          <w:color w:val="000000" w:themeColor="text1"/>
          <w:kern w:val="0"/>
          <w:sz w:val="24"/>
          <w:szCs w:val="24"/>
          <w:highlight w:val="none"/>
          <w:u w:val="single"/>
          <w14:textFill>
            <w14:solidFill>
              <w14:schemeClr w14:val="tx1"/>
            </w14:solidFill>
          </w14:textFill>
        </w:rPr>
        <w:fldChar w:fldCharType="separate"/>
      </w:r>
      <w:r>
        <w:rPr>
          <w:rFonts w:hint="eastAsia" w:ascii="仿宋" w:hAnsi="仿宋" w:eastAsia="仿宋" w:cs="仿宋"/>
          <w:bCs/>
          <w:color w:val="000000" w:themeColor="text1"/>
          <w:kern w:val="0"/>
          <w:sz w:val="24"/>
          <w:szCs w:val="24"/>
          <w:highlight w:val="none"/>
          <w:u w:val="single"/>
          <w14:textFill>
            <w14:solidFill>
              <w14:schemeClr w14:val="tx1"/>
            </w14:solidFill>
          </w14:textFill>
        </w:rPr>
        <w:t>http://zfcg.czt.zj.gov.cn/bidClientTemplate/2019-05-27/12945.html</w:t>
      </w:r>
      <w:r>
        <w:rPr>
          <w:rFonts w:hint="eastAsia" w:ascii="仿宋" w:hAnsi="仿宋" w:eastAsia="仿宋" w:cs="仿宋"/>
          <w:bCs/>
          <w:color w:val="000000" w:themeColor="text1"/>
          <w:kern w:val="0"/>
          <w:sz w:val="24"/>
          <w:szCs w:val="24"/>
          <w:highlight w:val="none"/>
          <w:u w:val="single"/>
          <w14:textFill>
            <w14:solidFill>
              <w14:schemeClr w14:val="tx1"/>
            </w14:solidFill>
          </w14:textFill>
        </w:rPr>
        <w:fldChar w:fldCharType="end"/>
      </w:r>
      <w:r>
        <w:rPr>
          <w:rFonts w:hint="eastAsia" w:ascii="仿宋" w:hAnsi="仿宋" w:eastAsia="仿宋" w:cs="仿宋"/>
          <w:bCs/>
          <w:color w:val="000000" w:themeColor="text1"/>
          <w:kern w:val="0"/>
          <w:sz w:val="24"/>
          <w:szCs w:val="24"/>
          <w:highlight w:val="none"/>
          <w14:textFill>
            <w14:solidFill>
              <w14:schemeClr w14:val="tx1"/>
            </w14:solidFill>
          </w14:textFill>
        </w:rPr>
        <w:t>，或登录“浙江政府采购网-下载专区-电子投标客户端-CA驱动和申领流程”）。</w:t>
      </w:r>
      <w:r>
        <w:rPr>
          <w:rFonts w:hint="eastAsia" w:ascii="仿宋" w:hAnsi="仿宋" w:eastAsia="仿宋" w:cs="仿宋"/>
          <w:b/>
          <w:color w:val="000000" w:themeColor="text1"/>
          <w:kern w:val="0"/>
          <w:sz w:val="24"/>
          <w:szCs w:val="24"/>
          <w:highlight w:val="none"/>
          <w14:textFill>
            <w14:solidFill>
              <w14:schemeClr w14:val="tx1"/>
            </w14:solidFill>
          </w14:textFill>
        </w:rPr>
        <w:t>完成CA数字证书办理预计一周左右，建议各投标人抓紧时间办理。</w:t>
      </w:r>
    </w:p>
    <w:p>
      <w:pPr>
        <w:pStyle w:val="33"/>
        <w:wordWrap w:val="0"/>
        <w:snapToGrid w:val="0"/>
        <w:spacing w:line="440" w:lineRule="exact"/>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4.2投标人通过“政采云电子交易客户端”制作响应文件。（“政采云电子交易客户端”下载详见</w:t>
      </w:r>
      <w:r>
        <w:rPr>
          <w:rFonts w:hint="eastAsia" w:ascii="仿宋" w:hAnsi="仿宋" w:eastAsia="仿宋" w:cs="仿宋"/>
          <w:bCs/>
          <w:color w:val="000000" w:themeColor="text1"/>
          <w:kern w:val="0"/>
          <w:sz w:val="24"/>
          <w:szCs w:val="24"/>
          <w:highlight w:val="none"/>
          <w:u w:val="single"/>
          <w14:textFill>
            <w14:solidFill>
              <w14:schemeClr w14:val="tx1"/>
            </w14:solidFill>
          </w14:textFill>
        </w:rPr>
        <w:fldChar w:fldCharType="begin"/>
      </w:r>
      <w:r>
        <w:rPr>
          <w:rFonts w:hint="eastAsia" w:ascii="仿宋" w:hAnsi="仿宋" w:eastAsia="仿宋" w:cs="仿宋"/>
          <w:bCs/>
          <w:color w:val="000000" w:themeColor="text1"/>
          <w:kern w:val="0"/>
          <w:sz w:val="24"/>
          <w:szCs w:val="24"/>
          <w:highlight w:val="none"/>
          <w:u w:val="single"/>
          <w14:textFill>
            <w14:solidFill>
              <w14:schemeClr w14:val="tx1"/>
            </w14:solidFill>
          </w14:textFill>
        </w:rPr>
        <w:instrText xml:space="preserve"> HYPERLINK "http://zfcg.czt.zj.gov.cn/bidClientTemplate/2019-09-24/12975.html" </w:instrText>
      </w:r>
      <w:r>
        <w:rPr>
          <w:rFonts w:hint="eastAsia" w:ascii="仿宋" w:hAnsi="仿宋" w:eastAsia="仿宋" w:cs="仿宋"/>
          <w:bCs/>
          <w:color w:val="000000" w:themeColor="text1"/>
          <w:kern w:val="0"/>
          <w:sz w:val="24"/>
          <w:szCs w:val="24"/>
          <w:highlight w:val="none"/>
          <w:u w:val="single"/>
          <w14:textFill>
            <w14:solidFill>
              <w14:schemeClr w14:val="tx1"/>
            </w14:solidFill>
          </w14:textFill>
        </w:rPr>
        <w:fldChar w:fldCharType="separate"/>
      </w:r>
      <w:r>
        <w:rPr>
          <w:rFonts w:hint="eastAsia" w:ascii="仿宋" w:hAnsi="仿宋" w:eastAsia="仿宋" w:cs="仿宋"/>
          <w:bCs/>
          <w:color w:val="000000" w:themeColor="text1"/>
          <w:kern w:val="0"/>
          <w:sz w:val="24"/>
          <w:szCs w:val="24"/>
          <w:highlight w:val="none"/>
          <w:u w:val="single"/>
          <w14:textFill>
            <w14:solidFill>
              <w14:schemeClr w14:val="tx1"/>
            </w14:solidFill>
          </w14:textFill>
        </w:rPr>
        <w:t>http://zfcg.czt.zj.gov.cn/bidClientTemplate/2019-09-24/12975.html</w:t>
      </w:r>
      <w:r>
        <w:rPr>
          <w:rFonts w:hint="eastAsia" w:ascii="仿宋" w:hAnsi="仿宋" w:eastAsia="仿宋" w:cs="仿宋"/>
          <w:bCs/>
          <w:color w:val="000000" w:themeColor="text1"/>
          <w:kern w:val="0"/>
          <w:sz w:val="24"/>
          <w:szCs w:val="24"/>
          <w:highlight w:val="none"/>
          <w:u w:val="single"/>
          <w14:textFill>
            <w14:solidFill>
              <w14:schemeClr w14:val="tx1"/>
            </w14:solidFill>
          </w14:textFill>
        </w:rPr>
        <w:fldChar w:fldCharType="end"/>
      </w:r>
      <w:r>
        <w:rPr>
          <w:rFonts w:hint="eastAsia" w:ascii="仿宋" w:hAnsi="仿宋" w:eastAsia="仿宋" w:cs="仿宋"/>
          <w:bCs/>
          <w:color w:val="000000" w:themeColor="text1"/>
          <w:kern w:val="0"/>
          <w:sz w:val="24"/>
          <w:szCs w:val="24"/>
          <w:highlight w:val="none"/>
          <w14:textFill>
            <w14:solidFill>
              <w14:schemeClr w14:val="tx1"/>
            </w14:solidFill>
          </w14:textFill>
        </w:rPr>
        <w:t>或登录“ 浙江政府采购网-下载专区- 电子投标客户端- 政采云电子交易客户端”）。</w:t>
      </w:r>
    </w:p>
    <w:p>
      <w:pPr>
        <w:pStyle w:val="33"/>
        <w:wordWrap w:val="0"/>
        <w:snapToGrid w:val="0"/>
        <w:spacing w:line="440" w:lineRule="exact"/>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4.3电子投标制作具体流程详见政府采购项目电子交易管理操作指南：【请投标供应商点击链接</w:t>
      </w:r>
      <w:r>
        <w:rPr>
          <w:rFonts w:hint="eastAsia" w:ascii="仿宋" w:hAnsi="仿宋" w:eastAsia="仿宋" w:cs="仿宋"/>
          <w:bCs/>
          <w:color w:val="000000" w:themeColor="text1"/>
          <w:kern w:val="0"/>
          <w:sz w:val="24"/>
          <w:szCs w:val="24"/>
          <w:highlight w:val="none"/>
          <w:u w:val="single"/>
          <w14:textFill>
            <w14:solidFill>
              <w14:schemeClr w14:val="tx1"/>
            </w14:solidFill>
          </w14:textFill>
        </w:rPr>
        <w:t>https://service.zcygov.cn/#/knowLEDges/CW1EtGwBFdiHxlNd6I3m/6IMVAG0BFdiHxlNdQ8Na</w:t>
      </w:r>
      <w:r>
        <w:rPr>
          <w:rFonts w:hint="eastAsia" w:ascii="仿宋" w:hAnsi="仿宋" w:eastAsia="仿宋" w:cs="仿宋"/>
          <w:bCs/>
          <w:color w:val="000000" w:themeColor="text1"/>
          <w:kern w:val="0"/>
          <w:sz w:val="24"/>
          <w:szCs w:val="24"/>
          <w:highlight w:val="none"/>
          <w14:textFill>
            <w14:solidFill>
              <w14:schemeClr w14:val="tx1"/>
            </w14:solidFill>
          </w14:textFill>
        </w:rPr>
        <w:t>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pPr>
        <w:spacing w:line="440" w:lineRule="exact"/>
        <w:ind w:firstLine="480" w:firstLineChars="200"/>
        <w:rPr>
          <w:rFonts w:hint="eastAsia"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4.4</w:t>
      </w:r>
      <w:r>
        <w:rPr>
          <w:rFonts w:hint="eastAsia" w:ascii="仿宋" w:hAnsi="仿宋" w:eastAsia="仿宋" w:cs="仿宋"/>
          <w:b/>
          <w:color w:val="000000" w:themeColor="text1"/>
          <w:kern w:val="0"/>
          <w:sz w:val="24"/>
          <w:highlight w:val="none"/>
          <w14:textFill>
            <w14:solidFill>
              <w14:schemeClr w14:val="tx1"/>
            </w14:solidFill>
          </w14:textFill>
        </w:rPr>
        <w:t>本项目投标文件的解密、报价文件确认等所使用的CA必须和制作</w:t>
      </w:r>
      <w:r>
        <w:rPr>
          <w:rFonts w:hint="eastAsia" w:ascii="仿宋" w:hAnsi="仿宋" w:eastAsia="仿宋" w:cs="仿宋"/>
          <w:b/>
          <w:color w:val="000000" w:themeColor="text1"/>
          <w:sz w:val="24"/>
          <w:highlight w:val="none"/>
          <w:lang w:val="zh-CN"/>
          <w14:textFill>
            <w14:solidFill>
              <w14:schemeClr w14:val="tx1"/>
            </w14:solidFill>
          </w14:textFill>
        </w:rPr>
        <w:t>电子加密投标文件时使用的</w:t>
      </w:r>
      <w:r>
        <w:rPr>
          <w:rFonts w:hint="eastAsia" w:ascii="仿宋" w:hAnsi="仿宋" w:eastAsia="仿宋" w:cs="仿宋"/>
          <w:b/>
          <w:color w:val="000000" w:themeColor="text1"/>
          <w:sz w:val="24"/>
          <w:highlight w:val="none"/>
          <w14:textFill>
            <w14:solidFill>
              <w14:schemeClr w14:val="tx1"/>
            </w14:solidFill>
          </w14:textFill>
        </w:rPr>
        <w:t>CA为</w:t>
      </w:r>
      <w:r>
        <w:rPr>
          <w:rFonts w:hint="eastAsia" w:ascii="仿宋" w:hAnsi="仿宋" w:eastAsia="仿宋" w:cs="仿宋"/>
          <w:b/>
          <w:color w:val="000000" w:themeColor="text1"/>
          <w:sz w:val="24"/>
          <w:highlight w:val="none"/>
          <w:lang w:val="zh-CN"/>
          <w14:textFill>
            <w14:solidFill>
              <w14:schemeClr w14:val="tx1"/>
            </w14:solidFill>
          </w14:textFill>
        </w:rPr>
        <w:t>同一个。</w:t>
      </w:r>
      <w:r>
        <w:rPr>
          <w:rFonts w:hint="eastAsia" w:ascii="仿宋" w:hAnsi="仿宋" w:eastAsia="仿宋" w:cs="仿宋"/>
          <w:bCs/>
          <w:color w:val="000000" w:themeColor="text1"/>
          <w:kern w:val="0"/>
          <w:sz w:val="24"/>
          <w:highlight w:val="none"/>
          <w14:textFill>
            <w14:solidFill>
              <w14:schemeClr w14:val="tx1"/>
            </w14:solidFill>
          </w14:textFill>
        </w:rPr>
        <w:t>为确保网上操作合法、有效和安全，投标供应商应当在投标截止时间前完成在“政府采购云平台”的身份认证，确保在电子投标过程中能够对相关数据电文进行加密和使用电子签章。</w:t>
      </w:r>
    </w:p>
    <w:p>
      <w:pPr>
        <w:pStyle w:val="58"/>
        <w:spacing w:line="440" w:lineRule="exact"/>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4.5本项目采用电子投标，供应商代表无需出席开标现场会议。开标时间前供应商登录“政府采购云平台”进入开标大厅等候开标。</w:t>
      </w:r>
    </w:p>
    <w:p>
      <w:pPr>
        <w:widowControl/>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5.政采</w:t>
      </w:r>
      <w:r>
        <w:rPr>
          <w:rFonts w:hint="eastAsia" w:ascii="仿宋" w:hAnsi="仿宋" w:eastAsia="仿宋" w:cs="仿宋"/>
          <w:color w:val="000000" w:themeColor="text1"/>
          <w:sz w:val="24"/>
          <w:highlight w:val="none"/>
          <w:lang w:val="zh-CN"/>
          <w14:textFill>
            <w14:solidFill>
              <w14:schemeClr w14:val="tx1"/>
            </w14:solidFill>
          </w14:textFill>
        </w:rPr>
        <w:t>贷</w:t>
      </w:r>
      <w:r>
        <w:rPr>
          <w:rFonts w:hint="eastAsia" w:ascii="仿宋" w:hAnsi="仿宋" w:eastAsia="仿宋" w:cs="仿宋"/>
          <w:b/>
          <w:bCs/>
          <w:color w:val="000000" w:themeColor="text1"/>
          <w:sz w:val="24"/>
          <w:highlight w:val="none"/>
          <w14:textFill>
            <w14:solidFill>
              <w14:schemeClr w14:val="tx1"/>
            </w14:solidFill>
          </w14:textFill>
        </w:rPr>
        <w:t>：</w:t>
      </w:r>
    </w:p>
    <w:p>
      <w:pPr>
        <w:widowControl/>
        <w:wordWrap w:val="0"/>
        <w:spacing w:line="440" w:lineRule="exact"/>
        <w:ind w:firstLine="482" w:firstLineChars="200"/>
        <w:jc w:val="left"/>
        <w:rPr>
          <w:rStyle w:val="60"/>
          <w:rFonts w:hint="eastAsia" w:ascii="仿宋" w:hAnsi="仿宋" w:eastAsia="仿宋" w:cs="仿宋"/>
          <w:color w:val="000000" w:themeColor="text1"/>
          <w:sz w:val="24"/>
          <w:highlight w:val="none"/>
          <w14:textFill>
            <w14:solidFill>
              <w14:schemeClr w14:val="tx1"/>
            </w14:solidFill>
          </w14:textFill>
        </w:rPr>
      </w:pPr>
      <w:r>
        <w:rPr>
          <w:rStyle w:val="60"/>
          <w:rFonts w:hint="eastAsia" w:ascii="仿宋" w:hAnsi="仿宋" w:eastAsia="仿宋" w:cs="仿宋"/>
          <w:color w:val="000000" w:themeColor="text1"/>
          <w:sz w:val="24"/>
          <w:highlight w:val="none"/>
          <w14:textFill>
            <w14:solidFill>
              <w14:schemeClr w14:val="tx1"/>
            </w14:solidFill>
          </w14:textFill>
        </w:rPr>
        <w:t>本采购项目，中标人与采购单位签订的政府采购合同适用于衢州市常山县政府采购贷款政策，简称“政采贷”，具体内容可参阅《常山县“政采贷”办理指引》</w:t>
      </w:r>
      <w:r>
        <w:rPr>
          <w:rFonts w:hint="eastAsia" w:ascii="仿宋" w:hAnsi="仿宋" w:eastAsia="仿宋" w:cs="仿宋"/>
          <w:color w:val="000000" w:themeColor="text1"/>
          <w:sz w:val="24"/>
          <w:highlight w:val="none"/>
          <w14:textFill>
            <w14:solidFill>
              <w14:schemeClr w14:val="tx1"/>
            </w14:solidFill>
          </w14:textFill>
        </w:rPr>
        <w:t>http://www.zjcs.gov.cn/art/2022/1/10/art_1229091236_4857590.html</w:t>
      </w:r>
    </w:p>
    <w:bookmarkEnd w:id="27"/>
    <w:bookmarkEnd w:id="28"/>
    <w:bookmarkEnd w:id="29"/>
    <w:bookmarkEnd w:id="30"/>
    <w:p>
      <w:pPr>
        <w:pStyle w:val="28"/>
        <w:numPr>
          <w:ilvl w:val="0"/>
          <w:numId w:val="3"/>
        </w:numPr>
        <w:spacing w:before="100" w:after="100" w:line="440" w:lineRule="exact"/>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对本次招标提出询问，请按以下方式联系。</w:t>
      </w:r>
    </w:p>
    <w:p>
      <w:pPr>
        <w:widowControl/>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1.采购人信息</w:t>
      </w:r>
    </w:p>
    <w:p>
      <w:pPr>
        <w:widowControl/>
        <w:spacing w:line="44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w:t>
      </w:r>
      <w:r>
        <w:rPr>
          <w:rFonts w:hint="eastAsia" w:ascii="仿宋" w:hAnsi="仿宋" w:eastAsia="仿宋" w:cs="仿宋"/>
          <w:color w:val="000000" w:themeColor="text1"/>
          <w:sz w:val="24"/>
          <w:highlight w:val="none"/>
          <w:lang w:eastAsia="zh-CN"/>
          <w14:textFill>
            <w14:solidFill>
              <w14:schemeClr w14:val="tx1"/>
            </w14:solidFill>
          </w14:textFill>
        </w:rPr>
        <w:t>常山县市容环卫中心</w:t>
      </w:r>
    </w:p>
    <w:p>
      <w:pPr>
        <w:widowControl/>
        <w:spacing w:line="440" w:lineRule="exact"/>
        <w:ind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王先生</w:t>
      </w:r>
    </w:p>
    <w:p>
      <w:pPr>
        <w:widowControl/>
        <w:spacing w:line="440" w:lineRule="exact"/>
        <w:ind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0570-5288062</w:t>
      </w:r>
    </w:p>
    <w:p>
      <w:pPr>
        <w:widowControl/>
        <w:spacing w:line="440" w:lineRule="exact"/>
        <w:ind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琚女士</w:t>
      </w:r>
    </w:p>
    <w:p>
      <w:pPr>
        <w:widowControl/>
        <w:spacing w:line="440" w:lineRule="exact"/>
        <w:ind w:firstLine="480" w:firstLineChars="200"/>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0570-5288003</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2.采购代理机构信息 </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称：浙江九越建设管理有限公司</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联系人：陈娇娇</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联系电话：15257055966</w:t>
      </w:r>
    </w:p>
    <w:p>
      <w:pPr>
        <w:widowControl/>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质疑联系人：盛赟</w:t>
      </w:r>
    </w:p>
    <w:p>
      <w:pPr>
        <w:widowControl/>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质疑联系方式：0570-5662932</w:t>
      </w:r>
    </w:p>
    <w:p>
      <w:pPr>
        <w:widowControl/>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3.同级政府采购监管部门：</w:t>
      </w:r>
    </w:p>
    <w:p>
      <w:pPr>
        <w:widowControl/>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称：常山县财政局政府采购监管科</w:t>
      </w:r>
    </w:p>
    <w:p>
      <w:pPr>
        <w:widowControl/>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地址：常山县天马街道定阳北路415号</w:t>
      </w:r>
    </w:p>
    <w:p>
      <w:pPr>
        <w:widowControl/>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联系人：李先生</w:t>
      </w:r>
    </w:p>
    <w:p>
      <w:pPr>
        <w:widowControl/>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监督投诉电话：0570-5015373</w:t>
      </w:r>
    </w:p>
    <w:p>
      <w:pPr>
        <w:spacing w:line="360" w:lineRule="auto"/>
        <w:ind w:firstLine="456" w:firstLineChars="190"/>
        <w:jc w:val="right"/>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56" w:firstLineChars="190"/>
        <w:jc w:val="right"/>
        <w:rPr>
          <w:rFonts w:hint="eastAsia" w:ascii="仿宋" w:hAnsi="仿宋" w:eastAsia="仿宋" w:cs="仿宋"/>
          <w:color w:val="000000" w:themeColor="text1"/>
          <w:sz w:val="24"/>
          <w:highlight w:val="none"/>
          <w14:textFill>
            <w14:solidFill>
              <w14:schemeClr w14:val="tx1"/>
            </w14:solidFill>
          </w14:textFill>
        </w:rPr>
      </w:pPr>
    </w:p>
    <w:bookmarkEnd w:id="2"/>
    <w:p>
      <w:pPr>
        <w:pStyle w:val="54"/>
        <w:shd w:val="clear" w:color="auto" w:fill="FFFFFF"/>
        <w:spacing w:before="0" w:beforeAutospacing="0" w:after="0" w:afterAutospacing="0"/>
        <w:jc w:val="both"/>
        <w:rPr>
          <w:rFonts w:hint="eastAsia" w:ascii="仿宋" w:hAnsi="仿宋" w:eastAsia="仿宋" w:cs="仿宋"/>
          <w:color w:val="000000" w:themeColor="text1"/>
          <w:kern w:val="2"/>
          <w:highlight w:val="none"/>
          <w14:textFill>
            <w14:solidFill>
              <w14:schemeClr w14:val="tx1"/>
            </w14:solidFill>
          </w14:textFill>
        </w:rPr>
      </w:pPr>
      <w:bookmarkStart w:id="31" w:name="_Toc222114875"/>
      <w:bookmarkStart w:id="32" w:name="_Toc223715994"/>
      <w:bookmarkStart w:id="33" w:name="_Toc241404198"/>
      <w:bookmarkStart w:id="34" w:name="_Toc221423615"/>
      <w:bookmarkStart w:id="35" w:name="_Toc245722277"/>
      <w:bookmarkStart w:id="36" w:name="_Toc221374622"/>
      <w:bookmarkStart w:id="37" w:name="_Toc249758708"/>
      <w:bookmarkStart w:id="38" w:name="_Toc221356882"/>
      <w:bookmarkStart w:id="39" w:name="_Toc221356947"/>
      <w:bookmarkStart w:id="40" w:name="_Toc249758860"/>
      <w:bookmarkStart w:id="41" w:name="_Toc262105499"/>
      <w:bookmarkStart w:id="42" w:name="_Toc239145350"/>
      <w:bookmarkStart w:id="43" w:name="_Toc262049414"/>
      <w:bookmarkStart w:id="44" w:name="_Toc246261261"/>
      <w:bookmarkStart w:id="45" w:name="_Toc245191310"/>
      <w:bookmarkStart w:id="46" w:name="_Toc410031812"/>
    </w:p>
    <w:p>
      <w:pPr>
        <w:pStyle w:val="54"/>
        <w:shd w:val="clear" w:color="auto" w:fill="FFFFFF"/>
        <w:spacing w:before="0" w:beforeAutospacing="0" w:after="0" w:afterAutospacing="0"/>
        <w:jc w:val="right"/>
        <w:rPr>
          <w:rFonts w:hint="eastAsia" w:ascii="仿宋" w:hAnsi="仿宋" w:eastAsia="仿宋" w:cs="仿宋"/>
          <w:color w:val="000000" w:themeColor="text1"/>
          <w:kern w:val="2"/>
          <w:highlight w:val="none"/>
          <w14:textFill>
            <w14:solidFill>
              <w14:schemeClr w14:val="tx1"/>
            </w14:solidFill>
          </w14:textFill>
        </w:rPr>
      </w:pPr>
    </w:p>
    <w:p>
      <w:pPr>
        <w:pStyle w:val="54"/>
        <w:shd w:val="clear" w:color="auto" w:fill="FFFFFF"/>
        <w:spacing w:before="0" w:beforeAutospacing="0" w:after="0" w:afterAutospacing="0" w:line="720" w:lineRule="auto"/>
        <w:jc w:val="right"/>
        <w:rPr>
          <w:rFonts w:hint="eastAsia" w:ascii="仿宋" w:hAnsi="仿宋" w:eastAsia="仿宋" w:cs="仿宋"/>
          <w:color w:val="000000" w:themeColor="text1"/>
          <w:kern w:val="2"/>
          <w:highlight w:val="none"/>
          <w:lang w:eastAsia="zh-CN"/>
          <w14:textFill>
            <w14:solidFill>
              <w14:schemeClr w14:val="tx1"/>
            </w14:solidFill>
          </w14:textFill>
        </w:rPr>
      </w:pPr>
      <w:r>
        <w:rPr>
          <w:rFonts w:hint="eastAsia" w:ascii="仿宋" w:hAnsi="仿宋" w:eastAsia="仿宋" w:cs="仿宋"/>
          <w:color w:val="000000" w:themeColor="text1"/>
          <w:kern w:val="2"/>
          <w:highlight w:val="none"/>
          <w:lang w:eastAsia="zh-CN"/>
          <w14:textFill>
            <w14:solidFill>
              <w14:schemeClr w14:val="tx1"/>
            </w14:solidFill>
          </w14:textFill>
        </w:rPr>
        <w:t>常山县市容环卫中心</w:t>
      </w:r>
    </w:p>
    <w:p>
      <w:pPr>
        <w:pStyle w:val="54"/>
        <w:shd w:val="clear" w:color="auto" w:fill="FFFFFF"/>
        <w:spacing w:before="0" w:beforeAutospacing="0" w:after="0" w:afterAutospacing="0" w:line="720" w:lineRule="auto"/>
        <w:jc w:val="right"/>
        <w:rPr>
          <w:rFonts w:hint="eastAsia" w:ascii="仿宋" w:hAnsi="仿宋" w:eastAsia="仿宋" w:cs="仿宋"/>
          <w:color w:val="000000" w:themeColor="text1"/>
          <w:kern w:val="2"/>
          <w:highlight w:val="none"/>
          <w14:textFill>
            <w14:solidFill>
              <w14:schemeClr w14:val="tx1"/>
            </w14:solidFill>
          </w14:textFill>
        </w:rPr>
      </w:pPr>
      <w:r>
        <w:rPr>
          <w:rFonts w:hint="eastAsia" w:ascii="仿宋" w:hAnsi="仿宋" w:eastAsia="仿宋" w:cs="仿宋"/>
          <w:color w:val="000000" w:themeColor="text1"/>
          <w:kern w:val="2"/>
          <w:highlight w:val="none"/>
          <w14:textFill>
            <w14:solidFill>
              <w14:schemeClr w14:val="tx1"/>
            </w14:solidFill>
          </w14:textFill>
        </w:rPr>
        <w:t>浙江九越建设管理有限公司</w:t>
      </w:r>
    </w:p>
    <w:p>
      <w:pPr>
        <w:pStyle w:val="54"/>
        <w:shd w:val="clear" w:color="auto" w:fill="FFFFFF"/>
        <w:spacing w:before="0" w:beforeAutospacing="0" w:after="0" w:afterAutospacing="0" w:line="720" w:lineRule="auto"/>
        <w:jc w:val="right"/>
        <w:rPr>
          <w:rFonts w:hint="eastAsia" w:ascii="仿宋" w:hAnsi="仿宋" w:eastAsia="仿宋" w:cs="仿宋"/>
          <w:color w:val="000000" w:themeColor="text1"/>
          <w:kern w:val="2"/>
          <w:highlight w:val="none"/>
          <w14:textFill>
            <w14:solidFill>
              <w14:schemeClr w14:val="tx1"/>
            </w14:solidFill>
          </w14:textFill>
        </w:rPr>
      </w:pPr>
      <w:bookmarkStart w:id="47" w:name="_Toc19851"/>
      <w:bookmarkStart w:id="48" w:name="_Toc2510"/>
      <w:r>
        <w:rPr>
          <w:rFonts w:hint="eastAsia" w:ascii="仿宋" w:hAnsi="仿宋" w:eastAsia="仿宋" w:cs="仿宋"/>
          <w:color w:val="000000" w:themeColor="text1"/>
          <w:kern w:val="2"/>
          <w:highlight w:val="none"/>
          <w14:textFill>
            <w14:solidFill>
              <w14:schemeClr w14:val="tx1"/>
            </w14:solidFill>
          </w14:textFill>
        </w:rPr>
        <w:t>2024年0</w:t>
      </w:r>
      <w:r>
        <w:rPr>
          <w:rFonts w:hint="eastAsia" w:ascii="仿宋" w:hAnsi="仿宋" w:eastAsia="仿宋" w:cs="仿宋"/>
          <w:color w:val="000000" w:themeColor="text1"/>
          <w:kern w:val="2"/>
          <w:highlight w:val="none"/>
          <w:lang w:val="en-US" w:eastAsia="zh-CN"/>
          <w14:textFill>
            <w14:solidFill>
              <w14:schemeClr w14:val="tx1"/>
            </w14:solidFill>
          </w14:textFill>
        </w:rPr>
        <w:t>6</w:t>
      </w:r>
      <w:r>
        <w:rPr>
          <w:rFonts w:hint="eastAsia" w:ascii="仿宋" w:hAnsi="仿宋" w:eastAsia="仿宋" w:cs="仿宋"/>
          <w:color w:val="000000" w:themeColor="text1"/>
          <w:kern w:val="2"/>
          <w:highlight w:val="none"/>
          <w14:textFill>
            <w14:solidFill>
              <w14:schemeClr w14:val="tx1"/>
            </w14:solidFill>
          </w14:textFill>
        </w:rPr>
        <w:t>月</w:t>
      </w:r>
    </w:p>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Pr>
        <w:pStyle w:val="20"/>
        <w:bidi w:val="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br w:type="page"/>
      </w:r>
      <w:bookmarkStart w:id="49" w:name="_Toc28752"/>
      <w:r>
        <w:rPr>
          <w:rStyle w:val="19"/>
          <w:rFonts w:hint="eastAsia" w:ascii="仿宋" w:hAnsi="仿宋" w:eastAsia="仿宋" w:cs="仿宋"/>
          <w:b/>
          <w:bCs/>
          <w:color w:val="000000" w:themeColor="text1"/>
          <w:sz w:val="28"/>
          <w:szCs w:val="28"/>
          <w:highlight w:val="none"/>
          <w14:textFill>
            <w14:solidFill>
              <w14:schemeClr w14:val="tx1"/>
            </w14:solidFill>
          </w14:textFill>
        </w:rPr>
        <w:t>第二章  投标人须知</w:t>
      </w:r>
      <w:bookmarkEnd w:id="49"/>
    </w:p>
    <w:p>
      <w:pPr>
        <w:spacing w:line="360" w:lineRule="auto"/>
        <w:jc w:val="center"/>
        <w:outlineLvl w:val="0"/>
        <w:rPr>
          <w:rFonts w:hint="eastAsia" w:ascii="仿宋" w:hAnsi="仿宋" w:eastAsia="仿宋" w:cs="仿宋"/>
          <w:b/>
          <w:bCs/>
          <w:color w:val="000000" w:themeColor="text1"/>
          <w:kern w:val="0"/>
          <w:sz w:val="24"/>
          <w:highlight w:val="none"/>
          <w14:textFill>
            <w14:solidFill>
              <w14:schemeClr w14:val="tx1"/>
            </w14:solidFill>
          </w14:textFill>
        </w:rPr>
      </w:pPr>
      <w:bookmarkStart w:id="50" w:name="_Toc5389"/>
      <w:bookmarkEnd w:id="50"/>
      <w:bookmarkStart w:id="51" w:name="_Toc11723"/>
      <w:r>
        <w:rPr>
          <w:rFonts w:hint="eastAsia" w:ascii="仿宋" w:hAnsi="仿宋" w:eastAsia="仿宋" w:cs="仿宋"/>
          <w:b/>
          <w:bCs/>
          <w:color w:val="000000" w:themeColor="text1"/>
          <w:kern w:val="0"/>
          <w:sz w:val="24"/>
          <w:highlight w:val="none"/>
          <w14:textFill>
            <w14:solidFill>
              <w14:schemeClr w14:val="tx1"/>
            </w14:solidFill>
          </w14:textFill>
        </w:rPr>
        <w:t>投标人须知前附表</w:t>
      </w:r>
      <w:bookmarkEnd w:id="51"/>
    </w:p>
    <w:tbl>
      <w:tblPr>
        <w:tblStyle w:val="17"/>
        <w:tblW w:w="10025" w:type="dxa"/>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2345"/>
        <w:gridCol w:w="6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70" w:type="dxa"/>
            <w:vAlign w:val="center"/>
          </w:tcPr>
          <w:p>
            <w:pPr>
              <w:autoSpaceDE w:val="0"/>
              <w:autoSpaceDN w:val="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序号</w:t>
            </w:r>
          </w:p>
        </w:tc>
        <w:tc>
          <w:tcPr>
            <w:tcW w:w="2345" w:type="dxa"/>
            <w:vAlign w:val="center"/>
          </w:tcPr>
          <w:p>
            <w:pPr>
              <w:autoSpaceDE w:val="0"/>
              <w:autoSpaceDN w:val="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项  目</w:t>
            </w:r>
          </w:p>
        </w:tc>
        <w:tc>
          <w:tcPr>
            <w:tcW w:w="6810" w:type="dxa"/>
            <w:vAlign w:val="center"/>
          </w:tcPr>
          <w:p>
            <w:pPr>
              <w:autoSpaceDE w:val="0"/>
              <w:autoSpaceDN w:val="0"/>
              <w:jc w:val="center"/>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2345" w:type="dxa"/>
            <w:vAlign w:val="center"/>
          </w:tcPr>
          <w:p>
            <w:pPr>
              <w:autoSpaceDE w:val="0"/>
              <w:autoSpaceDN w:val="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项目名称</w:t>
            </w:r>
          </w:p>
        </w:tc>
        <w:tc>
          <w:tcPr>
            <w:tcW w:w="6810"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常山县城区餐厨（厨余）垃圾收运处置服务项目</w:t>
            </w:r>
            <w:r>
              <w:rPr>
                <w:rFonts w:hint="eastAsia" w:ascii="仿宋" w:hAnsi="仿宋" w:eastAsia="仿宋" w:cs="仿宋"/>
                <w:color w:val="000000" w:themeColor="text1"/>
                <w:kern w:val="0"/>
                <w:sz w:val="24"/>
                <w:highlight w:val="non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2345" w:type="dxa"/>
            <w:vAlign w:val="center"/>
          </w:tcPr>
          <w:p>
            <w:pPr>
              <w:autoSpaceDE w:val="0"/>
              <w:autoSpaceDN w:val="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招标内容及需求</w:t>
            </w:r>
          </w:p>
        </w:tc>
        <w:tc>
          <w:tcPr>
            <w:tcW w:w="6810" w:type="dxa"/>
            <w:vAlign w:val="center"/>
          </w:tcPr>
          <w:p>
            <w:pPr>
              <w:autoSpaceDE w:val="0"/>
              <w:autoSpaceDN w:val="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详见招标文件第</w:t>
            </w:r>
            <w:r>
              <w:rPr>
                <w:rFonts w:hint="eastAsia" w:ascii="仿宋" w:hAnsi="仿宋" w:eastAsia="仿宋" w:cs="仿宋"/>
                <w:color w:val="000000" w:themeColor="text1"/>
                <w:kern w:val="0"/>
                <w:sz w:val="24"/>
                <w:highlight w:val="none"/>
                <w14:textFill>
                  <w14:solidFill>
                    <w14:schemeClr w14:val="tx1"/>
                  </w14:solidFill>
                </w14:textFill>
              </w:rPr>
              <w:t>三章“招标内容及要求”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p>
        </w:tc>
        <w:tc>
          <w:tcPr>
            <w:tcW w:w="2345" w:type="dxa"/>
            <w:vAlign w:val="center"/>
          </w:tcPr>
          <w:p>
            <w:pPr>
              <w:autoSpaceDE w:val="0"/>
              <w:autoSpaceDN w:val="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投标资格要求</w:t>
            </w:r>
          </w:p>
        </w:tc>
        <w:tc>
          <w:tcPr>
            <w:tcW w:w="6810" w:type="dxa"/>
            <w:vAlign w:val="center"/>
          </w:tcPr>
          <w:p>
            <w:pPr>
              <w:autoSpaceDE w:val="0"/>
              <w:autoSpaceDN w:val="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详见第一章“招标公告”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w:t>
            </w:r>
          </w:p>
        </w:tc>
        <w:tc>
          <w:tcPr>
            <w:tcW w:w="2345" w:type="dxa"/>
            <w:vAlign w:val="center"/>
          </w:tcPr>
          <w:p>
            <w:pPr>
              <w:autoSpaceDE w:val="0"/>
              <w:autoSpaceDN w:val="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采购预算（最高限价）</w:t>
            </w:r>
          </w:p>
        </w:tc>
        <w:tc>
          <w:tcPr>
            <w:tcW w:w="6810" w:type="dxa"/>
            <w:vAlign w:val="center"/>
          </w:tcPr>
          <w:p>
            <w:pPr>
              <w:autoSpaceDE w:val="0"/>
              <w:autoSpaceDN w:val="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本次采购预算：222.65万元；</w:t>
            </w:r>
          </w:p>
          <w:p>
            <w:pPr>
              <w:autoSpaceDE w:val="0"/>
              <w:autoSpaceDN w:val="0"/>
              <w:rPr>
                <w:rFonts w:hint="eastAsia"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▲由于采购需要，收运费最高综合单价为</w:t>
            </w:r>
            <w:r>
              <w:rPr>
                <w:rFonts w:hint="eastAsia" w:ascii="仿宋" w:hAnsi="仿宋" w:eastAsia="仿宋" w:cs="仿宋"/>
                <w:color w:val="000000" w:themeColor="text1"/>
                <w:kern w:val="0"/>
                <w:sz w:val="24"/>
                <w:highlight w:val="none"/>
                <w:lang w:val="en-US" w:eastAsia="zh-CN"/>
                <w14:textFill>
                  <w14:solidFill>
                    <w14:schemeClr w14:val="tx1"/>
                  </w14:solidFill>
                </w14:textFill>
              </w:rPr>
              <w:t>141.5</w:t>
            </w:r>
            <w:r>
              <w:rPr>
                <w:rFonts w:hint="eastAsia" w:ascii="仿宋" w:hAnsi="仿宋" w:eastAsia="仿宋" w:cs="仿宋"/>
                <w:color w:val="000000" w:themeColor="text1"/>
                <w:kern w:val="0"/>
                <w:sz w:val="24"/>
                <w:highlight w:val="none"/>
                <w:lang w:val="zh-CN"/>
                <w14:textFill>
                  <w14:solidFill>
                    <w14:schemeClr w14:val="tx1"/>
                  </w14:solidFill>
                </w14:textFill>
              </w:rPr>
              <w:t>元/吨，处置费最高综合单价为163.5元/吨（不许超过最高单价限价，超过作废标处理）。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w:t>
            </w:r>
          </w:p>
        </w:tc>
        <w:tc>
          <w:tcPr>
            <w:tcW w:w="2345" w:type="dxa"/>
            <w:vAlign w:val="center"/>
          </w:tcPr>
          <w:p>
            <w:pPr>
              <w:autoSpaceDE w:val="0"/>
              <w:autoSpaceDN w:val="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投标有效期</w:t>
            </w:r>
          </w:p>
        </w:tc>
        <w:tc>
          <w:tcPr>
            <w:tcW w:w="6810" w:type="dxa"/>
            <w:vAlign w:val="center"/>
          </w:tcPr>
          <w:p>
            <w:pPr>
              <w:autoSpaceDE w:val="0"/>
              <w:autoSpaceDN w:val="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投标书递交</w:t>
            </w:r>
            <w:r>
              <w:rPr>
                <w:rFonts w:hint="eastAsia" w:ascii="仿宋" w:hAnsi="仿宋" w:eastAsia="仿宋" w:cs="仿宋"/>
                <w:color w:val="000000" w:themeColor="text1"/>
                <w:kern w:val="0"/>
                <w:sz w:val="24"/>
                <w:highlight w:val="none"/>
                <w14:textFill>
                  <w14:solidFill>
                    <w14:schemeClr w14:val="tx1"/>
                  </w14:solidFill>
                </w14:textFill>
              </w:rPr>
              <w:t>90</w:t>
            </w:r>
            <w:r>
              <w:rPr>
                <w:rFonts w:hint="eastAsia" w:ascii="仿宋" w:hAnsi="仿宋" w:eastAsia="仿宋" w:cs="仿宋"/>
                <w:color w:val="000000" w:themeColor="text1"/>
                <w:kern w:val="0"/>
                <w:sz w:val="24"/>
                <w:highlight w:val="none"/>
                <w:lang w:val="zh-CN"/>
                <w14:textFill>
                  <w14:solidFill>
                    <w14:schemeClr w14:val="tx1"/>
                  </w14:solidFill>
                </w14:textFill>
              </w:rPr>
              <w:t>天内有效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w:t>
            </w:r>
          </w:p>
        </w:tc>
        <w:tc>
          <w:tcPr>
            <w:tcW w:w="2345" w:type="dxa"/>
            <w:vAlign w:val="center"/>
          </w:tcPr>
          <w:p>
            <w:pPr>
              <w:autoSpaceDE w:val="0"/>
              <w:autoSpaceDN w:val="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踏勘现场、标前会</w:t>
            </w:r>
          </w:p>
        </w:tc>
        <w:tc>
          <w:tcPr>
            <w:tcW w:w="6810"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本项目不组织踏勘现场和不集中答疑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w:t>
            </w:r>
          </w:p>
        </w:tc>
        <w:tc>
          <w:tcPr>
            <w:tcW w:w="2345" w:type="dxa"/>
            <w:vAlign w:val="center"/>
          </w:tcPr>
          <w:p>
            <w:pPr>
              <w:autoSpaceDE w:val="0"/>
              <w:autoSpaceDN w:val="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投标文件</w:t>
            </w:r>
            <w:r>
              <w:rPr>
                <w:rFonts w:hint="eastAsia" w:ascii="仿宋" w:hAnsi="仿宋" w:eastAsia="仿宋" w:cs="仿宋"/>
                <w:color w:val="000000" w:themeColor="text1"/>
                <w:kern w:val="0"/>
                <w:sz w:val="24"/>
                <w:highlight w:val="none"/>
                <w14:textFill>
                  <w14:solidFill>
                    <w14:schemeClr w14:val="tx1"/>
                  </w14:solidFill>
                </w14:textFill>
              </w:rPr>
              <w:t>递交</w:t>
            </w:r>
            <w:r>
              <w:rPr>
                <w:rFonts w:hint="eastAsia" w:ascii="仿宋" w:hAnsi="仿宋" w:eastAsia="仿宋" w:cs="仿宋"/>
                <w:color w:val="000000" w:themeColor="text1"/>
                <w:kern w:val="0"/>
                <w:sz w:val="24"/>
                <w:highlight w:val="none"/>
                <w:lang w:val="zh-CN"/>
                <w14:textFill>
                  <w14:solidFill>
                    <w14:schemeClr w14:val="tx1"/>
                  </w14:solidFill>
                </w14:textFill>
              </w:rPr>
              <w:t>截止时间</w:t>
            </w:r>
          </w:p>
        </w:tc>
        <w:tc>
          <w:tcPr>
            <w:tcW w:w="6810" w:type="dxa"/>
            <w:vAlign w:val="center"/>
          </w:tcPr>
          <w:p>
            <w:pPr>
              <w:autoSpaceDE w:val="0"/>
              <w:autoSpaceDN w:val="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2024年07月09日09时30分前（北京时间）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w:t>
            </w:r>
          </w:p>
        </w:tc>
        <w:tc>
          <w:tcPr>
            <w:tcW w:w="2345" w:type="dxa"/>
            <w:vAlign w:val="center"/>
          </w:tcPr>
          <w:p>
            <w:pPr>
              <w:autoSpaceDE w:val="0"/>
              <w:autoSpaceDN w:val="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开标时间及地址</w:t>
            </w:r>
          </w:p>
        </w:tc>
        <w:tc>
          <w:tcPr>
            <w:tcW w:w="6810"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时间:</w:t>
            </w:r>
            <w:r>
              <w:rPr>
                <w:rFonts w:hint="eastAsia" w:ascii="仿宋" w:hAnsi="仿宋" w:eastAsia="仿宋" w:cs="仿宋"/>
                <w:color w:val="000000" w:themeColor="text1"/>
                <w:kern w:val="0"/>
                <w:sz w:val="24"/>
                <w:highlight w:val="none"/>
                <w:lang w:val="zh-CN"/>
                <w14:textFill>
                  <w14:solidFill>
                    <w14:schemeClr w14:val="tx1"/>
                  </w14:solidFill>
                </w14:textFill>
              </w:rPr>
              <w:t>2024年07月09日09时30分</w:t>
            </w:r>
            <w:r>
              <w:rPr>
                <w:rFonts w:hint="eastAsia" w:ascii="仿宋" w:hAnsi="仿宋" w:eastAsia="仿宋" w:cs="仿宋"/>
                <w:color w:val="000000" w:themeColor="text1"/>
                <w:kern w:val="0"/>
                <w:sz w:val="24"/>
                <w:highlight w:val="none"/>
                <w14:textFill>
                  <w14:solidFill>
                    <w14:schemeClr w14:val="tx1"/>
                  </w14:solidFill>
                </w14:textFill>
              </w:rPr>
              <w:t>（北京时间）</w:t>
            </w:r>
          </w:p>
          <w:p>
            <w:pPr>
              <w:snapToGrid w:val="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地点：</w:t>
            </w:r>
            <w:r>
              <w:rPr>
                <w:rFonts w:hint="eastAsia" w:ascii="仿宋" w:hAnsi="仿宋" w:eastAsia="仿宋" w:cs="仿宋"/>
                <w:color w:val="000000" w:themeColor="text1"/>
                <w:kern w:val="0"/>
                <w:sz w:val="24"/>
                <w:highlight w:val="none"/>
                <w14:textFill>
                  <w14:solidFill>
                    <w14:schemeClr w14:val="tx1"/>
                  </w14:solidFill>
                </w14:textFill>
              </w:rPr>
              <w:t>衢州市公共资源交易常山县分中心(常山县紫港街道紫港路2号行政服务中心大楼附属楼2楼)；</w:t>
            </w:r>
            <w:r>
              <w:rPr>
                <w:rFonts w:hint="eastAsia" w:ascii="仿宋" w:hAnsi="仿宋" w:eastAsia="仿宋" w:cs="仿宋"/>
                <w:color w:val="000000" w:themeColor="text1"/>
                <w:sz w:val="24"/>
                <w:highlight w:val="none"/>
                <w14:textFill>
                  <w14:solidFill>
                    <w14:schemeClr w14:val="tx1"/>
                  </w14:solidFill>
                </w14:textFill>
              </w:rPr>
              <w:t>同步在“政采云远程开标大厅”在线开标。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9</w:t>
            </w:r>
          </w:p>
        </w:tc>
        <w:tc>
          <w:tcPr>
            <w:tcW w:w="2345" w:type="dxa"/>
            <w:vAlign w:val="center"/>
          </w:tcPr>
          <w:p>
            <w:pPr>
              <w:autoSpaceDE w:val="0"/>
              <w:autoSpaceDN w:val="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投标保证金</w:t>
            </w:r>
          </w:p>
        </w:tc>
        <w:tc>
          <w:tcPr>
            <w:tcW w:w="6810" w:type="dxa"/>
            <w:vAlign w:val="center"/>
          </w:tcPr>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1.根据《浙江省财政厅关于明确政府采购保证金管理工作的通知》（浙财采监〔2019〕5号）规定，本项目无需缴纳投标保证金。</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10</w:t>
            </w:r>
          </w:p>
        </w:tc>
        <w:tc>
          <w:tcPr>
            <w:tcW w:w="2345" w:type="dxa"/>
            <w:vAlign w:val="center"/>
          </w:tcPr>
          <w:p>
            <w:pPr>
              <w:autoSpaceDE w:val="0"/>
              <w:autoSpaceDN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评标委员会的组建</w:t>
            </w:r>
          </w:p>
        </w:tc>
        <w:tc>
          <w:tcPr>
            <w:tcW w:w="6810" w:type="dxa"/>
            <w:vAlign w:val="center"/>
          </w:tcPr>
          <w:p>
            <w:pPr>
              <w:rPr>
                <w:rFonts w:hint="eastAsia"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按规定组建评标委员会。</w:t>
            </w:r>
          </w:p>
          <w:p>
            <w:pPr>
              <w:snapToGrid w:val="0"/>
              <w:rPr>
                <w:rFonts w:hint="eastAsia"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评标专家确定方式：共5人组成，其中采购人代表1名，其余4名从“政采云专家库系统”中随机抽取产生。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11</w:t>
            </w:r>
          </w:p>
        </w:tc>
        <w:tc>
          <w:tcPr>
            <w:tcW w:w="2345" w:type="dxa"/>
            <w:vAlign w:val="center"/>
          </w:tcPr>
          <w:p>
            <w:pPr>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响应文件的组成、编制及在线投标响应（电子投标）说明</w:t>
            </w:r>
          </w:p>
        </w:tc>
        <w:tc>
          <w:tcPr>
            <w:tcW w:w="6810" w:type="dxa"/>
            <w:vAlign w:val="center"/>
          </w:tcPr>
          <w:p>
            <w:pPr>
              <w:snapToGrid w:val="0"/>
              <w:rPr>
                <w:rFonts w:hint="eastAsia" w:ascii="仿宋" w:hAnsi="仿宋" w:eastAsia="仿宋" w:cs="仿宋"/>
                <w:bCs/>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1.响应文件由资格审查资料、技术资信文件、报价文件组成。</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2.投标文件编制：供应商应先安装“政采云电子交易客户端”，并按照本采购文件和“政府采购云平台”的要求，通过“政采云电子交易客户端”编制并加密投标文件。</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3.投标文件的形式：☑电子投标文件（包括“电子加密投标文件”和“备份投标文件”，在投标文件编制完成后同时生成）；</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（1）“电子加密投标文件”是指通过“政采云电子交易客户端”完成投标文件编制后生成并加密的数据电文形式的投标文件。</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（2）“备份投标文件”是指与“电子加密投标文件”同时生成的数据电文形式的电子文件（备份标书），其他方式编制的备份投标文件视为无效备份投标文件。</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4.投标文件份数：（1）“电子加密投标文件”：在线上传一份。（2）“备份投标文件”：发送至邮箱：</w:t>
            </w:r>
            <w:r>
              <w:rPr>
                <w:rFonts w:hint="eastAsia" w:ascii="仿宋" w:hAnsi="仿宋" w:eastAsia="仿宋" w:cs="仿宋"/>
                <w:bCs/>
                <w:color w:val="000000" w:themeColor="text1"/>
                <w:kern w:val="0"/>
                <w:sz w:val="24"/>
                <w:highlight w:val="none"/>
                <w14:textFill>
                  <w14:solidFill>
                    <w14:schemeClr w14:val="tx1"/>
                  </w14:solidFill>
                </w14:textFill>
              </w:rPr>
              <w:t>1627136484@qq.com，按接收方邮箱收件箱所显示时间为准</w:t>
            </w:r>
            <w:r>
              <w:rPr>
                <w:rFonts w:hint="eastAsia" w:ascii="仿宋" w:hAnsi="仿宋" w:eastAsia="仿宋" w:cs="仿宋"/>
                <w:bCs/>
                <w:color w:val="000000" w:themeColor="text1"/>
                <w:kern w:val="0"/>
                <w:sz w:val="24"/>
                <w:highlight w:val="none"/>
                <w:lang w:val="zh-CN"/>
                <w14:textFill>
                  <w14:solidFill>
                    <w14:schemeClr w14:val="tx1"/>
                  </w14:solidFill>
                </w14:textFill>
              </w:rPr>
              <w:t>。</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5.投标文件的上传和递交：</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（1）“电子加密投标文件”的上传、递交：</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供应商应在投标截止时间前将“电子加密投标文件”成功上传递交至“政府采购云平台”，否则投标无效。</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（2）“备份投标文件”的递交：</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a.供应商在“政府采购云平台”完成“电子加密投标文件”的上传递交后，还可以（以</w:t>
            </w:r>
            <w:r>
              <w:rPr>
                <w:rFonts w:hint="eastAsia" w:ascii="仿宋" w:hAnsi="仿宋" w:eastAsia="仿宋" w:cs="仿宋"/>
                <w:bCs/>
                <w:color w:val="000000" w:themeColor="text1"/>
                <w:kern w:val="0"/>
                <w:sz w:val="24"/>
                <w:highlight w:val="none"/>
                <w14:textFill>
                  <w14:solidFill>
                    <w14:schemeClr w14:val="tx1"/>
                  </w14:solidFill>
                </w14:textFill>
              </w:rPr>
              <w:t>电子邮件的</w:t>
            </w:r>
            <w:r>
              <w:rPr>
                <w:rFonts w:hint="eastAsia" w:ascii="仿宋" w:hAnsi="仿宋" w:eastAsia="仿宋" w:cs="仿宋"/>
                <w:bCs/>
                <w:color w:val="000000" w:themeColor="text1"/>
                <w:kern w:val="0"/>
                <w:sz w:val="24"/>
                <w:highlight w:val="none"/>
                <w:lang w:val="zh-CN"/>
                <w14:textFill>
                  <w14:solidFill>
                    <w14:schemeClr w14:val="tx1"/>
                  </w14:solidFill>
                </w14:textFill>
              </w:rPr>
              <w:t>形式）在投标截止时间前发送一份 “备份投标文件”至邮箱：</w:t>
            </w:r>
            <w:r>
              <w:rPr>
                <w:rFonts w:hint="eastAsia" w:ascii="仿宋" w:hAnsi="仿宋" w:eastAsia="仿宋" w:cs="仿宋"/>
                <w:bCs/>
                <w:color w:val="000000" w:themeColor="text1"/>
                <w:kern w:val="0"/>
                <w:sz w:val="24"/>
                <w:highlight w:val="none"/>
                <w14:textFill>
                  <w14:solidFill>
                    <w14:schemeClr w14:val="tx1"/>
                  </w14:solidFill>
                </w14:textFill>
              </w:rPr>
              <w:t>1627136484@qq.com</w:t>
            </w:r>
            <w:r>
              <w:rPr>
                <w:rFonts w:hint="eastAsia" w:ascii="仿宋" w:hAnsi="仿宋" w:eastAsia="仿宋" w:cs="仿宋"/>
                <w:bCs/>
                <w:color w:val="000000" w:themeColor="text1"/>
                <w:kern w:val="0"/>
                <w:sz w:val="24"/>
                <w:highlight w:val="none"/>
                <w:lang w:val="zh-CN"/>
                <w14:textFill>
                  <w14:solidFill>
                    <w14:schemeClr w14:val="tx1"/>
                  </w14:solidFill>
                </w14:textFill>
              </w:rPr>
              <w:t>；</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6.电子加密投标文件的解密和异常情况处理：</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（1）开标后，采购组织机构将向各供应商发出“电子加密投标文件”的解密通知，各供应商代表应当在接到解密通知后</w:t>
            </w:r>
            <w:r>
              <w:rPr>
                <w:rFonts w:hint="eastAsia" w:ascii="仿宋" w:hAnsi="仿宋" w:eastAsia="仿宋" w:cs="仿宋"/>
                <w:bCs/>
                <w:color w:val="000000" w:themeColor="text1"/>
                <w:kern w:val="0"/>
                <w:sz w:val="24"/>
                <w:highlight w:val="none"/>
                <w14:textFill>
                  <w14:solidFill>
                    <w14:schemeClr w14:val="tx1"/>
                  </w14:solidFill>
                </w14:textFill>
              </w:rPr>
              <w:t>30</w:t>
            </w:r>
            <w:r>
              <w:rPr>
                <w:rFonts w:hint="eastAsia" w:ascii="仿宋" w:hAnsi="仿宋" w:eastAsia="仿宋" w:cs="仿宋"/>
                <w:bCs/>
                <w:color w:val="000000" w:themeColor="text1"/>
                <w:kern w:val="0"/>
                <w:sz w:val="24"/>
                <w:highlight w:val="none"/>
                <w:lang w:val="zh-CN"/>
                <w14:textFill>
                  <w14:solidFill>
                    <w14:schemeClr w14:val="tx1"/>
                  </w14:solidFill>
                </w14:textFill>
              </w:rPr>
              <w:t>分钟内自行完成“电子加密投标文件”的在线解密，超过解密时限，默认供应商自动放弃。</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（3）投标截止时间前，供应商仅递交了“备份投标文件”而未将电子加密投标文件上传至“政府采购云平台”的，投标无效。</w:t>
            </w:r>
          </w:p>
          <w:p>
            <w:pPr>
              <w:snapToGrid w:val="0"/>
              <w:rPr>
                <w:rFonts w:hint="eastAsia" w:ascii="仿宋" w:hAnsi="仿宋" w:eastAsia="仿宋" w:cs="仿宋"/>
                <w:bCs/>
                <w:color w:val="000000" w:themeColor="text1"/>
                <w:kern w:val="0"/>
                <w:sz w:val="24"/>
                <w:highlight w:val="none"/>
                <w:lang w:val="zh-CN"/>
                <w14:textFill>
                  <w14:solidFill>
                    <w14:schemeClr w14:val="tx1"/>
                  </w14:solidFill>
                </w14:textFill>
              </w:rPr>
            </w:pPr>
            <w:r>
              <w:rPr>
                <w:rFonts w:hint="eastAsia" w:ascii="仿宋" w:hAnsi="仿宋" w:eastAsia="仿宋" w:cs="仿宋"/>
                <w:bCs/>
                <w:color w:val="000000" w:themeColor="text1"/>
                <w:kern w:val="0"/>
                <w:sz w:val="24"/>
                <w:highlight w:val="none"/>
                <w:lang w:val="zh-CN"/>
                <w14:textFill>
                  <w14:solidFill>
                    <w14:schemeClr w14:val="tx1"/>
                  </w14:solidFill>
                </w14:textFill>
              </w:rPr>
              <w:t>7.投标截止后，在投标有效期内，供应商不能撤销投标文件。供应商强行撤销投标文件的，应按预算金额的2%赔偿对招标代理机构造成的损失。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13</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中标结果公告期限</w:t>
            </w:r>
          </w:p>
        </w:tc>
        <w:tc>
          <w:tcPr>
            <w:tcW w:w="6810" w:type="dxa"/>
            <w:vAlign w:val="center"/>
          </w:tcPr>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1个工作日</w:t>
            </w:r>
            <w:r>
              <w:rPr>
                <w:rFonts w:hint="eastAsia" w:ascii="仿宋" w:hAnsi="仿宋" w:eastAsia="仿宋" w:cs="仿宋"/>
                <w:color w:val="000000" w:themeColor="text1"/>
                <w:sz w:val="24"/>
                <w:highlight w:val="none"/>
                <w14:textFill>
                  <w14:solidFill>
                    <w14:schemeClr w14:val="tx1"/>
                  </w14:solidFill>
                </w14:textFill>
              </w:rPr>
              <w:t>（中标结果公告发布之日起至第2个工作日止）</w:t>
            </w:r>
            <w:r>
              <w:rPr>
                <w:rFonts w:hint="eastAsia" w:ascii="仿宋" w:hAnsi="仿宋" w:eastAsia="仿宋" w:cs="仿宋"/>
                <w:color w:val="000000" w:themeColor="text1"/>
                <w:kern w:val="0"/>
                <w:sz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履约保证金</w:t>
            </w:r>
            <w:r>
              <w:rPr>
                <w:rFonts w:hint="eastAsia" w:ascii="仿宋" w:hAnsi="仿宋" w:eastAsia="仿宋" w:cs="仿宋"/>
                <w:color w:val="000000" w:themeColor="text1"/>
                <w:kern w:val="0"/>
                <w:sz w:val="24"/>
                <w:highlight w:val="none"/>
                <w:lang w:eastAsia="zh-CN"/>
                <w14:textFill>
                  <w14:solidFill>
                    <w14:schemeClr w14:val="tx1"/>
                  </w14:solidFill>
                </w14:textFill>
              </w:rPr>
              <w:t>缴纳</w:t>
            </w:r>
          </w:p>
        </w:tc>
        <w:tc>
          <w:tcPr>
            <w:tcW w:w="6810"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履约保证金退还</w:t>
            </w:r>
          </w:p>
        </w:tc>
        <w:tc>
          <w:tcPr>
            <w:tcW w:w="6810"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16</w:t>
            </w:r>
          </w:p>
        </w:tc>
        <w:tc>
          <w:tcPr>
            <w:tcW w:w="2345" w:type="dxa"/>
            <w:vAlign w:val="center"/>
          </w:tcPr>
          <w:p>
            <w:pPr>
              <w:pStyle w:val="33"/>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公告及澄清文件</w:t>
            </w:r>
          </w:p>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发布网址</w:t>
            </w:r>
          </w:p>
        </w:tc>
        <w:tc>
          <w:tcPr>
            <w:tcW w:w="6810" w:type="dxa"/>
            <w:vAlign w:val="center"/>
          </w:tcPr>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浙江政府采购网（http://zfcg.czt.zj.gov.cn/）、常山县人民政府网（</w:t>
            </w:r>
            <w:r>
              <w:rPr>
                <w:rFonts w:hint="eastAsia" w:ascii="仿宋" w:hAnsi="仿宋" w:eastAsia="仿宋" w:cs="仿宋"/>
                <w:color w:val="000000" w:themeColor="text1"/>
                <w:kern w:val="0"/>
                <w:sz w:val="24"/>
                <w:highlight w:val="none"/>
                <w14:textFill>
                  <w14:solidFill>
                    <w14:schemeClr w14:val="tx1"/>
                  </w14:solidFill>
                </w14:textFill>
              </w:rPr>
              <w:fldChar w:fldCharType="begin"/>
            </w:r>
            <w:r>
              <w:rPr>
                <w:rFonts w:hint="eastAsia" w:ascii="仿宋" w:hAnsi="仿宋" w:eastAsia="仿宋" w:cs="仿宋"/>
                <w:color w:val="000000" w:themeColor="text1"/>
                <w:kern w:val="0"/>
                <w:sz w:val="24"/>
                <w:highlight w:val="none"/>
                <w14:textFill>
                  <w14:solidFill>
                    <w14:schemeClr w14:val="tx1"/>
                  </w14:solidFill>
                </w14:textFill>
              </w:rPr>
              <w:instrText xml:space="preserve"> INCLUDEPICTURE "C:\\Users\\Administrator\\Documents\\WeChat Files\\yanghuiliang053675\\FileStorage\\MsgAttach\\b46c46e58651204807a651f3fcf077bf\\File\\Library\\Containers\\com.tencent.xinWeChat\\Data\\Library\\Application Support\\com.tencent.xinWeChat\\2.0b4.0.9\\b46c46e58651204807a651f3fcf077bf\\Message\\MessageTemp\\542caf6532cabb18e05020b31a784947\\File\\" \* MERGEFORMAT \d </w:instrText>
            </w:r>
            <w:r>
              <w:rPr>
                <w:rFonts w:hint="eastAsia" w:ascii="仿宋" w:hAnsi="仿宋" w:eastAsia="仿宋" w:cs="仿宋"/>
                <w:color w:val="000000" w:themeColor="text1"/>
                <w:kern w:val="0"/>
                <w:sz w:val="24"/>
                <w:highlight w:val="none"/>
                <w14:textFill>
                  <w14:solidFill>
                    <w14:schemeClr w14:val="tx1"/>
                  </w14:solidFill>
                </w14:textFill>
              </w:rPr>
              <w:fldChar w:fldCharType="separate"/>
            </w:r>
            <w:r>
              <w:rPr>
                <w:rFonts w:hint="eastAsia" w:ascii="仿宋" w:hAnsi="仿宋" w:eastAsia="仿宋" w:cs="仿宋"/>
                <w:color w:val="000000" w:themeColor="text1"/>
                <w:kern w:val="0"/>
                <w:sz w:val="24"/>
                <w:highlight w:val="none"/>
                <w14:textFill>
                  <w14:solidFill>
                    <w14:schemeClr w14:val="tx1"/>
                  </w14:solidFill>
                </w14:textFill>
              </w:rPr>
              <w:drawing>
                <wp:inline distT="0" distB="0" distL="0" distR="0">
                  <wp:extent cx="189865" cy="142240"/>
                  <wp:effectExtent l="0" t="0" r="635" b="10160"/>
                  <wp:docPr id="1" name="_x0000_i1062"/>
                  <wp:cNvGraphicFramePr/>
                  <a:graphic xmlns:a="http://schemas.openxmlformats.org/drawingml/2006/main">
                    <a:graphicData uri="http://schemas.openxmlformats.org/drawingml/2006/picture">
                      <pic:pic xmlns:pic="http://schemas.openxmlformats.org/drawingml/2006/picture">
                        <pic:nvPicPr>
                          <pic:cNvPr id="1" name="_x0000_i1062"/>
                          <pic:cNvPicPr/>
                        </pic:nvPicPr>
                        <pic:blipFill>
                          <a:blip r:embed="rId9"/>
                          <a:stretch>
                            <a:fillRect/>
                          </a:stretch>
                        </pic:blipFill>
                        <pic:spPr>
                          <a:xfrm>
                            <a:off x="0" y="0"/>
                            <a:ext cx="190433" cy="142808"/>
                          </a:xfrm>
                          <a:prstGeom prst="rect">
                            <a:avLst/>
                          </a:prstGeom>
                        </pic:spPr>
                      </pic:pic>
                    </a:graphicData>
                  </a:graphic>
                </wp:inline>
              </w:drawing>
            </w:r>
            <w:r>
              <w:rPr>
                <w:rFonts w:hint="eastAsia" w:ascii="仿宋" w:hAnsi="仿宋" w:eastAsia="仿宋" w:cs="仿宋"/>
                <w:color w:val="000000" w:themeColor="text1"/>
                <w:kern w:val="0"/>
                <w:sz w:val="24"/>
                <w:highlight w:val="none"/>
                <w14:textFill>
                  <w14:solidFill>
                    <w14:schemeClr w14:val="tx1"/>
                  </w14:solidFill>
                </w14:textFill>
              </w:rPr>
              <w:fldChar w:fldCharType="end"/>
            </w:r>
            <w:r>
              <w:rPr>
                <w:rFonts w:hint="eastAsia" w:ascii="仿宋" w:hAnsi="仿宋" w:eastAsia="仿宋" w:cs="仿宋"/>
                <w:color w:val="000000" w:themeColor="text1"/>
                <w:kern w:val="0"/>
                <w:sz w:val="24"/>
                <w:highlight w:val="none"/>
                <w14:textFill>
                  <w14:solidFill>
                    <w14:schemeClr w14:val="tx1"/>
                  </w14:solidFill>
                </w14:textFill>
              </w:rPr>
              <w:t>http://www.zjcs.gov.cn/）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17</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签订合同</w:t>
            </w:r>
          </w:p>
        </w:tc>
        <w:tc>
          <w:tcPr>
            <w:tcW w:w="6810" w:type="dxa"/>
            <w:vAlign w:val="center"/>
          </w:tcPr>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采购人应当自中标通知书发出之日起30日内，按照采购文件和中标人投标文件的规定，与中标人签订书面合同。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18</w:t>
            </w:r>
          </w:p>
        </w:tc>
        <w:tc>
          <w:tcPr>
            <w:tcW w:w="2345" w:type="dxa"/>
            <w:vAlign w:val="center"/>
          </w:tcPr>
          <w:p>
            <w:pPr>
              <w:autoSpaceDE w:val="0"/>
              <w:autoSpaceDN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合同备案</w:t>
            </w:r>
          </w:p>
        </w:tc>
        <w:tc>
          <w:tcPr>
            <w:tcW w:w="6810" w:type="dxa"/>
            <w:vAlign w:val="center"/>
          </w:tcPr>
          <w:p>
            <w:pPr>
              <w:snapToGrid w:val="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中标人与采购人签订合同后，2日历天内将合同扫描件电子版发送至邮箱：</w:t>
            </w:r>
            <w:r>
              <w:rPr>
                <w:rFonts w:hint="eastAsia" w:ascii="仿宋" w:hAnsi="仿宋" w:eastAsia="仿宋" w:cs="仿宋"/>
                <w:b/>
                <w:bCs/>
                <w:color w:val="000000" w:themeColor="text1"/>
                <w:kern w:val="0"/>
                <w:sz w:val="24"/>
                <w:highlight w:val="none"/>
                <w:u w:val="single"/>
                <w14:textFill>
                  <w14:solidFill>
                    <w14:schemeClr w14:val="tx1"/>
                  </w14:solidFill>
                </w14:textFill>
              </w:rPr>
              <w:t>1627136484@qq.com</w:t>
            </w:r>
            <w:r>
              <w:rPr>
                <w:rFonts w:hint="eastAsia" w:ascii="仿宋" w:hAnsi="仿宋" w:eastAsia="仿宋" w:cs="仿宋"/>
                <w:b/>
                <w:bCs/>
                <w:color w:val="000000" w:themeColor="text1"/>
                <w:kern w:val="0"/>
                <w:sz w:val="24"/>
                <w:highlight w:val="none"/>
                <w14:textFill>
                  <w14:solidFill>
                    <w14:schemeClr w14:val="tx1"/>
                  </w14:solidFill>
                </w14:textFill>
              </w:rPr>
              <w:t>；本项目政府采购合同按规定在浙江政府采购网（http://zfcg.czt.zj.gov.cn/）予以公告。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w:t>
            </w:r>
          </w:p>
        </w:tc>
        <w:tc>
          <w:tcPr>
            <w:tcW w:w="2345" w:type="dxa"/>
            <w:vAlign w:val="center"/>
          </w:tcPr>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中标候选人及中标人</w:t>
            </w:r>
          </w:p>
        </w:tc>
        <w:tc>
          <w:tcPr>
            <w:tcW w:w="6810" w:type="dxa"/>
            <w:vAlign w:val="center"/>
          </w:tcPr>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评审得分最高的投标人为排名第一的中标候选人，采购单位根据评标委员会的推荐结果最终确认一名中标人。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2" w:hRule="atLeast"/>
        </w:trPr>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bookmarkStart w:id="52" w:name="_Toc223715995"/>
            <w:bookmarkStart w:id="53" w:name="_Toc262049415"/>
            <w:bookmarkStart w:id="54" w:name="_Toc241404199"/>
            <w:bookmarkStart w:id="55" w:name="_Toc249758709"/>
            <w:bookmarkStart w:id="56" w:name="_Toc221356883"/>
            <w:bookmarkStart w:id="57" w:name="_Toc11875"/>
            <w:bookmarkStart w:id="58" w:name="_Toc245722278"/>
            <w:bookmarkStart w:id="59" w:name="_Toc410031813"/>
            <w:bookmarkStart w:id="60" w:name="_Toc239145351"/>
            <w:bookmarkStart w:id="61" w:name="_Toc246261262"/>
            <w:bookmarkStart w:id="62" w:name="_Toc222114876"/>
            <w:bookmarkStart w:id="63" w:name="_Toc262105500"/>
            <w:bookmarkStart w:id="64" w:name="_Toc249758861"/>
            <w:bookmarkStart w:id="65" w:name="_Toc245191311"/>
            <w:bookmarkStart w:id="66" w:name="_Toc221356948"/>
            <w:bookmarkStart w:id="67" w:name="_Toc221423616"/>
            <w:bookmarkStart w:id="68" w:name="_Toc221374623"/>
            <w:r>
              <w:rPr>
                <w:rFonts w:hint="eastAsia" w:ascii="仿宋" w:hAnsi="仿宋" w:eastAsia="仿宋" w:cs="仿宋"/>
                <w:color w:val="000000" w:themeColor="text1"/>
                <w:kern w:val="0"/>
                <w:sz w:val="24"/>
                <w:highlight w:val="none"/>
                <w14:textFill>
                  <w14:solidFill>
                    <w14:schemeClr w14:val="tx1"/>
                  </w14:solidFill>
                </w14:textFill>
              </w:rPr>
              <w:t>20</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采购文件答疑</w:t>
            </w:r>
          </w:p>
        </w:tc>
        <w:tc>
          <w:tcPr>
            <w:tcW w:w="6810" w:type="dxa"/>
            <w:vAlign w:val="center"/>
          </w:tcPr>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如认为采购文件存在含糊不清、相互矛盾、多种含义以及歧视性不公正条款或违法违规等内容时，请在收到采购文件之日或者采购文件公告期限届满之日起7个工作日内将要求答疑的内容署名并盖章后以扫描件形式发送至 </w:t>
            </w:r>
            <w:r>
              <w:rPr>
                <w:rFonts w:hint="eastAsia" w:ascii="仿宋" w:hAnsi="仿宋" w:eastAsia="仿宋" w:cs="仿宋"/>
                <w:color w:val="000000" w:themeColor="text1"/>
                <w:kern w:val="0"/>
                <w:sz w:val="24"/>
                <w:highlight w:val="none"/>
                <w14:textFill>
                  <w14:solidFill>
                    <w14:schemeClr w14:val="tx1"/>
                  </w14:solidFill>
                </w14:textFill>
              </w:rPr>
              <w:fldChar w:fldCharType="begin"/>
            </w:r>
            <w:r>
              <w:rPr>
                <w:rFonts w:hint="eastAsia" w:ascii="仿宋" w:hAnsi="仿宋" w:eastAsia="仿宋" w:cs="仿宋"/>
                <w:color w:val="000000" w:themeColor="text1"/>
                <w:kern w:val="0"/>
                <w:sz w:val="24"/>
                <w:highlight w:val="none"/>
                <w14:textFill>
                  <w14:solidFill>
                    <w14:schemeClr w14:val="tx1"/>
                  </w14:solidFill>
                </w14:textFill>
              </w:rPr>
              <w:instrText xml:space="preserve"> HYPERLINK "mailto:1653374491@qq.com" </w:instrText>
            </w:r>
            <w:r>
              <w:rPr>
                <w:rFonts w:hint="eastAsia" w:ascii="仿宋" w:hAnsi="仿宋" w:eastAsia="仿宋" w:cs="仿宋"/>
                <w:color w:val="000000" w:themeColor="text1"/>
                <w:kern w:val="0"/>
                <w:sz w:val="24"/>
                <w:highlight w:val="none"/>
                <w14:textFill>
                  <w14:solidFill>
                    <w14:schemeClr w14:val="tx1"/>
                  </w14:solidFill>
                </w14:textFill>
              </w:rPr>
              <w:fldChar w:fldCharType="separate"/>
            </w:r>
            <w:r>
              <w:rPr>
                <w:rFonts w:hint="eastAsia" w:ascii="仿宋" w:hAnsi="仿宋" w:eastAsia="仿宋" w:cs="仿宋"/>
                <w:color w:val="000000" w:themeColor="text1"/>
                <w:kern w:val="0"/>
                <w:sz w:val="24"/>
                <w:highlight w:val="none"/>
                <w14:textFill>
                  <w14:solidFill>
                    <w14:schemeClr w14:val="tx1"/>
                  </w14:solidFill>
                </w14:textFill>
              </w:rPr>
              <w:t>1627136484@qq.com</w:t>
            </w:r>
            <w:r>
              <w:rPr>
                <w:rFonts w:hint="eastAsia" w:ascii="仿宋" w:hAnsi="仿宋" w:eastAsia="仿宋" w:cs="仿宋"/>
                <w:color w:val="000000" w:themeColor="text1"/>
                <w:kern w:val="0"/>
                <w:sz w:val="24"/>
                <w:highlight w:val="none"/>
                <w14:textFill>
                  <w14:solidFill>
                    <w14:schemeClr w14:val="tx1"/>
                  </w14:solidFill>
                </w14:textFill>
              </w:rPr>
              <w:fldChar w:fldCharType="end"/>
            </w:r>
            <w:r>
              <w:rPr>
                <w:rFonts w:hint="eastAsia" w:ascii="仿宋" w:hAnsi="仿宋" w:eastAsia="仿宋" w:cs="仿宋"/>
                <w:color w:val="000000" w:themeColor="text1"/>
                <w:kern w:val="0"/>
                <w:sz w:val="24"/>
                <w:highlight w:val="none"/>
                <w14:textFill>
                  <w14:solidFill>
                    <w14:schemeClr w14:val="tx1"/>
                  </w14:solidFill>
                </w14:textFill>
              </w:rPr>
              <w:t>，同时将要求答疑内容的纸质版邮寄至常山县紫港街道富足山农村电子商务示范区二楼（迅鸿国际旁）陈娇娇收（电子邮件与纸质文件有不一致的，一律以纸质文件为准）。逾期提出的答疑要求将不予受理、答复。</w:t>
            </w:r>
          </w:p>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质疑的提出与答复均按《政府采购质疑和投诉办法》（财政部令第 94 号）</w:t>
            </w:r>
          </w:p>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规定执行。针对同一采购程序环节的质疑，供应商应在法定期限内一次性提出（即针对同一采购程序环节的质疑采购人或采购代理机构仅受理一次），逾期提出或针对同一采购程序环节多次提出的质疑将不予受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21</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招标代理费</w:t>
            </w:r>
          </w:p>
        </w:tc>
        <w:tc>
          <w:tcPr>
            <w:tcW w:w="6810" w:type="dxa"/>
            <w:vAlign w:val="center"/>
          </w:tcPr>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招标代理费【招标代理费收费标准按照国家计委关于印发《招标代理服务费管理暂行办法》的通知（计价格【2002】1980号）规定的收费标准执行，按服务招标计算】，由中标人支付给代理机构。各投标人在投标报价时自行考虑在投标报价中，代理费按中标人投标总价计算（仅提供增值税普通发票），由中标人在领取中标通知书前一次性支付给代理机构。</w:t>
            </w:r>
          </w:p>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《招标代理服务费管理暂行办法》的通知规定的收费标准</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中标金额（万元）</w:t>
                  </w:r>
                </w:p>
              </w:tc>
              <w:tc>
                <w:tcPr>
                  <w:tcW w:w="2293"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货物费率</w:t>
                  </w:r>
                </w:p>
              </w:tc>
              <w:tc>
                <w:tcPr>
                  <w:tcW w:w="2280"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100以下</w:t>
                  </w:r>
                </w:p>
              </w:tc>
              <w:tc>
                <w:tcPr>
                  <w:tcW w:w="2293"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2280"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100-500</w:t>
                  </w:r>
                </w:p>
              </w:tc>
              <w:tc>
                <w:tcPr>
                  <w:tcW w:w="2293"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2280"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500-1000</w:t>
                  </w:r>
                </w:p>
              </w:tc>
              <w:tc>
                <w:tcPr>
                  <w:tcW w:w="2293"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0.8%</w:t>
                  </w:r>
                </w:p>
              </w:tc>
              <w:tc>
                <w:tcPr>
                  <w:tcW w:w="2280" w:type="dxa"/>
                  <w:vAlign w:val="top"/>
                </w:tcPr>
                <w:p>
                  <w:pPr>
                    <w:snapToGrid w:val="0"/>
                    <w:spacing w:before="100" w:beforeAutospacing="1" w:after="100" w:afterAutospacing="1"/>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0.45%</w:t>
                  </w:r>
                </w:p>
              </w:tc>
            </w:tr>
          </w:tbl>
          <w:p>
            <w:pPr>
              <w:pStyle w:val="58"/>
              <w:ind w:left="900" w:hanging="480"/>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22</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特别说明1</w:t>
            </w:r>
          </w:p>
        </w:tc>
        <w:tc>
          <w:tcPr>
            <w:tcW w:w="6810" w:type="dxa"/>
            <w:vAlign w:val="center"/>
          </w:tcPr>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23</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中小企业预留份额情况</w:t>
            </w:r>
          </w:p>
        </w:tc>
        <w:tc>
          <w:tcPr>
            <w:tcW w:w="6810" w:type="dxa"/>
            <w:vAlign w:val="center"/>
          </w:tcPr>
          <w:p>
            <w:pPr>
              <w:snapToGrid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根据《政府采购促进中小企业发展管理办法》财库【2020】46号文件的规定，本项目（</w:t>
            </w:r>
            <w:r>
              <w:rPr>
                <w:rFonts w:hint="eastAsia" w:ascii="仿宋" w:hAnsi="仿宋" w:eastAsia="仿宋" w:cs="仿宋"/>
                <w:color w:val="000000" w:themeColor="text1"/>
                <w:kern w:val="0"/>
                <w:sz w:val="24"/>
                <w:highlight w:val="none"/>
                <w14:textFill>
                  <w14:solidFill>
                    <w14:schemeClr w14:val="tx1"/>
                  </w14:solidFill>
                </w14:textFill>
              </w:rPr>
              <w:sym w:font="Wingdings" w:char="00A8"/>
            </w:r>
            <w:r>
              <w:rPr>
                <w:rFonts w:hint="eastAsia" w:ascii="仿宋" w:hAnsi="仿宋" w:eastAsia="仿宋" w:cs="仿宋"/>
                <w:color w:val="000000" w:themeColor="text1"/>
                <w:kern w:val="0"/>
                <w:sz w:val="24"/>
                <w:highlight w:val="none"/>
                <w14:textFill>
                  <w14:solidFill>
                    <w14:schemeClr w14:val="tx1"/>
                  </w14:solidFill>
                </w14:textFill>
              </w:rPr>
              <w:t xml:space="preserve">是 </w:t>
            </w: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否）属于预留份额专门面向中小企业采购的项目。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24</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中小企业优惠措施</w:t>
            </w:r>
          </w:p>
        </w:tc>
        <w:tc>
          <w:tcPr>
            <w:tcW w:w="6810" w:type="dxa"/>
            <w:vAlign w:val="center"/>
          </w:tcPr>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1.项目属性：</w:t>
            </w:r>
            <w:r>
              <w:rPr>
                <w:rFonts w:hint="eastAsia" w:ascii="仿宋" w:hAnsi="仿宋" w:eastAsia="仿宋" w:cs="仿宋"/>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货物类</w:t>
            </w:r>
            <w:r>
              <w:rPr>
                <w:rFonts w:hint="eastAsia" w:ascii="仿宋" w:hAnsi="仿宋" w:eastAsia="仿宋" w:cs="仿宋"/>
                <w:color w:val="000000" w:themeColor="text1"/>
                <w:sz w:val="24"/>
                <w:highlight w:val="none"/>
                <w14:textFill>
                  <w14:solidFill>
                    <w14:schemeClr w14:val="tx1"/>
                  </w14:solidFill>
                </w14:textFill>
              </w:rPr>
              <w:sym w:font="Wingdings" w:char="00FE"/>
            </w:r>
            <w:r>
              <w:rPr>
                <w:rFonts w:hint="eastAsia" w:ascii="仿宋" w:hAnsi="仿宋" w:eastAsia="仿宋" w:cs="仿宋"/>
                <w:color w:val="000000" w:themeColor="text1"/>
                <w:sz w:val="24"/>
                <w:highlight w:val="none"/>
                <w14:textFill>
                  <w14:solidFill>
                    <w14:schemeClr w14:val="tx1"/>
                  </w14:solidFill>
                </w14:textFill>
              </w:rPr>
              <w:t>服务类</w:t>
            </w:r>
            <w:r>
              <w:rPr>
                <w:rFonts w:hint="eastAsia" w:ascii="仿宋" w:hAnsi="仿宋" w:eastAsia="仿宋" w:cs="仿宋"/>
                <w:color w:val="000000" w:themeColor="text1"/>
                <w:sz w:val="24"/>
                <w:highlight w:val="none"/>
                <w14:textFill>
                  <w14:solidFill>
                    <w14:schemeClr w14:val="tx1"/>
                  </w14:solidFill>
                </w14:textFill>
              </w:rPr>
              <w:sym w:font="Wingdings" w:char="00A8"/>
            </w:r>
            <w:r>
              <w:rPr>
                <w:rFonts w:hint="eastAsia" w:ascii="仿宋" w:hAnsi="仿宋" w:eastAsia="仿宋" w:cs="仿宋"/>
                <w:color w:val="000000" w:themeColor="text1"/>
                <w:sz w:val="24"/>
                <w:highlight w:val="none"/>
                <w14:textFill>
                  <w14:solidFill>
                    <w14:schemeClr w14:val="tx1"/>
                  </w14:solidFill>
                </w14:textFill>
              </w:rPr>
              <w:t>A工程类</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2.中小企业划分标准所属行业根据《中小企业划型标准规定》执行。</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3.采购标的名称：</w:t>
            </w:r>
            <w:r>
              <w:rPr>
                <w:rFonts w:hint="eastAsia" w:ascii="仿宋" w:hAnsi="仿宋" w:eastAsia="仿宋" w:cs="仿宋"/>
                <w:b/>
                <w:bCs/>
                <w:color w:val="000000" w:themeColor="text1"/>
                <w:sz w:val="24"/>
                <w:highlight w:val="none"/>
                <w:u w:val="single"/>
                <w:lang w:eastAsia="zh-CN"/>
                <w14:textFill>
                  <w14:solidFill>
                    <w14:schemeClr w14:val="tx1"/>
                  </w14:solidFill>
                </w14:textFill>
              </w:rPr>
              <w:t>常山县城区餐厨（厨余）垃圾收运处置服务项目</w:t>
            </w:r>
            <w:r>
              <w:rPr>
                <w:rFonts w:hint="eastAsia" w:ascii="仿宋" w:hAnsi="仿宋" w:eastAsia="仿宋" w:cs="仿宋"/>
                <w:color w:val="000000" w:themeColor="text1"/>
                <w:sz w:val="24"/>
                <w:highlight w:val="none"/>
                <w14:textFill>
                  <w14:solidFill>
                    <w14:schemeClr w14:val="tx1"/>
                  </w14:solidFill>
                </w14:textFill>
              </w:rPr>
              <w:t>。对应的中小企业划型标准所属行业为：</w:t>
            </w:r>
            <w:r>
              <w:rPr>
                <w:rFonts w:hint="eastAsia" w:ascii="仿宋" w:hAnsi="仿宋" w:eastAsia="仿宋" w:cs="仿宋"/>
                <w:b/>
                <w:bCs/>
                <w:color w:val="000000" w:themeColor="text1"/>
                <w:sz w:val="24"/>
                <w:highlight w:val="none"/>
                <w:u w:val="single"/>
                <w14:textFill>
                  <w14:solidFill>
                    <w14:schemeClr w14:val="tx1"/>
                  </w14:solidFill>
                </w14:textFill>
              </w:rPr>
              <w:t>其他未列明行业。</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5.以联合体形式参加政府采购活动，联合体各方均为小微企业的，联合体视同小微企业。</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6.符合小微企业划分标准的个体工商户，视同小微企业。</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u w:val="single"/>
                <w14:textFill>
                  <w14:solidFill>
                    <w14:schemeClr w14:val="tx1"/>
                  </w14:solidFill>
                </w14:textFill>
              </w:rPr>
              <w:t>参加本次采购活动的投标人提供的服务全部由小微企业提供的，其报价给予10%的扣除，</w:t>
            </w:r>
            <w:r>
              <w:rPr>
                <w:rFonts w:hint="eastAsia" w:ascii="仿宋" w:hAnsi="仿宋" w:eastAsia="仿宋" w:cs="仿宋"/>
                <w:color w:val="000000" w:themeColor="text1"/>
                <w:sz w:val="24"/>
                <w:highlight w:val="none"/>
                <w14:textFill>
                  <w14:solidFill>
                    <w14:schemeClr w14:val="tx1"/>
                  </w14:solidFill>
                </w14:textFill>
              </w:rPr>
              <w:t>用扣除后的价格参加评审。小微企业将合同分包给大中型企业的，其报价不予扣除。</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r>
              <w:rPr>
                <w:rFonts w:hint="eastAsia" w:ascii="仿宋" w:hAnsi="仿宋" w:eastAsia="仿宋" w:cs="仿宋"/>
                <w:b/>
                <w:bCs/>
                <w:color w:val="000000" w:themeColor="text1"/>
                <w:sz w:val="24"/>
                <w:highlight w:val="none"/>
                <w14:textFill>
                  <w14:solidFill>
                    <w14:schemeClr w14:val="tx1"/>
                  </w14:solidFill>
                </w14:textFill>
              </w:rPr>
              <w:t>（不适用于本项目）</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r>
              <w:rPr>
                <w:rFonts w:hint="eastAsia" w:ascii="仿宋" w:hAnsi="仿宋" w:eastAsia="仿宋" w:cs="仿宋"/>
                <w:b/>
                <w:bCs/>
                <w:color w:val="000000" w:themeColor="text1"/>
                <w:sz w:val="24"/>
                <w:highlight w:val="none"/>
                <w14:textFill>
                  <w14:solidFill>
                    <w14:schemeClr w14:val="tx1"/>
                  </w14:solidFill>
                </w14:textFill>
              </w:rPr>
              <w:t>（不适用于本项目）</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10.提供的服务全部由小微企业承接（包括联合体内的小微企业和接受分包的小微企业）的，投标人应当出具《中小企业声明函》。</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11.残疾人福利性单位视同小微企业，享受小微企业同等的价格扣除。残疾人福利性单位参加政府采购活动时，应当提供《残疾人福利性单位声明函》。</w:t>
            </w:r>
          </w:p>
          <w:p>
            <w:pPr>
              <w:snapToGrid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25</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投标人信用查询</w:t>
            </w:r>
          </w:p>
        </w:tc>
        <w:tc>
          <w:tcPr>
            <w:tcW w:w="6810" w:type="dxa"/>
            <w:vAlign w:val="center"/>
          </w:tcPr>
          <w:p>
            <w:pPr>
              <w:pStyle w:val="38"/>
              <w:snapToGrid w:val="0"/>
              <w:spacing w:before="0"/>
              <w:rPr>
                <w:rFonts w:hint="eastAsia" w:ascii="仿宋" w:hAnsi="仿宋" w:eastAsia="仿宋" w:cs="仿宋"/>
                <w:b w:val="0"/>
                <w:bCs w:val="0"/>
                <w:color w:val="000000" w:themeColor="text1"/>
                <w:kern w:val="2"/>
                <w:szCs w:val="24"/>
                <w:highlight w:val="none"/>
                <w14:textFill>
                  <w14:solidFill>
                    <w14:schemeClr w14:val="tx1"/>
                  </w14:solidFill>
                </w14:textFill>
              </w:rPr>
            </w:pPr>
            <w:r>
              <w:rPr>
                <w:rFonts w:hint="eastAsia" w:ascii="仿宋" w:hAnsi="仿宋" w:eastAsia="仿宋" w:cs="仿宋"/>
                <w:b w:val="0"/>
                <w:bCs w:val="0"/>
                <w:color w:val="000000" w:themeColor="text1"/>
                <w:kern w:val="2"/>
                <w:szCs w:val="24"/>
                <w:highlight w:val="none"/>
                <w14:textFill>
                  <w14:solidFill>
                    <w14:schemeClr w14:val="tx1"/>
                  </w14:solidFill>
                </w14:textFill>
              </w:rPr>
              <w:t>根据《关于在政府采购活动中查询及使用信用记录有关问题的通知》财库[2016]125号的规定：</w:t>
            </w:r>
          </w:p>
          <w:p>
            <w:pPr>
              <w:pStyle w:val="38"/>
              <w:snapToGrid w:val="0"/>
              <w:spacing w:before="0"/>
              <w:rPr>
                <w:rFonts w:hint="eastAsia" w:ascii="仿宋" w:hAnsi="仿宋" w:eastAsia="仿宋" w:cs="仿宋"/>
                <w:b w:val="0"/>
                <w:bCs w:val="0"/>
                <w:color w:val="000000" w:themeColor="text1"/>
                <w:kern w:val="2"/>
                <w:szCs w:val="24"/>
                <w:highlight w:val="none"/>
                <w14:textFill>
                  <w14:solidFill>
                    <w14:schemeClr w14:val="tx1"/>
                  </w14:solidFill>
                </w14:textFill>
              </w:rPr>
            </w:pPr>
            <w:r>
              <w:rPr>
                <w:rFonts w:hint="eastAsia" w:ascii="仿宋" w:hAnsi="仿宋" w:eastAsia="仿宋" w:cs="仿宋"/>
                <w:b w:val="0"/>
                <w:bCs w:val="0"/>
                <w:color w:val="000000" w:themeColor="text1"/>
                <w:kern w:val="2"/>
                <w:szCs w:val="24"/>
                <w:highlight w:val="none"/>
                <w14:textFill>
                  <w14:solidFill>
                    <w14:schemeClr w14:val="tx1"/>
                  </w14:solidFill>
                </w14:textFill>
              </w:rPr>
              <w:t>1）采购代理机构将对本项目投标供应商的信用信息进行查询和甄别，查询渠道为信用中国网站（www.creditchina.gov.cn）、中国政府采购网（www.ccgp.gov.cn）。</w:t>
            </w:r>
          </w:p>
          <w:p>
            <w:pPr>
              <w:pStyle w:val="38"/>
              <w:snapToGrid w:val="0"/>
              <w:spacing w:before="0"/>
              <w:rPr>
                <w:rFonts w:hint="eastAsia" w:ascii="仿宋" w:hAnsi="仿宋" w:eastAsia="仿宋" w:cs="仿宋"/>
                <w:b w:val="0"/>
                <w:bCs w:val="0"/>
                <w:color w:val="000000" w:themeColor="text1"/>
                <w:kern w:val="2"/>
                <w:szCs w:val="24"/>
                <w:highlight w:val="none"/>
                <w14:textFill>
                  <w14:solidFill>
                    <w14:schemeClr w14:val="tx1"/>
                  </w14:solidFill>
                </w14:textFill>
              </w:rPr>
            </w:pPr>
            <w:r>
              <w:rPr>
                <w:rFonts w:hint="eastAsia" w:ascii="仿宋" w:hAnsi="仿宋" w:eastAsia="仿宋" w:cs="仿宋"/>
                <w:b w:val="0"/>
                <w:bCs w:val="0"/>
                <w:color w:val="000000" w:themeColor="text1"/>
                <w:kern w:val="2"/>
                <w:szCs w:val="24"/>
                <w:highlight w:val="none"/>
                <w14:textFill>
                  <w14:solidFill>
                    <w14:schemeClr w14:val="tx1"/>
                  </w14:solidFill>
                </w14:textFill>
              </w:rPr>
              <w:t>2）截止时点：提交投标文件（响应文件）截止时间前3年内。</w:t>
            </w:r>
          </w:p>
          <w:p>
            <w:pPr>
              <w:pStyle w:val="38"/>
              <w:snapToGrid w:val="0"/>
              <w:spacing w:before="0"/>
              <w:rPr>
                <w:rFonts w:hint="eastAsia" w:ascii="仿宋" w:hAnsi="仿宋" w:eastAsia="仿宋" w:cs="仿宋"/>
                <w:b w:val="0"/>
                <w:bCs w:val="0"/>
                <w:color w:val="000000" w:themeColor="text1"/>
                <w:kern w:val="2"/>
                <w:szCs w:val="24"/>
                <w:highlight w:val="none"/>
                <w14:textFill>
                  <w14:solidFill>
                    <w14:schemeClr w14:val="tx1"/>
                  </w14:solidFill>
                </w14:textFill>
              </w:rPr>
            </w:pPr>
            <w:r>
              <w:rPr>
                <w:rFonts w:hint="eastAsia" w:ascii="仿宋" w:hAnsi="仿宋" w:eastAsia="仿宋" w:cs="仿宋"/>
                <w:b w:val="0"/>
                <w:bCs w:val="0"/>
                <w:color w:val="000000" w:themeColor="text1"/>
                <w:kern w:val="2"/>
                <w:szCs w:val="24"/>
                <w:highlight w:val="none"/>
                <w14:textFill>
                  <w14:solidFill>
                    <w14:schemeClr w14:val="tx1"/>
                  </w14:solidFill>
                </w14:textFill>
              </w:rPr>
              <w:t>3）信用信息查询记录和证据以网页截图方式留存。</w:t>
            </w:r>
          </w:p>
          <w:p>
            <w:pPr>
              <w:pStyle w:val="38"/>
              <w:snapToGrid w:val="0"/>
              <w:spacing w:before="0"/>
              <w:rPr>
                <w:rFonts w:hint="eastAsia" w:ascii="仿宋" w:hAnsi="仿宋" w:eastAsia="仿宋" w:cs="仿宋"/>
                <w:b w:val="0"/>
                <w:bCs w:val="0"/>
                <w:color w:val="000000" w:themeColor="text1"/>
                <w:kern w:val="2"/>
                <w:szCs w:val="24"/>
                <w:highlight w:val="none"/>
                <w14:textFill>
                  <w14:solidFill>
                    <w14:schemeClr w14:val="tx1"/>
                  </w14:solidFill>
                </w14:textFill>
              </w:rPr>
            </w:pPr>
            <w:r>
              <w:rPr>
                <w:rFonts w:hint="eastAsia" w:ascii="仿宋" w:hAnsi="仿宋" w:eastAsia="仿宋" w:cs="仿宋"/>
                <w:b w:val="0"/>
                <w:bCs w:val="0"/>
                <w:color w:val="000000" w:themeColor="text1"/>
                <w:kern w:val="2"/>
                <w:szCs w:val="24"/>
                <w:highlight w:val="none"/>
                <w14:textFill>
                  <w14:solidFill>
                    <w14:schemeClr w14:val="tx1"/>
                  </w14:solidFill>
                </w14:textFill>
              </w:rPr>
              <w:t>4）不良信用记录指：1.被列入信用中国网站“失信被执行人”“ 重大税收违法案件当事人名单” ； 2.被列入中国政府采购网政府采购严重违法失信行为记录名单；</w:t>
            </w:r>
          </w:p>
          <w:p>
            <w:pPr>
              <w:pStyle w:val="38"/>
              <w:snapToGrid w:val="0"/>
              <w:spacing w:before="0"/>
              <w:rPr>
                <w:rFonts w:hint="eastAsia" w:ascii="仿宋" w:hAnsi="仿宋" w:eastAsia="仿宋" w:cs="仿宋"/>
                <w:b w:val="0"/>
                <w:bCs w:val="0"/>
                <w:color w:val="000000" w:themeColor="text1"/>
                <w:kern w:val="2"/>
                <w:szCs w:val="24"/>
                <w:highlight w:val="none"/>
                <w14:textFill>
                  <w14:solidFill>
                    <w14:schemeClr w14:val="tx1"/>
                  </w14:solidFill>
                </w14:textFill>
              </w:rPr>
            </w:pPr>
            <w:r>
              <w:rPr>
                <w:rFonts w:hint="eastAsia" w:ascii="仿宋" w:hAnsi="仿宋" w:eastAsia="仿宋" w:cs="仿宋"/>
                <w:b w:val="0"/>
                <w:bCs w:val="0"/>
                <w:color w:val="000000" w:themeColor="text1"/>
                <w:kern w:val="2"/>
                <w:szCs w:val="24"/>
                <w:highlight w:val="none"/>
                <w14:textFill>
                  <w14:solidFill>
                    <w14:schemeClr w14:val="tx1"/>
                  </w14:solidFill>
                </w14:textFill>
              </w:rPr>
              <w:t>5）信用信息的使用规则：供应商存在不良信用记录的，其投标文件将被拒绝。</w:t>
            </w:r>
          </w:p>
          <w:p>
            <w:pPr>
              <w:autoSpaceDE w:val="0"/>
              <w:autoSpaceDN w:val="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6）如允许联合体投标的，联合体成员存在不良信用记录视同联合体存在不良信用记录。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26</w:t>
            </w:r>
          </w:p>
        </w:tc>
        <w:tc>
          <w:tcPr>
            <w:tcW w:w="2345" w:type="dxa"/>
            <w:vAlign w:val="center"/>
          </w:tcPr>
          <w:p>
            <w:pPr>
              <w:autoSpaceDE w:val="0"/>
              <w:autoSpaceDN w:val="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投标人失信被执行人查询</w:t>
            </w:r>
          </w:p>
        </w:tc>
        <w:tc>
          <w:tcPr>
            <w:tcW w:w="6810" w:type="dxa"/>
            <w:vAlign w:val="center"/>
          </w:tcPr>
          <w:p>
            <w:pPr>
              <w:pStyle w:val="38"/>
              <w:snapToGrid w:val="0"/>
              <w:spacing w:before="0"/>
              <w:rPr>
                <w:rFonts w:hint="eastAsia" w:ascii="仿宋" w:hAnsi="仿宋" w:eastAsia="仿宋" w:cs="仿宋"/>
                <w:b w:val="0"/>
                <w:bCs w:val="0"/>
                <w:color w:val="000000" w:themeColor="text1"/>
                <w:kern w:val="2"/>
                <w:szCs w:val="24"/>
                <w:highlight w:val="none"/>
                <w14:textFill>
                  <w14:solidFill>
                    <w14:schemeClr w14:val="tx1"/>
                  </w14:solidFill>
                </w14:textFill>
              </w:rPr>
            </w:pPr>
            <w:r>
              <w:rPr>
                <w:rFonts w:hint="eastAsia" w:ascii="仿宋" w:hAnsi="仿宋" w:eastAsia="仿宋" w:cs="仿宋"/>
                <w:b w:val="0"/>
                <w:bCs w:val="0"/>
                <w:color w:val="000000" w:themeColor="text1"/>
                <w:kern w:val="2"/>
                <w:szCs w:val="24"/>
                <w:highlight w:val="none"/>
                <w14:textFill>
                  <w14:solidFill>
                    <w14:schemeClr w14:val="tx1"/>
                  </w14:solidFill>
                </w14:textFill>
              </w:rPr>
              <w:t>1）采购组织机构将对本项目投标供应商的失信被执行信息进行查询和甄别，通过中国执行信息公开网（http://zxgk.court.gov.cn/）查询。</w:t>
            </w:r>
          </w:p>
          <w:p>
            <w:pPr>
              <w:pStyle w:val="38"/>
              <w:snapToGrid w:val="0"/>
              <w:spacing w:before="0"/>
              <w:rPr>
                <w:rFonts w:hint="eastAsia" w:ascii="仿宋" w:hAnsi="仿宋" w:eastAsia="仿宋" w:cs="仿宋"/>
                <w:b w:val="0"/>
                <w:bCs w:val="0"/>
                <w:color w:val="000000" w:themeColor="text1"/>
                <w:kern w:val="2"/>
                <w:szCs w:val="24"/>
                <w:highlight w:val="none"/>
                <w14:textFill>
                  <w14:solidFill>
                    <w14:schemeClr w14:val="tx1"/>
                  </w14:solidFill>
                </w14:textFill>
              </w:rPr>
            </w:pPr>
            <w:r>
              <w:rPr>
                <w:rFonts w:hint="eastAsia" w:ascii="仿宋" w:hAnsi="仿宋" w:eastAsia="仿宋" w:cs="仿宋"/>
                <w:b w:val="0"/>
                <w:bCs w:val="0"/>
                <w:color w:val="000000" w:themeColor="text1"/>
                <w:kern w:val="2"/>
                <w:szCs w:val="24"/>
                <w:highlight w:val="none"/>
                <w14:textFill>
                  <w14:solidFill>
                    <w14:schemeClr w14:val="tx1"/>
                  </w14:solidFill>
                </w14:textFill>
              </w:rPr>
              <w:t>2）失信被执行信息的使用规则：供应商存在失信被执行信息的，限制参与本项目。</w:t>
            </w:r>
          </w:p>
          <w:p>
            <w:pPr>
              <w:autoSpaceDE w:val="0"/>
              <w:autoSpaceDN w:val="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3）如允许联合体参加投标的，联合体成员存在失信被执行信息的，视同联合体存在失信被执行信息的。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trPr>
        <w:tc>
          <w:tcPr>
            <w:tcW w:w="870" w:type="dxa"/>
            <w:vAlign w:val="center"/>
          </w:tcPr>
          <w:p>
            <w:pPr>
              <w:autoSpaceDE w:val="0"/>
              <w:autoSpaceDN w:val="0"/>
              <w:ind w:left="142"/>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27</w:t>
            </w:r>
          </w:p>
        </w:tc>
        <w:tc>
          <w:tcPr>
            <w:tcW w:w="2345" w:type="dxa"/>
            <w:vAlign w:val="center"/>
          </w:tcPr>
          <w:p>
            <w:pPr>
              <w:autoSpaceDE w:val="0"/>
              <w:autoSpaceDN w:val="0"/>
              <w:ind w:left="142"/>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特别说明</w:t>
            </w:r>
          </w:p>
        </w:tc>
        <w:tc>
          <w:tcPr>
            <w:tcW w:w="6810" w:type="dxa"/>
            <w:vAlign w:val="center"/>
          </w:tcPr>
          <w:p>
            <w:pPr>
              <w:pStyle w:val="38"/>
              <w:snapToGrid w:val="0"/>
              <w:spacing w:before="0"/>
              <w:rPr>
                <w:rFonts w:hint="eastAsia" w:ascii="仿宋" w:hAnsi="仿宋" w:eastAsia="仿宋" w:cs="仿宋"/>
                <w:b w:val="0"/>
                <w:bCs w:val="0"/>
                <w:color w:val="000000" w:themeColor="text1"/>
                <w:kern w:val="2"/>
                <w:szCs w:val="24"/>
                <w:highlight w:val="none"/>
                <w14:textFill>
                  <w14:solidFill>
                    <w14:schemeClr w14:val="tx1"/>
                  </w14:solidFill>
                </w14:textFill>
              </w:rPr>
            </w:pPr>
            <w:r>
              <w:rPr>
                <w:rFonts w:hint="eastAsia" w:ascii="仿宋" w:hAnsi="仿宋" w:eastAsia="仿宋" w:cs="仿宋"/>
                <w:b w:val="0"/>
                <w:bCs w:val="0"/>
                <w:color w:val="000000" w:themeColor="text1"/>
                <w:kern w:val="2"/>
                <w:szCs w:val="24"/>
                <w:highlight w:val="none"/>
                <w14:textFill>
                  <w14:solidFill>
                    <w14:schemeClr w14:val="tx1"/>
                  </w14:solidFill>
                </w14:textFill>
              </w:rPr>
              <w:t>中标人应提供与电子投标文件内容一致的纸质投标文件（资格审查资料、技术资信文件、报价文件）一正三副。中标人在领取中标通知书时提供纸质投标文件</w:t>
            </w:r>
          </w:p>
        </w:tc>
      </w:t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tbl>
    <w:p>
      <w:pPr>
        <w:spacing w:line="400" w:lineRule="exact"/>
        <w:jc w:val="center"/>
        <w:rPr>
          <w:rFonts w:hint="eastAsia" w:ascii="仿宋" w:hAnsi="仿宋" w:eastAsia="仿宋" w:cs="仿宋"/>
          <w:color w:val="000000" w:themeColor="text1"/>
          <w:sz w:val="24"/>
          <w:highlight w:val="none"/>
          <w14:textFill>
            <w14:solidFill>
              <w14:schemeClr w14:val="tx1"/>
            </w14:solidFill>
          </w14:textFill>
        </w:rPr>
      </w:pPr>
      <w:bookmarkStart w:id="69" w:name="_Toc16502"/>
      <w:bookmarkStart w:id="70" w:name="_Toc245722279"/>
      <w:bookmarkStart w:id="71" w:name="_Toc222114877"/>
      <w:bookmarkStart w:id="72" w:name="_Toc262105501"/>
      <w:bookmarkStart w:id="73" w:name="_Toc221423617"/>
      <w:bookmarkStart w:id="74" w:name="_Toc221356949"/>
      <w:bookmarkStart w:id="75" w:name="_Toc410031814"/>
      <w:bookmarkStart w:id="76" w:name="_Toc245191312"/>
      <w:bookmarkStart w:id="77" w:name="_Toc221374624"/>
      <w:bookmarkStart w:id="78" w:name="_Toc241404200"/>
      <w:bookmarkStart w:id="79" w:name="_Toc239145352"/>
      <w:bookmarkStart w:id="80" w:name="_Toc223715996"/>
      <w:bookmarkStart w:id="81" w:name="_Toc262049416"/>
      <w:bookmarkStart w:id="82" w:name="_Toc246261263"/>
      <w:bookmarkStart w:id="83" w:name="_Toc249758710"/>
      <w:bookmarkStart w:id="84" w:name="_Toc249758862"/>
      <w:bookmarkStart w:id="85" w:name="_Toc221356884"/>
    </w:p>
    <w:bookmarkEnd w:id="69"/>
    <w:p>
      <w:pPr>
        <w:pStyle w:val="29"/>
        <w:spacing w:before="0" w:after="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highlight w:val="none"/>
          <w14:textFill>
            <w14:solidFill>
              <w14:schemeClr w14:val="tx1"/>
            </w14:solidFill>
          </w14:textFill>
        </w:rPr>
        <w:t>一、总则</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1.适用范围</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仅适用于本次招标文件中采购项目的招标、投标、评标、定标、验收、合同履约、付款等行为（法律、法规另有规定的，从其规定）。</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2.定义解释</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2.1“采购代理机构”是指浙江九越建设管理有限公司。</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2.2“采购人（单位）”是指</w:t>
      </w:r>
      <w:r>
        <w:rPr>
          <w:rFonts w:hint="eastAsia" w:ascii="仿宋" w:hAnsi="仿宋" w:eastAsia="仿宋" w:cs="仿宋"/>
          <w:color w:val="000000" w:themeColor="text1"/>
          <w:highlight w:val="none"/>
          <w:lang w:eastAsia="zh-CN"/>
          <w14:textFill>
            <w14:solidFill>
              <w14:schemeClr w14:val="tx1"/>
            </w14:solidFill>
          </w14:textFill>
        </w:rPr>
        <w:t>常山县市容环卫中心</w:t>
      </w:r>
      <w:r>
        <w:rPr>
          <w:rFonts w:hint="eastAsia" w:ascii="仿宋" w:hAnsi="仿宋" w:eastAsia="仿宋" w:cs="仿宋"/>
          <w:color w:val="000000" w:themeColor="text1"/>
          <w:highlight w:val="none"/>
          <w14:textFill>
            <w14:solidFill>
              <w14:schemeClr w14:val="tx1"/>
            </w14:solidFill>
          </w14:textFill>
        </w:rPr>
        <w:t xml:space="preserve"> 。</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2.3“采购项目”是指本采购文件所要求的</w:t>
      </w:r>
      <w:r>
        <w:rPr>
          <w:rFonts w:hint="eastAsia" w:ascii="仿宋" w:hAnsi="仿宋" w:eastAsia="仿宋" w:cs="仿宋"/>
          <w:color w:val="000000" w:themeColor="text1"/>
          <w:highlight w:val="none"/>
          <w:lang w:eastAsia="zh-CN"/>
          <w14:textFill>
            <w14:solidFill>
              <w14:schemeClr w14:val="tx1"/>
            </w14:solidFill>
          </w14:textFill>
        </w:rPr>
        <w:t>常山县城区餐厨（厨余）垃圾收运处置服务项目</w:t>
      </w:r>
      <w:r>
        <w:rPr>
          <w:rFonts w:hint="eastAsia" w:ascii="仿宋" w:hAnsi="仿宋" w:eastAsia="仿宋" w:cs="仿宋"/>
          <w:color w:val="000000" w:themeColor="text1"/>
          <w:highlight w:val="none"/>
          <w14:textFill>
            <w14:solidFill>
              <w14:schemeClr w14:val="tx1"/>
            </w14:solidFill>
          </w14:textFill>
        </w:rPr>
        <w:t>。</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2.4“投标人（供应商）”是指获得采购文件并向采购代理机构提交投标文件的投标人。</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2.5“潜在投标人（供应商）”是指符合采购文件规定的投标人。</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2.6 “中标人（成交供应商）”是指经评标委员会审查通过，并经公示无异议的投标人。</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2.7“投标人（供应商）代表”是指投标人法定代表人或投标人法定代表人授权委托的人。</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2.8“产品（货物）”是指按采购文件要求配置的一切设备、机械、仪器仪表、备品备件、工具、手册</w:t>
      </w:r>
      <w:r>
        <w:rPr>
          <w:rFonts w:hint="eastAsia" w:ascii="仿宋" w:hAnsi="仿宋" w:eastAsia="仿宋" w:cs="仿宋"/>
          <w:color w:val="000000" w:themeColor="text1"/>
          <w:highlight w:val="none"/>
          <w:lang w:eastAsia="zh-CN"/>
          <w14:textFill>
            <w14:solidFill>
              <w14:schemeClr w14:val="tx1"/>
            </w14:solidFill>
          </w14:textFill>
        </w:rPr>
        <w:t>及其他有关</w:t>
      </w:r>
      <w:r>
        <w:rPr>
          <w:rFonts w:hint="eastAsia" w:ascii="仿宋" w:hAnsi="仿宋" w:eastAsia="仿宋" w:cs="仿宋"/>
          <w:color w:val="000000" w:themeColor="text1"/>
          <w:highlight w:val="none"/>
          <w14:textFill>
            <w14:solidFill>
              <w14:schemeClr w14:val="tx1"/>
            </w14:solidFill>
          </w14:textFill>
        </w:rPr>
        <w:t>技术资料和文字材料；</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2.9“服务”在货物类采购项目中是指采购文件规定供方须承担的货物运输、操作使用、技术支持、培训、维修保养服务；在服务类采购项目是指采购内容本身及相关的售后技术支持、培训服务；</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2.10“书面形式”包括纸质文件、电子邮件、信函、传真等。</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2.11实质性响应：是指投标文件相关内容符合招标（采购）文件规定的实质性内容、条款和规定。</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2.12采购文件中所有标示“▲”的均为采购人提出的实质性条款，如未实质性响应的，将按无效投标处理。</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3.项目说明</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3.1本采购项目按照《中华人民共和国政府采购法》等有关法律、行政法规和部门规章，通过公开招标方式选定中标人。</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4.合格投标人的条件</w:t>
      </w:r>
    </w:p>
    <w:p>
      <w:pPr>
        <w:pStyle w:val="35"/>
        <w:spacing w:line="440" w:lineRule="exact"/>
        <w:ind w:left="420" w:leftChars="20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4.1凡符合本招标文件第一章招标公告投标人资格要求的均为合格的投标人。</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5.投标费用</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5.1投标人应承担参加本次投标有关的全部费用，无论结果如何，采购单位和采购代理机构在任何情况下均无义务和责任承担这些费用。</w:t>
      </w:r>
    </w:p>
    <w:p>
      <w:pPr>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6.特别说明</w:t>
      </w:r>
    </w:p>
    <w:p>
      <w:pPr>
        <w:pStyle w:val="107"/>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6.1投标人投标所使用的资格、信誉、荣誉、业绩与企业认证必须为投标人所拥有。投标人投标所使用的采购项目实施人员可以为其控股公司的工作人员。</w:t>
      </w:r>
    </w:p>
    <w:p>
      <w:pPr>
        <w:pStyle w:val="107"/>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6.2投标人在投标活动中提供任何虚假材料或从事其他违法活动的，其投标无效，并报监管部门查处；成交后发现的，中标人须依照《中华人民共和国消费者权益保护法》规定赔偿。且民事赔偿并不免除违法投标人的行政与刑事责任。</w:t>
      </w:r>
    </w:p>
    <w:p>
      <w:pPr>
        <w:pStyle w:val="107"/>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6.3投标人应仔细阅读招标文件的所有内容，按照招标文件的要求提交投标文件。投标文件应对招标文件的要求作出实质性响应，并对所提供的全部资料的真实性承担法律责任。</w:t>
      </w:r>
    </w:p>
    <w:p>
      <w:pPr>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7.质疑与投诉</w:t>
      </w:r>
    </w:p>
    <w:p>
      <w:pPr>
        <w:pStyle w:val="42"/>
        <w:spacing w:after="0" w:line="440" w:lineRule="exact"/>
        <w:ind w:firstLine="480" w:firstLineChars="20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pPr>
        <w:pStyle w:val="42"/>
        <w:spacing w:after="0" w:line="440" w:lineRule="exact"/>
        <w:ind w:firstLine="480" w:firstLineChars="20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pStyle w:val="42"/>
        <w:spacing w:after="0" w:line="440" w:lineRule="exact"/>
        <w:ind w:firstLine="480" w:firstLineChars="200"/>
        <w:rPr>
          <w:rFonts w:hint="eastAsia" w:ascii="仿宋" w:hAnsi="仿宋" w:eastAsia="仿宋" w:cs="仿宋"/>
          <w:color w:val="000000" w:themeColor="text1"/>
          <w:kern w:val="0"/>
          <w:szCs w:val="24"/>
          <w:highlight w:val="none"/>
          <w14:textFill>
            <w14:solidFill>
              <w14:schemeClr w14:val="tx1"/>
            </w14:solidFill>
          </w14:textFill>
        </w:rPr>
      </w:pPr>
      <w:bookmarkStart w:id="86" w:name="_Toc15395"/>
      <w:bookmarkStart w:id="87" w:name="_Toc223715997"/>
      <w:bookmarkStart w:id="88" w:name="_Toc262049417"/>
      <w:bookmarkStart w:id="89" w:name="_Toc245191313"/>
      <w:bookmarkStart w:id="90" w:name="_Toc221423618"/>
      <w:bookmarkStart w:id="91" w:name="_Toc245722280"/>
      <w:bookmarkStart w:id="92" w:name="_Toc221374625"/>
      <w:bookmarkStart w:id="93" w:name="_Toc246261264"/>
      <w:bookmarkStart w:id="94" w:name="_Toc410031815"/>
      <w:bookmarkStart w:id="95" w:name="_Toc221356885"/>
      <w:bookmarkStart w:id="96" w:name="_Toc262105502"/>
      <w:bookmarkStart w:id="97" w:name="_Toc241404201"/>
      <w:bookmarkStart w:id="98" w:name="_Toc239145353"/>
      <w:bookmarkStart w:id="99" w:name="_Toc222114878"/>
      <w:bookmarkStart w:id="100" w:name="_Toc249758863"/>
      <w:bookmarkStart w:id="101" w:name="_Toc249758711"/>
      <w:bookmarkStart w:id="102" w:name="_Toc221356950"/>
      <w:r>
        <w:rPr>
          <w:rFonts w:hint="eastAsia" w:ascii="仿宋" w:hAnsi="仿宋" w:eastAsia="仿宋" w:cs="仿宋"/>
          <w:color w:val="000000" w:themeColor="text1"/>
          <w:kern w:val="0"/>
          <w:szCs w:val="24"/>
          <w:highlight w:val="none"/>
          <w14:textFill>
            <w14:solidFill>
              <w14:schemeClr w14:val="tx1"/>
            </w14:solidFill>
          </w14:textFill>
        </w:rPr>
        <w:t>在线或者邮寄政府采购投诉举报材料当日下班时间点后收到的视为下一个工作日收到。</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bookmarkEnd w:id="86"/>
    <w:p>
      <w:pPr>
        <w:pStyle w:val="2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r>
        <w:rPr>
          <w:rFonts w:hint="eastAsia" w:ascii="仿宋" w:hAnsi="仿宋" w:eastAsia="仿宋" w:cs="仿宋"/>
          <w:color w:val="000000" w:themeColor="text1"/>
          <w:highlight w:val="none"/>
          <w14:textFill>
            <w14:solidFill>
              <w14:schemeClr w14:val="tx1"/>
            </w14:solidFill>
          </w14:textFill>
        </w:rPr>
        <w:t>二、招标文件</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bookmarkStart w:id="103" w:name="_Toc1105"/>
      <w:r>
        <w:rPr>
          <w:rFonts w:hint="eastAsia" w:ascii="仿宋" w:hAnsi="仿宋" w:eastAsia="仿宋" w:cs="仿宋"/>
          <w:b/>
          <w:color w:val="000000" w:themeColor="text1"/>
          <w:highlight w:val="none"/>
          <w14:textFill>
            <w14:solidFill>
              <w14:schemeClr w14:val="tx1"/>
            </w14:solidFill>
          </w14:textFill>
        </w:rPr>
        <w:t>1.招标文件的组成</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1.1招标文件由以下部分组成：</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第一章 招标公告</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第二章 投标人须知</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第三章 招标内容及要求</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第四章 合同主要条款</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第五章 评标原则及办法</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第六章 投标文件格式</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1.2除上条1.1内容外，采购人、采购代理机构在规定时间前，以书面形式发出的对招标文件的澄清或修改内容，均为招标文件的组成部分。</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w:t>
      </w:r>
      <w:r>
        <w:rPr>
          <w:rFonts w:hint="eastAsia" w:ascii="仿宋" w:hAnsi="仿宋" w:eastAsia="仿宋" w:cs="仿宋"/>
          <w:color w:val="000000" w:themeColor="text1"/>
          <w:highlight w:val="none"/>
          <w:lang w:eastAsia="zh-CN"/>
          <w14:textFill>
            <w14:solidFill>
              <w14:schemeClr w14:val="tx1"/>
            </w14:solidFill>
          </w14:textFill>
        </w:rPr>
        <w:t>作出</w:t>
      </w:r>
      <w:r>
        <w:rPr>
          <w:rFonts w:hint="eastAsia" w:ascii="仿宋" w:hAnsi="仿宋" w:eastAsia="仿宋" w:cs="仿宋"/>
          <w:color w:val="000000" w:themeColor="text1"/>
          <w:highlight w:val="none"/>
          <w14:textFill>
            <w14:solidFill>
              <w14:schemeClr w14:val="tx1"/>
            </w14:solidFill>
          </w14:textFill>
        </w:rPr>
        <w:t>实质性响应，并根据有关条款规定，其风险由投标人自行承担。</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2.招标文件的澄清与修改</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投标人应认真阅读本招标文件，发现其中有误或有不合理要求的，投标人应当自知道或者应当知道其合法权益受到损害之日起七个工作日内以书面形式向采购人、采购代理机构提出质疑。采购人或采购代理机构对已发出的招标文件进行必要澄清、答复、修改或补充的，在原公告发布媒体上发布澄清（更正）公告。澄清或者修改的内容可能影响投标文件编制的，应当在投标截止时间至少15日前，以书面形式通知所有获取招标文件的潜在投标人；不足15日的，将顺延提交投标文件的截止时间。</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2.2采购人、采购代理机构必须以书面形式答复投标人要求澄清的问题，并将不包含问题来源的答复书面通知所有购买招标文件的投标人；除书面答复以外的其他澄清方式及澄清内容均无效。</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2.3招标文件澄清、答复、修改、补充的内容为招标文件的组成部分。当招标文件与招标文件的答复、澄清、修改、补充通知就同一内容的表述不一致时，以最后发出的书面文件为准。</w:t>
      </w:r>
    </w:p>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p>
    <w:bookmarkEnd w:id="103"/>
    <w:p>
      <w:pPr>
        <w:pStyle w:val="2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三、投标文件</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1.投标文件的语言及度量衡单位</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1.1除采购货物有关专用名称外，投标文件和与投标有关的所有文件说明均应使用中文。</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1.2除采购项目规范另有规定外，投标文件使用的度量衡单位，均采用中华人民共和国法定计量单位。</w:t>
      </w:r>
    </w:p>
    <w:p>
      <w:pPr>
        <w:snapToGrid w:val="0"/>
        <w:spacing w:line="44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2.响应文件的形式和效力</w:t>
      </w:r>
    </w:p>
    <w:p>
      <w:pPr>
        <w:snapToGrid w:val="0"/>
        <w:spacing w:line="44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按政府采购云平台</w:t>
      </w:r>
      <w:r>
        <w:rPr>
          <w:rFonts w:hint="eastAsia" w:ascii="仿宋" w:hAnsi="仿宋" w:eastAsia="仿宋" w:cs="仿宋"/>
          <w:b/>
          <w:bCs/>
          <w:color w:val="000000" w:themeColor="text1"/>
          <w:kern w:val="0"/>
          <w:sz w:val="24"/>
          <w:highlight w:val="none"/>
          <w14:textFill>
            <w14:solidFill>
              <w14:schemeClr w14:val="tx1"/>
            </w14:solidFill>
          </w14:textFill>
        </w:rPr>
        <w:t>“供应商-政府采购项目电子交易操作指南”</w:t>
      </w:r>
      <w:r>
        <w:rPr>
          <w:rFonts w:hint="eastAsia" w:ascii="仿宋" w:hAnsi="仿宋" w:eastAsia="仿宋" w:cs="仿宋"/>
          <w:b/>
          <w:color w:val="000000" w:themeColor="text1"/>
          <w:sz w:val="24"/>
          <w:highlight w:val="none"/>
          <w14:textFill>
            <w14:solidFill>
              <w14:schemeClr w14:val="tx1"/>
            </w14:solidFill>
          </w14:textFill>
        </w:rPr>
        <w:t>及本招标文件要求制作、加密并递交。</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3.投标文件的组成</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投标文件由资格审查资料、技术资信文件、报价文件三部分组成。</w:t>
      </w:r>
      <w:r>
        <w:rPr>
          <w:rFonts w:hint="eastAsia" w:ascii="仿宋" w:hAnsi="仿宋" w:eastAsia="仿宋" w:cs="仿宋"/>
          <w:b/>
          <w:color w:val="000000" w:themeColor="text1"/>
          <w:sz w:val="24"/>
          <w:highlight w:val="none"/>
          <w14:textFill>
            <w14:solidFill>
              <w14:schemeClr w14:val="tx1"/>
            </w14:solidFill>
          </w14:textFill>
        </w:rPr>
        <w:t>响应文件中所</w:t>
      </w:r>
      <w:r>
        <w:rPr>
          <w:rFonts w:hint="eastAsia" w:ascii="仿宋" w:hAnsi="仿宋" w:eastAsia="仿宋" w:cs="仿宋"/>
          <w:b/>
          <w:color w:val="000000" w:themeColor="text1"/>
          <w:sz w:val="24"/>
          <w:highlight w:val="none"/>
          <w:lang w:eastAsia="zh-CN"/>
          <w14:textFill>
            <w14:solidFill>
              <w14:schemeClr w14:val="tx1"/>
            </w14:solidFill>
          </w14:textFill>
        </w:rPr>
        <w:t>需</w:t>
      </w:r>
      <w:r>
        <w:rPr>
          <w:rFonts w:hint="eastAsia" w:ascii="仿宋" w:hAnsi="仿宋" w:eastAsia="仿宋" w:cs="仿宋"/>
          <w:b/>
          <w:color w:val="000000" w:themeColor="text1"/>
          <w:sz w:val="24"/>
          <w:highlight w:val="none"/>
          <w14:textFill>
            <w14:solidFill>
              <w14:schemeClr w14:val="tx1"/>
            </w14:solidFill>
          </w14:textFill>
        </w:rPr>
        <w:t>加盖公章部分均采用CA签章。</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3.1资格审查资料的组成：</w:t>
      </w:r>
    </w:p>
    <w:p>
      <w:pPr>
        <w:tabs>
          <w:tab w:val="left" w:pos="0"/>
          <w:tab w:val="left" w:pos="900"/>
          <w:tab w:val="left" w:pos="7020"/>
          <w:tab w:val="left" w:pos="8460"/>
        </w:tabs>
        <w:snapToGrid w:val="0"/>
        <w:spacing w:line="44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1）有效期内的营业执照扫描件；</w:t>
      </w:r>
    </w:p>
    <w:p>
      <w:pPr>
        <w:tabs>
          <w:tab w:val="left" w:pos="0"/>
          <w:tab w:val="left" w:pos="900"/>
          <w:tab w:val="left" w:pos="7020"/>
          <w:tab w:val="left" w:pos="8460"/>
        </w:tabs>
        <w:snapToGrid w:val="0"/>
        <w:spacing w:line="44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2）法定代表人身份证明【格式见附件】（供应商代表为法定代表人时提供）或法定代表人授权委托书【格 式见附件】（供应商代表为授权委托人时提供）；</w:t>
      </w:r>
    </w:p>
    <w:p>
      <w:pPr>
        <w:pStyle w:val="35"/>
        <w:spacing w:line="440" w:lineRule="exact"/>
        <w:ind w:left="0"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3)参与政府采购活动投标资格声明函；</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4）投标人认为有必要提供的其他文件和说明。</w:t>
      </w:r>
    </w:p>
    <w:p>
      <w:pPr>
        <w:tabs>
          <w:tab w:val="left" w:pos="720"/>
          <w:tab w:val="left" w:pos="5355"/>
        </w:tabs>
        <w:spacing w:line="44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注：▲资格审查资料应包含以上所有内容，投标人提供的资格审查资料不完整或不符合招标文件要求的，则资格审查不予通过。</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3.2技术资信文件（请附“供应商自评表”【格式见附件】，以便评审）：</w:t>
      </w:r>
    </w:p>
    <w:p>
      <w:pPr>
        <w:tabs>
          <w:tab w:val="left" w:pos="0"/>
          <w:tab w:val="left" w:pos="900"/>
          <w:tab w:val="left" w:pos="7020"/>
          <w:tab w:val="left" w:pos="8460"/>
        </w:tabs>
        <w:snapToGrid w:val="0"/>
        <w:spacing w:line="44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（1）资信部分</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1）投标声明书【格式见附件】；</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2）投标人基本情况表【格式见附件】；</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同类业绩</w:t>
      </w:r>
      <w:r>
        <w:rPr>
          <w:rFonts w:hint="eastAsia" w:ascii="仿宋" w:hAnsi="仿宋" w:eastAsia="仿宋" w:cs="仿宋"/>
          <w:color w:val="000000" w:themeColor="text1"/>
          <w:sz w:val="24"/>
          <w:highlight w:val="none"/>
          <w14:textFill>
            <w14:solidFill>
              <w14:schemeClr w14:val="tx1"/>
            </w14:solidFill>
          </w14:textFill>
        </w:rPr>
        <w:t>；</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项目负责人</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投标人认为有必要提供的其他文件和说明（格式自拟）。</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）项具体内容可参考评分内容编制。</w:t>
      </w:r>
    </w:p>
    <w:p>
      <w:pPr>
        <w:tabs>
          <w:tab w:val="left" w:pos="0"/>
          <w:tab w:val="left" w:pos="900"/>
          <w:tab w:val="left" w:pos="7020"/>
          <w:tab w:val="left" w:pos="8460"/>
        </w:tabs>
        <w:snapToGrid w:val="0"/>
        <w:spacing w:line="44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（2）技术部分</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偏离表【格式见附件】；</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项目需求的理解程度</w:t>
      </w:r>
      <w:r>
        <w:rPr>
          <w:rFonts w:hint="eastAsia" w:ascii="仿宋" w:hAnsi="仿宋" w:eastAsia="仿宋" w:cs="仿宋"/>
          <w:color w:val="000000" w:themeColor="text1"/>
          <w:sz w:val="24"/>
          <w:highlight w:val="none"/>
          <w14:textFill>
            <w14:solidFill>
              <w14:schemeClr w14:val="tx1"/>
            </w14:solidFill>
          </w14:textFill>
        </w:rPr>
        <w:t>；</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收运方案</w:t>
      </w:r>
      <w:r>
        <w:rPr>
          <w:rFonts w:hint="eastAsia" w:ascii="仿宋" w:hAnsi="仿宋" w:eastAsia="仿宋" w:cs="仿宋"/>
          <w:color w:val="000000" w:themeColor="text1"/>
          <w:sz w:val="24"/>
          <w:highlight w:val="none"/>
          <w14:textFill>
            <w14:solidFill>
              <w14:schemeClr w14:val="tx1"/>
            </w14:solidFill>
          </w14:textFill>
        </w:rPr>
        <w:t>；</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处置设施处理工艺</w:t>
      </w:r>
      <w:r>
        <w:rPr>
          <w:rFonts w:hint="eastAsia" w:ascii="仿宋" w:hAnsi="仿宋" w:eastAsia="仿宋" w:cs="仿宋"/>
          <w:color w:val="000000" w:themeColor="text1"/>
          <w:sz w:val="24"/>
          <w:highlight w:val="none"/>
          <w14:textFill>
            <w14:solidFill>
              <w14:schemeClr w14:val="tx1"/>
            </w14:solidFill>
          </w14:textFill>
        </w:rPr>
        <w:t>；</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餐厨（厨余）垃圾桶管理；</w:t>
      </w:r>
    </w:p>
    <w:p>
      <w:pPr>
        <w:pStyle w:val="2"/>
        <w:ind w:firstLine="480" w:firstLineChars="200"/>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6）特殊时期的应急保障措施；</w:t>
      </w:r>
    </w:p>
    <w:p>
      <w:pPr>
        <w:ind w:firstLine="480" w:firstLineChars="20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企业管理制度；</w:t>
      </w:r>
    </w:p>
    <w:p>
      <w:pPr>
        <w:pStyle w:val="2"/>
        <w:ind w:firstLine="480" w:firstLineChars="200"/>
        <w:jc w:val="both"/>
        <w:rPr>
          <w:rFonts w:hint="default"/>
          <w:b/>
          <w:bCs/>
          <w:lang w:val="en-US" w:eastAsia="zh-CN"/>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安全文明作业措施</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pPr>
        <w:tabs>
          <w:tab w:val="left" w:pos="0"/>
          <w:tab w:val="left" w:pos="900"/>
          <w:tab w:val="left" w:pos="7020"/>
          <w:tab w:val="left" w:pos="8460"/>
        </w:tabs>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投标人认为有必要提供的其他文件和说明（格式自拟）。</w:t>
      </w:r>
    </w:p>
    <w:p>
      <w:pPr>
        <w:tabs>
          <w:tab w:val="left" w:pos="0"/>
          <w:tab w:val="left" w:pos="900"/>
          <w:tab w:val="left" w:pos="7020"/>
          <w:tab w:val="left" w:pos="8460"/>
        </w:tabs>
        <w:snapToGrid w:val="0"/>
        <w:spacing w:line="44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w:t>
      </w:r>
      <w:r>
        <w:rPr>
          <w:rFonts w:hint="eastAsia" w:ascii="仿宋" w:hAnsi="仿宋" w:eastAsia="仿宋" w:cs="仿宋"/>
          <w:b/>
          <w:bCs/>
          <w:color w:val="000000" w:themeColor="text1"/>
          <w:sz w:val="24"/>
          <w:highlight w:val="none"/>
          <w:lang w:val="en-US" w:eastAsia="zh-CN"/>
          <w14:textFill>
            <w14:solidFill>
              <w14:schemeClr w14:val="tx1"/>
            </w14:solidFill>
          </w14:textFill>
        </w:rPr>
        <w:t>9</w:t>
      </w:r>
      <w:r>
        <w:rPr>
          <w:rFonts w:hint="eastAsia" w:ascii="仿宋" w:hAnsi="仿宋" w:eastAsia="仿宋" w:cs="仿宋"/>
          <w:b/>
          <w:bCs/>
          <w:color w:val="000000" w:themeColor="text1"/>
          <w:sz w:val="24"/>
          <w:highlight w:val="none"/>
          <w14:textFill>
            <w14:solidFill>
              <w14:schemeClr w14:val="tx1"/>
            </w14:solidFill>
          </w14:textFill>
        </w:rPr>
        <w:t>）项具体内容可参考评分内容编制。</w:t>
      </w:r>
    </w:p>
    <w:p>
      <w:pPr>
        <w:tabs>
          <w:tab w:val="left" w:pos="720"/>
          <w:tab w:val="left" w:pos="5355"/>
        </w:tabs>
        <w:spacing w:line="44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3.3报价文件：</w:t>
      </w:r>
    </w:p>
    <w:p>
      <w:pPr>
        <w:tabs>
          <w:tab w:val="left" w:pos="720"/>
          <w:tab w:val="left" w:pos="5355"/>
        </w:tabs>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w:t>
      </w:r>
      <w:r>
        <w:rPr>
          <w:rFonts w:hint="eastAsia" w:ascii="仿宋" w:hAnsi="仿宋" w:eastAsia="仿宋" w:cs="仿宋"/>
          <w:b/>
          <w:bCs/>
          <w:color w:val="000000" w:themeColor="text1"/>
          <w:sz w:val="24"/>
          <w:highlight w:val="none"/>
          <w14:textFill>
            <w14:solidFill>
              <w14:schemeClr w14:val="tx1"/>
            </w14:solidFill>
          </w14:textFill>
        </w:rPr>
        <w:t>（根据系统要求在线填写。）</w:t>
      </w:r>
    </w:p>
    <w:p>
      <w:pPr>
        <w:tabs>
          <w:tab w:val="left" w:pos="720"/>
          <w:tab w:val="left" w:pos="5355"/>
        </w:tabs>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2）投标报价明细表【格式见附件】；</w:t>
      </w:r>
    </w:p>
    <w:p>
      <w:pPr>
        <w:tabs>
          <w:tab w:val="left" w:pos="720"/>
          <w:tab w:val="left" w:pos="5355"/>
        </w:tabs>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3）享受小微企业（含监狱企业、残疾人福利性企业）价格扶持政策的证明材料（</w:t>
      </w:r>
      <w:r>
        <w:rPr>
          <w:rFonts w:hint="eastAsia" w:ascii="仿宋" w:hAnsi="仿宋" w:eastAsia="仿宋" w:cs="仿宋"/>
          <w:b/>
          <w:bCs/>
          <w:color w:val="000000" w:themeColor="text1"/>
          <w:sz w:val="24"/>
          <w:highlight w:val="none"/>
          <w14:textFill>
            <w14:solidFill>
              <w14:schemeClr w14:val="tx1"/>
            </w14:solidFill>
          </w14:textFill>
        </w:rPr>
        <w:t>详见“政府采购扶持政策说明”，非小微企业、监狱企业、残疾人福利性企业的，无需提供</w:t>
      </w:r>
      <w:r>
        <w:rPr>
          <w:rFonts w:hint="eastAsia" w:ascii="仿宋" w:hAnsi="仿宋" w:eastAsia="仿宋" w:cs="仿宋"/>
          <w:color w:val="000000" w:themeColor="text1"/>
          <w:sz w:val="24"/>
          <w:highlight w:val="none"/>
          <w14:textFill>
            <w14:solidFill>
              <w14:schemeClr w14:val="tx1"/>
            </w14:solidFill>
          </w14:textFill>
        </w:rPr>
        <w:t>）；</w:t>
      </w:r>
    </w:p>
    <w:p>
      <w:pPr>
        <w:tabs>
          <w:tab w:val="left" w:pos="720"/>
          <w:tab w:val="left" w:pos="5355"/>
        </w:tabs>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4）投标人针对报价需要说明的其他文件和资料（格式自拟）。</w:t>
      </w:r>
    </w:p>
    <w:p>
      <w:pPr>
        <w:pStyle w:val="35"/>
        <w:spacing w:line="440" w:lineRule="exact"/>
        <w:ind w:left="0"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4.投标文件的编制格式及说明</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4.1投标文件应包括规定的内容，投标人提交的投标文件应当使用招标文件所提供的投标文件全部格式（格式可以按同样格式扩展）；未提供投标文件标准格式的，由投标人自行编写：</w:t>
      </w:r>
      <w:r>
        <w:rPr>
          <w:rFonts w:hint="eastAsia" w:ascii="仿宋" w:hAnsi="仿宋" w:eastAsia="仿宋" w:cs="仿宋"/>
          <w:b/>
          <w:bCs/>
          <w:color w:val="000000" w:themeColor="text1"/>
          <w:highlight w:val="none"/>
          <w14:textFill>
            <w14:solidFill>
              <w14:schemeClr w14:val="tx1"/>
            </w14:solidFill>
          </w14:textFill>
        </w:rPr>
        <w:t>响应文件按政府采购云平台</w:t>
      </w:r>
      <w:r>
        <w:rPr>
          <w:rFonts w:hint="eastAsia" w:ascii="仿宋" w:hAnsi="仿宋" w:eastAsia="仿宋" w:cs="仿宋"/>
          <w:b/>
          <w:bCs/>
          <w:color w:val="000000" w:themeColor="text1"/>
          <w:kern w:val="0"/>
          <w:highlight w:val="none"/>
          <w14:textFill>
            <w14:solidFill>
              <w14:schemeClr w14:val="tx1"/>
            </w14:solidFill>
          </w14:textFill>
        </w:rPr>
        <w:t>“供应商-政府采购项目电子交易操作指南”</w:t>
      </w:r>
      <w:r>
        <w:rPr>
          <w:rFonts w:hint="eastAsia" w:ascii="仿宋" w:hAnsi="仿宋" w:eastAsia="仿宋" w:cs="仿宋"/>
          <w:b/>
          <w:bCs/>
          <w:color w:val="000000" w:themeColor="text1"/>
          <w:highlight w:val="none"/>
          <w14:textFill>
            <w14:solidFill>
              <w14:schemeClr w14:val="tx1"/>
            </w14:solidFill>
          </w14:textFill>
        </w:rPr>
        <w:t>及本招标文件要求制作、加密。</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4.2投标文件的格式参照招标文件提供的表格格式及字体；</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4.4投标人必须保证投标文件所提供的全部资料真实可靠，并接受对其中任何资料进一步审查的要求。</w:t>
      </w:r>
    </w:p>
    <w:p>
      <w:pPr>
        <w:pStyle w:val="35"/>
        <w:spacing w:line="440" w:lineRule="exact"/>
        <w:ind w:left="-420" w:leftChars="-200"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5.投标报价</w:t>
      </w:r>
    </w:p>
    <w:p>
      <w:pPr>
        <w:spacing w:line="360" w:lineRule="auto"/>
        <w:ind w:left="-139" w:leftChars="-6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 5.1</w:t>
      </w:r>
      <w:r>
        <w:rPr>
          <w:rFonts w:hint="eastAsia" w:ascii="仿宋" w:hAnsi="仿宋" w:eastAsia="仿宋" w:cs="仿宋"/>
          <w:b/>
          <w:bCs/>
          <w:color w:val="000000" w:themeColor="text1"/>
          <w:sz w:val="24"/>
          <w:highlight w:val="none"/>
          <w14:textFill>
            <w14:solidFill>
              <w14:schemeClr w14:val="tx1"/>
            </w14:solidFill>
          </w14:textFill>
        </w:rPr>
        <w:t>投标报价是履行合同的最终价格，</w:t>
      </w:r>
      <w:r>
        <w:rPr>
          <w:rFonts w:hint="eastAsia" w:ascii="仿宋" w:hAnsi="仿宋" w:eastAsia="仿宋" w:cs="仿宋"/>
          <w:color w:val="000000" w:themeColor="text1"/>
          <w:sz w:val="24"/>
          <w:highlight w:val="none"/>
          <w14:textFill>
            <w14:solidFill>
              <w14:schemeClr w14:val="tx1"/>
            </w14:solidFill>
          </w14:textFill>
        </w:rPr>
        <w:t>供应商报价</w:t>
      </w:r>
      <w:r>
        <w:rPr>
          <w:rFonts w:hint="eastAsia" w:ascii="仿宋" w:hAnsi="仿宋" w:eastAsia="仿宋" w:cs="仿宋"/>
          <w:color w:val="000000" w:themeColor="text1"/>
          <w:sz w:val="24"/>
          <w:highlight w:val="none"/>
          <w:lang w:eastAsia="zh-CN"/>
          <w14:textFill>
            <w14:solidFill>
              <w14:schemeClr w14:val="tx1"/>
            </w14:solidFill>
          </w14:textFill>
        </w:rPr>
        <w:t>需包含本项目</w:t>
      </w:r>
      <w:r>
        <w:rPr>
          <w:rFonts w:hint="eastAsia" w:ascii="仿宋" w:hAnsi="仿宋" w:eastAsia="仿宋" w:cs="仿宋"/>
          <w:color w:val="000000" w:themeColor="text1"/>
          <w:sz w:val="24"/>
          <w:highlight w:val="none"/>
          <w14:textFill>
            <w14:solidFill>
              <w14:schemeClr w14:val="tx1"/>
            </w14:solidFill>
          </w14:textFill>
        </w:rPr>
        <w:t>全部服务工作内容所需支付的所有费用，</w:t>
      </w:r>
      <w:r>
        <w:rPr>
          <w:rFonts w:hint="eastAsia" w:ascii="仿宋" w:hAnsi="仿宋" w:eastAsia="仿宋" w:cs="仿宋"/>
          <w:color w:val="000000" w:themeColor="text1"/>
          <w:sz w:val="24"/>
          <w:szCs w:val="24"/>
          <w:highlight w:val="none"/>
          <w14:textFill>
            <w14:solidFill>
              <w14:schemeClr w14:val="tx1"/>
            </w14:solidFill>
          </w14:textFill>
        </w:rPr>
        <w:t>包括</w:t>
      </w:r>
      <w:r>
        <w:rPr>
          <w:rFonts w:hint="eastAsia" w:ascii="仿宋" w:hAnsi="仿宋" w:eastAsia="仿宋" w:cs="仿宋"/>
          <w:color w:val="000000" w:themeColor="text1"/>
          <w:sz w:val="24"/>
          <w:szCs w:val="24"/>
          <w:highlight w:val="none"/>
          <w:lang w:eastAsia="zh-CN"/>
          <w14:textFill>
            <w14:solidFill>
              <w14:schemeClr w14:val="tx1"/>
            </w14:solidFill>
          </w14:textFill>
        </w:rPr>
        <w:t>但不限于</w:t>
      </w:r>
      <w:r>
        <w:rPr>
          <w:rFonts w:hint="eastAsia" w:ascii="仿宋" w:hAnsi="仿宋" w:eastAsia="仿宋" w:cs="仿宋"/>
          <w:color w:val="000000" w:themeColor="text1"/>
          <w:sz w:val="24"/>
          <w:szCs w:val="24"/>
          <w:highlight w:val="none"/>
          <w14:textFill>
            <w14:solidFill>
              <w14:schemeClr w14:val="tx1"/>
            </w14:solidFill>
          </w14:textFill>
        </w:rPr>
        <w:t>收运费</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处置费</w:t>
      </w:r>
      <w:r>
        <w:rPr>
          <w:rFonts w:hint="eastAsia" w:ascii="仿宋" w:hAnsi="仿宋" w:eastAsia="仿宋" w:cs="仿宋"/>
          <w:color w:val="000000" w:themeColor="text1"/>
          <w:sz w:val="24"/>
          <w:szCs w:val="24"/>
          <w:highlight w:val="none"/>
          <w:lang w:eastAsia="zh-CN"/>
          <w14:textFill>
            <w14:solidFill>
              <w14:schemeClr w14:val="tx1"/>
            </w14:solidFill>
          </w14:textFill>
        </w:rPr>
        <w:t>、所需</w:t>
      </w:r>
      <w:r>
        <w:rPr>
          <w:rFonts w:hint="eastAsia" w:ascii="仿宋" w:hAnsi="仿宋" w:eastAsia="仿宋" w:cs="仿宋"/>
          <w:color w:val="000000" w:themeColor="text1"/>
          <w:sz w:val="24"/>
          <w:szCs w:val="24"/>
          <w:highlight w:val="none"/>
          <w14:textFill>
            <w14:solidFill>
              <w14:schemeClr w14:val="tx1"/>
            </w14:solidFill>
          </w14:textFill>
        </w:rPr>
        <w:t>设备技术费、材料费、劳动成本（员工工资、社保、国家补贴等）、生产费用税金、安装施工、调试费、人工费</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招标代理费</w:t>
      </w:r>
      <w:r>
        <w:rPr>
          <w:rFonts w:hint="eastAsia" w:ascii="仿宋" w:hAnsi="仿宋" w:eastAsia="仿宋" w:cs="仿宋"/>
          <w:color w:val="000000" w:themeColor="text1"/>
          <w:sz w:val="24"/>
          <w:highlight w:val="none"/>
          <w14:textFill>
            <w14:solidFill>
              <w14:schemeClr w14:val="tx1"/>
            </w14:solidFill>
          </w14:textFill>
        </w:rPr>
        <w:t>及处理一切伤亡事故</w:t>
      </w:r>
      <w:r>
        <w:rPr>
          <w:rFonts w:hint="eastAsia" w:ascii="仿宋" w:hAnsi="仿宋" w:eastAsia="仿宋" w:cs="仿宋"/>
          <w:color w:val="000000" w:themeColor="text1"/>
          <w:sz w:val="24"/>
          <w:highlight w:val="none"/>
          <w:lang w:eastAsia="zh-CN"/>
          <w14:textFill>
            <w14:solidFill>
              <w14:schemeClr w14:val="tx1"/>
            </w14:solidFill>
          </w14:textFill>
        </w:rPr>
        <w:t>等其他</w:t>
      </w:r>
      <w:r>
        <w:rPr>
          <w:rFonts w:hint="eastAsia" w:ascii="仿宋" w:hAnsi="仿宋" w:eastAsia="仿宋" w:cs="仿宋"/>
          <w:color w:val="000000" w:themeColor="text1"/>
          <w:sz w:val="24"/>
          <w:szCs w:val="24"/>
          <w:highlight w:val="none"/>
          <w:lang w:eastAsia="zh-CN"/>
          <w14:textFill>
            <w14:solidFill>
              <w14:schemeClr w14:val="tx1"/>
            </w14:solidFill>
          </w14:textFill>
        </w:rPr>
        <w:t>与本项目相关</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所有</w:t>
      </w:r>
      <w:r>
        <w:rPr>
          <w:rFonts w:hint="eastAsia" w:ascii="仿宋" w:hAnsi="仿宋" w:eastAsia="仿宋" w:cs="仿宋"/>
          <w:color w:val="000000" w:themeColor="text1"/>
          <w:sz w:val="24"/>
          <w:szCs w:val="24"/>
          <w:highlight w:val="none"/>
          <w14:textFill>
            <w14:solidFill>
              <w14:schemeClr w14:val="tx1"/>
            </w14:solidFill>
          </w14:textFill>
        </w:rPr>
        <w:t>费用</w:t>
      </w:r>
      <w:r>
        <w:rPr>
          <w:rFonts w:hint="eastAsia" w:ascii="仿宋" w:hAnsi="仿宋" w:eastAsia="仿宋" w:cs="仿宋"/>
          <w:color w:val="000000" w:themeColor="text1"/>
          <w:sz w:val="24"/>
          <w:highlight w:val="none"/>
          <w14:textFill>
            <w14:solidFill>
              <w14:schemeClr w14:val="tx1"/>
            </w14:solidFill>
          </w14:textFill>
        </w:rPr>
        <w:t>。</w:t>
      </w:r>
    </w:p>
    <w:p>
      <w:pPr>
        <w:tabs>
          <w:tab w:val="left" w:pos="540"/>
        </w:tabs>
        <w:spacing w:line="440" w:lineRule="exact"/>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5.2投标相关报价明细表填写时应详细注明该表列举的费用及分项清单。</w:t>
      </w:r>
    </w:p>
    <w:p>
      <w:pPr>
        <w:tabs>
          <w:tab w:val="left" w:pos="540"/>
        </w:tabs>
        <w:spacing w:line="440" w:lineRule="exact"/>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5.3投标人必须按第六章投标文件格式中的开标一览表（统一格式）的内容填写价格</w:t>
      </w:r>
      <w:r>
        <w:rPr>
          <w:rFonts w:hint="eastAsia" w:ascii="仿宋" w:hAnsi="仿宋" w:eastAsia="仿宋" w:cs="仿宋"/>
          <w:color w:val="000000" w:themeColor="text1"/>
          <w:sz w:val="24"/>
          <w:highlight w:val="none"/>
          <w:lang w:eastAsia="zh-CN"/>
          <w14:textFill>
            <w14:solidFill>
              <w14:schemeClr w14:val="tx1"/>
            </w14:solidFill>
          </w14:textFill>
        </w:rPr>
        <w:t>及其</w:t>
      </w:r>
      <w:r>
        <w:rPr>
          <w:rFonts w:hint="eastAsia" w:ascii="仿宋" w:hAnsi="仿宋" w:eastAsia="仿宋" w:cs="仿宋"/>
          <w:color w:val="000000" w:themeColor="text1"/>
          <w:sz w:val="24"/>
          <w:highlight w:val="none"/>
          <w14:textFill>
            <w14:solidFill>
              <w14:schemeClr w14:val="tx1"/>
            </w14:solidFill>
          </w14:textFill>
        </w:rPr>
        <w:t>他事项。</w:t>
      </w:r>
    </w:p>
    <w:p>
      <w:pPr>
        <w:tabs>
          <w:tab w:val="left" w:pos="540"/>
        </w:tabs>
        <w:spacing w:line="440" w:lineRule="exact"/>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5.4所有投标均以人民币报价。</w:t>
      </w:r>
    </w:p>
    <w:p>
      <w:pPr>
        <w:tabs>
          <w:tab w:val="left" w:pos="540"/>
        </w:tabs>
        <w:spacing w:line="440" w:lineRule="exact"/>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5.5采购单位不接受任何选择报价，投标单位只允许有一个有效报价。</w:t>
      </w:r>
    </w:p>
    <w:p>
      <w:pPr>
        <w:pStyle w:val="35"/>
        <w:spacing w:line="440" w:lineRule="exact"/>
        <w:ind w:left="-420" w:leftChars="-200" w:firstLine="482" w:firstLine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6.投标文件的格式和顺序</w:t>
      </w:r>
    </w:p>
    <w:p>
      <w:pPr>
        <w:snapToGrid w:val="0"/>
        <w:spacing w:line="44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按政府采购云平台</w:t>
      </w:r>
      <w:r>
        <w:rPr>
          <w:rFonts w:hint="eastAsia" w:ascii="仿宋" w:hAnsi="仿宋" w:eastAsia="仿宋" w:cs="仿宋"/>
          <w:b/>
          <w:bCs/>
          <w:color w:val="000000" w:themeColor="text1"/>
          <w:kern w:val="0"/>
          <w:sz w:val="24"/>
          <w:highlight w:val="none"/>
          <w14:textFill>
            <w14:solidFill>
              <w14:schemeClr w14:val="tx1"/>
            </w14:solidFill>
          </w14:textFill>
        </w:rPr>
        <w:t>“供应商-政府采购项目电子交易操作指南”</w:t>
      </w:r>
      <w:r>
        <w:rPr>
          <w:rFonts w:hint="eastAsia" w:ascii="仿宋" w:hAnsi="仿宋" w:eastAsia="仿宋" w:cs="仿宋"/>
          <w:b/>
          <w:bCs/>
          <w:color w:val="000000" w:themeColor="text1"/>
          <w:sz w:val="24"/>
          <w:highlight w:val="none"/>
          <w14:textFill>
            <w14:solidFill>
              <w14:schemeClr w14:val="tx1"/>
            </w14:solidFill>
          </w14:textFill>
        </w:rPr>
        <w:fldChar w:fldCharType="begin"/>
      </w:r>
      <w:r>
        <w:rPr>
          <w:rFonts w:hint="eastAsia" w:ascii="仿宋" w:hAnsi="仿宋" w:eastAsia="仿宋" w:cs="仿宋"/>
          <w:b/>
          <w:bCs/>
          <w:color w:val="000000" w:themeColor="text1"/>
          <w:sz w:val="24"/>
          <w:highlight w:val="none"/>
          <w14:textFill>
            <w14:solidFill>
              <w14:schemeClr w14:val="tx1"/>
            </w14:solidFill>
          </w14:textFill>
        </w:rPr>
        <w:instrText xml:space="preserve"> HYPERLINK "https://help.zcy.gov.cn/web/site_2/2018/12-28/2573.html）及本招标文件规定的格式和顺序编制电子投标文件并进行关联定位。" </w:instrText>
      </w:r>
      <w:r>
        <w:rPr>
          <w:rFonts w:hint="eastAsia" w:ascii="仿宋" w:hAnsi="仿宋" w:eastAsia="仿宋" w:cs="仿宋"/>
          <w:b/>
          <w:bCs/>
          <w:color w:val="000000" w:themeColor="text1"/>
          <w:sz w:val="24"/>
          <w:highlight w:val="none"/>
          <w14:textFill>
            <w14:solidFill>
              <w14:schemeClr w14:val="tx1"/>
            </w14:solidFill>
          </w14:textFill>
        </w:rPr>
        <w:fldChar w:fldCharType="separate"/>
      </w:r>
      <w:r>
        <w:rPr>
          <w:rStyle w:val="64"/>
          <w:rFonts w:hint="eastAsia" w:ascii="仿宋" w:hAnsi="仿宋" w:eastAsia="仿宋" w:cs="仿宋"/>
          <w:b/>
          <w:bCs/>
          <w:color w:val="000000" w:themeColor="text1"/>
          <w:sz w:val="24"/>
          <w:szCs w:val="24"/>
          <w:highlight w:val="none"/>
          <w14:textFill>
            <w14:solidFill>
              <w14:schemeClr w14:val="tx1"/>
            </w14:solidFill>
          </w14:textFill>
        </w:rPr>
        <w:t>及本招标文件规定的格式和顺序编制响应文件并进行关联定位。</w:t>
      </w:r>
      <w:r>
        <w:rPr>
          <w:rFonts w:hint="eastAsia" w:ascii="仿宋" w:hAnsi="仿宋" w:eastAsia="仿宋" w:cs="仿宋"/>
          <w:b/>
          <w:bCs/>
          <w:color w:val="000000" w:themeColor="text1"/>
          <w:sz w:val="24"/>
          <w:highlight w:val="none"/>
          <w14:textFill>
            <w14:solidFill>
              <w14:schemeClr w14:val="tx1"/>
            </w14:solidFill>
          </w14:textFill>
        </w:rPr>
        <w:fldChar w:fldCharType="end"/>
      </w:r>
    </w:p>
    <w:p>
      <w:pPr>
        <w:pStyle w:val="35"/>
        <w:spacing w:line="440" w:lineRule="exact"/>
        <w:ind w:left="0" w:firstLine="0" w:firstLineChars="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7.投标有效期</w:t>
      </w:r>
    </w:p>
    <w:p>
      <w:pPr>
        <w:tabs>
          <w:tab w:val="left" w:pos="540"/>
        </w:tabs>
        <w:spacing w:line="440" w:lineRule="exact"/>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7.1投标有效期见本招标文件中前附表所规定的期限，在此期限内，凡符合招标文件要求的投标文件均保持有效。</w:t>
      </w:r>
    </w:p>
    <w:p>
      <w:pPr>
        <w:tabs>
          <w:tab w:val="left" w:pos="540"/>
        </w:tabs>
        <w:spacing w:line="440" w:lineRule="exact"/>
        <w:ind w:firstLine="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在特殊情况下，采购人、采购代理机构在原定投标有效期内，可以根据需要以书面形式向投标人提出延长投标有效期的要求，对此要求投标人须以书面形式予以答复。投标人可以拒绝采购人、采购代理机构这种要求。同意延长投标有效期的投标人既不能要求也不允许修改其投标文件。</w:t>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Pr>
        <w:pStyle w:val="35"/>
        <w:spacing w:line="440" w:lineRule="exact"/>
        <w:ind w:left="0" w:firstLine="0" w:firstLineChars="0"/>
        <w:rPr>
          <w:rFonts w:hint="eastAsia" w:ascii="仿宋" w:hAnsi="仿宋" w:eastAsia="仿宋" w:cs="仿宋"/>
          <w:b/>
          <w:bCs/>
          <w:color w:val="000000" w:themeColor="text1"/>
          <w:highlight w:val="none"/>
          <w14:textFill>
            <w14:solidFill>
              <w14:schemeClr w14:val="tx1"/>
            </w14:solidFill>
          </w14:textFill>
        </w:rPr>
      </w:pPr>
      <w:bookmarkStart w:id="104" w:name="_Toc6995"/>
      <w:bookmarkStart w:id="105" w:name="_Toc245722281"/>
      <w:bookmarkStart w:id="106" w:name="_Toc222114879"/>
      <w:bookmarkStart w:id="107" w:name="_Toc262049418"/>
      <w:bookmarkStart w:id="108" w:name="_Toc221356951"/>
      <w:bookmarkStart w:id="109" w:name="_Toc249758864"/>
      <w:bookmarkStart w:id="110" w:name="_Toc221374626"/>
      <w:bookmarkStart w:id="111" w:name="_Toc410031816"/>
      <w:bookmarkStart w:id="112" w:name="_Toc221423619"/>
      <w:bookmarkStart w:id="113" w:name="_Toc239145354"/>
      <w:bookmarkStart w:id="114" w:name="_Toc245191314"/>
      <w:bookmarkStart w:id="115" w:name="_Toc249758712"/>
      <w:bookmarkStart w:id="116" w:name="_Toc241404202"/>
      <w:bookmarkStart w:id="117" w:name="_Toc223715998"/>
      <w:bookmarkStart w:id="118" w:name="_Toc262105503"/>
      <w:bookmarkStart w:id="119" w:name="_Toc246261265"/>
      <w:bookmarkStart w:id="120" w:name="_Toc221356887"/>
      <w:r>
        <w:rPr>
          <w:rFonts w:hint="eastAsia" w:ascii="仿宋" w:hAnsi="仿宋" w:eastAsia="仿宋" w:cs="仿宋"/>
          <w:b/>
          <w:bCs/>
          <w:color w:val="000000" w:themeColor="text1"/>
          <w:highlight w:val="none"/>
          <w14:textFill>
            <w14:solidFill>
              <w14:schemeClr w14:val="tx1"/>
            </w14:solidFill>
          </w14:textFill>
        </w:rPr>
        <w:t>8.投标保证金</w:t>
      </w:r>
    </w:p>
    <w:p>
      <w:pPr>
        <w:pStyle w:val="35"/>
        <w:spacing w:line="440" w:lineRule="exact"/>
        <w:ind w:left="0"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8.1投标保证金的规定：</w:t>
      </w:r>
      <w:r>
        <w:rPr>
          <w:rFonts w:hint="eastAsia" w:ascii="仿宋" w:hAnsi="仿宋" w:eastAsia="仿宋" w:cs="仿宋"/>
          <w:color w:val="000000" w:themeColor="text1"/>
          <w:highlight w:val="none"/>
          <w14:textFill>
            <w14:solidFill>
              <w14:schemeClr w14:val="tx1"/>
            </w14:solidFill>
          </w14:textFill>
        </w:rPr>
        <w:t>详见投标人须知前附表。</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bookmarkEnd w:id="104"/>
    <w:p>
      <w:pPr>
        <w:pStyle w:val="2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四、投标</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bookmarkStart w:id="121" w:name="_Toc25626"/>
      <w:bookmarkStart w:id="122" w:name="_Toc2836"/>
      <w:r>
        <w:rPr>
          <w:rFonts w:hint="eastAsia" w:ascii="仿宋" w:hAnsi="仿宋" w:eastAsia="仿宋" w:cs="仿宋"/>
          <w:b/>
          <w:color w:val="000000" w:themeColor="text1"/>
          <w:highlight w:val="none"/>
          <w14:textFill>
            <w14:solidFill>
              <w14:schemeClr w14:val="tx1"/>
            </w14:solidFill>
          </w14:textFill>
        </w:rPr>
        <w:t>1.投标文件的递交</w:t>
      </w:r>
    </w:p>
    <w:p>
      <w:pPr>
        <w:pStyle w:val="35"/>
        <w:spacing w:line="440" w:lineRule="exact"/>
        <w:ind w:left="0"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投标人应当在投标截止时间前完成响应文件的传输递交，投标截止时间前可以补充、修改或者撤回响应文件。补充或者修改响应文件的，应当先行撤回原文件，补充、修改后重新传输递交。投标截止时间前未完成传输的，视为撤回响应文件。</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2.投标文件递交的截止时间</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2.1投标文件的截止时间见招标文件投标须知前附表的规定。</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采购人、采购代理机构可按本招标文件规定以修改补充通知的方式，酌情延长提交投标文件的截止时间。在此情况下，投标人的所有权利和义务以及投标人受制约的截止时间，均以延长后新的投标截止时间为准。</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2.3投标人在投标截止时间以后递交的投标文件将被拒绝接受。</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3.投标文件的补充、修改与撤回</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3.1投标人在提交投标文件以后，在规定的投标截止时间之前，可以补充修改或撤回已提交的投标文件：</w:t>
      </w:r>
    </w:p>
    <w:p>
      <w:pPr>
        <w:pStyle w:val="35"/>
        <w:spacing w:line="440" w:lineRule="exact"/>
        <w:ind w:left="0" w:firstLine="48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递交响应文件截止时间之前补充或者修改响应文件的，应当先行撤回原文件，补充、修改后重新传输递交；</w:t>
      </w:r>
    </w:p>
    <w:p>
      <w:pPr>
        <w:pStyle w:val="35"/>
        <w:spacing w:line="440" w:lineRule="exact"/>
        <w:ind w:left="420" w:leftChars="20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3.2在投标截止时间之后，投标人不得补充、修改投标文件。</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根据招标文件规定，在投标截止时间之后至投标人在投标声明书中规定的投标有效期满之前的这段时间内，投标人不得撤回其投标文件，否则应当按照本项目采购预算价2%的标准承担因此给采购单位造成的损失的赔偿责任及相应的法律责任。</w:t>
      </w:r>
    </w:p>
    <w:bookmarkEnd w:id="121"/>
    <w:p>
      <w:pPr>
        <w:pStyle w:val="2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五、开标</w:t>
      </w:r>
    </w:p>
    <w:p>
      <w:pPr>
        <w:pStyle w:val="35"/>
        <w:spacing w:line="440" w:lineRule="exact"/>
        <w:ind w:left="482" w:hanging="482"/>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1.开标</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1.1采购代理机构按本招标文件投标人须知前附表规定的时间和地点公开开标。</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1.2采购代理机构核验出席开标活动现场的相关单位人员身份，并组织其分别登记、签到，无关人员不得进入现场。</w:t>
      </w:r>
    </w:p>
    <w:p>
      <w:pPr>
        <w:pStyle w:val="35"/>
        <w:spacing w:line="440" w:lineRule="exact"/>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如投标截止时间至评审期间，出现有效代理商或供应商不足3家的情况，根据“《政府采购法》第三十六条第一款规定：在招标采购中，符合专业条件的供应商或者对招标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pPr>
        <w:pStyle w:val="101"/>
        <w:spacing w:line="440" w:lineRule="exact"/>
        <w:ind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2.开标准备 </w:t>
      </w:r>
    </w:p>
    <w:p>
      <w:pPr>
        <w:pStyle w:val="101"/>
        <w:spacing w:line="440" w:lineRule="exact"/>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开标的准备工作由采购组织机构负责落实；</w:t>
      </w:r>
    </w:p>
    <w:p>
      <w:pPr>
        <w:pStyle w:val="101"/>
        <w:spacing w:line="440" w:lineRule="exact"/>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投标人因未在线参加开标而导致投标文件无法按时解密等一切后果由投标人自己承担。</w:t>
      </w:r>
    </w:p>
    <w:p>
      <w:pPr>
        <w:pStyle w:val="101"/>
        <w:spacing w:line="440" w:lineRule="exact"/>
        <w:ind w:firstLine="0" w:firstLineChars="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3.开标流程</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（2）投标文件解密结束，组织供应商签署《政府采购活动现场确认声明书》并发送给代理机构；</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（3）开启投标文件，进入资格审查； </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（4）开启资格审查通过的投标人的商务技术文件（技术资信文件）进入符合性审查、商务技术（技术资信）评审；</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（5）符合性审查、商务技术（技术资信）评审结束后，在线公布商务技术（技术资信）评审结果。</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（6）开启符合性审查、商务技术（技术资信）评审有效投标人的《报价文件》，各供应商通过CA签字进行报价确认。结束后，由评标委员会对报价的合理性、准确性等进行审查核实，并进行报价评审。</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（7）评审结束后，在政采云远程开标大厅公布评审结果。</w:t>
      </w:r>
    </w:p>
    <w:p>
      <w:pPr>
        <w:spacing w:line="44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特别说明：政采云公司如对电子化开标及评审程序有调整的，按调整后的程序操作。</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2"/>
    <w:p>
      <w:pPr>
        <w:pStyle w:val="2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六、评标</w:t>
      </w:r>
    </w:p>
    <w:p>
      <w:pPr>
        <w:pStyle w:val="33"/>
        <w:snapToGrid w:val="0"/>
        <w:spacing w:line="44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1.组建评标委员会</w:t>
      </w:r>
    </w:p>
    <w:p>
      <w:pPr>
        <w:pStyle w:val="33"/>
        <w:snapToGrid w:val="0"/>
        <w:spacing w:line="440" w:lineRule="exact"/>
        <w:ind w:firstLine="480" w:firstLineChars="200"/>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本项目评标委员会共5人组成，其中采购人代表1名，其余4名从“政采云专家库系统”中随机抽取产生。</w:t>
      </w:r>
    </w:p>
    <w:p>
      <w:pPr>
        <w:pStyle w:val="33"/>
        <w:snapToGrid w:val="0"/>
        <w:spacing w:line="440" w:lineRule="exact"/>
        <w:rPr>
          <w:rFonts w:hint="eastAsia" w:ascii="仿宋" w:hAnsi="仿宋" w:eastAsia="仿宋" w:cs="仿宋"/>
          <w:b/>
          <w:color w:val="000000" w:themeColor="text1"/>
          <w:sz w:val="24"/>
          <w:szCs w:val="24"/>
          <w:highlight w:val="none"/>
          <w14:textFill>
            <w14:solidFill>
              <w14:schemeClr w14:val="tx1"/>
            </w14:solidFill>
          </w14:textFill>
        </w:rPr>
      </w:pPr>
      <w:bookmarkStart w:id="123" w:name="_Toc262105510"/>
      <w:bookmarkStart w:id="124" w:name="_Toc249758721"/>
      <w:bookmarkStart w:id="125" w:name="_Toc410031821"/>
      <w:bookmarkStart w:id="126" w:name="_Toc249758871"/>
      <w:bookmarkStart w:id="127" w:name="_Toc262049425"/>
      <w:bookmarkStart w:id="128" w:name="_Toc410031819"/>
      <w:bookmarkStart w:id="129" w:name="_Toc222114882"/>
      <w:bookmarkStart w:id="130" w:name="_Toc221356954"/>
      <w:bookmarkStart w:id="131" w:name="_Toc246261268"/>
      <w:bookmarkStart w:id="132" w:name="_Toc221374629"/>
      <w:bookmarkStart w:id="133" w:name="_Toc223716001"/>
      <w:bookmarkStart w:id="134" w:name="_Toc249758715"/>
      <w:bookmarkStart w:id="135" w:name="_Toc239145357"/>
      <w:bookmarkStart w:id="136" w:name="_Toc245191317"/>
      <w:bookmarkStart w:id="137" w:name="_Toc249758867"/>
      <w:bookmarkStart w:id="138" w:name="_Toc262105506"/>
      <w:bookmarkStart w:id="139" w:name="_Toc221423622"/>
      <w:bookmarkStart w:id="140" w:name="_Toc245722284"/>
      <w:bookmarkStart w:id="141" w:name="_Toc262049421"/>
      <w:bookmarkStart w:id="142" w:name="_Toc241404205"/>
      <w:bookmarkStart w:id="143" w:name="_Toc221356890"/>
      <w:r>
        <w:rPr>
          <w:rFonts w:hint="eastAsia" w:ascii="仿宋" w:hAnsi="仿宋" w:eastAsia="仿宋" w:cs="仿宋"/>
          <w:b/>
          <w:color w:val="000000" w:themeColor="text1"/>
          <w:sz w:val="24"/>
          <w:szCs w:val="24"/>
          <w:highlight w:val="none"/>
          <w14:textFill>
            <w14:solidFill>
              <w14:schemeClr w14:val="tx1"/>
            </w14:solidFill>
          </w14:textFill>
        </w:rPr>
        <w:t>2.评标的方式</w:t>
      </w:r>
    </w:p>
    <w:p>
      <w:pPr>
        <w:pStyle w:val="33"/>
        <w:snapToGrid w:val="0"/>
        <w:spacing w:line="440" w:lineRule="exact"/>
        <w:ind w:left="719" w:leftChars="228" w:hanging="240" w:hanging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本项目采用不公开方式评标，评标的依据为招标文件和投标文件。</w:t>
      </w:r>
    </w:p>
    <w:p>
      <w:pPr>
        <w:pStyle w:val="33"/>
        <w:snapToGrid w:val="0"/>
        <w:spacing w:line="4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3.评标程序</w:t>
      </w:r>
    </w:p>
    <w:p>
      <w:pPr>
        <w:snapToGrid w:val="0"/>
        <w:spacing w:line="440" w:lineRule="exact"/>
        <w:ind w:firstLine="472" w:firstLineChars="196"/>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3.1形式审查</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采购单位代表和代理机构工作人员协助评标委员会对投标人的投标文件的完整性、合法性等进行审查。</w:t>
      </w:r>
    </w:p>
    <w:p>
      <w:pPr>
        <w:snapToGrid w:val="0"/>
        <w:spacing w:line="440" w:lineRule="exact"/>
        <w:ind w:firstLine="472" w:firstLineChars="196"/>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3.2实质审查与比较</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（1）评标委员会审查投标文件的实质性内容是否符合招标文件的实质性要求。</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（2）评标委员会根据投标人的投标文件进行审查、核对，如有疑问，对投标人进行在线询标，投标人要向评标委员会澄清有关问题，并最终以书面形式进行答复。</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投标人代表拒绝澄清或者未按规定时间提交澄清文件或者澄清的内容改变了投标文件的实质性内容的，评标委员会有权对该投标文件作出不利于投标人的评判。</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（3）各投标人的技术分为所有评委的有效评分的算术平均数，资信分由评委依据评审依据和评审标准打分。</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采购组织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（5）评标委员会完成评标后，评委对各部分得分汇总，计算出本项目最终</w:t>
      </w:r>
      <w:r>
        <w:rPr>
          <w:rFonts w:hint="eastAsia" w:ascii="仿宋" w:hAnsi="仿宋" w:eastAsia="仿宋" w:cs="仿宋"/>
          <w:color w:val="000000" w:themeColor="text1"/>
          <w:kern w:val="0"/>
          <w:sz w:val="24"/>
          <w:highlight w:val="none"/>
          <w:lang w:eastAsia="zh-CN"/>
          <w14:textFill>
            <w14:solidFill>
              <w14:schemeClr w14:val="tx1"/>
            </w14:solidFill>
          </w14:textFill>
        </w:rPr>
        <w:t>得分</w:t>
      </w:r>
      <w:r>
        <w:rPr>
          <w:rFonts w:hint="eastAsia" w:ascii="仿宋" w:hAnsi="仿宋" w:eastAsia="仿宋" w:cs="仿宋"/>
          <w:color w:val="000000" w:themeColor="text1"/>
          <w:kern w:val="0"/>
          <w:sz w:val="24"/>
          <w:highlight w:val="none"/>
          <w14:textFill>
            <w14:solidFill>
              <w14:schemeClr w14:val="tx1"/>
            </w14:solidFill>
          </w14:textFill>
        </w:rPr>
        <w:t>。评标委员会按评标原则推荐中标候选人同时起草评标报告。</w:t>
      </w:r>
    </w:p>
    <w:p>
      <w:pPr>
        <w:snapToGrid w:val="0"/>
        <w:spacing w:line="44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4.澄清问题的形式</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440" w:lineRule="exact"/>
        <w:ind w:firstLine="424" w:firstLineChars="177"/>
        <w:jc w:val="left"/>
        <w:rPr>
          <w:rFonts w:hint="eastAsia" w:ascii="仿宋" w:hAnsi="仿宋" w:eastAsia="仿宋" w:cs="仿宋"/>
          <w:color w:val="000000" w:themeColor="text1"/>
          <w:kern w:val="0"/>
          <w:sz w:val="24"/>
          <w:highlight w:val="none"/>
          <w14:textFill>
            <w14:solidFill>
              <w14:schemeClr w14:val="tx1"/>
            </w14:solidFill>
          </w14:textFill>
        </w:rPr>
      </w:pPr>
      <w:bookmarkStart w:id="144" w:name="_Toc23206"/>
      <w:bookmarkEnd w:id="144"/>
      <w:bookmarkStart w:id="145" w:name="_Toc12312"/>
      <w:bookmarkEnd w:id="145"/>
      <w:r>
        <w:rPr>
          <w:rFonts w:hint="eastAsia" w:ascii="仿宋" w:hAnsi="仿宋" w:eastAsia="仿宋" w:cs="仿宋"/>
          <w:color w:val="000000" w:themeColor="text1"/>
          <w:kern w:val="0"/>
          <w:sz w:val="24"/>
          <w:highlight w:val="none"/>
          <w14:textFill>
            <w14:solidFill>
              <w14:schemeClr w14:val="tx1"/>
            </w14:solidFill>
          </w14:textFill>
        </w:rPr>
        <w:t>经澄清后，若偏差仍存在，且不可接受，投标人则被认为是“没有实质性响应招标文件要求”，其投标不进入下一步评审。</w:t>
      </w:r>
    </w:p>
    <w:p>
      <w:pPr>
        <w:pStyle w:val="33"/>
        <w:snapToGrid w:val="0"/>
        <w:spacing w:line="44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5.错误修正</w:t>
      </w:r>
    </w:p>
    <w:p>
      <w:pPr>
        <w:pStyle w:val="33"/>
        <w:snapToGrid w:val="0"/>
        <w:spacing w:line="440" w:lineRule="exact"/>
        <w:ind w:left="719" w:leftChars="228" w:hanging="240" w:hanging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投标文件如果出现计算或表达上的错误，修正错误的原则如下：</w:t>
      </w:r>
    </w:p>
    <w:p>
      <w:pPr>
        <w:pStyle w:val="33"/>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（1）投标文件中开标一览表（报价表）内容与投标文件中相应内容不一致的，以开标一览表（报价表）为准；</w:t>
      </w:r>
    </w:p>
    <w:p>
      <w:pPr>
        <w:pStyle w:val="33"/>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（2）大写金额和小写金额不一致的，以大写金额为准；</w:t>
      </w:r>
    </w:p>
    <w:p>
      <w:pPr>
        <w:pStyle w:val="33"/>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（3）单价金额小数点或者百分比有明显错位的，以开标一览表的总价为准，并修改单价；</w:t>
      </w:r>
    </w:p>
    <w:p>
      <w:pPr>
        <w:pStyle w:val="33"/>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（4）总价金额与按单价汇总金额不一致的，以单价金额计算结果为准。</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同时出现两种以上不一致的，按照前款规定的顺序修正。按上述修正错误的原则及方法调整或修正投标文件的投标报价应当采用书面形式，并加盖公章。投标人确认后产生约束力，投标人不确认的，其投标无效。</w:t>
      </w:r>
    </w:p>
    <w:p>
      <w:pPr>
        <w:pStyle w:val="33"/>
        <w:tabs>
          <w:tab w:val="left" w:pos="630"/>
        </w:tabs>
        <w:snapToGrid w:val="0"/>
        <w:spacing w:line="44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6.评标原则和评标办法</w:t>
      </w:r>
    </w:p>
    <w:p>
      <w:pPr>
        <w:pStyle w:val="33"/>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33"/>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6.2评标办法。本项目评标办法是综合评分法，具体评标内容及评分标准等详见《第五章：评标原则及方法》。</w:t>
      </w:r>
    </w:p>
    <w:p>
      <w:pPr>
        <w:pStyle w:val="33"/>
        <w:snapToGrid w:val="0"/>
        <w:spacing w:line="4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7.无效标条款</w:t>
      </w:r>
    </w:p>
    <w:p>
      <w:pPr>
        <w:snapToGrid w:val="0"/>
        <w:spacing w:line="44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7.1</w:t>
      </w:r>
      <w:r>
        <w:rPr>
          <w:rFonts w:hint="eastAsia" w:ascii="仿宋" w:hAnsi="仿宋" w:eastAsia="仿宋" w:cs="仿宋"/>
          <w:b/>
          <w:color w:val="000000" w:themeColor="text1"/>
          <w:sz w:val="24"/>
          <w:highlight w:val="none"/>
          <w14:textFill>
            <w14:solidFill>
              <w14:schemeClr w14:val="tx1"/>
            </w14:solidFill>
          </w14:textFill>
        </w:rPr>
        <w:t>开标时，如出现以下情况之一的，则投标文件无效：</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（1）投标文件未按招标文件要求签署、签章的；</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（2）不具备招标文件中规定的资格要求的；</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（3）报价超过招标文件中规定的预算金额或者最高限价的；</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（4）投标文件含有采购单位不能接受的附加条件的；</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（5）法律、法规和招标文件规定的其他无效情形；</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（6）投标文件明显不符合采购文件要求的或者与采购文件标注“▲”的条款发生实质性负偏离的。</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（7）响应文件解密失败的。</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7.2有下列情形之一的，视为投标人串通投标，其投标无效：</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（1）不同投标人的投标文件由同一单位或者个人编制；</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（2）不同投标人委托同一单位或者个人办理投标事宜；</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（3）不同投标人的投标文件载明的项目管理成员或者联系人员为同一人；</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（4）不同投标人的投标文件异常一致或者投标报价呈规律性差异；</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（5）不同投标人的投标文件相互混装；</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7.3评标委员会认为投标人的报价明显低于其他通过符合性审</w:t>
      </w:r>
      <w:r>
        <w:rPr>
          <w:rFonts w:hint="eastAsia" w:ascii="仿宋" w:hAnsi="仿宋" w:eastAsia="仿宋" w:cs="仿宋"/>
          <w:b/>
          <w:bCs/>
          <w:color w:val="000000" w:themeColor="text1"/>
          <w:sz w:val="24"/>
          <w:szCs w:val="24"/>
          <w:highlight w:val="none"/>
          <w:lang w:eastAsia="zh-CN"/>
          <w14:textFill>
            <w14:solidFill>
              <w14:schemeClr w14:val="tx1"/>
            </w14:solidFill>
          </w14:textFill>
        </w:rPr>
        <w:t>查的</w:t>
      </w:r>
      <w:r>
        <w:rPr>
          <w:rFonts w:hint="eastAsia" w:ascii="仿宋" w:hAnsi="仿宋" w:eastAsia="仿宋" w:cs="仿宋"/>
          <w:b/>
          <w:bCs/>
          <w:color w:val="000000" w:themeColor="text1"/>
          <w:sz w:val="24"/>
          <w:szCs w:val="24"/>
          <w:highlight w:val="none"/>
          <w14:textFill>
            <w14:solidFill>
              <w14:schemeClr w14:val="tx1"/>
            </w14:solidFill>
          </w14:textFill>
        </w:rPr>
        <w:t>投标人的报价，有可能影响产品质量或者不能诚信履约的，应当要求其在评标现场合理的时间内在线提供书面说明，必要时提交相关证明材料；投标人不能证明其报价合理性的，评标委员会应当将其作为无效投标处理。</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8.废标的情形</w:t>
      </w:r>
    </w:p>
    <w:p>
      <w:pPr>
        <w:pStyle w:val="33"/>
        <w:snapToGrid w:val="0"/>
        <w:spacing w:line="440" w:lineRule="exact"/>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8.1 如出现以下情况之一的，则废标：</w:t>
      </w:r>
    </w:p>
    <w:p>
      <w:pPr>
        <w:pStyle w:val="107"/>
        <w:spacing w:line="440" w:lineRule="exact"/>
        <w:ind w:firstLine="421"/>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（1）投标截止时间后或评审期间，符合专业条件的供应商或者对招标文件作实质响应的投标人不足三家的；</w:t>
      </w:r>
    </w:p>
    <w:p>
      <w:pPr>
        <w:pStyle w:val="107"/>
        <w:spacing w:line="440" w:lineRule="exact"/>
        <w:ind w:firstLine="421"/>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（2）出现影响采购公正的违法、违规行为的；</w:t>
      </w:r>
    </w:p>
    <w:p>
      <w:pPr>
        <w:pStyle w:val="107"/>
        <w:spacing w:line="440" w:lineRule="exact"/>
        <w:ind w:firstLine="421"/>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（3）投标人的报价均超过了采购预算，采购人不能支付的；</w:t>
      </w:r>
    </w:p>
    <w:p>
      <w:pPr>
        <w:pStyle w:val="107"/>
        <w:spacing w:line="440" w:lineRule="exact"/>
        <w:ind w:firstLine="421"/>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（4）因重大变故，采购任务取消的。</w:t>
      </w:r>
    </w:p>
    <w:p>
      <w:pPr>
        <w:pStyle w:val="107"/>
        <w:spacing w:line="440" w:lineRule="exact"/>
        <w:ind w:firstLine="421"/>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8.2废标后，废标理由将在原招标公告发布媒体上公告通知所有投标人。</w:t>
      </w:r>
    </w:p>
    <w:p>
      <w:pPr>
        <w:pStyle w:val="33"/>
        <w:snapToGrid w:val="0"/>
        <w:spacing w:line="44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9.评标过程的监控</w:t>
      </w:r>
    </w:p>
    <w:p>
      <w:pPr>
        <w:pStyle w:val="33"/>
        <w:snapToGrid w:val="0"/>
        <w:spacing w:line="44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29"/>
        <w:rPr>
          <w:rFonts w:hint="eastAsia" w:ascii="仿宋" w:hAnsi="仿宋" w:eastAsia="仿宋" w:cs="仿宋"/>
          <w:color w:val="000000" w:themeColor="text1"/>
          <w:highlight w:val="none"/>
          <w14:textFill>
            <w14:solidFill>
              <w14:schemeClr w14:val="tx1"/>
            </w14:solidFill>
          </w14:textFill>
        </w:rPr>
      </w:pPr>
      <w:bookmarkStart w:id="146" w:name="_Toc21033"/>
      <w:bookmarkEnd w:id="146"/>
      <w:r>
        <w:rPr>
          <w:rFonts w:hint="eastAsia" w:ascii="仿宋" w:hAnsi="仿宋" w:eastAsia="仿宋" w:cs="仿宋"/>
          <w:color w:val="000000" w:themeColor="text1"/>
          <w:highlight w:val="none"/>
          <w14:textFill>
            <w14:solidFill>
              <w14:schemeClr w14:val="tx1"/>
            </w14:solidFill>
          </w14:textFill>
        </w:rPr>
        <w:t>七、定标</w:t>
      </w:r>
    </w:p>
    <w:p>
      <w:pPr>
        <w:pStyle w:val="33"/>
        <w:snapToGrid w:val="0"/>
        <w:spacing w:line="4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1.确定中标人</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1.1采购代理机构在评标结束后2个工作日内将评标报告送采购人确认。</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1.2投标人对评标结果无异议的，采购人应在收到评标报告后7个工作日内对评标结果进行确认。如有投标人对评标结果提出质疑的，采购单位可在质疑处理完毕后确定中标人。</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1.3采购人或采购代理机构应当自中标人确定之日起2个工作日内，在</w:t>
      </w:r>
      <w:r>
        <w:rPr>
          <w:rFonts w:hint="eastAsia" w:ascii="仿宋" w:hAnsi="仿宋" w:eastAsia="仿宋" w:cs="仿宋"/>
          <w:color w:val="000000" w:themeColor="text1"/>
          <w:kern w:val="0"/>
          <w:sz w:val="24"/>
          <w:highlight w:val="none"/>
          <w14:textFill>
            <w14:solidFill>
              <w14:schemeClr w14:val="tx1"/>
            </w14:solidFill>
          </w14:textFill>
        </w:rPr>
        <w:t>常山县人民政府网</w:t>
      </w:r>
      <w:r>
        <w:rPr>
          <w:rFonts w:hint="eastAsia" w:ascii="仿宋" w:hAnsi="仿宋" w:eastAsia="仿宋" w:cs="仿宋"/>
          <w:color w:val="000000" w:themeColor="text1"/>
          <w:sz w:val="24"/>
          <w:highlight w:val="none"/>
          <w14:textFill>
            <w14:solidFill>
              <w14:schemeClr w14:val="tx1"/>
            </w14:solidFill>
          </w14:textFill>
        </w:rPr>
        <w:t>、浙江政府采购网上公告中标结果，同时采购人或采购代理机构应当向中标人以书面形式发出《中标通知书》。</w:t>
      </w:r>
    </w:p>
    <w:p>
      <w:pPr>
        <w:pStyle w:val="29"/>
        <w:rPr>
          <w:rFonts w:hint="eastAsia" w:ascii="仿宋" w:hAnsi="仿宋" w:eastAsia="仿宋" w:cs="仿宋"/>
          <w:color w:val="000000" w:themeColor="text1"/>
          <w:highlight w:val="none"/>
          <w14:textFill>
            <w14:solidFill>
              <w14:schemeClr w14:val="tx1"/>
            </w14:solidFill>
          </w14:textFill>
        </w:rPr>
      </w:pPr>
      <w:bookmarkStart w:id="147" w:name="_Toc18706"/>
      <w:bookmarkEnd w:id="147"/>
      <w:r>
        <w:rPr>
          <w:rFonts w:hint="eastAsia" w:ascii="仿宋" w:hAnsi="仿宋" w:eastAsia="仿宋" w:cs="仿宋"/>
          <w:color w:val="000000" w:themeColor="text1"/>
          <w:highlight w:val="none"/>
          <w14:textFill>
            <w14:solidFill>
              <w14:schemeClr w14:val="tx1"/>
            </w14:solidFill>
          </w14:textFill>
        </w:rPr>
        <w:t>八、合同授予及其他</w:t>
      </w:r>
    </w:p>
    <w:p>
      <w:pPr>
        <w:snapToGrid w:val="0"/>
        <w:spacing w:line="44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1.签订合同</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48" w:name="OLE_LINK1"/>
      <w:r>
        <w:rPr>
          <w:rFonts w:hint="eastAsia" w:ascii="仿宋" w:hAnsi="仿宋" w:eastAsia="仿宋" w:cs="仿宋"/>
          <w:color w:val="000000" w:themeColor="text1"/>
          <w:sz w:val="24"/>
          <w:highlight w:val="none"/>
          <w14:textFill>
            <w14:solidFill>
              <w14:schemeClr w14:val="tx1"/>
            </w14:solidFill>
          </w14:textFill>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之日起三十天内签订合同。《中标通知书》一经发出即发生法律效力。采购单位无义务向未中标人解释落选原因。《中标通知书》作为签订合同的重要依据，对采购单位和中标人具有法律效力。采购单位改变中标结果或者中标人放弃中标项目的都应承担法律责任。</w:t>
      </w:r>
    </w:p>
    <w:bookmarkEnd w:id="148"/>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中标投标人未经采购人许可，在规定时间内未到采购人处与采购人签订合同，则视为拒签合同。</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1.3招标文件、中标投标人的投标文件及投标修改文件、评标过程中有关澄清文件及经双方签字的询标纪要(承诺)和中标通知书均作为合同附件。</w:t>
      </w:r>
    </w:p>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1.4中标投标人在规定时间内(30 日历天)借故否认已经承诺的条件、拒签合同，以投标违约处理，并赔偿采购人由此造成的直接经济损失；采购人重新组织招标的，所需费用由原中标投标人承担。</w:t>
      </w:r>
    </w:p>
    <w:p>
      <w:pPr>
        <w:pStyle w:val="33"/>
        <w:snapToGrid w:val="0"/>
        <w:spacing w:line="44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2.解释权</w:t>
      </w:r>
    </w:p>
    <w:p>
      <w:pPr>
        <w:autoSpaceDE w:val="0"/>
        <w:autoSpaceDN w:val="0"/>
        <w:spacing w:line="44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凡涉及本次采购文件的解释权均属于采购人和采购代理机构。</w:t>
      </w:r>
    </w:p>
    <w:p>
      <w:pPr>
        <w:rPr>
          <w:rFonts w:hint="eastAsia" w:ascii="仿宋" w:hAnsi="仿宋" w:eastAsia="仿宋" w:cs="仿宋"/>
          <w:color w:val="000000" w:themeColor="text1"/>
          <w:highlight w:val="none"/>
          <w14:textFill>
            <w14:solidFill>
              <w14:schemeClr w14:val="tx1"/>
            </w14:solidFill>
          </w14:textFill>
        </w:rPr>
      </w:pPr>
      <w:bookmarkStart w:id="149" w:name="_Toc16204"/>
      <w:bookmarkEnd w:id="149"/>
      <w:r>
        <w:rPr>
          <w:rFonts w:hint="eastAsia" w:ascii="仿宋" w:hAnsi="仿宋" w:eastAsia="仿宋" w:cs="仿宋"/>
          <w:color w:val="000000" w:themeColor="text1"/>
          <w:highlight w:val="none"/>
          <w14:textFill>
            <w14:solidFill>
              <w14:schemeClr w14:val="tx1"/>
            </w14:solidFill>
          </w14:textFill>
        </w:rPr>
        <w:br w:type="page"/>
      </w:r>
    </w:p>
    <w:p>
      <w:pPr>
        <w:pStyle w:val="2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九、政府采购扶持政策说明</w:t>
      </w:r>
    </w:p>
    <w:p>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1.享受小微企业价格折扣应具备的条件</w:t>
      </w:r>
    </w:p>
    <w:p>
      <w:pPr>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符合中小企业划分标准：</w:t>
      </w:r>
    </w:p>
    <w:p>
      <w:pPr>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在货物采购项目中，货物由中小企业制造，即货物由中小企业生产且使用该中小企业商号或者注册商标。中小企业划分标准，是指国务院有关部门根据企业从业人员、营业收入、资产总额等指标制定的中小企业</w:t>
      </w:r>
      <w:r>
        <w:rPr>
          <w:rFonts w:hint="eastAsia" w:ascii="仿宋" w:hAnsi="仿宋" w:eastAsia="仿宋" w:cs="仿宋"/>
          <w:bCs/>
          <w:color w:val="000000" w:themeColor="text1"/>
          <w:sz w:val="24"/>
          <w:highlight w:val="none"/>
          <w:lang w:eastAsia="zh-CN"/>
          <w14:textFill>
            <w14:solidFill>
              <w14:schemeClr w14:val="tx1"/>
            </w14:solidFill>
          </w14:textFill>
        </w:rPr>
        <w:t>划分</w:t>
      </w:r>
      <w:r>
        <w:rPr>
          <w:rFonts w:hint="eastAsia" w:ascii="仿宋" w:hAnsi="仿宋" w:eastAsia="仿宋" w:cs="仿宋"/>
          <w:bCs/>
          <w:color w:val="000000" w:themeColor="text1"/>
          <w:sz w:val="24"/>
          <w:highlight w:val="none"/>
          <w14:textFill>
            <w14:solidFill>
              <w14:schemeClr w14:val="tx1"/>
            </w14:solidFill>
          </w14:textFill>
        </w:rPr>
        <w:t>标准。小型、微型企业提供中型企业制造的货物的，视同为中型企业。</w:t>
      </w:r>
    </w:p>
    <w:p>
      <w:pPr>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2）在工程采购项目中，工程由中小企业承建，即工程施工单位为中小企业；</w:t>
      </w:r>
    </w:p>
    <w:p>
      <w:pPr>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3）在服务采购项目中，服务由中小企业承接，即提供服务的人员为中小企业依照</w:t>
      </w:r>
      <w:r>
        <w:rPr>
          <w:rFonts w:hint="eastAsia" w:ascii="仿宋" w:hAnsi="仿宋" w:eastAsia="仿宋" w:cs="仿宋"/>
          <w:bCs/>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bCs/>
          <w:color w:val="000000" w:themeColor="text1"/>
          <w:sz w:val="24"/>
          <w:highlight w:val="none"/>
          <w14:textFill>
            <w14:solidFill>
              <w14:schemeClr w14:val="tx1"/>
            </w14:solidFill>
          </w14:textFill>
        </w:rPr>
        <w:t>订立劳动合同的从业人员。</w:t>
      </w:r>
    </w:p>
    <w:p>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2.享受小微企业价格折扣应提供以下证明材料：</w:t>
      </w:r>
    </w:p>
    <w:p>
      <w:pPr>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《中小企业声明函》【格式见附件一】；</w:t>
      </w:r>
    </w:p>
    <w:p>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3.享受监狱企业价格折扣应提供以下证明材料：</w:t>
      </w:r>
    </w:p>
    <w:p>
      <w:pPr>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4.享受残疾人福利性单</w:t>
      </w:r>
      <w:r>
        <w:rPr>
          <w:rFonts w:hint="eastAsia" w:ascii="仿宋" w:hAnsi="仿宋" w:eastAsia="仿宋" w:cs="仿宋"/>
          <w:b/>
          <w:color w:val="000000" w:themeColor="text1"/>
          <w:sz w:val="24"/>
          <w:highlight w:val="none"/>
          <w:lang w:eastAsia="zh-CN"/>
          <w14:textFill>
            <w14:solidFill>
              <w14:schemeClr w14:val="tx1"/>
            </w14:solidFill>
          </w14:textFill>
        </w:rPr>
        <w:t>位价</w:t>
      </w:r>
      <w:r>
        <w:rPr>
          <w:rFonts w:hint="eastAsia" w:ascii="仿宋" w:hAnsi="仿宋" w:eastAsia="仿宋" w:cs="仿宋"/>
          <w:b/>
          <w:color w:val="000000" w:themeColor="text1"/>
          <w:sz w:val="24"/>
          <w:highlight w:val="none"/>
          <w14:textFill>
            <w14:solidFill>
              <w14:schemeClr w14:val="tx1"/>
            </w14:solidFill>
          </w14:textFill>
        </w:rPr>
        <w:t>格折扣应提供以下证明材料：</w:t>
      </w:r>
    </w:p>
    <w:p>
      <w:pPr>
        <w:spacing w:line="360" w:lineRule="auto"/>
        <w:ind w:firstLine="480" w:firstLineChars="200"/>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残疾人福利性单位声明函【格式见附件二】；</w:t>
      </w:r>
    </w:p>
    <w:p>
      <w:pPr>
        <w:spacing w:after="100" w:line="440" w:lineRule="atLeast"/>
        <w:jc w:val="left"/>
        <w:outlineLvl w:val="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r>
        <w:rPr>
          <w:rFonts w:hint="eastAsia" w:ascii="仿宋" w:hAnsi="仿宋" w:eastAsia="仿宋" w:cs="仿宋"/>
          <w:color w:val="000000" w:themeColor="text1"/>
          <w:sz w:val="24"/>
          <w:highlight w:val="none"/>
          <w14:textFill>
            <w14:solidFill>
              <w14:schemeClr w14:val="tx1"/>
            </w14:solidFill>
          </w14:textFill>
        </w:rPr>
        <w:t>附件一：</w:t>
      </w:r>
    </w:p>
    <w:p>
      <w:pPr>
        <w:spacing w:after="100" w:line="360" w:lineRule="auto"/>
        <w:jc w:val="center"/>
        <w:rPr>
          <w:rFonts w:hint="eastAsia" w:ascii="仿宋" w:hAnsi="仿宋" w:eastAsia="仿宋" w:cs="仿宋"/>
          <w:b/>
          <w:bCs/>
          <w:color w:val="000000" w:themeColor="text1"/>
          <w:sz w:val="24"/>
          <w:highlight w:val="none"/>
          <w14:textFill>
            <w14:solidFill>
              <w14:schemeClr w14:val="tx1"/>
            </w14:solidFill>
          </w14:textFill>
        </w:rPr>
      </w:pPr>
      <w:bookmarkStart w:id="150" w:name="_Toc10011"/>
      <w:r>
        <w:rPr>
          <w:rFonts w:hint="eastAsia" w:ascii="仿宋" w:hAnsi="仿宋" w:eastAsia="仿宋" w:cs="仿宋"/>
          <w:b/>
          <w:bCs/>
          <w:color w:val="000000" w:themeColor="text1"/>
          <w:sz w:val="24"/>
          <w:highlight w:val="none"/>
          <w14:textFill>
            <w14:solidFill>
              <w14:schemeClr w14:val="tx1"/>
            </w14:solidFill>
          </w14:textFill>
        </w:rPr>
        <w:t>中小企业声明函（服务）</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s="仿宋"/>
          <w:color w:val="000000" w:themeColor="text1"/>
          <w:sz w:val="24"/>
          <w:highlight w:val="none"/>
          <w:u w:val="single"/>
          <w14:textFill>
            <w14:solidFill>
              <w14:schemeClr w14:val="tx1"/>
            </w14:solidFill>
          </w14:textFill>
        </w:rPr>
        <w:t>（单位名称）</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承接企业为</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，从业人员____人，营业收入为____万元，资产总额为____万元</w:t>
      </w:r>
      <w:r>
        <w:rPr>
          <w:rStyle w:val="66"/>
          <w:rFonts w:hint="eastAsia" w:ascii="仿宋" w:hAnsi="仿宋" w:eastAsia="仿宋" w:cs="仿宋"/>
          <w:color w:val="000000" w:themeColor="text1"/>
          <w:highlight w:val="none"/>
          <w14:textFill>
            <w14:solidFill>
              <w14:schemeClr w14:val="tx1"/>
            </w14:solidFill>
          </w14:textFill>
        </w:rPr>
        <w:footnoteReference w:id="0"/>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承接企业为</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，从业人员___人，营业收入为____万元，资产总额为___万元</w:t>
      </w:r>
      <w:r>
        <w:rPr>
          <w:rStyle w:val="66"/>
          <w:rFonts w:hint="eastAsia" w:ascii="仿宋" w:hAnsi="仿宋" w:eastAsia="仿宋" w:cs="仿宋"/>
          <w:color w:val="000000" w:themeColor="text1"/>
          <w:highlight w:val="none"/>
          <w14:textFill>
            <w14:solidFill>
              <w14:schemeClr w14:val="tx1"/>
            </w14:solidFill>
          </w14:textFill>
        </w:rPr>
        <w:footnoteReference w:id="1"/>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（中型企业、小型企业、微型企业）；</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jc w:val="right"/>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企业名称（盖章）∶</w:t>
      </w:r>
    </w:p>
    <w:p>
      <w:pPr>
        <w:spacing w:line="360" w:lineRule="auto"/>
        <w:ind w:firstLine="5040" w:firstLineChars="21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6720" w:firstLineChars="28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p>
    <w:p>
      <w:pPr>
        <w:spacing w:after="100" w:line="360" w:lineRule="auto"/>
        <w:ind w:firstLine="482"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pPr>
        <w:rPr>
          <w:rFonts w:hint="eastAsia" w:ascii="仿宋" w:hAnsi="仿宋" w:eastAsia="仿宋" w:cs="仿宋"/>
          <w:b/>
          <w:color w:val="000000" w:themeColor="text1"/>
          <w:szCs w:val="21"/>
          <w:highlight w:val="none"/>
          <w14:textFill>
            <w14:solidFill>
              <w14:schemeClr w14:val="tx1"/>
            </w14:solidFill>
          </w14:textFill>
        </w:rPr>
      </w:pPr>
    </w:p>
    <w:bookmarkEnd w:id="150"/>
    <w:p>
      <w:pPr>
        <w:pStyle w:val="111"/>
        <w:jc w:val="left"/>
        <w:outlineLvl w:val="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附件二： </w:t>
      </w:r>
    </w:p>
    <w:p>
      <w:pPr>
        <w:pStyle w:val="111"/>
        <w:jc w:val="center"/>
        <w:rPr>
          <w:rFonts w:hint="eastAsia" w:ascii="仿宋" w:hAnsi="仿宋" w:eastAsia="仿宋" w:cs="仿宋"/>
          <w:b/>
          <w:color w:val="000000" w:themeColor="text1"/>
          <w:sz w:val="24"/>
          <w:highlight w:val="none"/>
          <w:lang w:val="en-GB"/>
          <w14:textFill>
            <w14:solidFill>
              <w14:schemeClr w14:val="tx1"/>
            </w14:solidFill>
          </w14:textFill>
        </w:rPr>
      </w:pPr>
      <w:bookmarkStart w:id="151" w:name="_Toc30594"/>
      <w:bookmarkEnd w:id="151"/>
      <w:bookmarkStart w:id="152" w:name="OLE_LINK14"/>
      <w:bookmarkEnd w:id="152"/>
      <w:r>
        <w:rPr>
          <w:rFonts w:hint="eastAsia" w:ascii="仿宋" w:hAnsi="仿宋" w:eastAsia="仿宋" w:cs="仿宋"/>
          <w:b/>
          <w:color w:val="000000" w:themeColor="text1"/>
          <w:sz w:val="24"/>
          <w:highlight w:val="none"/>
          <w:lang w:val="en-GB"/>
          <w14:textFill>
            <w14:solidFill>
              <w14:schemeClr w14:val="tx1"/>
            </w14:solidFill>
          </w14:textFill>
        </w:rPr>
        <w:t>残疾人福利性单位声明函</w:t>
      </w:r>
    </w:p>
    <w:p>
      <w:pPr>
        <w:pStyle w:val="111"/>
        <w:jc w:val="center"/>
        <w:rPr>
          <w:rFonts w:hint="eastAsia" w:ascii="仿宋" w:hAnsi="仿宋" w:eastAsia="仿宋" w:cs="仿宋"/>
          <w:b/>
          <w:color w:val="000000" w:themeColor="text1"/>
          <w:sz w:val="24"/>
          <w:highlight w:val="none"/>
          <w:lang w:val="en-GB"/>
          <w14:textFill>
            <w14:solidFill>
              <w14:schemeClr w14:val="tx1"/>
            </w14:solidFill>
          </w14:textFill>
        </w:rPr>
      </w:pPr>
    </w:p>
    <w:p>
      <w:pPr>
        <w:spacing w:line="588"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单位的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pacing w:line="588" w:lineRule="exact"/>
        <w:ind w:firstLine="504" w:firstLineChars="200"/>
        <w:rPr>
          <w:rFonts w:hint="eastAsia" w:ascii="仿宋" w:hAnsi="仿宋" w:eastAsia="仿宋" w:cs="仿宋"/>
          <w:color w:val="000000" w:themeColor="text1"/>
          <w:spacing w:val="6"/>
          <w:sz w:val="24"/>
          <w:highlight w:val="none"/>
          <w14:textFill>
            <w14:solidFill>
              <w14:schemeClr w14:val="tx1"/>
            </w14:solidFill>
          </w14:textFill>
        </w:rPr>
      </w:pPr>
    </w:p>
    <w:p>
      <w:pPr>
        <w:spacing w:line="588" w:lineRule="exact"/>
        <w:ind w:firstLine="504" w:firstLineChars="200"/>
        <w:rPr>
          <w:rFonts w:hint="eastAsia" w:ascii="仿宋" w:hAnsi="仿宋" w:eastAsia="仿宋" w:cs="仿宋"/>
          <w:color w:val="000000" w:themeColor="text1"/>
          <w:spacing w:val="6"/>
          <w:sz w:val="24"/>
          <w:highlight w:val="none"/>
          <w14:textFill>
            <w14:solidFill>
              <w14:schemeClr w14:val="tx1"/>
            </w14:solidFill>
          </w14:textFill>
        </w:rPr>
      </w:pPr>
    </w:p>
    <w:p>
      <w:pPr>
        <w:spacing w:line="440" w:lineRule="atLeas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投标人（盖章）：</w:t>
      </w:r>
    </w:p>
    <w:p>
      <w:pPr>
        <w:pStyle w:val="107"/>
        <w:rPr>
          <w:rFonts w:hint="eastAsia" w:ascii="仿宋" w:hAnsi="仿宋" w:eastAsia="仿宋" w:cs="仿宋"/>
          <w:b/>
          <w:bCs/>
          <w:color w:val="000000" w:themeColor="text1"/>
          <w:sz w:val="24"/>
          <w:szCs w:val="24"/>
          <w:highlight w:val="none"/>
          <w14:textFill>
            <w14:solidFill>
              <w14:schemeClr w14:val="tx1"/>
            </w14:solidFill>
          </w14:textFill>
        </w:rPr>
      </w:pPr>
    </w:p>
    <w:p>
      <w:pPr>
        <w:tabs>
          <w:tab w:val="left" w:pos="4860"/>
        </w:tabs>
        <w:spacing w:line="588" w:lineRule="exact"/>
        <w:ind w:right="156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日  期：</w:t>
      </w:r>
    </w:p>
    <w:p>
      <w:pPr>
        <w:tabs>
          <w:tab w:val="left" w:pos="4860"/>
        </w:tabs>
        <w:spacing w:line="588" w:lineRule="exact"/>
        <w:ind w:right="1560"/>
        <w:rPr>
          <w:rFonts w:hint="eastAsia" w:ascii="仿宋" w:hAnsi="仿宋" w:eastAsia="仿宋" w:cs="仿宋"/>
          <w:color w:val="000000" w:themeColor="text1"/>
          <w:sz w:val="24"/>
          <w:highlight w:val="none"/>
          <w14:textFill>
            <w14:solidFill>
              <w14:schemeClr w14:val="tx1"/>
            </w14:solidFill>
          </w14:textFill>
        </w:rPr>
      </w:pPr>
    </w:p>
    <w:p>
      <w:pPr>
        <w:tabs>
          <w:tab w:val="left" w:pos="4860"/>
        </w:tabs>
        <w:spacing w:line="588" w:lineRule="exact"/>
        <w:ind w:right="15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备注说明：</w:t>
      </w:r>
    </w:p>
    <w:p>
      <w:pPr>
        <w:keepNext w:val="0"/>
        <w:keepLines w:val="0"/>
        <w:pageBreakBefore w:val="0"/>
        <w:widowControl w:val="0"/>
        <w:tabs>
          <w:tab w:val="left" w:pos="4860"/>
        </w:tabs>
        <w:kinsoku/>
        <w:wordWrap/>
        <w:overflowPunct/>
        <w:topLinePunct w:val="0"/>
        <w:autoSpaceDE/>
        <w:autoSpaceDN/>
        <w:bidi w:val="0"/>
        <w:adjustRightInd/>
        <w:snapToGrid/>
        <w:spacing w:line="588" w:lineRule="exact"/>
        <w:ind w:right="0"/>
        <w:jc w:val="left"/>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1.如中标，将在中标公示中将此残疾人福利性单位声明函予以公示，接受社会监督；</w:t>
      </w:r>
    </w:p>
    <w:p>
      <w:pPr>
        <w:tabs>
          <w:tab w:val="left" w:pos="4860"/>
        </w:tabs>
        <w:spacing w:line="588" w:lineRule="exact"/>
        <w:ind w:right="-94"/>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2.供应商提供的《残疾人福利性单位声明函》与事实不符的，依照《政府采购法》第七十七条第一款的规定追究法律责任。</w:t>
      </w:r>
    </w:p>
    <w:p>
      <w:pPr>
        <w:tabs>
          <w:tab w:val="left" w:pos="4860"/>
        </w:tabs>
        <w:spacing w:line="588" w:lineRule="exact"/>
        <w:ind w:right="-94"/>
        <w:jc w:val="left"/>
        <w:rPr>
          <w:rFonts w:hint="eastAsia" w:ascii="仿宋" w:hAnsi="仿宋" w:eastAsia="仿宋" w:cs="仿宋"/>
          <w:color w:val="000000" w:themeColor="text1"/>
          <w:spacing w:val="6"/>
          <w:sz w:val="24"/>
          <w:highlight w:val="none"/>
          <w14:textFill>
            <w14:solidFill>
              <w14:schemeClr w14:val="tx1"/>
            </w14:solidFill>
          </w14:textFill>
        </w:rPr>
      </w:pPr>
    </w:p>
    <w:p>
      <w:pPr>
        <w:pStyle w:val="33"/>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pStyle w:val="33"/>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pStyle w:val="33"/>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pStyle w:val="97"/>
        <w:rPr>
          <w:rFonts w:hint="eastAsia" w:ascii="仿宋" w:hAnsi="仿宋" w:eastAsia="仿宋" w:cs="仿宋"/>
          <w:color w:val="000000" w:themeColor="text1"/>
          <w:highlight w:val="none"/>
          <w14:textFill>
            <w14:solidFill>
              <w14:schemeClr w14:val="tx1"/>
            </w14:solidFill>
          </w14:textFill>
        </w:rPr>
      </w:pPr>
    </w:p>
    <w:p>
      <w:pPr>
        <w:pStyle w:val="97"/>
        <w:rPr>
          <w:rFonts w:hint="eastAsia" w:ascii="仿宋" w:hAnsi="仿宋" w:eastAsia="仿宋" w:cs="仿宋"/>
          <w:color w:val="000000" w:themeColor="text1"/>
          <w:highlight w:val="none"/>
          <w14:textFill>
            <w14:solidFill>
              <w14:schemeClr w14:val="tx1"/>
            </w14:solidFill>
          </w14:textFill>
        </w:rPr>
      </w:pPr>
    </w:p>
    <w:p>
      <w:pPr>
        <w:pStyle w:val="97"/>
        <w:rPr>
          <w:rFonts w:hint="eastAsia" w:ascii="仿宋" w:hAnsi="仿宋" w:eastAsia="仿宋" w:cs="仿宋"/>
          <w:color w:val="000000" w:themeColor="text1"/>
          <w:highlight w:val="none"/>
          <w14:textFill>
            <w14:solidFill>
              <w14:schemeClr w14:val="tx1"/>
            </w14:solidFill>
          </w14:textFill>
        </w:rPr>
      </w:pPr>
    </w:p>
    <w:bookmarkEnd w:id="123"/>
    <w:bookmarkEnd w:id="124"/>
    <w:bookmarkEnd w:id="125"/>
    <w:bookmarkEnd w:id="126"/>
    <w:bookmarkEnd w:id="127"/>
    <w:p>
      <w:pPr>
        <w:spacing w:line="360" w:lineRule="auto"/>
        <w:jc w:val="center"/>
        <w:outlineLvl w:val="0"/>
        <w:rPr>
          <w:rStyle w:val="19"/>
          <w:rFonts w:hint="eastAsia" w:ascii="仿宋" w:hAnsi="仿宋" w:eastAsia="仿宋" w:cs="仿宋"/>
          <w:color w:val="000000" w:themeColor="text1"/>
          <w:sz w:val="28"/>
          <w:szCs w:val="28"/>
          <w:highlight w:val="none"/>
          <w14:textFill>
            <w14:solidFill>
              <w14:schemeClr w14:val="tx1"/>
            </w14:solidFill>
          </w14:textFill>
        </w:rPr>
      </w:pPr>
      <w:bookmarkStart w:id="153" w:name="_Toc5518"/>
      <w:bookmarkEnd w:id="153"/>
      <w:bookmarkStart w:id="154" w:name="_Toc22314"/>
      <w:bookmarkEnd w:id="154"/>
      <w:bookmarkStart w:id="155" w:name="_Toc28404"/>
      <w:r>
        <w:rPr>
          <w:rStyle w:val="19"/>
          <w:rFonts w:hint="eastAsia" w:ascii="仿宋" w:hAnsi="仿宋" w:eastAsia="仿宋" w:cs="仿宋"/>
          <w:color w:val="000000" w:themeColor="text1"/>
          <w:sz w:val="28"/>
          <w:szCs w:val="28"/>
          <w:highlight w:val="none"/>
          <w14:textFill>
            <w14:solidFill>
              <w14:schemeClr w14:val="tx1"/>
            </w14:solidFill>
          </w14:textFill>
        </w:rPr>
        <w:t>第三章  招标内容及要求</w:t>
      </w:r>
      <w:bookmarkEnd w:id="155"/>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56" w:name="_Toc11240"/>
      <w:bookmarkStart w:id="157" w:name="_Toc29160"/>
      <w:r>
        <w:rPr>
          <w:rFonts w:hint="eastAsia" w:ascii="仿宋" w:hAnsi="仿宋" w:eastAsia="仿宋" w:cs="仿宋"/>
          <w:color w:val="000000" w:themeColor="text1"/>
          <w:sz w:val="24"/>
          <w:szCs w:val="24"/>
          <w:highlight w:val="none"/>
          <w14:textFill>
            <w14:solidFill>
              <w14:schemeClr w14:val="tx1"/>
            </w14:solidFill>
          </w14:textFill>
        </w:rPr>
        <w:t>为贯彻《中华人民共和国环境保护法》、《中华人民共和国固体废物污染环境防治法》、《中华人民共和国水污染防治法》、《国务院关于落实科学发展观加强环境保护的决定》等法律、法规，国家“十三五”规划纲要中对环境保护的要求，以及《浙江省餐厨垃圾管理办法》和《衢州市餐厨垃圾管理条例》，做好餐厨</w:t>
      </w:r>
      <w:r>
        <w:rPr>
          <w:rFonts w:hint="eastAsia" w:ascii="仿宋" w:hAnsi="仿宋" w:eastAsia="仿宋" w:cs="仿宋"/>
          <w:color w:val="000000" w:themeColor="text1"/>
          <w:sz w:val="24"/>
          <w:szCs w:val="24"/>
          <w:highlight w:val="none"/>
          <w:lang w:eastAsia="zh-CN"/>
          <w14:textFill>
            <w14:solidFill>
              <w14:schemeClr w14:val="tx1"/>
            </w14:solidFill>
          </w14:textFill>
        </w:rPr>
        <w:t>（厨余）</w:t>
      </w:r>
      <w:r>
        <w:rPr>
          <w:rFonts w:hint="eastAsia" w:ascii="仿宋" w:hAnsi="仿宋" w:eastAsia="仿宋" w:cs="仿宋"/>
          <w:color w:val="000000" w:themeColor="text1"/>
          <w:sz w:val="24"/>
          <w:szCs w:val="24"/>
          <w:highlight w:val="none"/>
          <w14:textFill>
            <w14:solidFill>
              <w14:schemeClr w14:val="tx1"/>
            </w14:solidFill>
          </w14:textFill>
        </w:rPr>
        <w:t xml:space="preserve">垃圾集中综合处置，意义重大。 </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1.服务内容 </w:t>
      </w:r>
    </w:p>
    <w:p>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服务范围：常山县城区范围</w:t>
      </w:r>
      <w:r>
        <w:rPr>
          <w:rFonts w:hint="eastAsia" w:ascii="仿宋" w:hAnsi="仿宋" w:eastAsia="仿宋" w:cs="仿宋"/>
          <w:b/>
          <w:color w:val="000000" w:themeColor="text1"/>
          <w:sz w:val="24"/>
          <w:szCs w:val="24"/>
          <w:highlight w:val="none"/>
          <w:lang w:eastAsia="zh-CN"/>
          <w14:textFill>
            <w14:solidFill>
              <w14:schemeClr w14:val="tx1"/>
            </w14:solidFill>
          </w14:textFill>
        </w:rPr>
        <w:t>（含二都桥及周边）</w:t>
      </w:r>
      <w:r>
        <w:rPr>
          <w:rFonts w:hint="eastAsia" w:ascii="仿宋" w:hAnsi="仿宋" w:eastAsia="仿宋" w:cs="仿宋"/>
          <w:b/>
          <w:color w:val="000000" w:themeColor="text1"/>
          <w:sz w:val="24"/>
          <w:szCs w:val="24"/>
          <w:highlight w:val="none"/>
          <w14:textFill>
            <w14:solidFill>
              <w14:schemeClr w14:val="tx1"/>
            </w14:solidFill>
          </w14:textFill>
        </w:rPr>
        <w:t>内及何家乡渔家乐一条街（约400家餐饮店及机关企事业单位食堂</w:t>
      </w:r>
      <w:r>
        <w:rPr>
          <w:rFonts w:hint="eastAsia" w:ascii="仿宋" w:hAnsi="仿宋" w:eastAsia="仿宋" w:cs="仿宋"/>
          <w:b/>
          <w:color w:val="000000" w:themeColor="text1"/>
          <w:sz w:val="24"/>
          <w:szCs w:val="24"/>
          <w:highlight w:val="none"/>
          <w:lang w:eastAsia="zh-CN"/>
          <w14:textFill>
            <w14:solidFill>
              <w14:schemeClr w14:val="tx1"/>
            </w14:solidFill>
          </w14:textFill>
        </w:rPr>
        <w:t>，部分小区厨余垃圾</w:t>
      </w:r>
      <w:r>
        <w:rPr>
          <w:rFonts w:hint="eastAsia" w:ascii="仿宋" w:hAnsi="仿宋" w:eastAsia="仿宋" w:cs="仿宋"/>
          <w:b/>
          <w:color w:val="000000" w:themeColor="text1"/>
          <w:sz w:val="24"/>
          <w:szCs w:val="24"/>
          <w:highlight w:val="none"/>
          <w14:textFill>
            <w14:solidFill>
              <w14:schemeClr w14:val="tx1"/>
            </w14:solidFill>
          </w14:textFill>
        </w:rPr>
        <w:t>等）。</w:t>
      </w:r>
    </w:p>
    <w:p>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1.2 服务要求：</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1.2.1本项目</w:t>
      </w:r>
      <w:r>
        <w:rPr>
          <w:rFonts w:hint="eastAsia" w:ascii="仿宋" w:hAnsi="仿宋" w:eastAsia="仿宋" w:cs="仿宋"/>
          <w:b/>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
          <w:bCs/>
          <w:color w:val="000000" w:themeColor="text1"/>
          <w:sz w:val="24"/>
          <w:szCs w:val="24"/>
          <w:highlight w:val="none"/>
          <w14:textFill>
            <w14:solidFill>
              <w14:schemeClr w14:val="tx1"/>
            </w14:solidFill>
          </w14:textFill>
        </w:rPr>
        <w:t>必须具有完成本</w:t>
      </w:r>
      <w:r>
        <w:rPr>
          <w:rFonts w:hint="eastAsia" w:ascii="仿宋" w:hAnsi="仿宋" w:eastAsia="仿宋" w:cs="仿宋"/>
          <w:b/>
          <w:bCs/>
          <w:color w:val="000000" w:themeColor="text1"/>
          <w:sz w:val="24"/>
          <w:szCs w:val="24"/>
          <w:highlight w:val="none"/>
          <w:lang w:eastAsia="zh-CN"/>
          <w14:textFill>
            <w14:solidFill>
              <w14:schemeClr w14:val="tx1"/>
            </w14:solidFill>
          </w14:textFill>
        </w:rPr>
        <w:t>项目必需的</w:t>
      </w:r>
      <w:r>
        <w:rPr>
          <w:rFonts w:hint="eastAsia" w:ascii="仿宋" w:hAnsi="仿宋" w:eastAsia="仿宋" w:cs="仿宋"/>
          <w:b/>
          <w:bCs/>
          <w:color w:val="000000" w:themeColor="text1"/>
          <w:sz w:val="24"/>
          <w:szCs w:val="24"/>
          <w:highlight w:val="none"/>
          <w14:textFill>
            <w14:solidFill>
              <w14:schemeClr w14:val="tx1"/>
            </w14:solidFill>
          </w14:textFill>
        </w:rPr>
        <w:t>处置场地、设备和生产工艺，</w:t>
      </w:r>
      <w:r>
        <w:rPr>
          <w:rFonts w:hint="eastAsia" w:ascii="仿宋" w:hAnsi="仿宋" w:eastAsia="仿宋" w:cs="仿宋"/>
          <w:b/>
          <w:bCs/>
          <w:color w:val="000000" w:themeColor="text1"/>
          <w:sz w:val="24"/>
          <w:szCs w:val="24"/>
          <w:highlight w:val="none"/>
          <w:lang w:eastAsia="zh-CN"/>
          <w14:textFill>
            <w14:solidFill>
              <w14:schemeClr w14:val="tx1"/>
            </w14:solidFill>
          </w14:textFill>
        </w:rPr>
        <w:t>并</w:t>
      </w:r>
      <w:r>
        <w:rPr>
          <w:rFonts w:hint="eastAsia" w:ascii="仿宋" w:hAnsi="仿宋" w:eastAsia="仿宋" w:cs="仿宋"/>
          <w:b/>
          <w:bCs/>
          <w:color w:val="000000" w:themeColor="text1"/>
          <w:sz w:val="24"/>
          <w:szCs w:val="24"/>
          <w:highlight w:val="none"/>
          <w14:textFill>
            <w14:solidFill>
              <w14:schemeClr w14:val="tx1"/>
            </w14:solidFill>
          </w14:textFill>
        </w:rPr>
        <w:t>按规范处置餐厨</w:t>
      </w:r>
      <w:r>
        <w:rPr>
          <w:rFonts w:hint="eastAsia" w:ascii="仿宋" w:hAnsi="仿宋" w:eastAsia="仿宋" w:cs="仿宋"/>
          <w:b/>
          <w:bCs/>
          <w:color w:val="000000" w:themeColor="text1"/>
          <w:sz w:val="24"/>
          <w:szCs w:val="24"/>
          <w:highlight w:val="none"/>
          <w:lang w:eastAsia="zh-CN"/>
          <w14:textFill>
            <w14:solidFill>
              <w14:schemeClr w14:val="tx1"/>
            </w14:solidFill>
          </w14:textFill>
        </w:rPr>
        <w:t>（厨余）</w:t>
      </w:r>
      <w:r>
        <w:rPr>
          <w:rFonts w:hint="eastAsia" w:ascii="仿宋" w:hAnsi="仿宋" w:eastAsia="仿宋" w:cs="仿宋"/>
          <w:b/>
          <w:bCs/>
          <w:color w:val="000000" w:themeColor="text1"/>
          <w:sz w:val="24"/>
          <w:szCs w:val="24"/>
          <w:highlight w:val="none"/>
          <w14:textFill>
            <w14:solidFill>
              <w14:schemeClr w14:val="tx1"/>
            </w14:solidFill>
          </w14:textFill>
        </w:rPr>
        <w:t>垃圾。</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中标人</w:t>
      </w:r>
      <w:r>
        <w:rPr>
          <w:rFonts w:hint="eastAsia" w:ascii="仿宋" w:hAnsi="仿宋" w:eastAsia="仿宋" w:cs="仿宋"/>
          <w:color w:val="000000" w:themeColor="text1"/>
          <w:sz w:val="24"/>
          <w:szCs w:val="24"/>
          <w:highlight w:val="none"/>
          <w14:textFill>
            <w14:solidFill>
              <w14:schemeClr w14:val="tx1"/>
            </w14:solidFill>
          </w14:textFill>
        </w:rPr>
        <w:t>需提供通过</w:t>
      </w:r>
      <w:r>
        <w:rPr>
          <w:rFonts w:hint="eastAsia" w:ascii="仿宋" w:hAnsi="仿宋" w:eastAsia="仿宋" w:cs="仿宋"/>
          <w:color w:val="000000" w:themeColor="text1"/>
          <w:sz w:val="24"/>
          <w:szCs w:val="24"/>
          <w:highlight w:val="none"/>
          <w:lang w:eastAsia="zh-CN"/>
          <w14:textFill>
            <w14:solidFill>
              <w14:schemeClr w14:val="tx1"/>
            </w14:solidFill>
          </w14:textFill>
        </w:rPr>
        <w:t>环评</w:t>
      </w:r>
      <w:r>
        <w:rPr>
          <w:rFonts w:hint="eastAsia" w:ascii="仿宋" w:hAnsi="仿宋" w:eastAsia="仿宋" w:cs="仿宋"/>
          <w:color w:val="000000" w:themeColor="text1"/>
          <w:sz w:val="24"/>
          <w:szCs w:val="24"/>
          <w:highlight w:val="none"/>
          <w14:textFill>
            <w14:solidFill>
              <w14:schemeClr w14:val="tx1"/>
            </w14:solidFill>
          </w14:textFill>
        </w:rPr>
        <w:t>和竣工验收的餐厨垃圾处置场所</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处置场所处理规模需≥</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0吨/天。</w:t>
      </w:r>
    </w:p>
    <w:p>
      <w:pPr>
        <w:pStyle w:val="27"/>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注：提供</w:t>
      </w:r>
      <w:r>
        <w:rPr>
          <w:rFonts w:hint="eastAsia" w:ascii="仿宋" w:hAnsi="仿宋" w:eastAsia="仿宋" w:cs="仿宋"/>
          <w:b/>
          <w:bCs/>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b/>
          <w:bCs/>
          <w:color w:val="000000" w:themeColor="text1"/>
          <w:sz w:val="24"/>
          <w:szCs w:val="24"/>
          <w:highlight w:val="none"/>
          <w14:textFill>
            <w14:solidFill>
              <w14:schemeClr w14:val="tx1"/>
            </w14:solidFill>
          </w14:textFill>
        </w:rPr>
        <w:t>处置场所环保验收</w:t>
      </w:r>
      <w:r>
        <w:rPr>
          <w:rFonts w:hint="eastAsia" w:ascii="仿宋" w:hAnsi="仿宋" w:eastAsia="仿宋" w:cs="仿宋"/>
          <w:b/>
          <w:bCs/>
          <w:color w:val="000000" w:themeColor="text1"/>
          <w:sz w:val="24"/>
          <w:szCs w:val="24"/>
          <w:highlight w:val="none"/>
          <w:lang w:eastAsia="zh-CN"/>
          <w14:textFill>
            <w14:solidFill>
              <w14:schemeClr w14:val="tx1"/>
            </w14:solidFill>
          </w14:textFill>
        </w:rPr>
        <w:t>材料和</w:t>
      </w:r>
      <w:r>
        <w:rPr>
          <w:rFonts w:hint="eastAsia" w:ascii="仿宋" w:hAnsi="仿宋" w:eastAsia="仿宋" w:cs="仿宋"/>
          <w:b/>
          <w:bCs/>
          <w:color w:val="000000" w:themeColor="text1"/>
          <w:sz w:val="24"/>
          <w:szCs w:val="24"/>
          <w:highlight w:val="none"/>
          <w14:textFill>
            <w14:solidFill>
              <w14:schemeClr w14:val="tx1"/>
            </w14:solidFill>
          </w14:textFill>
        </w:rPr>
        <w:t>场地证明文件，否则</w:t>
      </w:r>
      <w:r>
        <w:rPr>
          <w:rFonts w:hint="eastAsia" w:ascii="仿宋" w:hAnsi="仿宋" w:eastAsia="仿宋" w:cs="仿宋"/>
          <w:b/>
          <w:bCs/>
          <w:color w:val="000000" w:themeColor="text1"/>
          <w:sz w:val="24"/>
          <w:szCs w:val="24"/>
          <w:highlight w:val="none"/>
          <w:lang w:eastAsia="zh-CN"/>
          <w14:textFill>
            <w14:solidFill>
              <w14:schemeClr w14:val="tx1"/>
            </w14:solidFill>
          </w14:textFill>
        </w:rPr>
        <w:t>按无效标处理。</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xml:space="preserve"> 收运的餐厨废弃物须全部资源化和无害化处置，按照《浙江省餐厨垃圾管理办法》、《衢州市餐厨垃圾管理条例》、《餐厨废弃物处理技术规范》的有关规定，实施资源化利用。</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本项目需要</w:t>
      </w:r>
      <w:r>
        <w:rPr>
          <w:rFonts w:hint="eastAsia" w:ascii="仿宋" w:hAnsi="仿宋" w:eastAsia="仿宋" w:cs="仿宋"/>
          <w:color w:val="000000" w:themeColor="text1"/>
          <w:sz w:val="24"/>
          <w:szCs w:val="24"/>
          <w:highlight w:val="none"/>
          <w:lang w:eastAsia="zh-CN"/>
          <w14:textFill>
            <w14:solidFill>
              <w14:schemeClr w14:val="tx1"/>
            </w14:solidFill>
          </w14:textFill>
        </w:rPr>
        <w:t>中标人</w:t>
      </w:r>
      <w:r>
        <w:rPr>
          <w:rFonts w:hint="eastAsia" w:ascii="仿宋" w:hAnsi="仿宋" w:eastAsia="仿宋" w:cs="仿宋"/>
          <w:color w:val="000000" w:themeColor="text1"/>
          <w:sz w:val="24"/>
          <w:szCs w:val="24"/>
          <w:highlight w:val="none"/>
          <w14:textFill>
            <w14:solidFill>
              <w14:schemeClr w14:val="tx1"/>
            </w14:solidFill>
          </w14:textFill>
        </w:rPr>
        <w:t>自行组建项目运行团队和收集运输设备、处置设备。投标单位自行估算完成本项目所需资金，自行承担项目运行中的环保指标，交通安全、生产安全、质量指标等一切责任。</w:t>
      </w:r>
    </w:p>
    <w:p>
      <w:pPr>
        <w:snapToGrid w:val="0"/>
        <w:spacing w:line="360" w:lineRule="auto"/>
        <w:ind w:firstLine="480" w:firstLineChars="200"/>
        <w:jc w:val="left"/>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▲1.2.</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14:textFill>
            <w14:solidFill>
              <w14:schemeClr w14:val="tx1"/>
            </w14:solidFill>
          </w14:textFill>
        </w:rPr>
        <w:t>本项目规模约为20t/天；</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bCs/>
          <w:color w:val="000000" w:themeColor="text1"/>
          <w:sz w:val="24"/>
          <w:szCs w:val="24"/>
          <w:highlight w:val="none"/>
          <w14:textFill>
            <w14:solidFill>
              <w14:schemeClr w14:val="tx1"/>
            </w14:solidFill>
          </w14:textFill>
        </w:rPr>
        <w:t>经收运后运至具有处置能力的处置场所进行处置。由于采购需要，收运费最高综合单价为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141.5</w:t>
      </w:r>
      <w:r>
        <w:rPr>
          <w:rFonts w:hint="eastAsia" w:ascii="仿宋" w:hAnsi="仿宋" w:eastAsia="仿宋" w:cs="仿宋"/>
          <w:bCs/>
          <w:color w:val="000000" w:themeColor="text1"/>
          <w:sz w:val="24"/>
          <w:szCs w:val="24"/>
          <w:highlight w:val="none"/>
          <w14:textFill>
            <w14:solidFill>
              <w14:schemeClr w14:val="tx1"/>
            </w14:solidFill>
          </w14:textFill>
        </w:rPr>
        <w:t>元/吨，处置费最高综合单价为163.5元/吨（不许超过最高单价限价，超过作废标处理）。最终按实际收运处置量结算。服务期内如</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量超出，中标人必须按招标文件约定的方式规范收运处置，超出部分</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量的收运处置费用由中标人自行承担，采购人不额外增加费用。</w:t>
      </w:r>
    </w:p>
    <w:p>
      <w:pPr>
        <w:snapToGrid w:val="0"/>
        <w:spacing w:line="360" w:lineRule="auto"/>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1.2.</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Cs/>
          <w:color w:val="000000" w:themeColor="text1"/>
          <w:sz w:val="24"/>
          <w:szCs w:val="24"/>
          <w:highlight w:val="none"/>
          <w14:textFill>
            <w14:solidFill>
              <w14:schemeClr w14:val="tx1"/>
            </w14:solidFill>
          </w14:textFill>
        </w:rPr>
        <w:t xml:space="preserve"> 服务范围内的</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bCs/>
          <w:color w:val="000000" w:themeColor="text1"/>
          <w:sz w:val="24"/>
          <w:szCs w:val="24"/>
          <w:highlight w:val="none"/>
          <w14:textFill>
            <w14:solidFill>
              <w14:schemeClr w14:val="tx1"/>
            </w14:solidFill>
          </w14:textFill>
        </w:rPr>
        <w:t>全部由</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负责收集、运输和处理。</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bCs/>
          <w:color w:val="000000" w:themeColor="text1"/>
          <w:sz w:val="24"/>
          <w:szCs w:val="24"/>
          <w:highlight w:val="none"/>
          <w14:textFill>
            <w14:solidFill>
              <w14:schemeClr w14:val="tx1"/>
            </w14:solidFill>
          </w14:textFill>
        </w:rPr>
        <w:t>经收运后，每日收运的</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bCs/>
          <w:color w:val="000000" w:themeColor="text1"/>
          <w:sz w:val="24"/>
          <w:szCs w:val="24"/>
          <w:highlight w:val="none"/>
          <w14:textFill>
            <w14:solidFill>
              <w14:schemeClr w14:val="tx1"/>
            </w14:solidFill>
          </w14:textFill>
        </w:rPr>
        <w:t>全部运至具有处置能力的处置场所进行处置（处置场所须符合相关法律法规及政策规定）；</w:t>
      </w:r>
      <w:r>
        <w:rPr>
          <w:rFonts w:hint="eastAsia" w:ascii="仿宋" w:hAnsi="仿宋" w:eastAsia="仿宋" w:cs="仿宋"/>
          <w:bCs/>
          <w:color w:val="000000" w:themeColor="text1"/>
          <w:sz w:val="24"/>
          <w:szCs w:val="24"/>
          <w:highlight w:val="none"/>
          <w:lang w:eastAsia="zh-CN"/>
          <w14:textFill>
            <w14:solidFill>
              <w14:schemeClr w14:val="tx1"/>
            </w14:solidFill>
          </w14:textFill>
        </w:rPr>
        <w:t>投标人</w:t>
      </w:r>
      <w:r>
        <w:rPr>
          <w:rFonts w:hint="eastAsia" w:ascii="仿宋" w:hAnsi="仿宋" w:eastAsia="仿宋" w:cs="仿宋"/>
          <w:bCs/>
          <w:color w:val="000000" w:themeColor="text1"/>
          <w:sz w:val="24"/>
          <w:szCs w:val="24"/>
          <w:highlight w:val="none"/>
          <w14:textFill>
            <w14:solidFill>
              <w14:schemeClr w14:val="tx1"/>
            </w14:solidFill>
          </w14:textFill>
        </w:rPr>
        <w:t>应实地考察运输路线与运距，并合理报价，自负报价风险。中标后采购人不再调整中标单价。</w:t>
      </w:r>
    </w:p>
    <w:p>
      <w:pPr>
        <w:bidi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1.2.</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公司将确保项目设施始终处于良好营运状态，并能够以安全、连续和稳定的方式提供餐厨废弃物以综合利用的处理服务。保证每年稳定运营时间不少于350天，合理安排设备检修计划，保证检修不影响废弃物的收运和处理。</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2.人员、车辆要求 </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2.1.车辆要求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 本项目必须投入自有或租赁的</w:t>
      </w:r>
      <w:r>
        <w:rPr>
          <w:rFonts w:hint="eastAsia" w:ascii="仿宋" w:hAnsi="仿宋" w:eastAsia="仿宋" w:cs="仿宋"/>
          <w:color w:val="000000" w:themeColor="text1"/>
          <w:sz w:val="24"/>
          <w:szCs w:val="24"/>
          <w:highlight w:val="none"/>
          <w:u w:val="none"/>
          <w14:textFill>
            <w14:solidFill>
              <w14:schemeClr w14:val="tx1"/>
            </w14:solidFill>
          </w14:textFill>
        </w:rPr>
        <w:t>全封闭餐厨</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和</w:t>
      </w:r>
      <w:r>
        <w:rPr>
          <w:rFonts w:hint="eastAsia" w:ascii="仿宋" w:hAnsi="仿宋" w:eastAsia="仿宋" w:cs="仿宋"/>
          <w:color w:val="000000" w:themeColor="text1"/>
          <w:sz w:val="24"/>
          <w:szCs w:val="24"/>
          <w:highlight w:val="none"/>
          <w:u w:val="none"/>
          <w:lang w:eastAsia="zh-CN"/>
          <w14:textFill>
            <w14:solidFill>
              <w14:schemeClr w14:val="tx1"/>
            </w14:solidFill>
          </w14:textFill>
        </w:rPr>
        <w:t>厨余</w:t>
      </w:r>
      <w:r>
        <w:rPr>
          <w:rFonts w:hint="eastAsia" w:ascii="仿宋" w:hAnsi="仿宋" w:eastAsia="仿宋" w:cs="仿宋"/>
          <w:color w:val="000000" w:themeColor="text1"/>
          <w:sz w:val="24"/>
          <w:szCs w:val="24"/>
          <w:highlight w:val="none"/>
          <w:u w:val="none"/>
          <w14:textFill>
            <w14:solidFill>
              <w14:schemeClr w14:val="tx1"/>
            </w14:solidFill>
          </w14:textFill>
        </w:rPr>
        <w:t>垃圾清运车</w:t>
      </w:r>
      <w:r>
        <w:rPr>
          <w:rFonts w:hint="eastAsia" w:ascii="仿宋" w:hAnsi="仿宋" w:eastAsia="仿宋" w:cs="仿宋"/>
          <w:color w:val="000000" w:themeColor="text1"/>
          <w:sz w:val="24"/>
          <w:szCs w:val="24"/>
          <w:highlight w:val="none"/>
          <w14:textFill>
            <w14:solidFill>
              <w14:schemeClr w14:val="tx1"/>
            </w14:solidFill>
          </w14:textFill>
        </w:rPr>
        <w:t>，必须确保项目每日收集运输所需，餐厨</w:t>
      </w:r>
      <w:r>
        <w:rPr>
          <w:rFonts w:hint="eastAsia" w:ascii="仿宋" w:hAnsi="仿宋" w:eastAsia="仿宋" w:cs="仿宋"/>
          <w:color w:val="000000" w:themeColor="text1"/>
          <w:sz w:val="24"/>
          <w:szCs w:val="24"/>
          <w:highlight w:val="none"/>
          <w:lang w:val="en-US" w:eastAsia="zh-CN"/>
          <w14:textFill>
            <w14:solidFill>
              <w14:schemeClr w14:val="tx1"/>
            </w14:solidFill>
          </w14:textFill>
        </w:rPr>
        <w:t>和</w:t>
      </w:r>
      <w:r>
        <w:rPr>
          <w:rFonts w:hint="eastAsia" w:ascii="仿宋" w:hAnsi="仿宋" w:eastAsia="仿宋" w:cs="仿宋"/>
          <w:color w:val="000000" w:themeColor="text1"/>
          <w:sz w:val="24"/>
          <w:szCs w:val="24"/>
          <w:highlight w:val="none"/>
          <w:lang w:eastAsia="zh-CN"/>
          <w14:textFill>
            <w14:solidFill>
              <w14:schemeClr w14:val="tx1"/>
            </w14:solidFill>
          </w14:textFill>
        </w:rPr>
        <w:t>厨余</w:t>
      </w:r>
      <w:r>
        <w:rPr>
          <w:rFonts w:hint="eastAsia" w:ascii="仿宋" w:hAnsi="仿宋" w:eastAsia="仿宋" w:cs="仿宋"/>
          <w:color w:val="000000" w:themeColor="text1"/>
          <w:sz w:val="24"/>
          <w:szCs w:val="24"/>
          <w:highlight w:val="none"/>
          <w14:textFill>
            <w14:solidFill>
              <w14:schemeClr w14:val="tx1"/>
            </w14:solidFill>
          </w14:textFill>
        </w:rPr>
        <w:t>垃圾</w:t>
      </w:r>
      <w:r>
        <w:rPr>
          <w:rFonts w:hint="eastAsia" w:ascii="仿宋" w:hAnsi="仿宋" w:eastAsia="仿宋" w:cs="仿宋"/>
          <w:color w:val="000000" w:themeColor="text1"/>
          <w:sz w:val="24"/>
          <w:szCs w:val="24"/>
          <w:highlight w:val="none"/>
          <w:lang w:val="en-US" w:eastAsia="zh-CN"/>
          <w14:textFill>
            <w14:solidFill>
              <w14:schemeClr w14:val="tx1"/>
            </w14:solidFill>
          </w14:textFill>
        </w:rPr>
        <w:t>不得混装、混运，</w:t>
      </w:r>
      <w:r>
        <w:rPr>
          <w:rFonts w:hint="eastAsia" w:ascii="仿宋" w:hAnsi="仿宋" w:eastAsia="仿宋" w:cs="仿宋"/>
          <w:color w:val="000000" w:themeColor="text1"/>
          <w:sz w:val="24"/>
          <w:szCs w:val="24"/>
          <w:highlight w:val="none"/>
          <w14:textFill>
            <w14:solidFill>
              <w14:schemeClr w14:val="tx1"/>
            </w14:solidFill>
          </w14:textFill>
        </w:rPr>
        <w:t xml:space="preserve">且使用于本项目。清运车辆驾驶员必须持有效驾驶证上岗。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2.1.2 必须采用进入国家车辆生产目录的餐厨（厨余）垃圾收运专项作业车。车辆上需安装车载实时监控系统，包括信息监控终端、车载硬盘录像机与车载监控摄像头（含车内、车外）等视频设备、车载GPS等配套设备，并将确保能实时监控的信息按照要求接入采购人指定环卫监测平台，相关的监控系统的设备及配套的车辆作业与垃圾收运系统的费用包含在本次投标报价中。本次采购要求投入的机动车辆，须确保能按采购人要求的时间进场。 </w:t>
      </w:r>
    </w:p>
    <w:p>
      <w:pPr>
        <w:snapToGrid w:val="0"/>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w:t>
      </w:r>
      <w:r>
        <w:rPr>
          <w:rFonts w:hint="eastAsia" w:ascii="仿宋" w:hAnsi="仿宋" w:eastAsia="仿宋" w:cs="仿宋"/>
          <w:color w:val="000000" w:themeColor="text1"/>
          <w:sz w:val="24"/>
          <w:szCs w:val="24"/>
          <w:highlight w:val="none"/>
          <w:lang w:val="en-US" w:eastAsia="zh-CN"/>
          <w14:textFill>
            <w14:solidFill>
              <w14:schemeClr w14:val="tx1"/>
            </w14:solidFill>
          </w14:textFill>
        </w:rPr>
        <w:t>3项目所配置的</w:t>
      </w:r>
      <w:r>
        <w:rPr>
          <w:rFonts w:hint="eastAsia" w:ascii="仿宋" w:hAnsi="仿宋" w:eastAsia="仿宋" w:cs="仿宋"/>
          <w:color w:val="000000" w:themeColor="text1"/>
          <w:sz w:val="24"/>
          <w:szCs w:val="24"/>
          <w:highlight w:val="none"/>
          <w14:textFill>
            <w14:solidFill>
              <w14:schemeClr w14:val="tx1"/>
            </w14:solidFill>
          </w14:textFill>
        </w:rPr>
        <w:t>餐厨（厨余）垃圾收运专项作业车</w:t>
      </w:r>
      <w:r>
        <w:rPr>
          <w:rFonts w:hint="eastAsia" w:ascii="仿宋" w:hAnsi="仿宋" w:eastAsia="仿宋" w:cs="仿宋"/>
          <w:color w:val="000000" w:themeColor="text1"/>
          <w:sz w:val="24"/>
          <w:szCs w:val="24"/>
          <w:highlight w:val="none"/>
          <w:lang w:eastAsia="zh-CN"/>
          <w14:textFill>
            <w14:solidFill>
              <w14:schemeClr w14:val="tx1"/>
            </w14:solidFill>
          </w14:textFill>
        </w:rPr>
        <w:t>，需满足全县餐厨（厨余）垃圾清运需求。无法满足清运需求时，中标方应及时</w:t>
      </w:r>
      <w:r>
        <w:rPr>
          <w:rFonts w:hint="eastAsia" w:ascii="仿宋" w:hAnsi="仿宋" w:eastAsia="仿宋" w:cs="仿宋"/>
          <w:color w:val="000000" w:themeColor="text1"/>
          <w:sz w:val="24"/>
          <w:szCs w:val="24"/>
          <w:highlight w:val="none"/>
          <w:lang w:val="en-US" w:eastAsia="zh-CN"/>
          <w14:textFill>
            <w14:solidFill>
              <w14:schemeClr w14:val="tx1"/>
            </w14:solidFill>
          </w14:textFill>
        </w:rPr>
        <w:t>按需配齐配足清运车辆以满足运力平衡。超出1周时限或不响应要求的，采购人有权在当月考核及次月考核中扣除部分收运经费，具体扣除比例详见考核细则。</w:t>
      </w:r>
    </w:p>
    <w:p>
      <w:pPr>
        <w:snapToGrid w:val="0"/>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w:t>
      </w:r>
      <w:r>
        <w:rPr>
          <w:rFonts w:hint="eastAsia" w:ascii="仿宋" w:hAnsi="仿宋" w:eastAsia="仿宋" w:cs="仿宋"/>
          <w:color w:val="000000" w:themeColor="text1"/>
          <w:sz w:val="24"/>
          <w:szCs w:val="24"/>
          <w:highlight w:val="none"/>
          <w:lang w:val="en-US" w:eastAsia="zh-CN"/>
          <w14:textFill>
            <w14:solidFill>
              <w14:schemeClr w14:val="tx1"/>
            </w14:solidFill>
          </w14:textFill>
        </w:rPr>
        <w:t>4项目所配置的</w:t>
      </w:r>
      <w:r>
        <w:rPr>
          <w:rFonts w:hint="eastAsia" w:ascii="仿宋" w:hAnsi="仿宋" w:eastAsia="仿宋" w:cs="仿宋"/>
          <w:color w:val="000000" w:themeColor="text1"/>
          <w:sz w:val="24"/>
          <w:szCs w:val="24"/>
          <w:highlight w:val="none"/>
          <w14:textFill>
            <w14:solidFill>
              <w14:schemeClr w14:val="tx1"/>
            </w14:solidFill>
          </w14:textFill>
        </w:rPr>
        <w:t>餐厨（厨余）垃圾收运专项作业车</w:t>
      </w:r>
      <w:r>
        <w:rPr>
          <w:rFonts w:hint="eastAsia" w:ascii="仿宋" w:hAnsi="仿宋" w:eastAsia="仿宋" w:cs="仿宋"/>
          <w:color w:val="000000" w:themeColor="text1"/>
          <w:sz w:val="24"/>
          <w:szCs w:val="24"/>
          <w:highlight w:val="none"/>
          <w:lang w:eastAsia="zh-CN"/>
          <w14:textFill>
            <w14:solidFill>
              <w14:schemeClr w14:val="tx1"/>
            </w14:solidFill>
          </w14:textFill>
        </w:rPr>
        <w:t>，必须按照衢州市易腐垃圾清运车辆外观标准进行改装，车辆颜色及标志标准等应按规范设置。</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2.2.垃圾桶的要求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w:t>
      </w:r>
      <w:r>
        <w:rPr>
          <w:rFonts w:hint="eastAsia" w:ascii="仿宋" w:hAnsi="仿宋" w:eastAsia="仿宋" w:cs="仿宋"/>
          <w:color w:val="000000" w:themeColor="text1"/>
          <w:sz w:val="24"/>
          <w:szCs w:val="24"/>
          <w:highlight w:val="none"/>
          <w:lang w:eastAsia="zh-CN"/>
          <w14:textFill>
            <w14:solidFill>
              <w14:schemeClr w14:val="tx1"/>
            </w14:solidFill>
          </w14:textFill>
        </w:rPr>
        <w:t>中标人</w:t>
      </w:r>
      <w:r>
        <w:rPr>
          <w:rFonts w:hint="eastAsia" w:ascii="仿宋" w:hAnsi="仿宋" w:eastAsia="仿宋" w:cs="仿宋"/>
          <w:color w:val="000000" w:themeColor="text1"/>
          <w:sz w:val="24"/>
          <w:szCs w:val="24"/>
          <w:highlight w:val="none"/>
          <w14:textFill>
            <w14:solidFill>
              <w14:schemeClr w14:val="tx1"/>
            </w14:solidFill>
          </w14:textFill>
        </w:rPr>
        <w:t>向服务范围内各</w:t>
      </w:r>
      <w:r>
        <w:rPr>
          <w:rFonts w:hint="eastAsia" w:ascii="仿宋" w:hAnsi="仿宋" w:eastAsia="仿宋" w:cs="仿宋"/>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color w:val="000000" w:themeColor="text1"/>
          <w:sz w:val="24"/>
          <w:szCs w:val="24"/>
          <w:highlight w:val="none"/>
          <w14:textFill>
            <w14:solidFill>
              <w14:schemeClr w14:val="tx1"/>
            </w14:solidFill>
          </w14:textFill>
        </w:rPr>
        <w:t>产生单位（含新增统一收运的</w:t>
      </w:r>
      <w:r>
        <w:rPr>
          <w:rFonts w:hint="eastAsia" w:ascii="仿宋" w:hAnsi="仿宋" w:eastAsia="仿宋" w:cs="仿宋"/>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color w:val="000000" w:themeColor="text1"/>
          <w:sz w:val="24"/>
          <w:szCs w:val="24"/>
          <w:highlight w:val="none"/>
          <w14:textFill>
            <w14:solidFill>
              <w14:schemeClr w14:val="tx1"/>
            </w14:solidFill>
          </w14:textFill>
        </w:rPr>
        <w:t>产生单位）提供免费的餐厨专用垃圾桶，具体数量由采购人根据</w:t>
      </w:r>
      <w:r>
        <w:rPr>
          <w:rFonts w:hint="eastAsia" w:ascii="仿宋" w:hAnsi="仿宋" w:eastAsia="仿宋" w:cs="仿宋"/>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color w:val="000000" w:themeColor="text1"/>
          <w:sz w:val="24"/>
          <w:szCs w:val="24"/>
          <w:highlight w:val="none"/>
          <w14:textFill>
            <w14:solidFill>
              <w14:schemeClr w14:val="tx1"/>
            </w14:solidFill>
          </w14:textFill>
        </w:rPr>
        <w:t>产生单位每日产生</w:t>
      </w:r>
      <w:r>
        <w:rPr>
          <w:rFonts w:hint="eastAsia" w:ascii="仿宋" w:hAnsi="仿宋" w:eastAsia="仿宋" w:cs="仿宋"/>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color w:val="000000" w:themeColor="text1"/>
          <w:sz w:val="24"/>
          <w:szCs w:val="24"/>
          <w:highlight w:val="none"/>
          <w14:textFill>
            <w14:solidFill>
              <w14:schemeClr w14:val="tx1"/>
            </w14:solidFill>
          </w14:textFill>
        </w:rPr>
        <w:t>的量在委托收运合同中予以明确。</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专用垃圾桶规格型号由</w:t>
      </w:r>
      <w:r>
        <w:rPr>
          <w:rFonts w:hint="eastAsia" w:ascii="仿宋" w:hAnsi="仿宋" w:eastAsia="仿宋" w:cs="仿宋"/>
          <w:color w:val="000000" w:themeColor="text1"/>
          <w:sz w:val="24"/>
          <w:szCs w:val="24"/>
          <w:highlight w:val="none"/>
          <w:lang w:eastAsia="zh-CN"/>
          <w14:textFill>
            <w14:solidFill>
              <w14:schemeClr w14:val="tx1"/>
            </w14:solidFill>
          </w14:textFill>
        </w:rPr>
        <w:t>中标人</w:t>
      </w:r>
      <w:r>
        <w:rPr>
          <w:rFonts w:hint="eastAsia" w:ascii="仿宋" w:hAnsi="仿宋" w:eastAsia="仿宋" w:cs="仿宋"/>
          <w:color w:val="000000" w:themeColor="text1"/>
          <w:sz w:val="24"/>
          <w:szCs w:val="24"/>
          <w:highlight w:val="none"/>
          <w14:textFill>
            <w14:solidFill>
              <w14:schemeClr w14:val="tx1"/>
            </w14:solidFill>
          </w14:textFill>
        </w:rPr>
        <w:t>自行负责，垃圾桶要求：100%全新料，</w:t>
      </w:r>
      <w:r>
        <w:rPr>
          <w:rFonts w:hint="eastAsia" w:ascii="仿宋" w:hAnsi="仿宋" w:eastAsia="仿宋" w:cs="仿宋"/>
          <w:color w:val="000000" w:themeColor="text1"/>
          <w:sz w:val="24"/>
          <w:szCs w:val="24"/>
          <w:highlight w:val="none"/>
          <w:lang w:eastAsia="zh-CN"/>
          <w14:textFill>
            <w14:solidFill>
              <w14:schemeClr w14:val="tx1"/>
            </w14:solidFill>
          </w14:textFill>
        </w:rPr>
        <w:t>颜色及标准需符合浙江省垃圾分类标志规范，</w:t>
      </w:r>
      <w:r>
        <w:rPr>
          <w:rFonts w:hint="eastAsia" w:ascii="仿宋" w:hAnsi="仿宋" w:eastAsia="仿宋" w:cs="仿宋"/>
          <w:color w:val="000000" w:themeColor="text1"/>
          <w:sz w:val="24"/>
          <w:szCs w:val="24"/>
          <w:highlight w:val="none"/>
          <w14:textFill>
            <w14:solidFill>
              <w14:schemeClr w14:val="tx1"/>
            </w14:solidFill>
          </w14:textFill>
        </w:rPr>
        <w:t>其他要求须提供符合国家行业的相关标准，投放地点由采购人指定。</w:t>
      </w:r>
    </w:p>
    <w:p>
      <w:pPr>
        <w:snapToGrid w:val="0"/>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w:t>
      </w:r>
      <w:r>
        <w:rPr>
          <w:rFonts w:hint="eastAsia" w:ascii="仿宋" w:hAnsi="仿宋" w:eastAsia="仿宋" w:cs="仿宋"/>
          <w:color w:val="000000" w:themeColor="text1"/>
          <w:sz w:val="24"/>
          <w:szCs w:val="24"/>
          <w:highlight w:val="none"/>
          <w:lang w:eastAsia="zh-CN"/>
          <w14:textFill>
            <w14:solidFill>
              <w14:schemeClr w14:val="tx1"/>
            </w14:solidFill>
          </w14:textFill>
        </w:rPr>
        <w:t>投标人须承诺餐厨（厨余）垃圾产生单位在更换破损的餐厨（厨余）垃圾收集专用桶时，必须无条件协助餐厨（厨余）垃圾产生单位的更换工作，相关一切费用由中标人负责。</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专用垃圾桶外部需印有企业名称、标识、监督电话等。</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2.3 人员及工作要求 </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2.3.1 人员要求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本项目至少配备</w:t>
      </w:r>
      <w:r>
        <w:rPr>
          <w:rFonts w:hint="eastAsia" w:ascii="仿宋" w:hAnsi="仿宋" w:eastAsia="仿宋" w:cs="仿宋"/>
          <w:color w:val="000000" w:themeColor="text1"/>
          <w:sz w:val="24"/>
          <w:szCs w:val="24"/>
          <w:highlight w:val="none"/>
          <w14:textFill>
            <w14:solidFill>
              <w14:schemeClr w14:val="tx1"/>
            </w14:solidFill>
          </w14:textFill>
        </w:rPr>
        <w:t>餐厨（厨余）</w:t>
      </w:r>
      <w:r>
        <w:rPr>
          <w:rFonts w:hint="eastAsia" w:ascii="仿宋" w:hAnsi="仿宋" w:eastAsia="仿宋" w:cs="仿宋"/>
          <w:color w:val="000000" w:themeColor="text1"/>
          <w:sz w:val="24"/>
          <w:szCs w:val="24"/>
          <w:highlight w:val="none"/>
          <w:lang w:val="en-US" w:eastAsia="zh-CN"/>
          <w14:textFill>
            <w14:solidFill>
              <w14:schemeClr w14:val="tx1"/>
            </w14:solidFill>
          </w14:textFill>
        </w:rPr>
        <w:t>垃圾清运车辆驾驶员≥3名、协助人员（搬运工）3名、管理人员2名（含项目经理1名、管理人员1名，甲方有权直接调配管理人员），清洗餐厨（厨余）垃圾桶工作人员1名。以上人员需符合职业健康相关要求，必须身体健康，无癫痫、精神病和严重高血压、心脏病、传染病等不宜工作的疾病，且均要求为专职人员。中标公司需严格执行《劳动法》、《中华人民共和国民法典》有关员工保障的规定为从业人员缴纳社保、按时发放薪资，由劳动部门查实的，根据查实情况处罚。</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2.3.2 工作要求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 本项目综合单价包含清运处置过程中的人工费、油料费、车辆修理费、年检年审费、过路过桥费、税费、利润等所有与项目相关的一切费用。</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此次采购所涉及的人员住房和作业工具、服装等均由</w:t>
      </w:r>
      <w:r>
        <w:rPr>
          <w:rFonts w:hint="eastAsia" w:ascii="仿宋" w:hAnsi="仿宋" w:eastAsia="仿宋" w:cs="仿宋"/>
          <w:color w:val="000000" w:themeColor="text1"/>
          <w:sz w:val="24"/>
          <w:szCs w:val="24"/>
          <w:highlight w:val="none"/>
          <w:lang w:eastAsia="zh-CN"/>
          <w14:textFill>
            <w14:solidFill>
              <w14:schemeClr w14:val="tx1"/>
            </w14:solidFill>
          </w14:textFill>
        </w:rPr>
        <w:t>中标人</w:t>
      </w:r>
      <w:r>
        <w:rPr>
          <w:rFonts w:hint="eastAsia" w:ascii="仿宋" w:hAnsi="仿宋" w:eastAsia="仿宋" w:cs="仿宋"/>
          <w:color w:val="000000" w:themeColor="text1"/>
          <w:sz w:val="24"/>
          <w:szCs w:val="24"/>
          <w:highlight w:val="none"/>
          <w14:textFill>
            <w14:solidFill>
              <w14:schemeClr w14:val="tx1"/>
            </w14:solidFill>
          </w14:textFill>
        </w:rPr>
        <w:t>自行负责解决。此次采购所涉及的人员（收运人员、司机、专职管理人员</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）全部由</w:t>
      </w:r>
      <w:r>
        <w:rPr>
          <w:rFonts w:hint="eastAsia" w:ascii="仿宋" w:hAnsi="仿宋" w:eastAsia="仿宋" w:cs="仿宋"/>
          <w:color w:val="000000" w:themeColor="text1"/>
          <w:sz w:val="24"/>
          <w:szCs w:val="24"/>
          <w:highlight w:val="none"/>
          <w:lang w:eastAsia="zh-CN"/>
          <w14:textFill>
            <w14:solidFill>
              <w14:schemeClr w14:val="tx1"/>
            </w14:solidFill>
          </w14:textFill>
        </w:rPr>
        <w:t>中标人</w:t>
      </w:r>
      <w:r>
        <w:rPr>
          <w:rFonts w:hint="eastAsia" w:ascii="仿宋" w:hAnsi="仿宋" w:eastAsia="仿宋" w:cs="仿宋"/>
          <w:color w:val="000000" w:themeColor="text1"/>
          <w:sz w:val="24"/>
          <w:szCs w:val="24"/>
          <w:highlight w:val="none"/>
          <w14:textFill>
            <w14:solidFill>
              <w14:schemeClr w14:val="tx1"/>
            </w14:solidFill>
          </w14:textFill>
        </w:rPr>
        <w:t>自行负责解决。</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 谨慎驾驶，严防事故。如发生交通事故或其他安全生产事故，一切责任均由</w:t>
      </w:r>
      <w:r>
        <w:rPr>
          <w:rFonts w:hint="eastAsia" w:ascii="仿宋" w:hAnsi="仿宋" w:eastAsia="仿宋" w:cs="仿宋"/>
          <w:color w:val="000000" w:themeColor="text1"/>
          <w:sz w:val="24"/>
          <w:szCs w:val="24"/>
          <w:highlight w:val="none"/>
          <w:lang w:eastAsia="zh-CN"/>
          <w14:textFill>
            <w14:solidFill>
              <w14:schemeClr w14:val="tx1"/>
            </w14:solidFill>
          </w14:textFill>
        </w:rPr>
        <w:t>中标人</w:t>
      </w:r>
      <w:r>
        <w:rPr>
          <w:rFonts w:hint="eastAsia" w:ascii="仿宋" w:hAnsi="仿宋" w:eastAsia="仿宋" w:cs="仿宋"/>
          <w:color w:val="000000" w:themeColor="text1"/>
          <w:sz w:val="24"/>
          <w:szCs w:val="24"/>
          <w:highlight w:val="none"/>
          <w14:textFill>
            <w14:solidFill>
              <w14:schemeClr w14:val="tx1"/>
            </w14:solidFill>
          </w14:textFill>
        </w:rPr>
        <w:t xml:space="preserve">负责，采购单位如负连带责任，所产生费用在合同款中扣除。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 定时、定点收运。</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垃圾日产日清（采购人可根据收运情况适当进行再次调整，确保不出现容器满溢现象），收运时间和频次由采购人与</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垃圾产生单位在委托收运合同中予以明确。</w:t>
      </w:r>
      <w:r>
        <w:rPr>
          <w:rFonts w:hint="eastAsia" w:ascii="仿宋" w:hAnsi="仿宋" w:eastAsia="仿宋" w:cs="仿宋"/>
          <w:color w:val="000000" w:themeColor="text1"/>
          <w:sz w:val="24"/>
          <w:szCs w:val="24"/>
          <w:highlight w:val="none"/>
          <w:lang w:eastAsia="zh-CN"/>
          <w14:textFill>
            <w14:solidFill>
              <w14:schemeClr w14:val="tx1"/>
            </w14:solidFill>
          </w14:textFill>
        </w:rPr>
        <w:t>全力保障</w:t>
      </w:r>
      <w:r>
        <w:rPr>
          <w:rFonts w:hint="eastAsia" w:ascii="仿宋" w:hAnsi="仿宋" w:eastAsia="仿宋" w:cs="仿宋"/>
          <w:color w:val="000000" w:themeColor="text1"/>
          <w:sz w:val="24"/>
          <w:szCs w:val="24"/>
          <w:highlight w:val="none"/>
          <w14:textFill>
            <w14:solidFill>
              <w14:schemeClr w14:val="tx1"/>
            </w14:solidFill>
          </w14:textFill>
        </w:rPr>
        <w:t xml:space="preserve">开展全县重大活动，节假日保持正常作业。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④ 减少影响。</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垃圾收运从业人员在收运</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垃圾中，</w:t>
      </w:r>
      <w:r>
        <w:rPr>
          <w:rFonts w:hint="eastAsia" w:ascii="仿宋" w:hAnsi="仿宋" w:eastAsia="仿宋" w:cs="仿宋"/>
          <w:color w:val="000000" w:themeColor="text1"/>
          <w:sz w:val="24"/>
          <w:szCs w:val="24"/>
          <w:highlight w:val="none"/>
          <w:lang w:val="en-US" w:eastAsia="zh-CN"/>
          <w14:textFill>
            <w14:solidFill>
              <w14:schemeClr w14:val="tx1"/>
            </w14:solidFill>
          </w14:textFill>
        </w:rPr>
        <w:t>必须</w:t>
      </w:r>
      <w:r>
        <w:rPr>
          <w:rFonts w:hint="eastAsia" w:ascii="仿宋" w:hAnsi="仿宋" w:eastAsia="仿宋" w:cs="仿宋"/>
          <w:color w:val="000000" w:themeColor="text1"/>
          <w:sz w:val="24"/>
          <w:szCs w:val="24"/>
          <w:highlight w:val="none"/>
          <w14:textFill>
            <w14:solidFill>
              <w14:schemeClr w14:val="tx1"/>
            </w14:solidFill>
          </w14:textFill>
        </w:rPr>
        <w:t>维护</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垃圾收集容器和收运作业区环境整洁，减少对</w:t>
      </w:r>
      <w:r>
        <w:rPr>
          <w:rFonts w:hint="eastAsia" w:ascii="仿宋" w:hAnsi="仿宋" w:eastAsia="仿宋" w:cs="仿宋"/>
          <w:color w:val="000000" w:themeColor="text1"/>
          <w:sz w:val="24"/>
          <w:szCs w:val="24"/>
          <w:highlight w:val="none"/>
          <w:lang w:eastAsia="zh-CN"/>
          <w14:textFill>
            <w14:solidFill>
              <w14:schemeClr w14:val="tx1"/>
            </w14:solidFill>
          </w14:textFill>
        </w:rPr>
        <w:t>生产</w:t>
      </w:r>
      <w:r>
        <w:rPr>
          <w:rFonts w:hint="eastAsia" w:ascii="仿宋" w:hAnsi="仿宋" w:eastAsia="仿宋" w:cs="仿宋"/>
          <w:color w:val="000000" w:themeColor="text1"/>
          <w:sz w:val="24"/>
          <w:szCs w:val="24"/>
          <w:highlight w:val="none"/>
          <w14:textFill>
            <w14:solidFill>
              <w14:schemeClr w14:val="tx1"/>
            </w14:solidFill>
          </w14:textFill>
        </w:rPr>
        <w:t xml:space="preserve">单位正常工作的影响。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⑤ 全程车辆做好防护，禁止抛洒滴漏污染路面。每周至少进行一次</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垃圾桶的清洗，确保</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垃圾桶桶内外干净，不得在道路及人行道上清洗，清洗场地由中标方负责解决。</w:t>
      </w:r>
    </w:p>
    <w:p>
      <w:pPr>
        <w:snapToGrid w:val="0"/>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2.3.3 其他相关要求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① 投标人须按管理内容编制检查表，每日进行检查，发现问题及时整改。采购人对投标人各工作岗位的服务质量随时进行抽查。发现问题，及时书面通知整改，投标人将整改结果书面通知采购单位。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② 持证上岗。</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垃圾收运单位的从业人员上岗时，</w:t>
      </w:r>
      <w:r>
        <w:rPr>
          <w:rFonts w:hint="eastAsia" w:ascii="仿宋" w:hAnsi="仿宋" w:eastAsia="仿宋" w:cs="仿宋"/>
          <w:color w:val="000000" w:themeColor="text1"/>
          <w:sz w:val="24"/>
          <w:szCs w:val="24"/>
          <w:highlight w:val="none"/>
          <w:lang w:val="en-US" w:eastAsia="zh-CN"/>
          <w14:textFill>
            <w14:solidFill>
              <w14:schemeClr w14:val="tx1"/>
            </w14:solidFill>
          </w14:textFill>
        </w:rPr>
        <w:t>需</w:t>
      </w:r>
      <w:r>
        <w:rPr>
          <w:rFonts w:hint="eastAsia" w:ascii="仿宋" w:hAnsi="仿宋" w:eastAsia="仿宋" w:cs="仿宋"/>
          <w:color w:val="000000" w:themeColor="text1"/>
          <w:sz w:val="24"/>
          <w:szCs w:val="24"/>
          <w:highlight w:val="none"/>
          <w14:textFill>
            <w14:solidFill>
              <w14:schemeClr w14:val="tx1"/>
            </w14:solidFill>
          </w14:textFill>
        </w:rPr>
        <w:t>持证上岗、穿着统一的服装，做到文明操作，规范收运，并确保人员掌握防止</w:t>
      </w:r>
      <w:r>
        <w:rPr>
          <w:rFonts w:hint="eastAsia" w:ascii="仿宋" w:hAnsi="仿宋" w:eastAsia="仿宋" w:cs="仿宋"/>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color w:val="000000" w:themeColor="text1"/>
          <w:sz w:val="24"/>
          <w:szCs w:val="24"/>
          <w:highlight w:val="none"/>
          <w14:textFill>
            <w14:solidFill>
              <w14:schemeClr w14:val="tx1"/>
            </w14:solidFill>
          </w14:textFill>
        </w:rPr>
        <w:t xml:space="preserve">垃圾废弃物污染环境知识，在项目实施过中应要求服务人员加强劳动纪律，注重职业道德规范。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③ 加强合作，积极做好各项突击性工作和创卫、创文等工作，自觉接受各级部门的检查考核，如发现问</w:t>
      </w:r>
      <w:r>
        <w:rPr>
          <w:rFonts w:hint="eastAsia" w:ascii="仿宋" w:hAnsi="仿宋" w:eastAsia="仿宋" w:cs="仿宋"/>
          <w:bCs/>
          <w:color w:val="000000" w:themeColor="text1"/>
          <w:sz w:val="24"/>
          <w:szCs w:val="24"/>
          <w:highlight w:val="none"/>
          <w14:textFill>
            <w14:solidFill>
              <w14:schemeClr w14:val="tx1"/>
            </w14:solidFill>
          </w14:textFill>
        </w:rPr>
        <w:t xml:space="preserve">题需及时整改。 </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④ 作业时遵守交通管理法规，保证安全，发生各种意外事故，由投标人自行解决并承担相应的责任。 </w:t>
      </w:r>
    </w:p>
    <w:p>
      <w:pPr>
        <w:snapToGrid w:val="0"/>
        <w:spacing w:line="360" w:lineRule="auto"/>
        <w:ind w:firstLine="480" w:firstLineChars="200"/>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▲⑤</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投标人</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必须</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配备经校验认可的地磅进行称重计量，并</w:t>
      </w:r>
      <w:r>
        <w:rPr>
          <w:rFonts w:hint="eastAsia" w:ascii="仿宋" w:hAnsi="仿宋" w:eastAsia="仿宋" w:cs="仿宋"/>
          <w:b w:val="0"/>
          <w:bCs/>
          <w:color w:val="000000" w:themeColor="text1"/>
          <w:sz w:val="24"/>
          <w:szCs w:val="24"/>
          <w:highlight w:val="none"/>
          <w14:textFill>
            <w14:solidFill>
              <w14:schemeClr w14:val="tx1"/>
            </w14:solidFill>
          </w14:textFill>
        </w:rPr>
        <w:t>建立集</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 w:val="0"/>
          <w:bCs/>
          <w:color w:val="000000" w:themeColor="text1"/>
          <w:sz w:val="24"/>
          <w:szCs w:val="24"/>
          <w:highlight w:val="none"/>
          <w14:textFill>
            <w14:solidFill>
              <w14:schemeClr w14:val="tx1"/>
            </w14:solidFill>
          </w14:textFill>
        </w:rPr>
        <w:t>垃圾收运、运输、资源化处理的全过程信息化监管系统，实现对</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 w:val="0"/>
          <w:bCs/>
          <w:color w:val="000000" w:themeColor="text1"/>
          <w:sz w:val="24"/>
          <w:szCs w:val="24"/>
          <w:highlight w:val="none"/>
          <w14:textFill>
            <w14:solidFill>
              <w14:schemeClr w14:val="tx1"/>
            </w14:solidFill>
          </w14:textFill>
        </w:rPr>
        <w:t>垃圾全过程实时监管，</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相关信息按要求</w:t>
      </w:r>
      <w:r>
        <w:rPr>
          <w:rFonts w:hint="eastAsia" w:ascii="仿宋" w:hAnsi="仿宋" w:eastAsia="仿宋" w:cs="仿宋"/>
          <w:b w:val="0"/>
          <w:bCs/>
          <w:color w:val="000000" w:themeColor="text1"/>
          <w:sz w:val="24"/>
          <w:szCs w:val="24"/>
          <w:highlight w:val="none"/>
          <w14:textFill>
            <w14:solidFill>
              <w14:schemeClr w14:val="tx1"/>
            </w14:solidFill>
          </w14:textFill>
        </w:rPr>
        <w:t>将端口接</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入省市监管平台</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所有统计数据报采购人处确认，并以此作为收集和处理费用结算依据。</w:t>
      </w:r>
    </w:p>
    <w:p>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3.禁止行为（有下列情况发生，</w:t>
      </w:r>
      <w:r>
        <w:rPr>
          <w:rFonts w:hint="eastAsia" w:ascii="仿宋" w:hAnsi="仿宋" w:eastAsia="仿宋" w:cs="仿宋"/>
          <w:b/>
          <w:color w:val="000000" w:themeColor="text1"/>
          <w:sz w:val="24"/>
          <w:szCs w:val="24"/>
          <w:highlight w:val="none"/>
          <w:lang w:eastAsia="zh-CN"/>
          <w14:textFill>
            <w14:solidFill>
              <w14:schemeClr w14:val="tx1"/>
            </w14:solidFill>
          </w14:textFill>
        </w:rPr>
        <w:t>则在</w:t>
      </w:r>
      <w:r>
        <w:rPr>
          <w:rFonts w:hint="eastAsia" w:ascii="仿宋" w:hAnsi="仿宋" w:eastAsia="仿宋" w:cs="仿宋"/>
          <w:b/>
          <w:color w:val="000000" w:themeColor="text1"/>
          <w:sz w:val="24"/>
          <w:szCs w:val="24"/>
          <w:highlight w:val="none"/>
          <w14:textFill>
            <w14:solidFill>
              <w14:schemeClr w14:val="tx1"/>
            </w14:solidFill>
          </w14:textFill>
        </w:rPr>
        <w:t>当月考核</w:t>
      </w:r>
      <w:r>
        <w:rPr>
          <w:rFonts w:hint="eastAsia" w:ascii="仿宋" w:hAnsi="仿宋" w:eastAsia="仿宋" w:cs="仿宋"/>
          <w:b/>
          <w:color w:val="000000" w:themeColor="text1"/>
          <w:sz w:val="24"/>
          <w:szCs w:val="24"/>
          <w:highlight w:val="none"/>
          <w:lang w:val="en-US" w:eastAsia="zh-CN"/>
          <w14:textFill>
            <w14:solidFill>
              <w14:schemeClr w14:val="tx1"/>
            </w14:solidFill>
          </w14:textFill>
        </w:rPr>
        <w:t>汇总结果中一次性扣除当月应付经费总额的5%</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具体按考核标准执行</w:t>
      </w:r>
      <w:r>
        <w:rPr>
          <w:rFonts w:hint="eastAsia" w:ascii="仿宋" w:hAnsi="仿宋" w:eastAsia="仿宋" w:cs="仿宋"/>
          <w:b/>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3.1.未将收集的</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垃圾运至合同规定的</w:t>
      </w:r>
      <w:r>
        <w:rPr>
          <w:rFonts w:hint="eastAsia" w:ascii="仿宋" w:hAnsi="仿宋" w:eastAsia="仿宋" w:cs="仿宋"/>
          <w:bCs/>
          <w:color w:val="000000" w:themeColor="text1"/>
          <w:sz w:val="24"/>
          <w:szCs w:val="24"/>
          <w:highlight w:val="none"/>
          <w:lang w:eastAsia="zh-CN"/>
          <w14:textFill>
            <w14:solidFill>
              <w14:schemeClr w14:val="tx1"/>
            </w14:solidFill>
          </w14:textFill>
        </w:rPr>
        <w:t>处置厂</w:t>
      </w:r>
      <w:r>
        <w:rPr>
          <w:rFonts w:hint="eastAsia" w:ascii="仿宋" w:hAnsi="仿宋" w:eastAsia="仿宋" w:cs="仿宋"/>
          <w:bCs/>
          <w:color w:val="000000" w:themeColor="text1"/>
          <w:sz w:val="24"/>
          <w:szCs w:val="24"/>
          <w:highlight w:val="none"/>
          <w14:textFill>
            <w14:solidFill>
              <w14:schemeClr w14:val="tx1"/>
            </w14:solidFill>
          </w14:textFill>
        </w:rPr>
        <w:t xml:space="preserve">处理。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3.2.发生一天之内有5%个收集点的</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 xml:space="preserve">垃圾未收集事件的。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3.3.向</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垃圾中掺入非</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 xml:space="preserve">垃圾。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3.4.收集的</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 xml:space="preserve">垃圾重量与实际情况存在弄虚作假行为。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3.5.将收集的</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 xml:space="preserve">垃圾废弃物提供给采购人指定以外的单位或个人。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3.6.未经采购人单位许可，擅自跨区进行</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 xml:space="preserve">垃圾收集运输。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3.7获得</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垃圾处理企业服务行政许可的资质企业，若未有效核实销售对象，将加工后的</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垃圾废弃物违法销售给其他加工企业。</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3.8.暴力对抗管理部门及处理企业工作人员管理。 </w:t>
      </w:r>
    </w:p>
    <w:p>
      <w:pPr>
        <w:snapToGrid w:val="0"/>
        <w:spacing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4.收运台账要求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4.1.作业人员在收运</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垃圾过程中必须真实、细致地填写</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垃圾收运数量（内容包括产生单位来源、垃圾种类、数量、去向</w:t>
      </w:r>
      <w:r>
        <w:rPr>
          <w:rFonts w:hint="eastAsia" w:ascii="仿宋" w:hAnsi="仿宋" w:eastAsia="仿宋" w:cs="仿宋"/>
          <w:bCs/>
          <w:color w:val="000000" w:themeColor="text1"/>
          <w:sz w:val="24"/>
          <w:szCs w:val="24"/>
          <w:highlight w:val="none"/>
          <w:lang w:eastAsia="zh-CN"/>
          <w14:textFill>
            <w14:solidFill>
              <w14:schemeClr w14:val="tx1"/>
            </w14:solidFill>
          </w14:textFill>
        </w:rPr>
        <w:t>、分类质量</w:t>
      </w:r>
      <w:r>
        <w:rPr>
          <w:rFonts w:hint="eastAsia" w:ascii="仿宋" w:hAnsi="仿宋" w:eastAsia="仿宋" w:cs="仿宋"/>
          <w:bCs/>
          <w:color w:val="000000" w:themeColor="text1"/>
          <w:sz w:val="24"/>
          <w:szCs w:val="24"/>
          <w:highlight w:val="none"/>
          <w14:textFill>
            <w14:solidFill>
              <w14:schemeClr w14:val="tx1"/>
            </w14:solidFill>
          </w14:textFill>
        </w:rPr>
        <w:t>等数据情况）</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必须对收运点位的</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分类质量进行监管并形成反馈机制报送至主管部门</w:t>
      </w:r>
      <w:r>
        <w:rPr>
          <w:rFonts w:hint="eastAsia" w:ascii="仿宋" w:hAnsi="仿宋" w:eastAsia="仿宋" w:cs="仿宋"/>
          <w:bCs/>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4.2.中标人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必须</w:t>
      </w:r>
      <w:r>
        <w:rPr>
          <w:rFonts w:hint="eastAsia" w:ascii="仿宋" w:hAnsi="仿宋" w:eastAsia="仿宋" w:cs="仿宋"/>
          <w:bCs/>
          <w:color w:val="000000" w:themeColor="text1"/>
          <w:sz w:val="24"/>
          <w:szCs w:val="24"/>
          <w:highlight w:val="none"/>
          <w14:textFill>
            <w14:solidFill>
              <w14:schemeClr w14:val="tx1"/>
            </w14:solidFill>
          </w14:textFill>
        </w:rPr>
        <w:t xml:space="preserve">在规定期限内上报收运情况汇总表。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4.3.每月作业人员会议的会议内容。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4.4.每月工人工资与社保缴纳情况。 </w:t>
      </w:r>
    </w:p>
    <w:p>
      <w:pPr>
        <w:snapToGrid w:val="0"/>
        <w:spacing w:line="360" w:lineRule="auto"/>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w:t>
      </w:r>
      <w:r>
        <w:rPr>
          <w:rFonts w:hint="eastAsia" w:ascii="仿宋" w:hAnsi="仿宋" w:eastAsia="仿宋" w:cs="仿宋"/>
          <w:bCs/>
          <w:color w:val="000000" w:themeColor="text1"/>
          <w:sz w:val="24"/>
          <w:szCs w:val="24"/>
          <w:highlight w:val="none"/>
          <w14:textFill>
            <w14:solidFill>
              <w14:schemeClr w14:val="tx1"/>
            </w14:solidFill>
          </w14:textFill>
        </w:rPr>
        <w:t>技术要求：</w:t>
      </w:r>
    </w:p>
    <w:p>
      <w:pPr>
        <w:spacing w:line="360" w:lineRule="auto"/>
        <w:ind w:firstLine="480" w:firstLineChars="200"/>
        <w:outlineLvl w:val="2"/>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5.1.本项目规模约为20t/天，▲</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需提供或承诺</w:t>
      </w:r>
      <w:r>
        <w:rPr>
          <w:rFonts w:hint="eastAsia" w:ascii="仿宋" w:hAnsi="仿宋" w:eastAsia="仿宋" w:cs="仿宋"/>
          <w:color w:val="000000" w:themeColor="text1"/>
          <w:sz w:val="24"/>
          <w:szCs w:val="24"/>
          <w:highlight w:val="none"/>
          <w14:textFill>
            <w14:solidFill>
              <w14:schemeClr w14:val="tx1"/>
            </w14:solidFill>
          </w14:textFill>
        </w:rPr>
        <w:t>餐厨处置场所处理规模≥</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0吨/天</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snapToGrid w:val="0"/>
        <w:spacing w:line="360" w:lineRule="auto"/>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注：提供</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通过</w:t>
      </w:r>
      <w:r>
        <w:rPr>
          <w:rFonts w:hint="eastAsia" w:ascii="仿宋" w:hAnsi="仿宋" w:eastAsia="仿宋" w:cs="仿宋"/>
          <w:b/>
          <w:bCs/>
          <w:color w:val="000000" w:themeColor="text1"/>
          <w:sz w:val="24"/>
          <w:szCs w:val="24"/>
          <w:highlight w:val="none"/>
          <w14:textFill>
            <w14:solidFill>
              <w14:schemeClr w14:val="tx1"/>
            </w14:solidFill>
          </w14:textFill>
        </w:rPr>
        <w:t>环保验收</w:t>
      </w:r>
      <w:r>
        <w:rPr>
          <w:rFonts w:hint="eastAsia" w:ascii="仿宋" w:hAnsi="仿宋" w:eastAsia="仿宋" w:cs="仿宋"/>
          <w:b/>
          <w:bCs/>
          <w:color w:val="000000" w:themeColor="text1"/>
          <w:sz w:val="24"/>
          <w:szCs w:val="24"/>
          <w:highlight w:val="none"/>
          <w:lang w:eastAsia="zh-CN"/>
          <w14:textFill>
            <w14:solidFill>
              <w14:schemeClr w14:val="tx1"/>
            </w14:solidFill>
          </w14:textFill>
        </w:rPr>
        <w:t>的餐厨（厨余）垃圾</w:t>
      </w:r>
      <w:r>
        <w:rPr>
          <w:rFonts w:hint="eastAsia" w:ascii="仿宋" w:hAnsi="仿宋" w:eastAsia="仿宋" w:cs="仿宋"/>
          <w:b/>
          <w:bCs/>
          <w:color w:val="000000" w:themeColor="text1"/>
          <w:sz w:val="24"/>
          <w:szCs w:val="24"/>
          <w:highlight w:val="none"/>
          <w14:textFill>
            <w14:solidFill>
              <w14:schemeClr w14:val="tx1"/>
            </w14:solidFill>
          </w14:textFill>
        </w:rPr>
        <w:t>场地证明文件</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或环评验收报告等，未按要求提供按无效标处理</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必须满足常山县对</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垃圾的处理要求。</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5.2.</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垃圾处置率需达到100%。</w:t>
      </w:r>
    </w:p>
    <w:p>
      <w:pPr>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5.3.餐厨（厨余）垃圾处理必须符合餐厨（厨余）垃圾无害化、减量化、资源化处理的国家相关部门规定和要求。</w:t>
      </w:r>
    </w:p>
    <w:p>
      <w:pPr>
        <w:snapToGrid w:val="0"/>
        <w:spacing w:line="360" w:lineRule="auto"/>
        <w:ind w:firstLine="480" w:firstLineChars="200"/>
        <w:rPr>
          <w:rFonts w:hint="eastAsia" w:ascii="仿宋" w:hAnsi="仿宋" w:eastAsia="仿宋" w:cs="仿宋"/>
          <w:bCs/>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5.</w:t>
      </w:r>
      <w:r>
        <w:rPr>
          <w:rFonts w:hint="eastAsia" w:ascii="仿宋" w:hAnsi="仿宋" w:eastAsia="仿宋" w:cs="仿宋"/>
          <w:bCs/>
          <w:color w:val="000000" w:themeColor="text1"/>
          <w:sz w:val="24"/>
          <w:szCs w:val="24"/>
          <w:highlight w:val="none"/>
          <w:shd w:val="clear" w:color="auto" w:fill="auto"/>
          <w:lang w:val="en-US" w:eastAsia="zh-CN"/>
          <w14:textFill>
            <w14:solidFill>
              <w14:schemeClr w14:val="tx1"/>
            </w14:solidFill>
          </w14:textFill>
        </w:rPr>
        <w:t>4</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.本项目必须投入自有或租赁的全封闭</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垃圾清运车，必须确保项目每日收集运输所需，且使用于本项目。清运车辆驾驶员必须持有效驾驶证上岗。必须采用进入国家车辆生产目录的餐厨（厨余）垃圾收运专项作业车。车辆上需安装车载实时监控系统，包括信息监控终端、车载硬盘录像机与车载监控摄像头（含车内、车外）等视频设备、车载GPS等配套设备，并将确保能实时监控的信息按照要求接入</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省市监管</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平台，相关的监控系统的设备及配套的车辆作业与垃圾收运系统的费用包含在本次投标报价中。本次采购要求投入的机动车辆，须确保能按采购人要求的时间进场。投标人承诺拟投入本项目的</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垃圾收运车辆数量（≥</w:t>
      </w:r>
      <w:r>
        <w:rPr>
          <w:rFonts w:hint="eastAsia" w:ascii="仿宋" w:hAnsi="仿宋" w:eastAsia="仿宋" w:cs="仿宋"/>
          <w:bCs/>
          <w:color w:val="000000" w:themeColor="text1"/>
          <w:sz w:val="24"/>
          <w:szCs w:val="24"/>
          <w:highlight w:val="none"/>
          <w:shd w:val="clear" w:color="auto" w:fill="auto"/>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辆），</w:t>
      </w:r>
      <w:r>
        <w:rPr>
          <w:rFonts w:hint="eastAsia" w:ascii="仿宋" w:hAnsi="仿宋" w:eastAsia="仿宋" w:cs="仿宋"/>
          <w:bCs/>
          <w:color w:val="000000" w:themeColor="text1"/>
          <w:sz w:val="24"/>
          <w:szCs w:val="24"/>
          <w:highlight w:val="none"/>
          <w:shd w:val="clear" w:color="auto" w:fill="auto"/>
          <w:lang w:val="en-US" w:eastAsia="zh-CN"/>
          <w14:textFill>
            <w14:solidFill>
              <w14:schemeClr w14:val="tx1"/>
            </w14:solidFill>
          </w14:textFill>
        </w:rPr>
        <w:t>本项目至少配备驾驶员3名、协助人员（搬运工）3名、管理人员2名（含项目经理1名、管理人员1名，甲方有权直接调配管理人员），清洗餐厨（厨余）垃圾桶工作人员1名。以上人员必须确保项目正常实施，且均要求为专职人员。</w:t>
      </w:r>
    </w:p>
    <w:p>
      <w:pPr>
        <w:snapToGrid w:val="0"/>
        <w:spacing w:line="360" w:lineRule="auto"/>
        <w:ind w:firstLine="480" w:firstLineChars="200"/>
        <w:rPr>
          <w:rFonts w:hint="eastAsia" w:ascii="仿宋" w:hAnsi="仿宋" w:eastAsia="仿宋" w:cs="仿宋"/>
          <w:bCs/>
          <w:color w:val="000000" w:themeColor="text1"/>
          <w:sz w:val="24"/>
          <w:szCs w:val="24"/>
          <w:highlight w:val="none"/>
          <w:shd w:val="clear" w:color="FFFFFF" w:fill="D9D9D9"/>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5.</w:t>
      </w:r>
      <w:r>
        <w:rPr>
          <w:rFonts w:hint="eastAsia" w:ascii="仿宋" w:hAnsi="仿宋" w:eastAsia="仿宋" w:cs="仿宋"/>
          <w:bCs/>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向服务范围内各</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垃圾产生单位（含新增统一收运的</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垃圾产生单位）提供免费的</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专用垃圾桶，具体数量由采购人根据</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垃圾产生单位每日产生</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垃圾的量在委托收运合同中予以明确。</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专用垃圾桶规格型号由</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自行负责，垃圾桶要求：100%全新料，其他要求须提供符合国家行业的相关标准，投放地点由采购人指定。</w:t>
      </w:r>
      <w:r>
        <w:rPr>
          <w:rFonts w:hint="eastAsia" w:ascii="仿宋" w:hAnsi="仿宋" w:eastAsia="仿宋" w:cs="仿宋"/>
          <w:bCs/>
          <w:color w:val="000000" w:themeColor="text1"/>
          <w:sz w:val="24"/>
          <w:szCs w:val="24"/>
          <w:highlight w:val="none"/>
          <w:shd w:val="clear" w:color="auto" w:fill="auto"/>
          <w:lang w:eastAsia="zh-CN"/>
          <w14:textFill>
            <w14:solidFill>
              <w14:schemeClr w14:val="tx1"/>
            </w14:solidFill>
          </w14:textFill>
        </w:rPr>
        <w:t>投标人须承诺餐厨（厨余）垃圾产生单位在更换破损的餐厨（厨余）垃圾收集专用桶时，必须无条件协助餐厨（厨余）垃圾产生单位的更换工作，相关一切费用由中标人负责。餐厨（厨余）</w:t>
      </w: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专用垃圾桶外部需印有企业名称、标识、监督电话等。</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 其他要求</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6.1、遇有重大活动或突发事件，及时组织力量做好收运等保障工作。</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6.2、</w:t>
      </w:r>
      <w:r>
        <w:rPr>
          <w:rFonts w:hint="eastAsia" w:ascii="仿宋" w:hAnsi="仿宋" w:eastAsia="仿宋" w:cs="仿宋"/>
          <w:bCs/>
          <w:color w:val="000000" w:themeColor="text1"/>
          <w:sz w:val="24"/>
          <w:szCs w:val="24"/>
          <w:highlight w:val="none"/>
          <w:lang w:eastAsia="zh-CN"/>
          <w14:textFill>
            <w14:solidFill>
              <w14:schemeClr w14:val="tx1"/>
            </w14:solidFill>
          </w14:textFill>
        </w:rPr>
        <w:t>中标方</w:t>
      </w:r>
      <w:r>
        <w:rPr>
          <w:rFonts w:hint="eastAsia" w:ascii="仿宋" w:hAnsi="仿宋" w:eastAsia="仿宋" w:cs="仿宋"/>
          <w:bCs/>
          <w:color w:val="000000" w:themeColor="text1"/>
          <w:sz w:val="24"/>
          <w:szCs w:val="24"/>
          <w:highlight w:val="none"/>
          <w14:textFill>
            <w14:solidFill>
              <w14:schemeClr w14:val="tx1"/>
            </w14:solidFill>
          </w14:textFill>
        </w:rPr>
        <w:t>所雇用的所有工作人员工资不得低于常山县本年度最低工资标准的110%。</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6.3、劳动安全</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必须对所有员工进行安全教育，对车辆及其他相关</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处置</w:t>
      </w:r>
      <w:r>
        <w:rPr>
          <w:rFonts w:hint="eastAsia" w:ascii="仿宋" w:hAnsi="仿宋" w:eastAsia="仿宋" w:cs="仿宋"/>
          <w:bCs/>
          <w:color w:val="000000" w:themeColor="text1"/>
          <w:sz w:val="24"/>
          <w:szCs w:val="24"/>
          <w:highlight w:val="none"/>
          <w14:textFill>
            <w14:solidFill>
              <w14:schemeClr w14:val="tx1"/>
            </w14:solidFill>
          </w14:textFill>
        </w:rPr>
        <w:t>设备定期维护检查。本项目涉及的所有车辆均需满足有关规定，达到上路条件。所有车辆与人员的安全均由供应商自行负责。如发生安全事故，采购人概不负责；因</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原因发生重大安全事故的，</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应保证</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收运和处置正常运行，且</w:t>
      </w:r>
      <w:r>
        <w:rPr>
          <w:rFonts w:hint="eastAsia" w:ascii="仿宋" w:hAnsi="仿宋" w:eastAsia="仿宋" w:cs="仿宋"/>
          <w:bCs/>
          <w:color w:val="000000" w:themeColor="text1"/>
          <w:sz w:val="24"/>
          <w:szCs w:val="24"/>
          <w:highlight w:val="none"/>
          <w14:textFill>
            <w14:solidFill>
              <w14:schemeClr w14:val="tx1"/>
            </w14:solidFill>
          </w14:textFill>
        </w:rPr>
        <w:t>采购人有权</w:t>
      </w:r>
      <w:r>
        <w:rPr>
          <w:rFonts w:hint="eastAsia" w:ascii="仿宋" w:hAnsi="仿宋" w:eastAsia="仿宋" w:cs="仿宋"/>
          <w:bCs/>
          <w:color w:val="000000" w:themeColor="text1"/>
          <w:sz w:val="24"/>
          <w:szCs w:val="24"/>
          <w:highlight w:val="none"/>
          <w:lang w:eastAsia="zh-CN"/>
          <w14:textFill>
            <w14:solidFill>
              <w14:schemeClr w14:val="tx1"/>
            </w14:solidFill>
          </w14:textFill>
        </w:rPr>
        <w:t>终止</w:t>
      </w:r>
      <w:r>
        <w:rPr>
          <w:rFonts w:hint="eastAsia" w:ascii="仿宋" w:hAnsi="仿宋" w:eastAsia="仿宋" w:cs="仿宋"/>
          <w:bCs/>
          <w:color w:val="000000" w:themeColor="text1"/>
          <w:sz w:val="24"/>
          <w:szCs w:val="24"/>
          <w:highlight w:val="none"/>
          <w14:textFill>
            <w14:solidFill>
              <w14:schemeClr w14:val="tx1"/>
            </w14:solidFill>
          </w14:textFill>
        </w:rPr>
        <w:t>合同，并对</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进行相应违约责任赔偿。（注：</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提供的用于本项目的机动车辆如</w:t>
      </w:r>
      <w:r>
        <w:rPr>
          <w:rFonts w:hint="eastAsia" w:ascii="仿宋" w:hAnsi="仿宋" w:eastAsia="仿宋" w:cs="仿宋"/>
          <w:bCs/>
          <w:color w:val="000000" w:themeColor="text1"/>
          <w:sz w:val="24"/>
          <w:szCs w:val="24"/>
          <w:highlight w:val="none"/>
          <w:lang w:eastAsia="zh-CN"/>
          <w14:textFill>
            <w14:solidFill>
              <w14:schemeClr w14:val="tx1"/>
            </w14:solidFill>
          </w14:textFill>
        </w:rPr>
        <w:t>出现</w:t>
      </w:r>
      <w:r>
        <w:rPr>
          <w:rFonts w:hint="eastAsia" w:ascii="仿宋" w:hAnsi="仿宋" w:eastAsia="仿宋" w:cs="仿宋"/>
          <w:bCs/>
          <w:color w:val="000000" w:themeColor="text1"/>
          <w:sz w:val="24"/>
          <w:szCs w:val="24"/>
          <w:highlight w:val="none"/>
          <w14:textFill>
            <w14:solidFill>
              <w14:schemeClr w14:val="tx1"/>
            </w14:solidFill>
          </w14:textFill>
        </w:rPr>
        <w:t>安全事故，则由其自行负责处理并承担相应责任和费用，并根据驾驶员责任大小处以500元-2000元的罚款，罚款从承包费中扣除。）</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6.4、</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须编制详细的</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垃圾收运实施方案，</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专用垃圾桶的清洗方案与更换方案、列明保证质量、安全、文明施工的措施；应根据采购人确认的实施方案编制工作计划，中标后必须按时按质完成此项计划。</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须于每月28日前向采购人提交本月出勤记录和下月计划（包括出勤人员名单及联系电话、车辆安排、出勤时间、次数、现场负责人联系方式等）。</w:t>
      </w:r>
    </w:p>
    <w:p>
      <w:pPr>
        <w:snapToGrid w:val="0"/>
        <w:spacing w:line="360" w:lineRule="auto"/>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采购人审核后的</w:t>
      </w:r>
      <w:r>
        <w:rPr>
          <w:rFonts w:hint="eastAsia" w:ascii="仿宋" w:hAnsi="仿宋" w:eastAsia="仿宋" w:cs="仿宋"/>
          <w:b/>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
          <w:color w:val="000000" w:themeColor="text1"/>
          <w:sz w:val="24"/>
          <w:szCs w:val="24"/>
          <w:highlight w:val="none"/>
          <w14:textFill>
            <w14:solidFill>
              <w14:schemeClr w14:val="tx1"/>
            </w14:solidFill>
          </w14:textFill>
        </w:rPr>
        <w:t>垃圾收运方案及计划，将作为合同附件。</w:t>
      </w:r>
    </w:p>
    <w:p>
      <w:pPr>
        <w:snapToGrid w:val="0"/>
        <w:spacing w:line="360" w:lineRule="auto"/>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7. 现场条件</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7.1、▲此次招标所涉及的人员住房和作业工具、清洗场地、服装</w:t>
      </w:r>
      <w:r>
        <w:rPr>
          <w:rFonts w:hint="eastAsia" w:ascii="仿宋" w:hAnsi="仿宋" w:eastAsia="仿宋" w:cs="仿宋"/>
          <w:bCs/>
          <w:color w:val="000000" w:themeColor="text1"/>
          <w:sz w:val="24"/>
          <w:szCs w:val="24"/>
          <w:highlight w:val="none"/>
          <w:lang w:eastAsia="zh-CN"/>
          <w14:textFill>
            <w14:solidFill>
              <w14:schemeClr w14:val="tx1"/>
            </w14:solidFill>
          </w14:textFill>
        </w:rPr>
        <w:t>、地磅及在线监测系统</w:t>
      </w:r>
      <w:r>
        <w:rPr>
          <w:rFonts w:hint="eastAsia" w:ascii="仿宋" w:hAnsi="仿宋" w:eastAsia="仿宋" w:cs="仿宋"/>
          <w:bCs/>
          <w:color w:val="000000" w:themeColor="text1"/>
          <w:sz w:val="24"/>
          <w:szCs w:val="24"/>
          <w:highlight w:val="none"/>
          <w14:textFill>
            <w14:solidFill>
              <w14:schemeClr w14:val="tx1"/>
            </w14:solidFill>
          </w14:textFill>
        </w:rPr>
        <w:t>等均由</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自行负责解决。此次招标所涉及的人员（收运人员、司机、清洗人员、专职管理人员）全部由</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自行负责解决。</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7.2、全年的作业工具材料由</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自行负责落实。</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7.3、</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垃圾收运车：要符合密闭运输的要求，有编号、有监督电话、有责任单位，能满足</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垃圾及时清运的要求，全年其他工具材料要落实；</w:t>
      </w:r>
    </w:p>
    <w:p>
      <w:pPr>
        <w:pStyle w:val="16"/>
        <w:ind w:left="0" w:leftChars="0"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14:textFill>
            <w14:solidFill>
              <w14:schemeClr w14:val="tx1"/>
            </w14:solidFill>
          </w14:textFill>
        </w:rPr>
        <w:t xml:space="preserve">商务条款 </w:t>
      </w:r>
    </w:p>
    <w:p>
      <w:pPr>
        <w:pStyle w:val="16"/>
        <w:ind w:left="0" w:leftChars="0" w:firstLine="480" w:firstLineChars="20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▲1.履约验收：中标人中标后合同签订前，采购人将组织验收小组（住建局、环卫中心等单位人员组成）对中标人自身承诺和招标的符合情况进行审查，若审查不合格，采购人有权单方面废除中标结果，并追究</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因此造成的损失。</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Cs/>
          <w:color w:val="000000" w:themeColor="text1"/>
          <w:sz w:val="24"/>
          <w:szCs w:val="24"/>
          <w:highlight w:val="none"/>
          <w14:textFill>
            <w14:solidFill>
              <w14:schemeClr w14:val="tx1"/>
            </w14:solidFill>
          </w14:textFill>
        </w:rPr>
        <w:t>.本项目预算价为暂估价，合同签订后七个工作日内，</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14:textFill>
            <w14:solidFill>
              <w14:schemeClr w14:val="tx1"/>
            </w14:solidFill>
          </w14:textFill>
        </w:rPr>
        <w:t>暂估价总价</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的履约保证金（</w:t>
      </w:r>
      <w:r>
        <w:rPr>
          <w:rFonts w:hint="eastAsia" w:ascii="仿宋" w:hAnsi="仿宋" w:eastAsia="仿宋" w:cs="仿宋"/>
          <w:color w:val="000000" w:themeColor="text1"/>
          <w:sz w:val="24"/>
          <w:szCs w:val="24"/>
          <w:highlight w:val="none"/>
          <w14:textFill>
            <w14:solidFill>
              <w14:schemeClr w14:val="tx1"/>
            </w14:solidFill>
          </w14:textFill>
        </w:rPr>
        <w:t>可以银行、保险公司出具的保函形式提交）</w:t>
      </w:r>
      <w:r>
        <w:rPr>
          <w:rFonts w:hint="eastAsia" w:ascii="仿宋" w:hAnsi="仿宋" w:eastAsia="仿宋" w:cs="仿宋"/>
          <w:bCs/>
          <w:color w:val="000000" w:themeColor="text1"/>
          <w:sz w:val="24"/>
          <w:szCs w:val="24"/>
          <w:highlight w:val="none"/>
          <w14:textFill>
            <w14:solidFill>
              <w14:schemeClr w14:val="tx1"/>
            </w14:solidFill>
          </w14:textFill>
        </w:rPr>
        <w:t xml:space="preserve">，服务期满视为全面履约，履约期结束后十五个工作日内无息退还其履约保证金。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Cs/>
          <w:color w:val="000000" w:themeColor="text1"/>
          <w:sz w:val="24"/>
          <w:szCs w:val="24"/>
          <w:highlight w:val="none"/>
          <w14:textFill>
            <w14:solidFill>
              <w14:schemeClr w14:val="tx1"/>
            </w14:solidFill>
          </w14:textFill>
        </w:rPr>
        <w:t>.付款方式：服务费支付为先做后结</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由采购人根据前一个月的考核结果支付月承包费，每月的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bCs/>
          <w:color w:val="000000" w:themeColor="text1"/>
          <w:sz w:val="24"/>
          <w:szCs w:val="24"/>
          <w:highlight w:val="none"/>
          <w14:textFill>
            <w14:solidFill>
              <w14:schemeClr w14:val="tx1"/>
            </w14:solidFill>
          </w14:textFill>
        </w:rPr>
        <w:t xml:space="preserve">日结前一个月的服务费（遇节假日顺延）。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Cs/>
          <w:color w:val="000000" w:themeColor="text1"/>
          <w:sz w:val="24"/>
          <w:szCs w:val="24"/>
          <w:highlight w:val="none"/>
          <w14:textFill>
            <w14:solidFill>
              <w14:schemeClr w14:val="tx1"/>
            </w14:solidFill>
          </w14:textFill>
        </w:rPr>
        <w:t>.每月由</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 xml:space="preserve">按月实际处置量和月考核结果得分金额向采购人结算，并出具有效收据。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Cs/>
          <w:color w:val="000000" w:themeColor="text1"/>
          <w:sz w:val="24"/>
          <w:szCs w:val="24"/>
          <w:highlight w:val="none"/>
          <w14:textFill>
            <w14:solidFill>
              <w14:schemeClr w14:val="tx1"/>
            </w14:solidFill>
          </w14:textFill>
        </w:rPr>
        <w:t xml:space="preserve">.服务到期后根据考核结果将余款一次付清。 </w:t>
      </w:r>
    </w:p>
    <w:p>
      <w:pPr>
        <w:pStyle w:val="6"/>
        <w:rPr>
          <w:rFonts w:hint="eastAsia" w:ascii="仿宋" w:hAnsi="仿宋" w:eastAsia="仿宋" w:cs="仿宋"/>
          <w:color w:val="000000" w:themeColor="text1"/>
          <w:highlight w:val="none"/>
          <w:lang w:val="en-US" w:eastAsia="zh-CN"/>
          <w14:textFill>
            <w14:solidFill>
              <w14:schemeClr w14:val="tx1"/>
            </w14:solidFill>
          </w14:textFill>
        </w:rPr>
      </w:pPr>
    </w:p>
    <w:p>
      <w:pPr>
        <w:rPr>
          <w:rStyle w:val="19"/>
          <w:rFonts w:hint="eastAsia" w:ascii="仿宋" w:hAnsi="仿宋" w:eastAsia="仿宋" w:cs="仿宋"/>
          <w:color w:val="000000" w:themeColor="text1"/>
          <w:sz w:val="28"/>
          <w:szCs w:val="28"/>
          <w:highlight w:val="none"/>
          <w14:textFill>
            <w14:solidFill>
              <w14:schemeClr w14:val="tx1"/>
            </w14:solidFill>
          </w14:textFill>
        </w:rPr>
      </w:pPr>
      <w:r>
        <w:rPr>
          <w:rStyle w:val="19"/>
          <w:rFonts w:hint="eastAsia" w:ascii="仿宋" w:hAnsi="仿宋" w:eastAsia="仿宋" w:cs="仿宋"/>
          <w:color w:val="000000" w:themeColor="text1"/>
          <w:sz w:val="28"/>
          <w:szCs w:val="28"/>
          <w:highlight w:val="none"/>
          <w14:textFill>
            <w14:solidFill>
              <w14:schemeClr w14:val="tx1"/>
            </w14:solidFill>
          </w14:textFill>
        </w:rPr>
        <w:br w:type="page"/>
      </w:r>
    </w:p>
    <w:p>
      <w:pPr>
        <w:spacing w:line="360" w:lineRule="auto"/>
        <w:jc w:val="center"/>
        <w:outlineLvl w:val="0"/>
        <w:rPr>
          <w:rStyle w:val="19"/>
          <w:rFonts w:hint="eastAsia" w:ascii="仿宋" w:hAnsi="仿宋" w:eastAsia="仿宋" w:cs="仿宋"/>
          <w:color w:val="000000" w:themeColor="text1"/>
          <w:sz w:val="28"/>
          <w:szCs w:val="28"/>
          <w:highlight w:val="none"/>
          <w14:textFill>
            <w14:solidFill>
              <w14:schemeClr w14:val="tx1"/>
            </w14:solidFill>
          </w14:textFill>
        </w:rPr>
      </w:pPr>
      <w:bookmarkStart w:id="158" w:name="_Toc21784"/>
      <w:r>
        <w:rPr>
          <w:rStyle w:val="19"/>
          <w:rFonts w:hint="eastAsia" w:ascii="仿宋" w:hAnsi="仿宋" w:eastAsia="仿宋" w:cs="仿宋"/>
          <w:color w:val="000000" w:themeColor="text1"/>
          <w:sz w:val="28"/>
          <w:szCs w:val="28"/>
          <w:highlight w:val="none"/>
          <w14:textFill>
            <w14:solidFill>
              <w14:schemeClr w14:val="tx1"/>
            </w14:solidFill>
          </w14:textFill>
        </w:rPr>
        <w:t xml:space="preserve">第四章 </w:t>
      </w:r>
      <w:r>
        <w:rPr>
          <w:rStyle w:val="19"/>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Style w:val="19"/>
          <w:rFonts w:hint="eastAsia" w:ascii="仿宋" w:hAnsi="仿宋" w:eastAsia="仿宋" w:cs="仿宋"/>
          <w:color w:val="000000" w:themeColor="text1"/>
          <w:sz w:val="28"/>
          <w:szCs w:val="28"/>
          <w:highlight w:val="none"/>
          <w14:textFill>
            <w14:solidFill>
              <w14:schemeClr w14:val="tx1"/>
            </w14:solidFill>
          </w14:textFill>
        </w:rPr>
        <w:t>合同主要条款</w:t>
      </w:r>
      <w:bookmarkEnd w:id="158"/>
    </w:p>
    <w:p>
      <w:pPr>
        <w:pStyle w:val="42"/>
        <w:ind w:firstLine="0" w:firstLineChars="0"/>
        <w:jc w:val="center"/>
        <w:rPr>
          <w:rFonts w:hint="eastAsia" w:ascii="仿宋" w:hAnsi="仿宋" w:eastAsia="仿宋" w:cs="仿宋"/>
          <w:b/>
          <w:bCs/>
          <w:color w:val="000000" w:themeColor="text1"/>
          <w:sz w:val="21"/>
          <w:szCs w:val="24"/>
          <w:highlight w:val="none"/>
          <w14:textFill>
            <w14:solidFill>
              <w14:schemeClr w14:val="tx1"/>
            </w14:solidFill>
          </w14:textFill>
        </w:rPr>
      </w:pPr>
      <w:r>
        <w:rPr>
          <w:rFonts w:hint="eastAsia" w:ascii="仿宋" w:hAnsi="仿宋" w:eastAsia="仿宋" w:cs="仿宋"/>
          <w:b/>
          <w:bCs/>
          <w:color w:val="000000" w:themeColor="text1"/>
          <w:sz w:val="21"/>
          <w:szCs w:val="24"/>
          <w:highlight w:val="none"/>
          <w14:textFill>
            <w14:solidFill>
              <w14:schemeClr w14:val="tx1"/>
            </w14:solidFill>
          </w14:textFill>
        </w:rPr>
        <w:t>（具体以实际签订合同为准）</w:t>
      </w:r>
    </w:p>
    <w:p>
      <w:pPr>
        <w:pStyle w:val="58"/>
        <w:ind w:left="422" w:leftChars="0" w:firstLine="0" w:firstLineChars="0"/>
        <w:jc w:val="center"/>
        <w:rPr>
          <w:rFonts w:hint="eastAsia" w:ascii="仿宋" w:hAnsi="仿宋" w:eastAsia="仿宋" w:cs="仿宋"/>
          <w:b/>
          <w:bCs/>
          <w:color w:val="000000" w:themeColor="text1"/>
          <w:highlight w:val="none"/>
          <w14:textFill>
            <w14:solidFill>
              <w14:schemeClr w14:val="tx1"/>
            </w14:solidFill>
          </w14:textFill>
        </w:rPr>
      </w:pPr>
    </w:p>
    <w:p>
      <w:pPr>
        <w:pStyle w:val="54"/>
        <w:overflowPunct w:val="0"/>
        <w:autoSpaceDE w:val="0"/>
        <w:autoSpaceDN w:val="0"/>
        <w:snapToGrid w:val="0"/>
        <w:spacing w:before="156" w:beforeAutospacing="0" w:after="156" w:afterAutospacing="0" w:line="360" w:lineRule="auto"/>
        <w:rPr>
          <w:rFonts w:hint="eastAsia" w:ascii="仿宋" w:hAnsi="仿宋" w:eastAsia="仿宋" w:cs="仿宋"/>
          <w:color w:val="000000" w:themeColor="text1"/>
          <w:kern w:val="2"/>
          <w:highlight w:val="none"/>
          <w:lang w:bidi="ar"/>
          <w14:textFill>
            <w14:solidFill>
              <w14:schemeClr w14:val="tx1"/>
            </w14:solidFill>
          </w14:textFill>
        </w:rPr>
      </w:pPr>
      <w:r>
        <w:rPr>
          <w:rFonts w:hint="eastAsia" w:ascii="仿宋" w:hAnsi="仿宋" w:eastAsia="仿宋" w:cs="仿宋"/>
          <w:color w:val="000000" w:themeColor="text1"/>
          <w:kern w:val="2"/>
          <w:highlight w:val="none"/>
          <w:lang w:bidi="ar"/>
          <w14:textFill>
            <w14:solidFill>
              <w14:schemeClr w14:val="tx1"/>
            </w14:solidFill>
          </w14:textFill>
        </w:rPr>
        <w:t>甲方：（采购单位）</w:t>
      </w:r>
    </w:p>
    <w:p>
      <w:pPr>
        <w:pStyle w:val="54"/>
        <w:overflowPunct w:val="0"/>
        <w:autoSpaceDE w:val="0"/>
        <w:autoSpaceDN w:val="0"/>
        <w:snapToGrid w:val="0"/>
        <w:spacing w:before="156" w:beforeAutospacing="0" w:after="156" w:afterAutospacing="0" w:line="360" w:lineRule="auto"/>
        <w:rPr>
          <w:rFonts w:hint="eastAsia" w:ascii="仿宋" w:hAnsi="仿宋" w:eastAsia="仿宋" w:cs="仿宋"/>
          <w:color w:val="000000" w:themeColor="text1"/>
          <w:kern w:val="2"/>
          <w:highlight w:val="none"/>
          <w:lang w:bidi="ar"/>
          <w14:textFill>
            <w14:solidFill>
              <w14:schemeClr w14:val="tx1"/>
            </w14:solidFill>
          </w14:textFill>
        </w:rPr>
      </w:pPr>
      <w:r>
        <w:rPr>
          <w:rFonts w:hint="eastAsia" w:ascii="仿宋" w:hAnsi="仿宋" w:eastAsia="仿宋" w:cs="仿宋"/>
          <w:color w:val="000000" w:themeColor="text1"/>
          <w:kern w:val="2"/>
          <w:highlight w:val="none"/>
          <w:lang w:bidi="ar"/>
          <w14:textFill>
            <w14:solidFill>
              <w14:schemeClr w14:val="tx1"/>
            </w14:solidFill>
          </w14:textFill>
        </w:rPr>
        <w:t xml:space="preserve">乙方：（供应商） </w:t>
      </w:r>
    </w:p>
    <w:p>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甲乙双方根据关于</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常山县城区餐厨（厨余）垃圾收运处置服务项目</w:t>
      </w:r>
      <w:r>
        <w:rPr>
          <w:rFonts w:hint="eastAsia" w:ascii="仿宋" w:hAnsi="仿宋" w:eastAsia="仿宋" w:cs="仿宋"/>
          <w:color w:val="000000" w:themeColor="text1"/>
          <w:sz w:val="24"/>
          <w:szCs w:val="24"/>
          <w:highlight w:val="none"/>
          <w14:textFill>
            <w14:solidFill>
              <w14:schemeClr w14:val="tx1"/>
            </w14:solidFill>
          </w14:textFill>
        </w:rPr>
        <w:t>的招标结果，结合《中华人民共和国民法典》、《中华人民共和国政府采购法》</w:t>
      </w:r>
      <w:r>
        <w:rPr>
          <w:rFonts w:hint="eastAsia" w:ascii="仿宋" w:hAnsi="仿宋" w:eastAsia="仿宋" w:cs="仿宋"/>
          <w:color w:val="000000" w:themeColor="text1"/>
          <w:sz w:val="24"/>
          <w:szCs w:val="24"/>
          <w:highlight w:val="none"/>
          <w:lang w:eastAsia="zh-CN"/>
          <w14:textFill>
            <w14:solidFill>
              <w14:schemeClr w14:val="tx1"/>
            </w14:solidFill>
          </w14:textFill>
        </w:rPr>
        <w:t>及其他有关</w:t>
      </w:r>
      <w:r>
        <w:rPr>
          <w:rFonts w:hint="eastAsia" w:ascii="仿宋" w:hAnsi="仿宋" w:eastAsia="仿宋" w:cs="仿宋"/>
          <w:color w:val="000000" w:themeColor="text1"/>
          <w:sz w:val="24"/>
          <w:szCs w:val="24"/>
          <w:highlight w:val="none"/>
          <w14:textFill>
            <w14:solidFill>
              <w14:schemeClr w14:val="tx1"/>
            </w14:solidFill>
          </w14:textFill>
        </w:rPr>
        <w:t xml:space="preserve">法律、法规，遵循公平、公正和诚信的原则，甲、乙双方同意按照以下条款和条件，订立本合同。 </w:t>
      </w:r>
    </w:p>
    <w:p>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下列文件构成本合同的组成部分，应该认为是一个整体，彼此相互解释，相互补充。组成合同的多个文件的优先支配地位的次序如下：</w:t>
      </w:r>
    </w:p>
    <w:p>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a.</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本合同书</w:t>
      </w:r>
    </w:p>
    <w:p>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中标通知书</w:t>
      </w:r>
      <w:r>
        <w:rPr>
          <w:rFonts w:hint="eastAsia" w:ascii="仿宋" w:hAnsi="仿宋" w:eastAsia="仿宋" w:cs="仿宋"/>
          <w:color w:val="000000" w:themeColor="text1"/>
          <w:sz w:val="24"/>
          <w:szCs w:val="24"/>
          <w:highlight w:val="none"/>
          <w14:textFill>
            <w14:solidFill>
              <w14:schemeClr w14:val="tx1"/>
            </w14:solidFill>
          </w14:textFill>
        </w:rPr>
        <w:tab/>
      </w:r>
    </w:p>
    <w:p>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c.</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投标文件(含询标澄清文件)</w:t>
      </w:r>
    </w:p>
    <w:p>
      <w:pPr>
        <w:spacing w:line="360" w:lineRule="auto"/>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d.</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招标文件(含招标文件补充)</w:t>
      </w:r>
    </w:p>
    <w:p>
      <w:pPr>
        <w:pStyle w:val="9"/>
        <w:spacing w:before="120" w:after="120"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一、服务内容</w:t>
      </w:r>
    </w:p>
    <w:p>
      <w:pPr>
        <w:pStyle w:val="9"/>
        <w:spacing w:before="120" w:after="120"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详见采购文件第三章。</w:t>
      </w:r>
    </w:p>
    <w:p>
      <w:pPr>
        <w:pStyle w:val="9"/>
        <w:spacing w:before="120" w:after="120" w:line="360" w:lineRule="auto"/>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二、合同金额</w:t>
      </w:r>
    </w:p>
    <w:p>
      <w:pPr>
        <w:pStyle w:val="9"/>
        <w:spacing w:before="120" w:after="120"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本合同金额为（大写）：________________元，（￥________元）人民币。</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w:t>
      </w:r>
      <w:r>
        <w:rPr>
          <w:rFonts w:hint="eastAsia" w:ascii="仿宋" w:hAnsi="仿宋" w:eastAsia="仿宋" w:cs="仿宋"/>
          <w:b/>
          <w:bCs/>
          <w:color w:val="000000" w:themeColor="text1"/>
          <w:sz w:val="24"/>
          <w:szCs w:val="24"/>
          <w:highlight w:val="none"/>
          <w14:textFill>
            <w14:solidFill>
              <w14:schemeClr w14:val="tx1"/>
            </w14:solidFill>
          </w14:textFill>
        </w:rPr>
        <w:t>考核及处罚标准</w:t>
      </w:r>
    </w:p>
    <w:p>
      <w:pPr>
        <w:autoSpaceDE w:val="0"/>
        <w:autoSpaceDN w:val="0"/>
        <w:adjustRightInd w:val="0"/>
        <w:spacing w:line="360" w:lineRule="auto"/>
        <w:ind w:firstLine="480" w:firstLineChars="200"/>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3.1.依照《常山县</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垃圾收集运输作业服务管理考核表》详见附件进行综合计算考评。</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3.2.</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相关职能部门组成的考核小组将负责对责任区内收运作业服务的规范收运、执行能力、社会评价和禁止行为四项内容进行检查考评，检查将采取明</w:t>
      </w:r>
      <w:r>
        <w:rPr>
          <w:rFonts w:hint="eastAsia" w:ascii="仿宋" w:hAnsi="仿宋" w:eastAsia="仿宋" w:cs="仿宋"/>
          <w:bCs/>
          <w:color w:val="000000" w:themeColor="text1"/>
          <w:sz w:val="24"/>
          <w:szCs w:val="24"/>
          <w:highlight w:val="none"/>
          <w:lang w:eastAsia="zh-CN"/>
          <w14:textFill>
            <w14:solidFill>
              <w14:schemeClr w14:val="tx1"/>
            </w14:solidFill>
          </w14:textFill>
        </w:rPr>
        <w:t>查</w:t>
      </w:r>
      <w:r>
        <w:rPr>
          <w:rFonts w:hint="eastAsia" w:ascii="仿宋" w:hAnsi="仿宋" w:eastAsia="仿宋" w:cs="仿宋"/>
          <w:bCs/>
          <w:color w:val="000000" w:themeColor="text1"/>
          <w:sz w:val="24"/>
          <w:szCs w:val="24"/>
          <w:highlight w:val="none"/>
          <w14:textFill>
            <w14:solidFill>
              <w14:schemeClr w14:val="tx1"/>
            </w14:solidFill>
          </w14:textFill>
        </w:rPr>
        <w:t xml:space="preserve">、暗检相结合的方式，以暗检为主，每月综合考评一次。如需承包公司配合的将提前一小时通知该单位派员参加。 </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3.3.以100分制的形式进行打分，具体打分方式以每月进行一次全面检查、评分为准。 </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3.4.奖惩办法 </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Cs/>
          <w:color w:val="000000" w:themeColor="text1"/>
          <w:sz w:val="24"/>
          <w:szCs w:val="24"/>
          <w:highlight w:val="none"/>
          <w:shd w:val="clear" w:color="auto" w:fill="auto"/>
          <w14:textFill>
            <w14:solidFill>
              <w14:schemeClr w14:val="tx1"/>
            </w14:solidFill>
          </w14:textFill>
        </w:rPr>
        <w:t xml:space="preserve">① 罚款按照月规定支付金形式对罚金作出明确规定，凡月评分被扣的分，根据其月规定支付金进行当月处罚。 </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② </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乙方处置</w:t>
      </w:r>
      <w:r>
        <w:rPr>
          <w:rFonts w:hint="eastAsia" w:ascii="仿宋" w:hAnsi="仿宋" w:eastAsia="仿宋" w:cs="仿宋"/>
          <w:bCs/>
          <w:color w:val="000000" w:themeColor="text1"/>
          <w:sz w:val="24"/>
          <w:szCs w:val="24"/>
          <w:highlight w:val="none"/>
          <w14:textFill>
            <w14:solidFill>
              <w14:schemeClr w14:val="tx1"/>
            </w14:solidFill>
          </w14:textFill>
        </w:rPr>
        <w:t>运作业绩进行考核，考核总分为100分，85分（含）以上为合格，均不扣除经费。考核分低于85分（不含85分）为不合格，每减1</w:t>
      </w:r>
      <w:r>
        <w:rPr>
          <w:rFonts w:hint="eastAsia" w:ascii="仿宋" w:hAnsi="仿宋" w:eastAsia="仿宋" w:cs="仿宋"/>
          <w:bCs/>
          <w:color w:val="000000" w:themeColor="text1"/>
          <w:sz w:val="24"/>
          <w:szCs w:val="24"/>
          <w:highlight w:val="none"/>
          <w:lang w:eastAsia="zh-CN"/>
          <w14:textFill>
            <w14:solidFill>
              <w14:schemeClr w14:val="tx1"/>
            </w14:solidFill>
          </w14:textFill>
        </w:rPr>
        <w:t>分</w:t>
      </w:r>
      <w:r>
        <w:rPr>
          <w:rFonts w:hint="eastAsia" w:ascii="仿宋" w:hAnsi="仿宋" w:eastAsia="仿宋" w:cs="仿宋"/>
          <w:bCs/>
          <w:color w:val="000000" w:themeColor="text1"/>
          <w:sz w:val="24"/>
          <w:szCs w:val="24"/>
          <w:highlight w:val="none"/>
          <w14:textFill>
            <w14:solidFill>
              <w14:schemeClr w14:val="tx1"/>
            </w14:solidFill>
          </w14:textFill>
        </w:rPr>
        <w:t>扣除实际月承包经费1%，以此类推，作为当月处罚。</w:t>
      </w:r>
      <w:r>
        <w:rPr>
          <w:rFonts w:hint="eastAsia" w:ascii="仿宋" w:hAnsi="仿宋" w:eastAsia="仿宋" w:cs="仿宋"/>
          <w:bCs/>
          <w:color w:val="000000" w:themeColor="text1"/>
          <w:sz w:val="24"/>
          <w:szCs w:val="24"/>
          <w:highlight w:val="none"/>
          <w:lang w:eastAsia="zh-CN"/>
          <w14:textFill>
            <w14:solidFill>
              <w14:schemeClr w14:val="tx1"/>
            </w14:solidFill>
          </w14:textFill>
        </w:rPr>
        <w:t>连续3个月或累计6个月</w:t>
      </w:r>
      <w:r>
        <w:rPr>
          <w:rFonts w:hint="eastAsia" w:ascii="仿宋" w:hAnsi="仿宋" w:eastAsia="仿宋" w:cs="仿宋"/>
          <w:bCs/>
          <w:color w:val="000000" w:themeColor="text1"/>
          <w:sz w:val="24"/>
          <w:szCs w:val="24"/>
          <w:highlight w:val="none"/>
          <w14:textFill>
            <w14:solidFill>
              <w14:schemeClr w14:val="tx1"/>
            </w14:solidFill>
          </w14:textFill>
        </w:rPr>
        <w:t>考核分低于80分（不含80分），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有权终止合同，没收履约保证金，引起的一切后果均由</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 xml:space="preserve">承担。 </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③相关处罚金额标准：</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在收运量20吨/日达产情况下，如检查发现实际安排收运人员少于相关文件承诺的（除采购人根据实际情况审批后），每核实一次缺1人扣除200元，缺2人扣除400元，以此类推，情节严重的采购人有权收回缺位人员工资及所有的费用并终止采购合同，没收履约保证金，保留追究其法律责任的权利。</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在收运量20吨/日达产情况下，如检查发现当天作业车辆未按照相关文件承诺进行的（除采购人根据实际情况审批后），每缺一辆作业车扣除2000元，以此类推。情节严重的，采购人将扣除该项作业全年费用，并终止采购合同，没收履约保证金，保留追究其法律责任的权利。（收运车由于发生故障，导致无法作业的，应每天在</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上午上班之前以书面形式上报，</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工作人员核实故障报告后，发现与事实不符的，按未作业论处，发生故障若不事先报告的，按未作业论处，并加倍处罚。）</w:t>
      </w:r>
    </w:p>
    <w:p>
      <w:pPr>
        <w:autoSpaceDE w:val="0"/>
        <w:autoSpaceDN w:val="0"/>
        <w:adjustRightInd w:val="0"/>
        <w:spacing w:line="360" w:lineRule="auto"/>
        <w:ind w:firstLine="480" w:firstLineChars="200"/>
        <w:textAlignment w:val="bottom"/>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在收运量20吨/日达产情况下，如检查发现当天</w:t>
      </w:r>
      <w:r>
        <w:rPr>
          <w:rFonts w:hint="eastAsia" w:ascii="仿宋" w:hAnsi="仿宋" w:eastAsia="仿宋" w:cs="仿宋"/>
          <w:bCs/>
          <w:color w:val="000000" w:themeColor="text1"/>
          <w:sz w:val="24"/>
          <w:szCs w:val="24"/>
          <w:highlight w:val="none"/>
          <w:lang w:eastAsia="zh-CN"/>
          <w14:textFill>
            <w14:solidFill>
              <w14:schemeClr w14:val="tx1"/>
            </w14:solidFill>
          </w14:textFill>
        </w:rPr>
        <w:t>处置厂</w:t>
      </w:r>
      <w:r>
        <w:rPr>
          <w:rFonts w:hint="eastAsia" w:ascii="仿宋" w:hAnsi="仿宋" w:eastAsia="仿宋" w:cs="仿宋"/>
          <w:bCs/>
          <w:color w:val="000000" w:themeColor="text1"/>
          <w:sz w:val="24"/>
          <w:szCs w:val="24"/>
          <w:highlight w:val="none"/>
          <w14:textFill>
            <w14:solidFill>
              <w14:schemeClr w14:val="tx1"/>
            </w14:solidFill>
          </w14:textFill>
        </w:rPr>
        <w:t>未按照相关文件承诺进行</w:t>
      </w:r>
      <w:r>
        <w:rPr>
          <w:rFonts w:hint="eastAsia" w:ascii="仿宋" w:hAnsi="仿宋" w:eastAsia="仿宋" w:cs="仿宋"/>
          <w:bCs/>
          <w:color w:val="000000" w:themeColor="text1"/>
          <w:sz w:val="24"/>
          <w:szCs w:val="24"/>
          <w:highlight w:val="none"/>
          <w:lang w:eastAsia="zh-CN"/>
          <w14:textFill>
            <w14:solidFill>
              <w14:schemeClr w14:val="tx1"/>
            </w14:solidFill>
          </w14:textFill>
        </w:rPr>
        <w:t>正规处置或转包给其他处置厂进行处置的</w:t>
      </w:r>
      <w:r>
        <w:rPr>
          <w:rFonts w:hint="eastAsia" w:ascii="仿宋" w:hAnsi="仿宋" w:eastAsia="仿宋" w:cs="仿宋"/>
          <w:bCs/>
          <w:color w:val="000000" w:themeColor="text1"/>
          <w:sz w:val="24"/>
          <w:szCs w:val="24"/>
          <w:highlight w:val="none"/>
          <w14:textFill>
            <w14:solidFill>
              <w14:schemeClr w14:val="tx1"/>
            </w14:solidFill>
          </w14:textFill>
        </w:rPr>
        <w:t>（除</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根据实际情况审批后），</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按考核细则进行处罚</w:t>
      </w:r>
      <w:r>
        <w:rPr>
          <w:rFonts w:hint="eastAsia" w:ascii="仿宋" w:hAnsi="仿宋" w:eastAsia="仿宋" w:cs="仿宋"/>
          <w:bCs/>
          <w:color w:val="000000" w:themeColor="text1"/>
          <w:sz w:val="24"/>
          <w:szCs w:val="24"/>
          <w:highlight w:val="none"/>
          <w14:textFill>
            <w14:solidFill>
              <w14:schemeClr w14:val="tx1"/>
            </w14:solidFill>
          </w14:textFill>
        </w:rPr>
        <w:t>。情节严重的，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将扣除该项作业全年费用，并终止采购合同，没收履约保证金，保留追究其法律责任的权利。（</w:t>
      </w:r>
      <w:r>
        <w:rPr>
          <w:rFonts w:hint="eastAsia" w:ascii="仿宋" w:hAnsi="仿宋" w:eastAsia="仿宋" w:cs="仿宋"/>
          <w:bCs/>
          <w:color w:val="000000" w:themeColor="text1"/>
          <w:sz w:val="24"/>
          <w:szCs w:val="24"/>
          <w:highlight w:val="none"/>
          <w:lang w:eastAsia="zh-CN"/>
          <w14:textFill>
            <w14:solidFill>
              <w14:schemeClr w14:val="tx1"/>
            </w14:solidFill>
          </w14:textFill>
        </w:rPr>
        <w:t>处置设备</w:t>
      </w:r>
      <w:r>
        <w:rPr>
          <w:rFonts w:hint="eastAsia" w:ascii="仿宋" w:hAnsi="仿宋" w:eastAsia="仿宋" w:cs="仿宋"/>
          <w:bCs/>
          <w:color w:val="000000" w:themeColor="text1"/>
          <w:sz w:val="24"/>
          <w:szCs w:val="24"/>
          <w:highlight w:val="none"/>
          <w14:textFill>
            <w14:solidFill>
              <w14:schemeClr w14:val="tx1"/>
            </w14:solidFill>
          </w14:textFill>
        </w:rPr>
        <w:t>由于发生故障，导致无法作业的，应每天在</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上午上班之前以书面形式上报，</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工作人员核实故障报告后，发现与事实不符的，按未作业论处，发生故障若不事先报告的，按未作业论处，并加倍处罚。）</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提供的用于本项目的机动车辆如出安全事故，则由其自行负责处理并承担相应责任和费用，并根据驾驶员责任大小处以500元- 2000元的罚款，罚款从承包费中扣除。</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收运过程中发生滴漏撒现象的，未实行密闭化运输</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垃圾的，视情节严重的处以5000元以上30000元以下罚款，由采购人责令限期改正，拒不改正的，采购人有权终止合同。</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无特殊原因未按照合同约定的频次和时间收运；由采购人责令限期改正，逾期不改正的，处以2000元以上5000元以下罚款；情节严重的，处以5000元以上30000元以下罚款并终止合同。</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不执行</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垃圾收运、处置交付确认制度或者未建立相应的记录台账的，不按照要求如实报送</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w:t>
      </w:r>
      <w:r>
        <w:rPr>
          <w:rFonts w:hint="eastAsia" w:ascii="仿宋" w:hAnsi="仿宋" w:eastAsia="仿宋" w:cs="仿宋"/>
          <w:bCs/>
          <w:color w:val="000000" w:themeColor="text1"/>
          <w:sz w:val="24"/>
          <w:szCs w:val="24"/>
          <w:highlight w:val="none"/>
          <w14:textFill>
            <w14:solidFill>
              <w14:schemeClr w14:val="tx1"/>
            </w14:solidFill>
          </w14:textFill>
        </w:rPr>
        <w:t>垃圾来源、种类、数量、去向等资料的，处以5000元以上30000元以下罚款。由</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责令改正，拒不改正的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bCs/>
          <w:color w:val="000000" w:themeColor="text1"/>
          <w:sz w:val="24"/>
          <w:szCs w:val="24"/>
          <w:highlight w:val="none"/>
          <w14:textFill>
            <w14:solidFill>
              <w14:schemeClr w14:val="tx1"/>
            </w14:solidFill>
          </w14:textFill>
        </w:rPr>
        <w:t>有权终止采购合同。保留追究其法律责任的权利。</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④罚款从每月承包经费中扣除。</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7）结合本项目具体情况，▲要求</w:t>
      </w:r>
      <w:r>
        <w:rPr>
          <w:rFonts w:hint="eastAsia" w:ascii="仿宋" w:hAnsi="仿宋" w:eastAsia="仿宋" w:cs="仿宋"/>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Cs/>
          <w:color w:val="000000" w:themeColor="text1"/>
          <w:sz w:val="24"/>
          <w:szCs w:val="24"/>
          <w:highlight w:val="none"/>
          <w14:textFill>
            <w14:solidFill>
              <w14:schemeClr w14:val="tx1"/>
            </w14:solidFill>
          </w14:textFill>
        </w:rPr>
        <w:t>员工基本工资最低不得低于当地本年度最低工资标准的110%，不按国家规定为员工提供社保的或员工工资低于常山县本</w:t>
      </w:r>
      <w:r>
        <w:rPr>
          <w:rFonts w:hint="eastAsia" w:ascii="仿宋" w:hAnsi="仿宋" w:eastAsia="仿宋" w:cs="仿宋"/>
          <w:bCs/>
          <w:color w:val="000000" w:themeColor="text1"/>
          <w:sz w:val="24"/>
          <w:szCs w:val="24"/>
          <w:highlight w:val="none"/>
          <w:lang w:eastAsia="zh-CN"/>
          <w14:textFill>
            <w14:solidFill>
              <w14:schemeClr w14:val="tx1"/>
            </w14:solidFill>
          </w14:textFill>
        </w:rPr>
        <w:t>年度</w:t>
      </w:r>
      <w:r>
        <w:rPr>
          <w:rFonts w:hint="eastAsia" w:ascii="仿宋" w:hAnsi="仿宋" w:eastAsia="仿宋" w:cs="仿宋"/>
          <w:bCs/>
          <w:color w:val="000000" w:themeColor="text1"/>
          <w:sz w:val="24"/>
          <w:szCs w:val="24"/>
          <w:highlight w:val="none"/>
          <w14:textFill>
            <w14:solidFill>
              <w14:schemeClr w14:val="tx1"/>
            </w14:solidFill>
          </w14:textFill>
        </w:rPr>
        <w:t>最低工资标准110%的，投标文件作无效标处理（最低工资不包括下列四项收入：延长工作时间的工资；中班、夜班、高温、低温、有毒有害等特殊工作环境、条件下的津贴；贴补伙食、住房等支付给劳动者的非货币性收入；法律、法规和国家规定的劳动者福利待遇等）。</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8）各种国家法定节假日补贴要求按国家相关要求发放补贴。</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9）高温补贴共4个月（六、七、八、九共四月，逐月发放）按不少于1200元标准发放。</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10）特殊岗位津贴发放标准按10元/每人/每出勤日。</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11）</w:t>
      </w:r>
      <w:r>
        <w:rPr>
          <w:rFonts w:hint="eastAsia" w:ascii="仿宋" w:hAnsi="仿宋" w:eastAsia="仿宋" w:cs="仿宋"/>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的报价应包括为完成本项目服务可能发生的全部费用及</w:t>
      </w:r>
      <w:r>
        <w:rPr>
          <w:rFonts w:hint="eastAsia" w:ascii="仿宋" w:hAnsi="仿宋" w:eastAsia="仿宋" w:cs="仿宋"/>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的利润和应</w:t>
      </w:r>
      <w:r>
        <w:rPr>
          <w:rFonts w:hint="eastAsia" w:ascii="仿宋" w:hAnsi="仿宋" w:eastAsia="仿宋" w:cs="仿宋"/>
          <w:bCs/>
          <w:color w:val="000000" w:themeColor="text1"/>
          <w:sz w:val="24"/>
          <w:szCs w:val="24"/>
          <w:highlight w:val="none"/>
          <w:lang w:eastAsia="zh-CN"/>
          <w14:textFill>
            <w14:solidFill>
              <w14:schemeClr w14:val="tx1"/>
            </w14:solidFill>
          </w14:textFill>
        </w:rPr>
        <w:t>缴纳</w:t>
      </w:r>
      <w:r>
        <w:rPr>
          <w:rFonts w:hint="eastAsia" w:ascii="仿宋" w:hAnsi="仿宋" w:eastAsia="仿宋" w:cs="仿宋"/>
          <w:bCs/>
          <w:color w:val="000000" w:themeColor="text1"/>
          <w:sz w:val="24"/>
          <w:szCs w:val="24"/>
          <w:highlight w:val="none"/>
          <w14:textFill>
            <w14:solidFill>
              <w14:schemeClr w14:val="tx1"/>
            </w14:solidFill>
          </w14:textFill>
        </w:rPr>
        <w:t>的税金等。</w:t>
      </w:r>
      <w:r>
        <w:rPr>
          <w:rFonts w:hint="eastAsia" w:ascii="仿宋" w:hAnsi="仿宋" w:eastAsia="仿宋" w:cs="仿宋"/>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对合同内容的费用、质量、安全、文明服务等实行全面承包。</w:t>
      </w:r>
    </w:p>
    <w:p>
      <w:pPr>
        <w:autoSpaceDE w:val="0"/>
        <w:autoSpaceDN w:val="0"/>
        <w:adjustRightInd w:val="0"/>
        <w:spacing w:line="360" w:lineRule="auto"/>
        <w:ind w:firstLine="480" w:firstLineChars="200"/>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w:t>
      </w:r>
    </w:p>
    <w:p>
      <w:pPr>
        <w:widowControl/>
        <w:numPr>
          <w:ilvl w:val="0"/>
          <w:numId w:val="4"/>
        </w:numPr>
        <w:autoSpaceDE w:val="0"/>
        <w:autoSpaceDN w:val="0"/>
        <w:adjustRightInd w:val="0"/>
        <w:spacing w:line="360" w:lineRule="auto"/>
        <w:ind w:firstLine="482" w:firstLineChars="200"/>
        <w:jc w:val="left"/>
        <w:textAlignment w:val="bottom"/>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如</w:t>
      </w:r>
      <w:r>
        <w:rPr>
          <w:rFonts w:hint="eastAsia" w:ascii="仿宋" w:hAnsi="仿宋" w:eastAsia="仿宋" w:cs="仿宋"/>
          <w:b/>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
          <w:bCs/>
          <w:color w:val="000000" w:themeColor="text1"/>
          <w:sz w:val="24"/>
          <w:szCs w:val="24"/>
          <w:highlight w:val="none"/>
          <w14:textFill>
            <w14:solidFill>
              <w14:schemeClr w14:val="tx1"/>
            </w14:solidFill>
          </w14:textFill>
        </w:rPr>
        <w:t>在中标后未按法律、法规缴纳社保费、分发补贴的而引起的纠纷投诉，采购人对此概不负责，如情况属实，则视为违约处理，采购人有权根据终止合同。</w:t>
      </w:r>
    </w:p>
    <w:p>
      <w:pPr>
        <w:widowControl/>
        <w:numPr>
          <w:ilvl w:val="0"/>
          <w:numId w:val="4"/>
        </w:numPr>
        <w:autoSpaceDE w:val="0"/>
        <w:autoSpaceDN w:val="0"/>
        <w:adjustRightInd w:val="0"/>
        <w:spacing w:line="360" w:lineRule="auto"/>
        <w:ind w:firstLine="482" w:firstLineChars="200"/>
        <w:jc w:val="left"/>
        <w:textAlignment w:val="bottom"/>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如遇国家政策或法律法规调整导致费用增加，导致相关人员的工资、社保、节假日、高温补贴出现变化的，该部分费用由</w:t>
      </w:r>
      <w:r>
        <w:rPr>
          <w:rFonts w:hint="eastAsia" w:ascii="仿宋" w:hAnsi="仿宋" w:eastAsia="仿宋" w:cs="仿宋"/>
          <w:b/>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
          <w:bCs/>
          <w:color w:val="000000" w:themeColor="text1"/>
          <w:sz w:val="24"/>
          <w:szCs w:val="24"/>
          <w:highlight w:val="none"/>
          <w14:textFill>
            <w14:solidFill>
              <w14:schemeClr w14:val="tx1"/>
            </w14:solidFill>
          </w14:textFill>
        </w:rPr>
        <w:t>自行承担。</w:t>
      </w:r>
    </w:p>
    <w:p>
      <w:pPr>
        <w:widowControl/>
        <w:numPr>
          <w:ilvl w:val="0"/>
          <w:numId w:val="4"/>
        </w:numPr>
        <w:autoSpaceDE w:val="0"/>
        <w:autoSpaceDN w:val="0"/>
        <w:adjustRightInd w:val="0"/>
        <w:spacing w:line="360" w:lineRule="auto"/>
        <w:ind w:firstLine="482" w:firstLineChars="200"/>
        <w:jc w:val="left"/>
        <w:textAlignment w:val="bottom"/>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在合同有效期内，因油价市场波动造成的</w:t>
      </w:r>
      <w:r>
        <w:rPr>
          <w:rFonts w:hint="eastAsia" w:ascii="仿宋" w:hAnsi="仿宋" w:eastAsia="仿宋" w:cs="仿宋"/>
          <w:b/>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
          <w:bCs/>
          <w:color w:val="000000" w:themeColor="text1"/>
          <w:sz w:val="24"/>
          <w:szCs w:val="24"/>
          <w:highlight w:val="none"/>
          <w14:textFill>
            <w14:solidFill>
              <w14:schemeClr w14:val="tx1"/>
            </w14:solidFill>
          </w14:textFill>
        </w:rPr>
        <w:t>成本变动，由</w:t>
      </w:r>
      <w:r>
        <w:rPr>
          <w:rFonts w:hint="eastAsia" w:ascii="仿宋" w:hAnsi="仿宋" w:eastAsia="仿宋" w:cs="仿宋"/>
          <w:b/>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
          <w:bCs/>
          <w:color w:val="000000" w:themeColor="text1"/>
          <w:sz w:val="24"/>
          <w:szCs w:val="24"/>
          <w:highlight w:val="none"/>
          <w14:textFill>
            <w14:solidFill>
              <w14:schemeClr w14:val="tx1"/>
            </w14:solidFill>
          </w14:textFill>
        </w:rPr>
        <w:t>自行承担。</w:t>
      </w:r>
    </w:p>
    <w:p>
      <w:pPr>
        <w:pStyle w:val="16"/>
        <w:spacing w:line="360" w:lineRule="auto"/>
        <w:ind w:left="842" w:firstLine="482" w:firstLineChars="200"/>
        <w:rPr>
          <w:rFonts w:hint="eastAsia" w:ascii="仿宋" w:hAnsi="仿宋" w:eastAsia="仿宋" w:cs="仿宋"/>
          <w:b/>
          <w:bCs/>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14:textFill>
            <w14:solidFill>
              <w14:schemeClr w14:val="tx1"/>
            </w14:solidFill>
          </w14:textFill>
        </w:rPr>
        <w:t>考核明细：</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492"/>
        <w:gridCol w:w="2142"/>
        <w:gridCol w:w="3065"/>
        <w:gridCol w:w="4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序号</w:t>
            </w: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分值</w:t>
            </w:r>
          </w:p>
        </w:tc>
        <w:tc>
          <w:tcPr>
            <w:tcW w:w="10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内容</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具体要求</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称重计量台账资料</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进场及处置后的垃圾必须称重计量，各项数据、信息应详细记录存档。</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因服务单位责任垃圾未进行称重的，每次扣0.5分；称重数据信息记录不全、错误，每次扣0.5分（检修工作等其他异常情况除外）。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按照监管方要求及时上报计量、运行、设备故障、计划说明、环保耗材购买及使用、污染排放指标数据等各项运行台账，做到分类清晰、数据真实、记录完整、保管得当。</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未在规定时间内上报资料每次每份扣0.5分，发现数据错误、内容失实，每次扣1分，未上报资料，每次扣3分。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10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运行计划</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保持设备运行的稳定性，维修和主要运行设备停运需提前报监管方认可。（突发故障除外）</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检修和主要运行设备停运未提前报监管方认可的每次扣2分。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2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垃圾接收</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为垃圾进厂提供有效保障，道路、卸料处的事故照明、安全警示牌、消防等安全设施设置到位并正常运行，采光或照明满足作业需要，保证车辆正常作业。</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垃圾进场安全设施未设置或不能正常运行，每处扣1分；采光或照明不能满足作业需要的，扣0.5分。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进出场地应安排现场管理人员，仓门数量应根据进厂车辆数量及时调整，满足垃圾及时倾倒要求。确保垃圾车进出厂区周转时间在30分钟以内（司机无故逗留除外）。</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现场未安排管理人员的，每次扣1分，管理人员不履行职责的，每次扣0.5分；厂区垃圾堆积过多，影响正常收运处置的，扣1分（进厂垃圾超过额定垃圾处理量的除外）。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仪器设备</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做好各类仪表设备的检查、保养、校验工作，仪表表面保持清洁、标识齐全清晰，设备符合安全、消防检测年限。</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仪表、设备表面有污迹影响读数的每处扣0.1分。设备不符合安全、消防检测年限，每处扣0.5分。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机械设备按计划进行检修，检修时启动检修预案。</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未建立或检修时未启动检修预案的每次扣0.2分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10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处置效果</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对末端产品进行检查，根据去向用途检查是否符合要求</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每月对末端检查4次，不符合要求的一次扣2分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10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噪声、臭气控制</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配置消除噪声系统、除臭系统等防治噪声和臭气的措施，应符合环保的要求，设备运行时间应避开周边居民休息时间，有效减少厂界、设备噪声和臭气。</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无噪声消除装置除臭系统或引起居民投诉的每次扣2分。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7</w:t>
            </w: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10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固废、废气、废水处理</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按主管部门及环保要求进行规范处置。（根据实际情况而定）</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未按规定排放，每发现一次扣3分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8</w:t>
            </w: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0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环境监测</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按规定制定噪声、污水、废气、固废等污染排放指标监测计划，落实自检。监测项目、周期符合环保部门要求，所有监测报告在服务单位取得后3个工作日内报监管方。</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未建立有效监测计划的扣2分；未按监测周期对各项目进行自检的每次扣2分；取得报告后服务单位未在3个工作日内报送的每次扣1分。（此项按照对应指标检测周期进行考核）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9</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制度建设</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1、建立健全规章制度、岗位职责、操作规程，运行作业手册及设备操作维护保养手册规范齐全。</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每缺一项扣0.2分。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2、具有完善的培训制度，操作人员100%持证上岗。</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无证上岗，每人次扣1分。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3、有完善的内部运行考核制度并认真实施。</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有考核制度但未实施到位的扣0.5分，无考核制度的扣1分。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10</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安全管理</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厂内安全标识规范明晰，定期对消防设备进行检查。</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安全标识或设施设备损坏，每处扣0.2分。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按规定对作业人员落实劳动安全卫生防护措施。</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未按规定对作业人员落实劳动安全卫生防护的，每人次扣0.1分。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建立完善运行管理预案及计量、运行、设备故障、突发事件、恶劣天气等专项预案，安全设施、应急物资配置齐全，遇到突发事件须2小时内报监管方，24小时内提交书面报告，同时采取有效处置措施。</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未建立应急预案的，扣2分；安全设施、应急物资配置不到位每次扣2分；突发事件未及时向监管方报告扣2分，发生一般有责安全事故的每次扣2分，发生有责人员重伤、死亡事故或重大财产事故的，每次扣2-5分。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11</w:t>
            </w: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10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厂区环境</w:t>
            </w:r>
          </w:p>
        </w:tc>
        <w:tc>
          <w:tcPr>
            <w:tcW w:w="1471" w:type="pc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厂区环境整洁，设施整洁完好、标识明晰。绿化维护到位。卫生干净、无杂物乱堆放。</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环境不整洁、设施破损、标识不明晰的每处扣0.2分，绿化枯死，杂草丛生每处扣0.2分。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27" w:type="pct"/>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12</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0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收运人员配置</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实际收集运输人员按照规定投入</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如检查发现实际安排收集运输人员少于投标文件承诺的（除采购人根据实际情况审批后），投标人可根据实际收运量安排人员但需满足收运需求。每核实一次缺1人扣1分，并扣除1000元，缺2人扣2分，并扣除2000元，以此类推</w:t>
            </w: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27" w:type="pct"/>
            <w:vMerge w:val="continue"/>
            <w:tcBorders>
              <w:left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规范着装</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配证上岗</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未配工作证上岗的，每人次扣0.5分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27" w:type="pct"/>
            <w:vMerge w:val="continue"/>
            <w:tcBorders>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统一着装</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未统一着装或穿戴整齐的，每人次扣0.5分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trPr>
        <w:tc>
          <w:tcPr>
            <w:tcW w:w="227" w:type="pct"/>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13</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收运车辆作业情况及车载监控轨迹等</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实际收集运输车辆按照规定投入</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如检查发现当天作业车辆未按照投标文件承诺配置的（除采购人根据实际情况审批后），每缺一辆作业车扣1分，并扣除2000元。情节严重的，采购人将扣除该项作业全年费用，并终止采购合同，没收履约保证金，保留追究其法律责任的权利。（收集运输车由于发生故障，导致无法作业的，应自故障发生起1小时内向主管单位报告，工作人员核实故障报告后，发现与事实不符的，按未作业论处，发生故障若不事先报告的，按未作业论处，并加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车辆作业轨迹应该按照规定进行收集作业工作</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如车辆作业轨迹发生较大偏差，且未能向采购人合理说明理由的，扣2分。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车辆配置的GPS、车载视频等设备保持正常使用</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若人为造成设备故障无法使用的，每查实一次扣0.5分；设备故障超过3天未上报或未及时维修的每车次扣1分/天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27" w:type="pct"/>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14</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4</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餐厨（厨余）垃圾桶管理</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及时更换破损不能使用的餐厨（厨余）垃圾桶，并督促餐厨（厨余）垃圾产生单位做好垃圾桶的维护工作</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出现未及时更换破损无法使用的垃圾桶的，每次扣0.5分。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27" w:type="pct"/>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每周至少进行一次餐厨（厨余）垃圾桶的清洗，确保餐厨（厨余）垃圾桶内外干净，不得在道路及人行道上清洗，清洗场地由中标方负责解决。</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如发现垃圾桶每周未清洗，或发生在道路及人行道清洗的每次扣1分。产生单位投诉垃圾桶未清洗的，经现场核实后，每次扣1分。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15</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车容车貌</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车辆设置统一的餐厨（厨余）垃圾收运标识，公布公司名称与监督电话及举报电话</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统一标志、标识和监督电话公布有缺项的车辆，每车次扣0.5分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收运车辆应保持清洁，无明显异味，车身不得放置或悬挂与收运作业无关的工具</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驾驶室脏乱、车身有明显污渍或明显异味的、放置或悬挂非收运作业工具的，每车次扣0.5分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227" w:type="pct"/>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收运车辆具有的全密闭和防滴漏装置完好，无滴漏撒现象</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收运过程中发生滴漏撒现象的，每车次扣2分；未实行密闭化运输餐厨（厨余）垃圾的，处以2000元以上10000元以下罚款，由采购人责令限期改正，拒不改正的，采购人有权终止合同。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continue"/>
            <w:tcBorders>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收运车辆外轮廓整体完好，出现破损或刹车不灵、车灯不亮、油漆严重脱落等问题的应及时修复</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存在较严重损坏现象，未及时修复，每车次扣2分；存在刹车不灵、车灯不亮、油漆严重脱落等问题的，每车扣1分。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27" w:type="pct"/>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16</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6</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作业要求</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收运作业期间无人员受伤或车辆事故发生</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若出现人员受伤或车辆事故且负主要责任的，每次扣2分。乙方提供的用于本项目的机动车辆如出安全事故，则由其自行负责处理并承担相应责任和费用，并根据驾驶员责任大小处以500元- 2000元的罚款，罚款从承包费中扣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27" w:type="pct"/>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作业人员服务态度良好，积极指导生产单位开展餐厨（厨余）垃圾分类</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作业人员服务态度恶劣，与产生单位发生争执、争吵或打架的，每收到一次投诉扣0.5分；餐厨（厨余）垃圾分类指导不足，桶内混入其他垃圾的，每发现一次扣0.5分。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27" w:type="pct"/>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按照合同约定的频次和时间收运，日产日清。</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无特殊原因未按照合同约定的频次和时间收运，每发现1处扣1分；由采购人责令限期改正，逾期不改正的，处以1000元以上3000元以下罚款；情节严重的，处以3000元以上10000元以下罚款并终止合同。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227" w:type="pct"/>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按要求提供餐厨（厨余）专用垃圾桶的数量、规格和对餐厨（厨余）垃圾产生单位后续更换垃圾桶时应尽到的工作义务相关问题。</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要求提供垃圾桶数量、规格，导致投诉的，每次扣1分；未及时对餐厨（厨余）垃圾产生单位更换破损的餐厨（厨余）垃圾收集专用桶时（含餐厨（厨余）垃圾产生单位自行购买），应无条件协助餐厨（厨余）垃圾产生单位的更换的工作经核实一次一家单位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发现餐厨（厨余）垃圾专用桶中掺有大量生活垃圾或其他垃圾的情况未及时上报的。</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发现餐厨（厨余）垃圾专用桶中掺有大量生活垃圾或其他垃圾的情况未及时上报的，发现一次扣1分。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收运过程中车辆停靠不得妨碍道路交通，收运作业过程中车辆须文明驾驶，遵守交通规则</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车辆停靠妨碍道路交通的、未文明驾驶、野蛮行车或恶意违反交通规则的，每车次扣1分。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作业过程中，作业人员按要求维护收运作业区环境整洁。</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作业人员未维护收运作业区环境整洁，造成污染的，每发现一次扣1分。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27" w:type="pct"/>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17</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监督管理</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作业人员在收集运输餐厨（厨余）垃圾过程中必须真实、细致地填写餐厨（厨余）垃圾收集运输数量（内容包括产生单位来源、垃圾种类、数量、去向等数据等情况）。</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未按照规定进行记录的，每次扣0.5分。并处以1000元以上5000元以下罚款。由主管部门责令改正，拒不改正的采购人有权终止采购合同。保留追究其法律责任的权利。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产生单位源头分类质量较差或存在非法外流现象需及时取证并上报属地管理部门。</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未及时上报的，每次扣1分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18</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服从管理</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服从管理部门对于重大活动期间餐厨（厨余）垃圾管理工作的统一安排。</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不服从管理的，每次扣1分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自觉履行项目相关协议及各项补充协议，积极配合各级政府管理部门的监管。</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不配合政府管理部门监管的，每次扣2分；受执法部门处罚每次扣1-3分。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服从管理部门工作人员调度与安排</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不服从处理管理的，每次扣1分。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19</w:t>
            </w: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10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督查整改</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及时向管理部门反馈交办单及投诉事宜处理结果等，并有效落实</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未及时反馈或有效落实的，每次扣1分。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27" w:type="pct"/>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20</w:t>
            </w:r>
          </w:p>
        </w:tc>
        <w:tc>
          <w:tcPr>
            <w:tcW w:w="2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w:t>
            </w: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应急预案</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建立突发泄露处理应急预案</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未建立或存在明显漏洞的，每次扣0.5分。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27" w:type="pct"/>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及时向属地管理部门上报作业车辆与人员变动、收运作业时间调整、餐厨（厨余）垃圾大面积泄漏事件、发生重大交通事故或造成人员伤亡等情况</w:t>
            </w:r>
          </w:p>
        </w:tc>
        <w:tc>
          <w:tcPr>
            <w:tcW w:w="20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未及时上报的，每次扣2分。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27" w:type="pct"/>
            <w:vMerge w:val="continue"/>
            <w:tcBorders>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及时启动应急预案，安排车辆与人员进行作业</w:t>
            </w:r>
          </w:p>
        </w:tc>
        <w:tc>
          <w:tcPr>
            <w:tcW w:w="2037"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车辆泄漏事故必须安排人员和车辆，在1小时内抵达现场并进行相应处置；因车辆故障未及时收运接到投诉的必须在4小时内进行清运，未及时启动预案进行响应的，每次扣2分。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21</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5</w:t>
            </w:r>
          </w:p>
        </w:tc>
        <w:tc>
          <w:tcPr>
            <w:tcW w:w="10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市民及媒体评价</w:t>
            </w:r>
          </w:p>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产生单位满意与基本满意率不低于80%（抽查10家）</w:t>
            </w:r>
          </w:p>
        </w:tc>
        <w:tc>
          <w:tcPr>
            <w:tcW w:w="20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若产生单位满意与基本满意率低于80%，每增加1家不满意单位扣1分。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trPr>
        <w:tc>
          <w:tcPr>
            <w:tcW w:w="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妥善协调厂区与周边居民，收运与商家等的关系，积极处理各项投诉来访，杜绝有责投诉和媒体曝光。</w:t>
            </w:r>
          </w:p>
        </w:tc>
        <w:tc>
          <w:tcPr>
            <w:tcW w:w="20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发生有责投诉，每次扣2分；自接到投诉后48h内未处理，扣3分。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227" w:type="pct"/>
            <w:vMerge w:val="continue"/>
            <w:tcBorders>
              <w:top w:val="single" w:color="auto" w:sz="4" w:space="0"/>
              <w:left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auto" w:sz="4"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新闻媒体无负面性曝光或批评性报道</w:t>
            </w:r>
          </w:p>
        </w:tc>
        <w:tc>
          <w:tcPr>
            <w:tcW w:w="2037"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被媒体曝光的，每次扣5分；注（影响极其恶劣的，采购人将有可能直接终止采购合同，并追究其法律责任）</w:t>
            </w:r>
          </w:p>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22</w:t>
            </w:r>
          </w:p>
        </w:tc>
        <w:tc>
          <w:tcPr>
            <w:tcW w:w="236" w:type="pct"/>
            <w:vMerge w:val="restart"/>
            <w:tcBorders>
              <w:top w:val="single" w:color="000000" w:sz="8" w:space="0"/>
              <w:left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禁止行为</w:t>
            </w: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未将收集的餐厨（厨余）垃圾运至合同规定的单位处理。</w:t>
            </w:r>
          </w:p>
        </w:tc>
        <w:tc>
          <w:tcPr>
            <w:tcW w:w="203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出现任意一项禁止行为，在当月考核汇总结果中一次性扣除当月应付经费总额的5%。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发生一天之内有5%个收集点的餐厨（厨余）垃圾未收集事件的。</w:t>
            </w:r>
          </w:p>
        </w:tc>
        <w:tc>
          <w:tcPr>
            <w:tcW w:w="203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向餐厨（厨余）垃圾中掺入非餐厨（厨余）垃圾。</w:t>
            </w:r>
          </w:p>
        </w:tc>
        <w:tc>
          <w:tcPr>
            <w:tcW w:w="203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收集的餐厨（厨余）垃圾重量与实际情况存在弄虚作假行为。</w:t>
            </w:r>
          </w:p>
        </w:tc>
        <w:tc>
          <w:tcPr>
            <w:tcW w:w="203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将收集的餐厨（厨余）垃圾废弃物提供给采购人指定以外的单位或个人。</w:t>
            </w:r>
          </w:p>
        </w:tc>
        <w:tc>
          <w:tcPr>
            <w:tcW w:w="203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未经采购人单位许可，擅自跨区进行餐厨（厨余）垃圾收集运输。</w:t>
            </w:r>
          </w:p>
        </w:tc>
        <w:tc>
          <w:tcPr>
            <w:tcW w:w="203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left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获得餐厨（厨余）垃圾处理企业服务行政许可的资质企业，若未有效核实销售对象，将加工后的餐厨（厨余）垃圾废弃物违法销售给其他加工企业。</w:t>
            </w:r>
          </w:p>
        </w:tc>
        <w:tc>
          <w:tcPr>
            <w:tcW w:w="203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36"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0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7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暴力对抗市管理部门及处理企业工作人员管理</w:t>
            </w:r>
          </w:p>
        </w:tc>
        <w:tc>
          <w:tcPr>
            <w:tcW w:w="203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本月发生______项禁止行为，考核扣分______分，综合得分为______分，考核等级为优秀□ 优良□ 良好□ 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备注：</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（1）罚款按照月规定支付金形式对罚金作出明确规定，凡月评分被扣的分，根据其月规定支付金进行当月处罚。</w:t>
            </w:r>
          </w:p>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（2）采购人对乙方运作业绩进行考核，考核总分为100分，85分（含）以上为合格，均不扣除经费。考核分低于85分（不含85分）为不合格，85分的基础上每减1分扣除实际月承包经费1%，以此类推，作为当月处罚。</w:t>
            </w:r>
            <w:r>
              <w:rPr>
                <w:rFonts w:hint="eastAsia" w:ascii="仿宋" w:hAnsi="仿宋" w:eastAsia="仿宋" w:cs="仿宋"/>
                <w:bCs/>
                <w:color w:val="000000" w:themeColor="text1"/>
                <w:sz w:val="24"/>
                <w:szCs w:val="24"/>
                <w:highlight w:val="none"/>
                <w:lang w:eastAsia="zh-CN"/>
                <w14:textFill>
                  <w14:solidFill>
                    <w14:schemeClr w14:val="tx1"/>
                  </w14:solidFill>
                </w14:textFill>
              </w:rPr>
              <w:t>连续3个月或累计6个月</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考核分低于80分（不含80分），采购人有权终止合同，没收履约保证金，引起的一切后果均由乙方承担。</w:t>
            </w:r>
          </w:p>
        </w:tc>
      </w:tr>
    </w:tbl>
    <w:p>
      <w:pPr>
        <w:pStyle w:val="6"/>
        <w:rPr>
          <w:rFonts w:hint="eastAsia" w:ascii="仿宋" w:hAnsi="仿宋" w:eastAsia="仿宋" w:cs="仿宋"/>
          <w:color w:val="000000" w:themeColor="text1"/>
          <w:highlight w:val="none"/>
          <w14:textFill>
            <w14:solidFill>
              <w14:schemeClr w14:val="tx1"/>
            </w14:solidFill>
          </w14:textFill>
        </w:rPr>
      </w:pPr>
    </w:p>
    <w:p>
      <w:pPr>
        <w:pStyle w:val="9"/>
        <w:spacing w:line="360" w:lineRule="auto"/>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w:t>
      </w:r>
      <w:r>
        <w:rPr>
          <w:rFonts w:hint="eastAsia" w:ascii="仿宋" w:hAnsi="仿宋" w:eastAsia="仿宋" w:cs="仿宋"/>
          <w:b/>
          <w:color w:val="000000" w:themeColor="text1"/>
          <w:sz w:val="24"/>
          <w:szCs w:val="24"/>
          <w:highlight w:val="none"/>
          <w14:textFill>
            <w14:solidFill>
              <w14:schemeClr w14:val="tx1"/>
            </w14:solidFill>
          </w14:textFill>
        </w:rPr>
        <w:t xml:space="preserve">商务条款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1.本项目预算价为暂估价，合同签订后七个工作日内，</w:t>
      </w:r>
      <w:r>
        <w:rPr>
          <w:rFonts w:hint="eastAsia" w:ascii="仿宋" w:hAnsi="仿宋" w:eastAsia="仿宋" w:cs="仿宋"/>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14:textFill>
            <w14:solidFill>
              <w14:schemeClr w14:val="tx1"/>
            </w14:solidFill>
          </w14:textFill>
        </w:rPr>
        <w:t>暂估价总价</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的履约保证金（</w:t>
      </w:r>
      <w:r>
        <w:rPr>
          <w:rFonts w:hint="eastAsia" w:ascii="仿宋" w:hAnsi="仿宋" w:eastAsia="仿宋" w:cs="仿宋"/>
          <w:color w:val="000000" w:themeColor="text1"/>
          <w:sz w:val="24"/>
          <w:szCs w:val="24"/>
          <w:highlight w:val="none"/>
          <w14:textFill>
            <w14:solidFill>
              <w14:schemeClr w14:val="tx1"/>
            </w14:solidFill>
          </w14:textFill>
        </w:rPr>
        <w:t>可以银行、保险公司出具的保函形式提交）</w:t>
      </w:r>
      <w:r>
        <w:rPr>
          <w:rFonts w:hint="eastAsia" w:ascii="仿宋" w:hAnsi="仿宋" w:eastAsia="仿宋" w:cs="仿宋"/>
          <w:bCs/>
          <w:color w:val="000000" w:themeColor="text1"/>
          <w:sz w:val="24"/>
          <w:szCs w:val="24"/>
          <w:highlight w:val="none"/>
          <w14:textFill>
            <w14:solidFill>
              <w14:schemeClr w14:val="tx1"/>
            </w14:solidFill>
          </w14:textFill>
        </w:rPr>
        <w:t>，服务期满视为全面履约，履约期结束后十五个工作日内无息退还其履约保证金。</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2.付款方式：服务费支付为先做后结</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由采购人根据前一个月的考核结果支付月承包费，每月的</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bCs/>
          <w:color w:val="000000" w:themeColor="text1"/>
          <w:sz w:val="24"/>
          <w:szCs w:val="24"/>
          <w:highlight w:val="none"/>
          <w14:textFill>
            <w14:solidFill>
              <w14:schemeClr w14:val="tx1"/>
            </w14:solidFill>
          </w14:textFill>
        </w:rPr>
        <w:t>日结前一个月的服务费（遇节假日顺延）。</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3.每月由</w:t>
      </w:r>
      <w:r>
        <w:rPr>
          <w:rFonts w:hint="eastAsia" w:ascii="仿宋" w:hAnsi="仿宋" w:eastAsia="仿宋" w:cs="仿宋"/>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按月实际处置量和月考核结果得分金额向采购人结算，并出具有效收据。</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4.服务到期后根据考核结果将余款一次付清。</w:t>
      </w:r>
    </w:p>
    <w:p>
      <w:pPr>
        <w:pStyle w:val="9"/>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五、转包或分包</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1）中标人在服务期内，未经采购人的同意，不得变换项目负责人，如若不能兑现，视同违约处理。</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2）本次</w:t>
      </w:r>
      <w:r>
        <w:rPr>
          <w:rFonts w:hint="eastAsia" w:ascii="仿宋" w:hAnsi="仿宋" w:eastAsia="仿宋" w:cs="仿宋"/>
          <w:bCs/>
          <w:color w:val="000000" w:themeColor="text1"/>
          <w:sz w:val="24"/>
          <w:szCs w:val="24"/>
          <w:highlight w:val="none"/>
          <w:lang w:eastAsia="zh-CN"/>
          <w14:textFill>
            <w14:solidFill>
              <w14:schemeClr w14:val="tx1"/>
            </w14:solidFill>
          </w14:textFill>
        </w:rPr>
        <w:t>餐厨（厨余）垃圾</w:t>
      </w:r>
      <w:r>
        <w:rPr>
          <w:rFonts w:hint="eastAsia" w:ascii="仿宋" w:hAnsi="仿宋" w:eastAsia="仿宋" w:cs="仿宋"/>
          <w:bCs/>
          <w:color w:val="000000" w:themeColor="text1"/>
          <w:sz w:val="24"/>
          <w:szCs w:val="24"/>
          <w:highlight w:val="none"/>
          <w14:textFill>
            <w14:solidFill>
              <w14:schemeClr w14:val="tx1"/>
            </w14:solidFill>
          </w14:textFill>
        </w:rPr>
        <w:t>收运作业</w:t>
      </w:r>
      <w:r>
        <w:rPr>
          <w:rFonts w:hint="eastAsia" w:ascii="仿宋" w:hAnsi="仿宋" w:eastAsia="仿宋" w:cs="仿宋"/>
          <w:bCs/>
          <w:color w:val="000000" w:themeColor="text1"/>
          <w:sz w:val="24"/>
          <w:szCs w:val="24"/>
          <w:highlight w:val="none"/>
          <w:lang w:eastAsia="zh-CN"/>
          <w14:textFill>
            <w14:solidFill>
              <w14:schemeClr w14:val="tx1"/>
            </w14:solidFill>
          </w14:textFill>
        </w:rPr>
        <w:t>和处置工作</w:t>
      </w:r>
      <w:r>
        <w:rPr>
          <w:rFonts w:hint="eastAsia" w:ascii="仿宋" w:hAnsi="仿宋" w:eastAsia="仿宋" w:cs="仿宋"/>
          <w:bCs/>
          <w:color w:val="000000" w:themeColor="text1"/>
          <w:sz w:val="24"/>
          <w:szCs w:val="24"/>
          <w:highlight w:val="none"/>
          <w14:textFill>
            <w14:solidFill>
              <w14:schemeClr w14:val="tx1"/>
            </w14:solidFill>
          </w14:textFill>
        </w:rPr>
        <w:t>除在招标文件中列明并经采购人单位同意外，</w:t>
      </w:r>
      <w:r>
        <w:rPr>
          <w:rFonts w:hint="eastAsia" w:ascii="仿宋" w:hAnsi="仿宋" w:eastAsia="仿宋" w:cs="仿宋"/>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不得将本项目分包或转包，一经发现</w:t>
      </w:r>
      <w:r>
        <w:rPr>
          <w:rFonts w:hint="eastAsia" w:ascii="仿宋" w:hAnsi="仿宋" w:eastAsia="仿宋" w:cs="仿宋"/>
          <w:bCs/>
          <w:color w:val="000000" w:themeColor="text1"/>
          <w:sz w:val="24"/>
          <w:szCs w:val="24"/>
          <w:highlight w:val="none"/>
          <w:lang w:eastAsia="zh-CN"/>
          <w14:textFill>
            <w14:solidFill>
              <w14:schemeClr w14:val="tx1"/>
            </w14:solidFill>
          </w14:textFill>
        </w:rPr>
        <w:t>业主方有权单方面终止合同。期间产生</w:t>
      </w:r>
      <w:r>
        <w:rPr>
          <w:rFonts w:hint="eastAsia" w:ascii="仿宋" w:hAnsi="仿宋" w:eastAsia="仿宋" w:cs="仿宋"/>
          <w:bCs/>
          <w:color w:val="000000" w:themeColor="text1"/>
          <w:sz w:val="24"/>
          <w:szCs w:val="24"/>
          <w:highlight w:val="none"/>
          <w14:textFill>
            <w14:solidFill>
              <w14:schemeClr w14:val="tx1"/>
            </w14:solidFill>
          </w14:textFill>
        </w:rPr>
        <w:t>引起的法律责任及一些紧急损失</w:t>
      </w:r>
      <w:r>
        <w:rPr>
          <w:rFonts w:hint="eastAsia" w:ascii="仿宋" w:hAnsi="仿宋" w:eastAsia="仿宋" w:cs="仿宋"/>
          <w:bCs/>
          <w:color w:val="000000" w:themeColor="text1"/>
          <w:sz w:val="24"/>
          <w:szCs w:val="24"/>
          <w:highlight w:val="none"/>
          <w:lang w:eastAsia="zh-CN"/>
          <w14:textFill>
            <w14:solidFill>
              <w14:schemeClr w14:val="tx1"/>
            </w14:solidFill>
          </w14:textFill>
        </w:rPr>
        <w:t>均由中标方承担</w:t>
      </w:r>
      <w:r>
        <w:rPr>
          <w:rFonts w:hint="eastAsia" w:ascii="仿宋" w:hAnsi="仿宋" w:eastAsia="仿宋" w:cs="仿宋"/>
          <w:bCs/>
          <w:color w:val="000000" w:themeColor="text1"/>
          <w:sz w:val="24"/>
          <w:szCs w:val="24"/>
          <w:highlight w:val="none"/>
          <w14:textFill>
            <w14:solidFill>
              <w14:schemeClr w14:val="tx1"/>
            </w14:solidFill>
          </w14:textFill>
        </w:rPr>
        <w:t>。</w:t>
      </w:r>
    </w:p>
    <w:p>
      <w:pPr>
        <w:pStyle w:val="9"/>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六、合同履行时间及履行地点</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1、履行时间：合同签订后</w:t>
      </w:r>
    </w:p>
    <w:p>
      <w:pPr>
        <w:snapToGrid w:val="0"/>
        <w:spacing w:line="360" w:lineRule="auto"/>
        <w:ind w:firstLine="480" w:firstLineChars="200"/>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2、履约期限：</w:t>
      </w:r>
      <w:r>
        <w:rPr>
          <w:rFonts w:hint="eastAsia" w:ascii="仿宋" w:hAnsi="仿宋" w:eastAsia="仿宋" w:cs="仿宋"/>
          <w:bCs/>
          <w:color w:val="000000" w:themeColor="text1"/>
          <w:sz w:val="24"/>
          <w:szCs w:val="24"/>
          <w:highlight w:val="none"/>
          <w:lang w:eastAsia="zh-CN"/>
          <w14:textFill>
            <w14:solidFill>
              <w14:schemeClr w14:val="tx1"/>
            </w14:solidFill>
          </w14:textFill>
        </w:rPr>
        <w:t>2024.7.27-2025.7.26</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3、履行地点：常山县城区范围内</w:t>
      </w:r>
      <w:r>
        <w:rPr>
          <w:rFonts w:hint="eastAsia" w:ascii="仿宋" w:hAnsi="仿宋" w:eastAsia="仿宋" w:cs="仿宋"/>
          <w:bCs/>
          <w:color w:val="000000" w:themeColor="text1"/>
          <w:sz w:val="24"/>
          <w:szCs w:val="24"/>
          <w:highlight w:val="none"/>
          <w:lang w:eastAsia="zh-CN"/>
          <w14:textFill>
            <w14:solidFill>
              <w14:schemeClr w14:val="tx1"/>
            </w14:solidFill>
          </w14:textFill>
        </w:rPr>
        <w:t>（含二都桥片区）</w:t>
      </w:r>
      <w:r>
        <w:rPr>
          <w:rFonts w:hint="eastAsia" w:ascii="仿宋" w:hAnsi="仿宋" w:eastAsia="仿宋" w:cs="仿宋"/>
          <w:bCs/>
          <w:color w:val="000000" w:themeColor="text1"/>
          <w:sz w:val="24"/>
          <w:szCs w:val="24"/>
          <w:highlight w:val="none"/>
          <w14:textFill>
            <w14:solidFill>
              <w14:schemeClr w14:val="tx1"/>
            </w14:solidFill>
          </w14:textFill>
        </w:rPr>
        <w:t>、何家乡渔家乐一条街。</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本项目有下列情形的，采购人有权终止合同：</w:t>
      </w:r>
    </w:p>
    <w:p>
      <w:pPr>
        <w:snapToGrid w:val="0"/>
        <w:spacing w:line="360" w:lineRule="auto"/>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1）本项目遇不可抗力影响或国家政策或法律法规的重大调整影响合同无法执行的</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2）实际投入人员、机械车辆、与投标文件承诺不符合，拒不履行投标承诺的</w:t>
      </w:r>
      <w:r>
        <w:rPr>
          <w:rFonts w:hint="eastAsia" w:ascii="仿宋" w:hAnsi="仿宋" w:eastAsia="仿宋" w:cs="仿宋"/>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（未按招标文件规定时间机械车辆到位的），采购人有权无责任终止采购合同，并没收其全部履约保证金。</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3）按招标文件规定的考核办法，</w:t>
      </w:r>
      <w:r>
        <w:rPr>
          <w:rFonts w:hint="eastAsia" w:ascii="仿宋" w:hAnsi="仿宋" w:eastAsia="仿宋" w:cs="仿宋"/>
          <w:bCs/>
          <w:color w:val="000000" w:themeColor="text1"/>
          <w:sz w:val="24"/>
          <w:szCs w:val="24"/>
          <w:highlight w:val="none"/>
          <w:lang w:eastAsia="zh-CN"/>
          <w14:textFill>
            <w14:solidFill>
              <w14:schemeClr w14:val="tx1"/>
            </w14:solidFill>
          </w14:textFill>
        </w:rPr>
        <w:t>连续3个月或累计6个月</w:t>
      </w:r>
      <w:r>
        <w:rPr>
          <w:rFonts w:hint="eastAsia" w:ascii="仿宋" w:hAnsi="仿宋" w:eastAsia="仿宋" w:cs="仿宋"/>
          <w:bCs/>
          <w:color w:val="000000" w:themeColor="text1"/>
          <w:sz w:val="24"/>
          <w:szCs w:val="24"/>
          <w:highlight w:val="none"/>
          <w14:textFill>
            <w14:solidFill>
              <w14:schemeClr w14:val="tx1"/>
            </w14:solidFill>
          </w14:textFill>
        </w:rPr>
        <w:t>考核分低于 80 分（不含 80 分），采购人有权终止合同，没收履约保证金，引起的一切后果均</w:t>
      </w:r>
      <w:r>
        <w:rPr>
          <w:rFonts w:hint="eastAsia" w:ascii="仿宋" w:hAnsi="仿宋" w:eastAsia="仿宋" w:cs="仿宋"/>
          <w:bCs/>
          <w:color w:val="000000" w:themeColor="text1"/>
          <w:sz w:val="24"/>
          <w:szCs w:val="24"/>
          <w:highlight w:val="none"/>
          <w:lang w:eastAsia="zh-CN"/>
          <w14:textFill>
            <w14:solidFill>
              <w14:schemeClr w14:val="tx1"/>
            </w14:solidFill>
          </w14:textFill>
        </w:rPr>
        <w:t>由乙方</w:t>
      </w:r>
      <w:r>
        <w:rPr>
          <w:rFonts w:hint="eastAsia" w:ascii="仿宋" w:hAnsi="仿宋" w:eastAsia="仿宋" w:cs="仿宋"/>
          <w:bCs/>
          <w:color w:val="000000" w:themeColor="text1"/>
          <w:sz w:val="24"/>
          <w:szCs w:val="24"/>
          <w:highlight w:val="none"/>
          <w14:textFill>
            <w14:solidFill>
              <w14:schemeClr w14:val="tx1"/>
            </w14:solidFill>
          </w14:textFill>
        </w:rPr>
        <w:t xml:space="preserve">承担。 </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4）有以下行为之一的，采购人有权终止合同：</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（1）违反安全管理、规范作业规定，造成重大伤亡或重大损失。</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（2）经省、市级新闻媒体曝光，</w:t>
      </w:r>
      <w:r>
        <w:rPr>
          <w:rFonts w:hint="eastAsia" w:ascii="仿宋" w:hAnsi="仿宋" w:eastAsia="仿宋" w:cs="仿宋"/>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为责任方，造成影响极其恶劣影响的。</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（3）违反劳动法或其他相关法律法规，造成恶劣影响的。</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w:t>
      </w:r>
      <w:r>
        <w:rPr>
          <w:rFonts w:hint="eastAsia" w:ascii="仿宋" w:hAnsi="仿宋" w:eastAsia="仿宋" w:cs="仿宋"/>
          <w:bCs/>
          <w:color w:val="000000" w:themeColor="text1"/>
          <w:sz w:val="24"/>
          <w:szCs w:val="24"/>
          <w:highlight w:val="none"/>
          <w:lang w:eastAsia="zh-CN"/>
          <w14:textFill>
            <w14:solidFill>
              <w14:schemeClr w14:val="tx1"/>
            </w14:solidFill>
          </w14:textFill>
        </w:rPr>
        <w:t>其他</w:t>
      </w:r>
      <w:r>
        <w:rPr>
          <w:rFonts w:hint="eastAsia" w:ascii="仿宋" w:hAnsi="仿宋" w:eastAsia="仿宋" w:cs="仿宋"/>
          <w:bCs/>
          <w:color w:val="000000" w:themeColor="text1"/>
          <w:sz w:val="24"/>
          <w:szCs w:val="24"/>
          <w:highlight w:val="none"/>
          <w14:textFill>
            <w14:solidFill>
              <w14:schemeClr w14:val="tx1"/>
            </w14:solidFill>
          </w14:textFill>
        </w:rPr>
        <w:t>弄虚作假及其他不正当行为。</w:t>
      </w:r>
    </w:p>
    <w:p>
      <w:pPr>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5）合同期限届满时自行终止。</w:t>
      </w:r>
    </w:p>
    <w:p>
      <w:pPr>
        <w:snapToGrid w:val="0"/>
        <w:spacing w:line="360" w:lineRule="auto"/>
        <w:ind w:firstLine="480" w:firstLineChars="20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6）合同履约期间，</w:t>
      </w:r>
      <w:r>
        <w:rPr>
          <w:rFonts w:hint="eastAsia" w:ascii="仿宋" w:hAnsi="仿宋" w:eastAsia="仿宋" w:cs="仿宋"/>
          <w:bCs/>
          <w:color w:val="000000" w:themeColor="text1"/>
          <w:sz w:val="24"/>
          <w:szCs w:val="24"/>
          <w:highlight w:val="none"/>
          <w:lang w:eastAsia="zh-CN"/>
          <w14:textFill>
            <w14:solidFill>
              <w14:schemeClr w14:val="tx1"/>
            </w14:solidFill>
          </w14:textFill>
        </w:rPr>
        <w:t>乙方</w:t>
      </w:r>
      <w:r>
        <w:rPr>
          <w:rFonts w:hint="eastAsia" w:ascii="仿宋" w:hAnsi="仿宋" w:eastAsia="仿宋" w:cs="仿宋"/>
          <w:bCs/>
          <w:color w:val="000000" w:themeColor="text1"/>
          <w:sz w:val="24"/>
          <w:szCs w:val="24"/>
          <w:highlight w:val="none"/>
          <w14:textFill>
            <w14:solidFill>
              <w14:schemeClr w14:val="tx1"/>
            </w14:solidFill>
          </w14:textFill>
        </w:rPr>
        <w:t>法人组织破产，或重组变更法人主体的</w:t>
      </w:r>
      <w:r>
        <w:rPr>
          <w:rFonts w:hint="eastAsia" w:ascii="仿宋" w:hAnsi="仿宋" w:eastAsia="仿宋" w:cs="仿宋"/>
          <w:bCs/>
          <w:color w:val="000000" w:themeColor="text1"/>
          <w:sz w:val="24"/>
          <w:szCs w:val="24"/>
          <w:highlight w:val="none"/>
          <w:lang w:eastAsia="zh-CN"/>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7）根据招标文件及合同规定，</w:t>
      </w:r>
      <w:r>
        <w:rPr>
          <w:rFonts w:hint="eastAsia" w:ascii="仿宋" w:hAnsi="仿宋" w:eastAsia="仿宋" w:cs="仿宋"/>
          <w:bCs/>
          <w:color w:val="000000" w:themeColor="text1"/>
          <w:sz w:val="24"/>
          <w:szCs w:val="24"/>
          <w:highlight w:val="none"/>
          <w:lang w:eastAsia="zh-CN"/>
          <w14:textFill>
            <w14:solidFill>
              <w14:schemeClr w14:val="tx1"/>
            </w14:solidFill>
          </w14:textFill>
        </w:rPr>
        <w:t>其他不</w:t>
      </w:r>
      <w:r>
        <w:rPr>
          <w:rFonts w:hint="eastAsia" w:ascii="仿宋" w:hAnsi="仿宋" w:eastAsia="仿宋" w:cs="仿宋"/>
          <w:bCs/>
          <w:color w:val="000000" w:themeColor="text1"/>
          <w:sz w:val="24"/>
          <w:szCs w:val="24"/>
          <w:highlight w:val="none"/>
          <w14:textFill>
            <w14:solidFill>
              <w14:schemeClr w14:val="tx1"/>
            </w14:solidFill>
          </w14:textFill>
        </w:rPr>
        <w:t>续签或终止合同的规定，</w:t>
      </w:r>
      <w:r>
        <w:rPr>
          <w:rFonts w:hint="eastAsia" w:ascii="仿宋" w:hAnsi="仿宋" w:eastAsia="仿宋" w:cs="仿宋"/>
          <w:bCs/>
          <w:color w:val="000000" w:themeColor="text1"/>
          <w:sz w:val="24"/>
          <w:szCs w:val="24"/>
          <w:highlight w:val="none"/>
          <w:lang w:eastAsia="zh-CN"/>
          <w14:textFill>
            <w14:solidFill>
              <w14:schemeClr w14:val="tx1"/>
            </w14:solidFill>
          </w14:textFill>
        </w:rPr>
        <w:t>其他法律</w:t>
      </w:r>
      <w:r>
        <w:rPr>
          <w:rFonts w:hint="eastAsia" w:ascii="仿宋" w:hAnsi="仿宋" w:eastAsia="仿宋" w:cs="仿宋"/>
          <w:bCs/>
          <w:color w:val="000000" w:themeColor="text1"/>
          <w:sz w:val="24"/>
          <w:szCs w:val="24"/>
          <w:highlight w:val="none"/>
          <w14:textFill>
            <w14:solidFill>
              <w14:schemeClr w14:val="tx1"/>
            </w14:solidFill>
          </w14:textFill>
        </w:rPr>
        <w:t>规定的终止情形。</w:t>
      </w:r>
    </w:p>
    <w:p>
      <w:pPr>
        <w:pStyle w:val="9"/>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七、税费</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本合同执行中相关的一切税费均由乙方负担。</w:t>
      </w:r>
    </w:p>
    <w:p>
      <w:pPr>
        <w:pStyle w:val="9"/>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八、质量保证及后续服务</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1、乙方应按招标文件规定向甲方提供服务。</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2、乙方提供的服务成果在服务质量保证期内发生故障，乙方应负责免费提供后续服务。对达不到要求者，根据实际情况，经双方协商，可按以下办法处理：</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（1）重做：由乙方承担所发生的全部费用。</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（2）贬值处理：由甲乙双方合议定价。</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（3）解除合同。</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3、如在使用过程中发生问题，乙方在接到甲方通知后在</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小时内到达甲方现场。</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4、在服务质量保证期内，乙方应对货物出现的质量及安全问题负责处理解决并承担一切费用。</w:t>
      </w:r>
    </w:p>
    <w:p>
      <w:pPr>
        <w:pStyle w:val="9"/>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九、违约责任</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1、甲方无正当理由拒收接受服务的，甲方向乙方偿付合同款项百分之五作为违约金。</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2、甲方无故逾期验收和办理款项支付手续的，甲方应按逾期付款总额每日万分之五向乙方支付违约金。</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3、乙方未能如期提供服务的，每日向甲方支付合同款项的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千</w:t>
      </w:r>
      <w:r>
        <w:rPr>
          <w:rFonts w:hint="eastAsia" w:ascii="仿宋" w:hAnsi="仿宋" w:eastAsia="仿宋" w:cs="仿宋"/>
          <w:color w:val="000000" w:themeColor="text1"/>
          <w:sz w:val="24"/>
          <w:szCs w:val="24"/>
          <w:highlight w:val="none"/>
          <w14:textFill>
            <w14:solidFill>
              <w14:schemeClr w14:val="tx1"/>
            </w14:solidFill>
          </w14:textFill>
        </w:rPr>
        <w:t>分之五作为违约金。</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乙方超过约定日期10个工作日仍不能提供服务的，甲方可解除本合同。乙方因未能如期提供服务或因其他违约行为导致甲方解除合同的，乙方应向甲方支付合同总值百分之五%的违约金，如造成甲方损失超过违约金的，超出部分由乙方继续承担赔偿责任。</w:t>
      </w:r>
    </w:p>
    <w:p>
      <w:pPr>
        <w:pStyle w:val="9"/>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十、不可抗力事件处理</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2、不可抗力事件发生后，应立即通知对方，并寄送有关权威机构出具的证明。</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3、不可抗力事件延续120天以上，双方应通过友好协商，确定是否继续履行合同。</w:t>
      </w:r>
    </w:p>
    <w:p>
      <w:pPr>
        <w:pStyle w:val="9"/>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十一、</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争议解决</w:t>
      </w:r>
    </w:p>
    <w:p>
      <w:pPr>
        <w:pStyle w:val="101"/>
        <w:spacing w:line="360" w:lineRule="auto"/>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双方在履行合同中所发生的一切争议，应通过协商解决。如协商不成，任何一方可向甲方所在地人民法院起诉。</w:t>
      </w:r>
    </w:p>
    <w:p>
      <w:pPr>
        <w:pStyle w:val="9"/>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十二、合同生效</w:t>
      </w:r>
      <w:r>
        <w:rPr>
          <w:rFonts w:hint="eastAsia" w:ascii="仿宋" w:hAnsi="仿宋" w:eastAsia="仿宋" w:cs="仿宋"/>
          <w:b/>
          <w:bCs/>
          <w:color w:val="000000" w:themeColor="text1"/>
          <w:sz w:val="24"/>
          <w:szCs w:val="24"/>
          <w:highlight w:val="none"/>
          <w:lang w:eastAsia="zh-CN"/>
          <w14:textFill>
            <w14:solidFill>
              <w14:schemeClr w14:val="tx1"/>
            </w14:solidFill>
          </w14:textFill>
        </w:rPr>
        <w:t>及其他</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1、合同经双方法定代表人或授权代表签字并加盖单位公章后生效。</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2、合同执行中涉及采购资金和采购内容修改或补充的，须经财政部门审批，并</w:t>
      </w:r>
      <w:r>
        <w:rPr>
          <w:rFonts w:hint="eastAsia" w:ascii="仿宋" w:hAnsi="仿宋" w:eastAsia="仿宋" w:cs="仿宋"/>
          <w:color w:val="000000" w:themeColor="text1"/>
          <w:sz w:val="24"/>
          <w:szCs w:val="24"/>
          <w:highlight w:val="none"/>
          <w:lang w:eastAsia="zh-CN"/>
          <w14:textFill>
            <w14:solidFill>
              <w14:schemeClr w14:val="tx1"/>
            </w14:solidFill>
          </w14:textFill>
        </w:rPr>
        <w:t>签订</w:t>
      </w:r>
      <w:r>
        <w:rPr>
          <w:rFonts w:hint="eastAsia" w:ascii="仿宋" w:hAnsi="仿宋" w:eastAsia="仿宋" w:cs="仿宋"/>
          <w:color w:val="000000" w:themeColor="text1"/>
          <w:sz w:val="24"/>
          <w:szCs w:val="24"/>
          <w:highlight w:val="none"/>
          <w14:textFill>
            <w14:solidFill>
              <w14:schemeClr w14:val="tx1"/>
            </w14:solidFill>
          </w14:textFill>
        </w:rPr>
        <w:t>书面补充协议报政府采购监督管理部门备案，方可作为主合同不可分割的一部分。</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3、招标文件、投标文件及评标过程中形成的文字资料、询标纪要均作为本合同的组成部分，具有同等效力。</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4、本合同未尽事宜，遵照《中华人民共和国民法典》有关条文执行。</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5、本合同正本一式伍份，具有同等法律效力，甲乙双方各执两份，代理机构各执一份。</w:t>
      </w:r>
    </w:p>
    <w:p>
      <w:pPr>
        <w:pStyle w:val="9"/>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甲方（盖章）：                            乙方（盖章）：        </w:t>
      </w:r>
    </w:p>
    <w:p>
      <w:pPr>
        <w:pStyle w:val="9"/>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法定代表人                                法定代表人  </w:t>
      </w:r>
    </w:p>
    <w:p>
      <w:pPr>
        <w:pStyle w:val="9"/>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或受委托人（签字）：                      或受委托人（签字）：  </w:t>
      </w:r>
    </w:p>
    <w:p>
      <w:pPr>
        <w:pStyle w:val="9"/>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                                  联系人：</w:t>
      </w:r>
    </w:p>
    <w:p>
      <w:pPr>
        <w:pStyle w:val="9"/>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地址：                                    地址： </w:t>
      </w:r>
    </w:p>
    <w:p>
      <w:pPr>
        <w:pStyle w:val="9"/>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                                    电话：</w:t>
      </w:r>
    </w:p>
    <w:p>
      <w:pPr>
        <w:pStyle w:val="9"/>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                                    传真：</w:t>
      </w:r>
    </w:p>
    <w:p>
      <w:pPr>
        <w:pStyle w:val="9"/>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开户银行：                                开户银行： </w:t>
      </w:r>
    </w:p>
    <w:p>
      <w:pPr>
        <w:pStyle w:val="9"/>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账号</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账号</w:t>
      </w:r>
      <w:r>
        <w:rPr>
          <w:rFonts w:hint="eastAsia" w:ascii="仿宋" w:hAnsi="仿宋" w:eastAsia="仿宋" w:cs="仿宋"/>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合同鉴证方：浙江九越建设管理有限公司      鉴证日期：</w:t>
      </w:r>
    </w:p>
    <w:p>
      <w:pP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br w:type="page"/>
      </w:r>
    </w:p>
    <w:bookmarkEnd w:id="156"/>
    <w:bookmarkEnd w:id="157"/>
    <w:p>
      <w:pPr>
        <w:spacing w:line="440" w:lineRule="exact"/>
        <w:jc w:val="center"/>
        <w:outlineLvl w:val="0"/>
        <w:rPr>
          <w:rStyle w:val="19"/>
          <w:rFonts w:hint="eastAsia" w:ascii="仿宋" w:hAnsi="仿宋" w:eastAsia="仿宋" w:cs="仿宋"/>
          <w:color w:val="000000" w:themeColor="text1"/>
          <w:sz w:val="28"/>
          <w:szCs w:val="28"/>
          <w:highlight w:val="none"/>
          <w14:textFill>
            <w14:solidFill>
              <w14:schemeClr w14:val="tx1"/>
            </w14:solidFill>
          </w14:textFill>
        </w:rPr>
      </w:pPr>
      <w:bookmarkStart w:id="159" w:name="_Toc13747"/>
      <w:r>
        <w:rPr>
          <w:rStyle w:val="19"/>
          <w:rFonts w:hint="eastAsia" w:ascii="仿宋" w:hAnsi="仿宋" w:eastAsia="仿宋" w:cs="仿宋"/>
          <w:color w:val="000000" w:themeColor="text1"/>
          <w:sz w:val="28"/>
          <w:szCs w:val="28"/>
          <w:highlight w:val="none"/>
          <w14:textFill>
            <w14:solidFill>
              <w14:schemeClr w14:val="tx1"/>
            </w14:solidFill>
          </w14:textFill>
        </w:rPr>
        <w:t>第五章 评标原则及办法</w:t>
      </w:r>
      <w:bookmarkEnd w:id="159"/>
    </w:p>
    <w:p>
      <w:pPr>
        <w:spacing w:line="440" w:lineRule="exact"/>
        <w:ind w:left="439" w:leftChars="209"/>
        <w:rPr>
          <w:rFonts w:hint="eastAsia" w:ascii="仿宋" w:hAnsi="仿宋" w:eastAsia="仿宋" w:cs="仿宋"/>
          <w:b/>
          <w:color w:val="000000" w:themeColor="text1"/>
          <w:sz w:val="24"/>
          <w:highlight w:val="none"/>
          <w14:textFill>
            <w14:solidFill>
              <w14:schemeClr w14:val="tx1"/>
            </w14:solidFill>
          </w14:textFill>
        </w:rPr>
      </w:pPr>
      <w:bookmarkStart w:id="160" w:name="_Toc221356966"/>
      <w:bookmarkStart w:id="161" w:name="_Toc221356903"/>
      <w:r>
        <w:rPr>
          <w:rFonts w:hint="eastAsia" w:ascii="仿宋" w:hAnsi="仿宋" w:eastAsia="仿宋" w:cs="仿宋"/>
          <w:b/>
          <w:color w:val="000000" w:themeColor="text1"/>
          <w:sz w:val="24"/>
          <w:highlight w:val="none"/>
          <w14:textFill>
            <w14:solidFill>
              <w14:schemeClr w14:val="tx1"/>
            </w14:solidFill>
          </w14:textFill>
        </w:rPr>
        <w:t>根据《中华人民共和国政府采购法》等相关法规特制定以下评标办法。</w:t>
      </w:r>
    </w:p>
    <w:p>
      <w:pPr>
        <w:autoSpaceDE w:val="0"/>
        <w:autoSpaceDN w:val="0"/>
        <w:snapToGrid w:val="0"/>
        <w:spacing w:line="440" w:lineRule="exact"/>
        <w:jc w:val="left"/>
        <w:outlineLvl w:val="1"/>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一、评标原则</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评标工作遵循公平、公正、科学、择优原则和诚实、信誉、效率的服务原则。本着科学、严谨的态度，认真进行评标。择优选用，推进技术进步，确保工程质量、交货按期，节约投资，最大限度</w:t>
      </w:r>
      <w:r>
        <w:rPr>
          <w:rFonts w:hint="eastAsia" w:ascii="仿宋" w:hAnsi="仿宋" w:eastAsia="仿宋" w:cs="仿宋"/>
          <w:color w:val="000000" w:themeColor="text1"/>
          <w:sz w:val="24"/>
          <w:highlight w:val="none"/>
          <w:lang w:eastAsia="zh-CN"/>
          <w14:textFill>
            <w14:solidFill>
              <w14:schemeClr w14:val="tx1"/>
            </w14:solidFill>
          </w14:textFill>
        </w:rPr>
        <w:t>地</w:t>
      </w:r>
      <w:r>
        <w:rPr>
          <w:rFonts w:hint="eastAsia" w:ascii="仿宋" w:hAnsi="仿宋" w:eastAsia="仿宋" w:cs="仿宋"/>
          <w:color w:val="000000" w:themeColor="text1"/>
          <w:sz w:val="24"/>
          <w:highlight w:val="none"/>
          <w14:textFill>
            <w14:solidFill>
              <w14:schemeClr w14:val="tx1"/>
            </w14:solidFill>
          </w14:textFill>
        </w:rPr>
        <w:t>保护当事人权益。严格按照招标文件的商务、技术要求，对响应文件进行综合评定，提出优选方案，编写评标报告。对落标单位，评标委员会</w:t>
      </w:r>
      <w:r>
        <w:rPr>
          <w:rFonts w:hint="eastAsia" w:ascii="仿宋" w:hAnsi="仿宋" w:eastAsia="仿宋" w:cs="仿宋"/>
          <w:color w:val="000000" w:themeColor="text1"/>
          <w:sz w:val="24"/>
          <w:highlight w:val="none"/>
          <w:lang w:eastAsia="zh-CN"/>
          <w14:textFill>
            <w14:solidFill>
              <w14:schemeClr w14:val="tx1"/>
            </w14:solidFill>
          </w14:textFill>
        </w:rPr>
        <w:t>不作</w:t>
      </w:r>
      <w:r>
        <w:rPr>
          <w:rFonts w:hint="eastAsia" w:ascii="仿宋" w:hAnsi="仿宋" w:eastAsia="仿宋" w:cs="仿宋"/>
          <w:color w:val="000000" w:themeColor="text1"/>
          <w:sz w:val="24"/>
          <w:highlight w:val="none"/>
          <w14:textFill>
            <w14:solidFill>
              <w14:schemeClr w14:val="tx1"/>
            </w14:solidFill>
          </w14:textFill>
        </w:rPr>
        <w:t>任何落标解释。供应商不得以任何方式干扰招投标工作的进行，一经发现其响应文件将被拒绝。</w:t>
      </w:r>
    </w:p>
    <w:p>
      <w:pPr>
        <w:autoSpaceDE w:val="0"/>
        <w:autoSpaceDN w:val="0"/>
        <w:snapToGrid w:val="0"/>
        <w:spacing w:line="440" w:lineRule="exact"/>
        <w:jc w:val="left"/>
        <w:outlineLvl w:val="1"/>
        <w:rPr>
          <w:rFonts w:hint="eastAsia" w:ascii="仿宋" w:hAnsi="仿宋" w:eastAsia="仿宋" w:cs="仿宋"/>
          <w:b/>
          <w:bCs/>
          <w:color w:val="000000" w:themeColor="text1"/>
          <w:sz w:val="24"/>
          <w:highlight w:val="none"/>
          <w:lang w:val="zh-CN"/>
          <w14:textFill>
            <w14:solidFill>
              <w14:schemeClr w14:val="tx1"/>
            </w14:solidFill>
          </w14:textFill>
        </w:rPr>
      </w:pPr>
      <w:bookmarkStart w:id="162" w:name="_Toc476644721"/>
      <w:bookmarkEnd w:id="162"/>
      <w:bookmarkStart w:id="163" w:name="_Toc476644266"/>
      <w:bookmarkEnd w:id="163"/>
      <w:r>
        <w:rPr>
          <w:rFonts w:hint="eastAsia" w:ascii="仿宋" w:hAnsi="仿宋" w:eastAsia="仿宋" w:cs="仿宋"/>
          <w:b/>
          <w:bCs/>
          <w:color w:val="000000" w:themeColor="text1"/>
          <w:sz w:val="24"/>
          <w:highlight w:val="none"/>
          <w:lang w:val="zh-CN"/>
          <w14:textFill>
            <w14:solidFill>
              <w14:schemeClr w14:val="tx1"/>
            </w14:solidFill>
          </w14:textFill>
        </w:rPr>
        <w:t>二、评标委员会的组成</w:t>
      </w:r>
    </w:p>
    <w:p>
      <w:pPr>
        <w:autoSpaceDE w:val="0"/>
        <w:autoSpaceDN w:val="0"/>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Cs/>
          <w:color w:val="000000" w:themeColor="text1"/>
          <w:kern w:val="0"/>
          <w:sz w:val="24"/>
          <w:highlight w:val="none"/>
          <w14:textFill>
            <w14:solidFill>
              <w14:schemeClr w14:val="tx1"/>
            </w14:solidFill>
          </w14:textFill>
        </w:rPr>
        <w:t>本项目评标委员会由评标专家确定方式：共5人组成，其中采购人代表1名，其余4名从“政采云专家库系统”中随机抽取产生</w:t>
      </w:r>
      <w:r>
        <w:rPr>
          <w:rFonts w:hint="eastAsia" w:ascii="仿宋" w:hAnsi="仿宋" w:eastAsia="仿宋" w:cs="仿宋"/>
          <w:color w:val="000000" w:themeColor="text1"/>
          <w:sz w:val="24"/>
          <w:highlight w:val="none"/>
          <w14:textFill>
            <w14:solidFill>
              <w14:schemeClr w14:val="tx1"/>
            </w14:solidFill>
          </w14:textFill>
        </w:rPr>
        <w:t>，评标委员会对投标文件进行评审。</w:t>
      </w:r>
    </w:p>
    <w:p>
      <w:pPr>
        <w:autoSpaceDE w:val="0"/>
        <w:autoSpaceDN w:val="0"/>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2.在线询标期间，投标人法定代表人或法定代表人授权委托人必须在线，负责解答有关事宜。如不在线或未在规定时间内回复，则事后不得对采购过程及结果提出异议。</w:t>
      </w:r>
    </w:p>
    <w:p>
      <w:pPr>
        <w:autoSpaceDE w:val="0"/>
        <w:autoSpaceDN w:val="0"/>
        <w:snapToGrid w:val="0"/>
        <w:spacing w:line="440" w:lineRule="exact"/>
        <w:jc w:val="left"/>
        <w:outlineLvl w:val="1"/>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三、评标方法</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1.投标报价是指报价合计。</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采用综合评分法，即以投标人完全响应招标文件设定的全部责任条款为前提。由评标委员会按招标文件中规定的各项因素进行综合评审，确定综合得分最高的投标人为中标人。如最高综合得分相同，按投标报价由高到低顺序排列；如综合得分和投标报价均相同，则采购单位现场抽签确定中标人。计算结果按四舍五入，保留两位小数。</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3.评标标准</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各投标人的综合得分为报价得分和技术资信得分之和，总分为100分，其中：报价分20分，技术资信分80分。各投标人的资信评分由评标委员会统一打分，技术评分按照评标委员会成员的独立评分结果汇总后的算术平均分计算；各投标人的报价分得分按低价优先法计算。</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3.1报价分（20分）：</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3.1.1报价得分采用低价优先法准则，即满足招标文件要求且投标价格最低的投标报价为评标基准价。</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3.1.2报价得分按下列公式计算：</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报价得分 =（评标基准价 / 投标报价）×20% × 100，</w:t>
      </w:r>
      <w:r>
        <w:rPr>
          <w:rFonts w:hint="eastAsia" w:ascii="仿宋" w:hAnsi="仿宋" w:eastAsia="仿宋" w:cs="仿宋"/>
          <w:bCs/>
          <w:color w:val="000000" w:themeColor="text1"/>
          <w:sz w:val="24"/>
          <w:highlight w:val="none"/>
          <w14:textFill>
            <w14:solidFill>
              <w14:schemeClr w14:val="tx1"/>
            </w14:solidFill>
          </w14:textFill>
        </w:rPr>
        <w:t>结果四舍五入，保留两位小数。</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技术资信分（80分）：</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资信评分由评标委员会统一打分，技术评分按照评标委员会成员的独立评分结果汇总后的算术平均分计算。</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8181"/>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484" w:type="dxa"/>
            <w:noWrap/>
            <w:vAlign w:val="center"/>
          </w:tcPr>
          <w:p>
            <w:pPr>
              <w:widowControl/>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评审项目</w:t>
            </w:r>
          </w:p>
        </w:tc>
        <w:tc>
          <w:tcPr>
            <w:tcW w:w="8181" w:type="dxa"/>
            <w:noWrap w:val="0"/>
            <w:vAlign w:val="center"/>
          </w:tcPr>
          <w:p>
            <w:pPr>
              <w:widowControl/>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评分标准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84" w:type="dxa"/>
            <w:noWrap/>
            <w:vAlign w:val="center"/>
          </w:tcPr>
          <w:p>
            <w:pPr>
              <w:widowControl/>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同类业绩</w:t>
            </w:r>
          </w:p>
        </w:tc>
        <w:tc>
          <w:tcPr>
            <w:tcW w:w="8181" w:type="dxa"/>
            <w:noWrap w:val="0"/>
            <w:vAlign w:val="center"/>
          </w:tcPr>
          <w:p>
            <w:pPr>
              <w:widowControl/>
              <w:spacing w:line="360" w:lineRule="auto"/>
              <w:ind w:firstLine="480" w:firstLineChars="200"/>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投标人在</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2021年1月1日以来具有类似项目业绩的每提供一个得1分，最高得2分。（时间以合同签订时间为准，提供中标通知书、合同原件的扫描件及业主单位联</w:t>
            </w:r>
            <w:bookmarkStart w:id="210" w:name="_GoBack"/>
            <w:bookmarkEnd w:id="210"/>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系方式，未提供不得分）。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84" w:type="dxa"/>
            <w:noWrap/>
            <w:vAlign w:val="center"/>
          </w:tcPr>
          <w:p>
            <w:pPr>
              <w:widowControl/>
              <w:spacing w:line="360" w:lineRule="auto"/>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项目负责人</w:t>
            </w:r>
          </w:p>
        </w:tc>
        <w:tc>
          <w:tcPr>
            <w:tcW w:w="8181" w:type="dxa"/>
            <w:noWrap w:val="0"/>
            <w:vAlign w:val="center"/>
          </w:tcPr>
          <w:p>
            <w:pPr>
              <w:widowControl/>
              <w:spacing w:line="360" w:lineRule="auto"/>
              <w:ind w:firstLine="480" w:firstLineChars="200"/>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投标人项目负责人具有环保相关专业高级职称得</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2分、中级职称得1分，其他不得分（需提供相关证明材料扫描件加盖单位公章，并需提供2024年3、4、5三个月的社保证明，未提供者不得分）。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484" w:type="dxa"/>
            <w:noWrap/>
            <w:vAlign w:val="center"/>
          </w:tcPr>
          <w:p>
            <w:pPr>
              <w:widowControl/>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项目需求的理解程度</w:t>
            </w:r>
          </w:p>
        </w:tc>
        <w:tc>
          <w:tcPr>
            <w:tcW w:w="8181" w:type="dxa"/>
            <w:noWrap w:val="0"/>
            <w:vAlign w:val="center"/>
          </w:tcPr>
          <w:p>
            <w:pPr>
              <w:widowControl/>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需求的理解程度</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根据投标</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人</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对本项目收集区域的了解程度进行打分；（0-2分）</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投标人对本项目收集作业要求及处置要求的明确性；（0-2分）</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投标人对在需求中，对于在时限内按时完成投产作业的认知。（0-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484" w:type="dxa"/>
            <w:vMerge w:val="restart"/>
            <w:noWrap/>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收运方案</w:t>
            </w: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收运服务</w:t>
            </w:r>
            <w:r>
              <w:rPr>
                <w:rFonts w:hint="eastAsia" w:ascii="仿宋" w:hAnsi="仿宋" w:eastAsia="仿宋" w:cs="仿宋"/>
                <w:b w:val="0"/>
                <w:bCs w:val="0"/>
                <w:color w:val="000000" w:themeColor="text1"/>
                <w:sz w:val="24"/>
                <w:szCs w:val="24"/>
                <w:highlight w:val="none"/>
                <w:lang w:val="zh-CN" w:eastAsia="zh-CN"/>
                <w14:textFill>
                  <w14:solidFill>
                    <w14:schemeClr w14:val="tx1"/>
                  </w14:solidFill>
                </w14:textFill>
              </w:rPr>
              <w:t>总体方案</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根据投标人针对本项目收运服务</w:t>
            </w:r>
            <w:r>
              <w:rPr>
                <w:rFonts w:hint="eastAsia" w:ascii="仿宋" w:hAnsi="仿宋" w:eastAsia="仿宋" w:cs="仿宋"/>
                <w:b w:val="0"/>
                <w:bCs w:val="0"/>
                <w:color w:val="000000" w:themeColor="text1"/>
                <w:sz w:val="24"/>
                <w:szCs w:val="24"/>
                <w:highlight w:val="none"/>
                <w:lang w:val="zh-CN" w:eastAsia="zh-CN"/>
                <w14:textFill>
                  <w14:solidFill>
                    <w14:schemeClr w14:val="tx1"/>
                  </w14:solidFill>
                </w14:textFill>
              </w:rPr>
              <w:t>总体方案</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的完整合理可行性进行综合打分。（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0-3分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484" w:type="dxa"/>
            <w:vMerge w:val="continue"/>
            <w:noWrap/>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重点难点措施</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（1）车辆配置、运行线路的重点、难点解决方案进行综合评审；（0-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（2）具体作业流程、行程安排的重点、难点解决方案进行综合评审；（0-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484" w:type="dxa"/>
            <w:vMerge w:val="continue"/>
            <w:noWrap/>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收运体系的完善程度</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（1）根据投标人提供的收运制度的建立方案进行综合评审；（0-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）根据投标人提供与政府配合做好运营期监管方案进行综合评审；（0-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4" w:type="dxa"/>
            <w:vMerge w:val="continue"/>
            <w:noWrap/>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收运队伍组建</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根据投标人提供的针对本项目收运队伍人员架构的完整性（0-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分）、分工明确（0-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分）、职责清晰（0-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分）、队伍的维稳（0-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分）方案进行综合评分。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84" w:type="dxa"/>
            <w:vMerge w:val="continue"/>
            <w:noWrap/>
            <w:vAlign w:val="center"/>
          </w:tcPr>
          <w:p>
            <w:pPr>
              <w:widowControl/>
              <w:spacing w:line="360" w:lineRule="auto"/>
              <w:ind w:firstLine="480" w:firstLineChars="200"/>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收运距离及收运规划</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根据投标人提供的餐厨垃圾处理厂距离本项目服务区域的远近（0-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分）、收运线路的规划设计（0-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分）进行综合评分。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84" w:type="dxa"/>
            <w:vMerge w:val="continue"/>
            <w:noWrap w:val="0"/>
            <w:vAlign w:val="center"/>
          </w:tcPr>
          <w:p>
            <w:pPr>
              <w:widowControl/>
              <w:spacing w:line="360" w:lineRule="auto"/>
              <w:ind w:firstLine="480" w:firstLineChars="200"/>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环保作业、文明服务措施</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根据投标人针对本项目提供的环保作业（0-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分）、文明服务措施（0-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分）内容完整性、规范性及针对性进行综合评分。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484" w:type="dxa"/>
            <w:vMerge w:val="restart"/>
            <w:noWrap/>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处置设施处理工艺</w:t>
            </w: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总体工艺</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根据投标人提供的</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针对本项目</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处置场所工艺路线成熟的可靠性（0-2分），对项目所在地垃圾物料特性差异的适应性（0-2分），资源化利用程度（0-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分）等方面进行综合评分。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484" w:type="dxa"/>
            <w:vMerge w:val="continue"/>
            <w:noWrap w:val="0"/>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整体技术方案</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投标人提供本项目的整体技术方案需要很好的完整性，包括但不限于：餐厨（厨余）垃圾预处理系统（</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0-2分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），水、固、气处置系统（</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0-3分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）；其他污染物处置系统（</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0-2分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）；分类清运系统等（</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0-2分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484" w:type="dxa"/>
            <w:vMerge w:val="continue"/>
            <w:noWrap w:val="0"/>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处置过程中环保方案：</w:t>
            </w:r>
          </w:p>
          <w:p>
            <w:pPr>
              <w:widowControl/>
              <w:spacing w:line="360" w:lineRule="auto"/>
              <w:jc w:val="left"/>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投标人提供厨余）垃圾预处理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环保方案进行综合打分，包括但不限于处置过程中产生的废水、废气、噪音、固废等（0-3分）。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484" w:type="dxa"/>
            <w:noWrap w:val="0"/>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餐厨（厨余）垃圾桶管理</w:t>
            </w: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垃圾桶管理：</w:t>
            </w:r>
          </w:p>
          <w:p>
            <w:pPr>
              <w:widowControl/>
              <w:spacing w:line="360" w:lineRule="auto"/>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评委根据投标人提供餐厨（厨余）垃圾桶更换、</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清洗（包括发生在道路及人行道清洗）</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，并督促餐厨（厨余）垃圾产生单位做好垃圾桶的维护工作</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方案进行综合打分（0-3分）。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484" w:type="dxa"/>
            <w:noWrap/>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特殊时期的应急保障措施</w:t>
            </w: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应急保障措施</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评委根据投标人提供的大型活动时期、防台防汛期时期、创优评优时期、公共卫生事件发生时期、突击检查时期的应急保障措施及应急预案是否合理、有针对性，每项0-1分，本项最高得5分。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484" w:type="dxa"/>
            <w:noWrap/>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企业管理制度</w:t>
            </w: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企业管理制度</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评委根据投标人提供的日常管理运作流程，激励、监督、信息反馈与处理的机制（0-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分）；工作计划与管理指标是否相符（0-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分）；工作计划是否可行和合理（0-</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分）进行评分。</w:t>
            </w:r>
          </w:p>
        </w:tc>
        <w:tc>
          <w:tcPr>
            <w:tcW w:w="757" w:type="dxa"/>
            <w:noWrap w:val="0"/>
            <w:vAlign w:val="center"/>
          </w:tcPr>
          <w:p>
            <w:pPr>
              <w:widowControl/>
              <w:spacing w:line="36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484" w:type="dxa"/>
            <w:noWrap/>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安全文明作业措施</w:t>
            </w:r>
          </w:p>
        </w:tc>
        <w:tc>
          <w:tcPr>
            <w:tcW w:w="8181" w:type="dxa"/>
            <w:noWrap w:val="0"/>
            <w:vAlign w:val="center"/>
          </w:tcPr>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安全文明作业</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（1）作业人员安全保障措施是否完善、详细、有针对性0-2分；</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（2）安全生产责任分配制度是否完善、详细、合理0-2分；</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（3）安全事故善后措施及赔偿方案是否完善、详细、合理0-2分；</w:t>
            </w:r>
          </w:p>
          <w:p>
            <w:pPr>
              <w:widowControl/>
              <w:spacing w:line="360" w:lineRule="auto"/>
              <w:jc w:val="left"/>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（4）安全文明作业培训教育方案是否完善、详细、合理以及是否具有针对性0-2分。</w:t>
            </w:r>
          </w:p>
        </w:tc>
        <w:tc>
          <w:tcPr>
            <w:tcW w:w="757" w:type="dxa"/>
            <w:noWrap w:val="0"/>
            <w:vAlign w:val="center"/>
          </w:tcPr>
          <w:p>
            <w:pPr>
              <w:widowControl/>
              <w:spacing w:line="360" w:lineRule="auto"/>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w:t>
            </w:r>
          </w:p>
        </w:tc>
      </w:tr>
    </w:tbl>
    <w:p>
      <w:pPr>
        <w:spacing w:line="360" w:lineRule="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四、</w:t>
      </w:r>
      <w:r>
        <w:rPr>
          <w:rFonts w:hint="eastAsia" w:ascii="仿宋" w:hAnsi="仿宋" w:eastAsia="仿宋" w:cs="仿宋"/>
          <w:b/>
          <w:color w:val="000000" w:themeColor="text1"/>
          <w:sz w:val="24"/>
          <w:highlight w:val="none"/>
          <w14:textFill>
            <w14:solidFill>
              <w14:schemeClr w14:val="tx1"/>
            </w14:solidFill>
          </w14:textFill>
        </w:rPr>
        <w:t>定标办法</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1.本次招标由评标委员会推荐评审得分最高的投标人为排名第一的中标候选人，采购单位根据评标委员会的推荐结果进行最终确认一名中标人。</w:t>
      </w:r>
    </w:p>
    <w:p>
      <w:pPr>
        <w:tabs>
          <w:tab w:val="left" w:pos="540"/>
        </w:tabs>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2.评标委员会依据法律、法规及招标文件有关规定在有</w:t>
      </w:r>
      <w:r>
        <w:rPr>
          <w:rFonts w:hint="eastAsia" w:ascii="仿宋" w:hAnsi="仿宋" w:eastAsia="仿宋" w:cs="仿宋"/>
          <w:color w:val="000000" w:themeColor="text1"/>
          <w:sz w:val="24"/>
          <w:highlight w:val="none"/>
          <w:lang w:eastAsia="zh-CN"/>
          <w14:textFill>
            <w14:solidFill>
              <w14:schemeClr w14:val="tx1"/>
            </w14:solidFill>
          </w14:textFill>
        </w:rPr>
        <w:t>效投</w:t>
      </w:r>
      <w:r>
        <w:rPr>
          <w:rFonts w:hint="eastAsia" w:ascii="仿宋" w:hAnsi="仿宋" w:eastAsia="仿宋" w:cs="仿宋"/>
          <w:color w:val="000000" w:themeColor="text1"/>
          <w:sz w:val="24"/>
          <w:highlight w:val="none"/>
          <w14:textFill>
            <w14:solidFill>
              <w14:schemeClr w14:val="tx1"/>
            </w14:solidFill>
          </w14:textFill>
        </w:rPr>
        <w:t>标中按投标人的最终得分【即技术资信分与报价分之和】）由高到低进行排序，综合得分最高的投标人为排名第一的中标候选人</w:t>
      </w:r>
      <w:r>
        <w:rPr>
          <w:rFonts w:hint="eastAsia" w:ascii="仿宋" w:hAnsi="仿宋" w:eastAsia="仿宋" w:cs="仿宋"/>
          <w:b/>
          <w:bCs/>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（得分相同的，按投标报价由高到低顺序排列；得分且投标报价相同的，由招标人现场抽签产生第一中标候选人）。</w:t>
      </w:r>
    </w:p>
    <w:p>
      <w:pPr>
        <w:tabs>
          <w:tab w:val="left" w:pos="540"/>
        </w:tabs>
        <w:spacing w:line="44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排名第一的中标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w:t>
      </w:r>
      <w:r>
        <w:rPr>
          <w:rFonts w:hint="eastAsia" w:ascii="仿宋" w:hAnsi="仿宋" w:eastAsia="仿宋" w:cs="仿宋"/>
          <w:color w:val="000000" w:themeColor="text1"/>
          <w:sz w:val="24"/>
          <w:highlight w:val="none"/>
          <w:lang w:eastAsia="zh-CN"/>
          <w14:textFill>
            <w14:solidFill>
              <w14:schemeClr w14:val="tx1"/>
            </w14:solidFill>
          </w14:textFill>
        </w:rPr>
        <w:t>，也可重新招标。</w:t>
      </w:r>
    </w:p>
    <w:p>
      <w:pPr>
        <w:snapToGrid w:val="0"/>
        <w:spacing w:line="440" w:lineRule="exact"/>
        <w:rPr>
          <w:rFonts w:hint="eastAsia" w:ascii="仿宋" w:hAnsi="仿宋" w:eastAsia="仿宋" w:cs="仿宋"/>
          <w:b/>
          <w:bCs/>
          <w:color w:val="000000" w:themeColor="text1"/>
          <w:sz w:val="24"/>
          <w:highlight w:val="none"/>
          <w14:textFill>
            <w14:solidFill>
              <w14:schemeClr w14:val="tx1"/>
            </w14:solidFill>
          </w14:textFill>
        </w:rPr>
      </w:pPr>
      <w:bookmarkStart w:id="164" w:name="注意事项"/>
      <w:bookmarkEnd w:id="164"/>
      <w:r>
        <w:rPr>
          <w:rFonts w:hint="eastAsia" w:ascii="仿宋" w:hAnsi="仿宋" w:eastAsia="仿宋" w:cs="仿宋"/>
          <w:b/>
          <w:bCs/>
          <w:color w:val="000000" w:themeColor="text1"/>
          <w:sz w:val="24"/>
          <w:highlight w:val="none"/>
          <w14:textFill>
            <w14:solidFill>
              <w14:schemeClr w14:val="tx1"/>
            </w14:solidFill>
          </w14:textFill>
        </w:rPr>
        <w:t>五</w:t>
      </w:r>
      <w:r>
        <w:rPr>
          <w:rFonts w:hint="eastAsia" w:ascii="仿宋" w:hAnsi="仿宋" w:eastAsia="仿宋" w:cs="仿宋"/>
          <w:b/>
          <w:bCs/>
          <w:color w:val="000000" w:themeColor="text1"/>
          <w:sz w:val="24"/>
          <w:highlight w:val="none"/>
          <w:lang w:val="zh-CN"/>
          <w14:textFill>
            <w14:solidFill>
              <w14:schemeClr w14:val="tx1"/>
            </w14:solidFill>
          </w14:textFill>
        </w:rPr>
        <w:t>、注意事项</w:t>
      </w:r>
    </w:p>
    <w:bookmarkEnd w:id="160"/>
    <w:bookmarkEnd w:id="161"/>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评审时评标委员会认为投标人的报价明显低于其他通过符合性审</w:t>
      </w:r>
      <w:r>
        <w:rPr>
          <w:rFonts w:hint="eastAsia" w:ascii="仿宋" w:hAnsi="仿宋" w:eastAsia="仿宋" w:cs="仿宋"/>
          <w:color w:val="000000" w:themeColor="text1"/>
          <w:sz w:val="24"/>
          <w:highlight w:val="none"/>
          <w:lang w:eastAsia="zh-CN"/>
          <w14:textFill>
            <w14:solidFill>
              <w14:schemeClr w14:val="tx1"/>
            </w14:solidFill>
          </w14:textFill>
        </w:rPr>
        <w:t>查的</w:t>
      </w:r>
      <w:r>
        <w:rPr>
          <w:rFonts w:hint="eastAsia" w:ascii="仿宋" w:hAnsi="仿宋" w:eastAsia="仿宋" w:cs="仿宋"/>
          <w:color w:val="000000" w:themeColor="text1"/>
          <w:sz w:val="24"/>
          <w:highlight w:val="none"/>
          <w14:textFill>
            <w14:solidFill>
              <w14:schemeClr w14:val="tx1"/>
            </w14:solidFill>
          </w14:textFill>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40" w:lineRule="exact"/>
        <w:rPr>
          <w:rFonts w:hint="eastAsia" w:ascii="仿宋" w:hAnsi="仿宋" w:eastAsia="仿宋" w:cs="仿宋"/>
          <w:b/>
          <w:color w:val="000000" w:themeColor="text1"/>
          <w:sz w:val="24"/>
          <w:highlight w:val="none"/>
          <w14:textFill>
            <w14:solidFill>
              <w14:schemeClr w14:val="tx1"/>
            </w14:solidFill>
          </w14:textFill>
        </w:rPr>
      </w:pPr>
      <w:bookmarkStart w:id="165" w:name="_Toc221356905"/>
      <w:bookmarkEnd w:id="165"/>
      <w:bookmarkStart w:id="166" w:name="_Toc221356968"/>
      <w:bookmarkEnd w:id="166"/>
      <w:r>
        <w:rPr>
          <w:rFonts w:hint="eastAsia" w:ascii="仿宋" w:hAnsi="仿宋" w:eastAsia="仿宋" w:cs="仿宋"/>
          <w:b/>
          <w:color w:val="000000" w:themeColor="text1"/>
          <w:sz w:val="24"/>
          <w:highlight w:val="none"/>
          <w14:textFill>
            <w14:solidFill>
              <w14:schemeClr w14:val="tx1"/>
            </w14:solidFill>
          </w14:textFill>
        </w:rPr>
        <w:t>六、投标人义务</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Pr>
        <w:snapToGrid w:val="0"/>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167" w:name="_Toc249758718"/>
      <w:bookmarkStart w:id="168" w:name="_Toc241404207"/>
      <w:bookmarkStart w:id="169" w:name="_Toc410031820"/>
      <w:bookmarkStart w:id="170" w:name="_Toc221374631"/>
      <w:bookmarkStart w:id="171" w:name="_Toc221423624"/>
      <w:bookmarkStart w:id="172" w:name="_Toc222114884"/>
      <w:bookmarkStart w:id="173" w:name="_Toc221356956"/>
      <w:bookmarkStart w:id="174" w:name="_Toc249758870"/>
      <w:bookmarkStart w:id="175" w:name="_Toc239145359"/>
      <w:bookmarkStart w:id="176" w:name="_Toc262105509"/>
      <w:bookmarkStart w:id="177" w:name="_Toc245722286"/>
      <w:bookmarkStart w:id="178" w:name="_Toc223716003"/>
      <w:bookmarkStart w:id="179" w:name="_Toc246261270"/>
      <w:bookmarkStart w:id="180" w:name="_Toc245191319"/>
      <w:bookmarkStart w:id="181" w:name="_Toc249758719"/>
      <w:bookmarkStart w:id="182" w:name="_Toc221356892"/>
      <w:bookmarkStart w:id="183" w:name="_Toc262049424"/>
      <w:r>
        <w:rPr>
          <w:rFonts w:hint="eastAsia" w:ascii="仿宋" w:hAnsi="仿宋" w:eastAsia="仿宋" w:cs="仿宋"/>
          <w:color w:val="000000" w:themeColor="text1"/>
          <w:sz w:val="24"/>
          <w:highlight w:val="none"/>
          <w14:textFill>
            <w14:solidFill>
              <w14:schemeClr w14:val="tx1"/>
            </w14:solidFill>
          </w14:textFill>
        </w:rPr>
        <w:t>投标人应随时接受评标委员会的询标，解答包括有关的商务、技术问题等。评标结束，所有评标资料存招标人备查。</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spacing w:beforeAutospacing="0" w:after="884" w:line="360" w:lineRule="auto"/>
        <w:jc w:val="center"/>
        <w:outlineLvl w:val="0"/>
        <w:rPr>
          <w:rFonts w:hint="eastAsia" w:ascii="仿宋" w:hAnsi="仿宋" w:eastAsia="仿宋" w:cs="仿宋"/>
          <w:color w:val="000000" w:themeColor="text1"/>
          <w:sz w:val="24"/>
          <w:highlight w:val="none"/>
          <w14:textFill>
            <w14:solidFill>
              <w14:schemeClr w14:val="tx1"/>
            </w14:solidFill>
          </w14:textFill>
        </w:rPr>
      </w:pPr>
      <w:bookmarkStart w:id="184" w:name="_Toc4631"/>
      <w:bookmarkEnd w:id="184"/>
      <w:bookmarkStart w:id="185" w:name="_Toc4861"/>
      <w:bookmarkEnd w:id="185"/>
      <w:r>
        <w:rPr>
          <w:rFonts w:hint="eastAsia" w:ascii="仿宋" w:hAnsi="仿宋" w:eastAsia="仿宋" w:cs="仿宋"/>
          <w:color w:val="000000" w:themeColor="text1"/>
          <w:sz w:val="24"/>
          <w:highlight w:val="none"/>
          <w14:textFill>
            <w14:solidFill>
              <w14:schemeClr w14:val="tx1"/>
            </w14:solidFill>
          </w14:textFill>
        </w:rPr>
        <w:br w:type="page"/>
      </w:r>
      <w:bookmarkStart w:id="186" w:name="_Toc6747"/>
      <w:r>
        <w:rPr>
          <w:rStyle w:val="19"/>
          <w:rFonts w:hint="eastAsia" w:ascii="仿宋" w:hAnsi="仿宋" w:eastAsia="仿宋" w:cs="仿宋"/>
          <w:color w:val="000000" w:themeColor="text1"/>
          <w:sz w:val="28"/>
          <w:szCs w:val="28"/>
          <w:highlight w:val="none"/>
          <w14:textFill>
            <w14:solidFill>
              <w14:schemeClr w14:val="tx1"/>
            </w14:solidFill>
          </w14:textFill>
        </w:rPr>
        <w:t>第六章 投标文件格式</w:t>
      </w:r>
      <w:bookmarkEnd w:id="186"/>
    </w:p>
    <w:p>
      <w:pPr>
        <w:spacing w:line="460" w:lineRule="exact"/>
        <w:rPr>
          <w:rStyle w:val="19"/>
          <w:rFonts w:hint="eastAsia" w:ascii="仿宋" w:hAnsi="仿宋" w:eastAsia="仿宋" w:cs="仿宋"/>
          <w:color w:val="000000" w:themeColor="text1"/>
          <w:sz w:val="28"/>
          <w:szCs w:val="28"/>
          <w:highlight w:val="none"/>
          <w14:textFill>
            <w14:solidFill>
              <w14:schemeClr w14:val="tx1"/>
            </w14:solidFill>
          </w14:textFill>
        </w:rPr>
      </w:pPr>
      <w:bookmarkStart w:id="187" w:name="_Toc20872"/>
      <w:bookmarkEnd w:id="187"/>
      <w:bookmarkStart w:id="188" w:name="_Toc1460"/>
      <w:bookmarkEnd w:id="188"/>
      <w:bookmarkStart w:id="189" w:name="_Toc21933"/>
      <w:r>
        <w:rPr>
          <w:rStyle w:val="19"/>
          <w:rFonts w:hint="eastAsia" w:ascii="仿宋" w:hAnsi="仿宋" w:eastAsia="仿宋" w:cs="仿宋"/>
          <w:color w:val="000000" w:themeColor="text1"/>
          <w:sz w:val="28"/>
          <w:szCs w:val="28"/>
          <w:highlight w:val="none"/>
          <w14:textFill>
            <w14:solidFill>
              <w14:schemeClr w14:val="tx1"/>
            </w14:solidFill>
          </w14:textFill>
        </w:rPr>
        <w:t>投标文件封面格式：</w:t>
      </w:r>
      <w:bookmarkEnd w:id="189"/>
      <w:r>
        <w:rPr>
          <w:rFonts w:hint="eastAsia" w:ascii="仿宋" w:hAnsi="仿宋" w:eastAsia="仿宋" w:cs="仿宋"/>
          <w:b/>
          <w:color w:val="000000" w:themeColor="text1"/>
          <w:sz w:val="24"/>
          <w:highlight w:val="none"/>
          <w14:textFill>
            <w14:solidFill>
              <w14:schemeClr w14:val="tx1"/>
            </w14:solidFill>
          </w14:textFill>
        </w:rPr>
        <w:t xml:space="preserve">          </w:t>
      </w:r>
    </w:p>
    <w:p>
      <w:pPr>
        <w:spacing w:before="185"/>
        <w:ind w:right="210"/>
        <w:jc w:val="center"/>
        <w:rPr>
          <w:rFonts w:hint="eastAsia" w:ascii="仿宋" w:hAnsi="仿宋" w:eastAsia="仿宋" w:cs="仿宋"/>
          <w:b/>
          <w:bCs/>
          <w:color w:val="000000" w:themeColor="text1"/>
          <w:sz w:val="24"/>
          <w:highlight w:val="none"/>
          <w14:textFill>
            <w14:solidFill>
              <w14:schemeClr w14:val="tx1"/>
            </w14:solidFill>
          </w14:textFill>
        </w:rPr>
      </w:pPr>
    </w:p>
    <w:p>
      <w:pPr>
        <w:pStyle w:val="58"/>
        <w:spacing w:after="0"/>
        <w:ind w:left="900" w:hanging="480"/>
        <w:rPr>
          <w:rFonts w:hint="eastAsia" w:ascii="仿宋" w:hAnsi="仿宋" w:eastAsia="仿宋" w:cs="仿宋"/>
          <w:color w:val="000000" w:themeColor="text1"/>
          <w:sz w:val="24"/>
          <w:szCs w:val="24"/>
          <w:highlight w:val="none"/>
          <w14:textFill>
            <w14:solidFill>
              <w14:schemeClr w14:val="tx1"/>
            </w14:solidFill>
          </w14:textFill>
        </w:rPr>
      </w:pPr>
    </w:p>
    <w:p>
      <w:pPr>
        <w:spacing w:before="368" w:line="600" w:lineRule="auto"/>
        <w:jc w:val="center"/>
        <w:rPr>
          <w:rStyle w:val="19"/>
          <w:rFonts w:hint="eastAsia" w:ascii="仿宋" w:hAnsi="仿宋" w:eastAsia="仿宋" w:cs="仿宋"/>
          <w:color w:val="000000" w:themeColor="text1"/>
          <w:sz w:val="28"/>
          <w:szCs w:val="28"/>
          <w:highlight w:val="none"/>
          <w14:textFill>
            <w14:solidFill>
              <w14:schemeClr w14:val="tx1"/>
            </w14:solidFill>
          </w14:textFill>
        </w:rPr>
      </w:pPr>
      <w:bookmarkStart w:id="190" w:name="_Toc108340713"/>
      <w:bookmarkEnd w:id="190"/>
      <w:bookmarkStart w:id="191" w:name="_Toc5467"/>
      <w:bookmarkEnd w:id="191"/>
      <w:bookmarkStart w:id="192" w:name="_Toc12746"/>
      <w:r>
        <w:rPr>
          <w:rStyle w:val="19"/>
          <w:rFonts w:hint="eastAsia" w:ascii="仿宋" w:hAnsi="仿宋" w:eastAsia="仿宋" w:cs="仿宋"/>
          <w:color w:val="000000" w:themeColor="text1"/>
          <w:sz w:val="28"/>
          <w:szCs w:val="28"/>
          <w:highlight w:val="none"/>
          <w14:textFill>
            <w14:solidFill>
              <w14:schemeClr w14:val="tx1"/>
            </w14:solidFill>
          </w14:textFill>
        </w:rPr>
        <w:t>投 标 文 件</w:t>
      </w:r>
    </w:p>
    <w:bookmarkEnd w:id="192"/>
    <w:p>
      <w:pPr>
        <w:spacing w:line="600" w:lineRule="auto"/>
        <w:jc w:val="center"/>
        <w:rPr>
          <w:rStyle w:val="19"/>
          <w:rFonts w:hint="eastAsia" w:ascii="仿宋" w:hAnsi="仿宋" w:eastAsia="仿宋" w:cs="仿宋"/>
          <w:color w:val="000000" w:themeColor="text1"/>
          <w:sz w:val="28"/>
          <w:szCs w:val="28"/>
          <w:highlight w:val="none"/>
          <w14:textFill>
            <w14:solidFill>
              <w14:schemeClr w14:val="tx1"/>
            </w14:solidFill>
          </w14:textFill>
        </w:rPr>
      </w:pPr>
    </w:p>
    <w:p>
      <w:pPr>
        <w:spacing w:line="600" w:lineRule="auto"/>
        <w:jc w:val="center"/>
        <w:rPr>
          <w:rStyle w:val="19"/>
          <w:rFonts w:hint="eastAsia" w:ascii="仿宋" w:hAnsi="仿宋" w:eastAsia="仿宋" w:cs="仿宋"/>
          <w:color w:val="000000" w:themeColor="text1"/>
          <w:sz w:val="28"/>
          <w:szCs w:val="28"/>
          <w:highlight w:val="none"/>
          <w14:textFill>
            <w14:solidFill>
              <w14:schemeClr w14:val="tx1"/>
            </w14:solidFill>
          </w14:textFill>
        </w:rPr>
      </w:pPr>
      <w:bookmarkStart w:id="193" w:name="_Toc470"/>
      <w:bookmarkEnd w:id="193"/>
      <w:bookmarkStart w:id="194" w:name="_Toc108340714"/>
      <w:bookmarkEnd w:id="194"/>
      <w:bookmarkStart w:id="195" w:name="_Toc21866"/>
      <w:r>
        <w:rPr>
          <w:rStyle w:val="19"/>
          <w:rFonts w:hint="eastAsia" w:ascii="仿宋" w:hAnsi="仿宋" w:eastAsia="仿宋" w:cs="仿宋"/>
          <w:color w:val="000000" w:themeColor="text1"/>
          <w:sz w:val="28"/>
          <w:szCs w:val="28"/>
          <w:highlight w:val="none"/>
          <w14:textFill>
            <w14:solidFill>
              <w14:schemeClr w14:val="tx1"/>
            </w14:solidFill>
          </w14:textFill>
        </w:rPr>
        <w:t>资格审查资料/技术资信文件/报价文件</w:t>
      </w:r>
    </w:p>
    <w:bookmarkEnd w:id="195"/>
    <w:p>
      <w:pPr>
        <w:pStyle w:val="107"/>
        <w:spacing w:line="600" w:lineRule="auto"/>
        <w:rPr>
          <w:rFonts w:hint="eastAsia" w:ascii="仿宋" w:hAnsi="仿宋" w:eastAsia="仿宋" w:cs="仿宋"/>
          <w:b/>
          <w:color w:val="000000" w:themeColor="text1"/>
          <w:sz w:val="24"/>
          <w:szCs w:val="24"/>
          <w:highlight w:val="none"/>
          <w14:textFill>
            <w14:solidFill>
              <w14:schemeClr w14:val="tx1"/>
            </w14:solidFill>
          </w14:textFill>
        </w:rPr>
      </w:pPr>
    </w:p>
    <w:p>
      <w:pPr>
        <w:pStyle w:val="107"/>
        <w:spacing w:line="600" w:lineRule="auto"/>
        <w:rPr>
          <w:rFonts w:hint="eastAsia" w:ascii="仿宋" w:hAnsi="仿宋" w:eastAsia="仿宋" w:cs="仿宋"/>
          <w:b/>
          <w:color w:val="000000" w:themeColor="text1"/>
          <w:sz w:val="24"/>
          <w:szCs w:val="24"/>
          <w:highlight w:val="none"/>
          <w14:textFill>
            <w14:solidFill>
              <w14:schemeClr w14:val="tx1"/>
            </w14:solidFill>
          </w14:textFill>
        </w:rPr>
      </w:pPr>
    </w:p>
    <w:p>
      <w:pPr>
        <w:snapToGrid w:val="0"/>
        <w:spacing w:line="600" w:lineRule="auto"/>
        <w:ind w:firstLine="1285" w:firstLineChars="4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项目名称：</w:t>
      </w:r>
      <w:r>
        <w:rPr>
          <w:rFonts w:hint="eastAsia" w:ascii="仿宋" w:hAnsi="仿宋" w:eastAsia="仿宋" w:cs="仿宋"/>
          <w:b/>
          <w:bCs/>
          <w:color w:val="000000" w:themeColor="text1"/>
          <w:sz w:val="32"/>
          <w:szCs w:val="32"/>
          <w:highlight w:val="none"/>
          <w:u w:val="single"/>
          <w14:textFill>
            <w14:solidFill>
              <w14:schemeClr w14:val="tx1"/>
            </w14:solidFill>
          </w14:textFill>
        </w:rPr>
        <w:t xml:space="preserve">                                         </w:t>
      </w:r>
    </w:p>
    <w:p>
      <w:pPr>
        <w:snapToGrid w:val="0"/>
        <w:spacing w:line="600" w:lineRule="auto"/>
        <w:ind w:firstLine="1285" w:firstLineChars="4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项目编号：</w:t>
      </w:r>
      <w:r>
        <w:rPr>
          <w:rFonts w:hint="eastAsia" w:ascii="仿宋" w:hAnsi="仿宋" w:eastAsia="仿宋" w:cs="仿宋"/>
          <w:b/>
          <w:bCs/>
          <w:color w:val="000000" w:themeColor="text1"/>
          <w:sz w:val="32"/>
          <w:szCs w:val="32"/>
          <w:highlight w:val="none"/>
          <w:u w:val="single"/>
          <w14:textFill>
            <w14:solidFill>
              <w14:schemeClr w14:val="tx1"/>
            </w14:solidFill>
          </w14:textFill>
        </w:rPr>
        <w:t>                                </w:t>
      </w:r>
      <w:r>
        <w:rPr>
          <w:rFonts w:hint="eastAsia" w:ascii="仿宋" w:hAnsi="仿宋" w:eastAsia="仿宋" w:cs="仿宋"/>
          <w:b/>
          <w:bCs/>
          <w:color w:val="000000" w:themeColor="text1"/>
          <w:sz w:val="32"/>
          <w:szCs w:val="32"/>
          <w:highlight w:val="none"/>
          <w14:textFill>
            <w14:solidFill>
              <w14:schemeClr w14:val="tx1"/>
            </w14:solidFill>
          </w14:textFill>
        </w:rPr>
        <w:t xml:space="preserve"> </w:t>
      </w:r>
    </w:p>
    <w:p>
      <w:pPr>
        <w:snapToGrid w:val="0"/>
        <w:spacing w:line="600" w:lineRule="auto"/>
        <w:ind w:firstLine="1285" w:firstLineChars="4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投标人（全称）：</w:t>
      </w:r>
      <w:r>
        <w:rPr>
          <w:rFonts w:hint="eastAsia" w:ascii="仿宋" w:hAnsi="仿宋" w:eastAsia="仿宋" w:cs="仿宋"/>
          <w:b/>
          <w:bCs/>
          <w:color w:val="000000" w:themeColor="text1"/>
          <w:sz w:val="32"/>
          <w:szCs w:val="32"/>
          <w:highlight w:val="none"/>
          <w:u w:val="single"/>
          <w14:textFill>
            <w14:solidFill>
              <w14:schemeClr w14:val="tx1"/>
            </w14:solidFill>
          </w14:textFill>
        </w:rPr>
        <w:t>                  （盖章）</w:t>
      </w:r>
    </w:p>
    <w:p>
      <w:pPr>
        <w:snapToGrid w:val="0"/>
        <w:spacing w:line="600" w:lineRule="auto"/>
        <w:ind w:firstLine="1285" w:firstLineChars="4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投标人地址：</w:t>
      </w:r>
      <w:r>
        <w:rPr>
          <w:rFonts w:hint="eastAsia" w:ascii="仿宋" w:hAnsi="仿宋" w:eastAsia="仿宋" w:cs="仿宋"/>
          <w:b/>
          <w:bCs/>
          <w:color w:val="000000" w:themeColor="text1"/>
          <w:sz w:val="32"/>
          <w:szCs w:val="32"/>
          <w:highlight w:val="none"/>
          <w:u w:val="single"/>
          <w14:textFill>
            <w14:solidFill>
              <w14:schemeClr w14:val="tx1"/>
            </w14:solidFill>
          </w14:textFill>
        </w:rPr>
        <w:t>                              </w:t>
      </w:r>
    </w:p>
    <w:p>
      <w:pPr>
        <w:pStyle w:val="107"/>
        <w:rPr>
          <w:rFonts w:hint="eastAsia" w:ascii="仿宋" w:hAnsi="仿宋" w:eastAsia="仿宋" w:cs="仿宋"/>
          <w:color w:val="000000" w:themeColor="text1"/>
          <w:sz w:val="24"/>
          <w:szCs w:val="24"/>
          <w:highlight w:val="none"/>
          <w:u w:val="single"/>
          <w14:textFill>
            <w14:solidFill>
              <w14:schemeClr w14:val="tx1"/>
            </w14:solidFill>
          </w14:textFill>
        </w:rPr>
      </w:pPr>
    </w:p>
    <w:p>
      <w:pPr>
        <w:spacing w:line="460" w:lineRule="exact"/>
        <w:outlineLvl w:val="1"/>
        <w:rPr>
          <w:rFonts w:hint="eastAsia" w:ascii="仿宋" w:hAnsi="仿宋" w:eastAsia="仿宋" w:cs="仿宋"/>
          <w:b/>
          <w:bCs/>
          <w:color w:val="000000" w:themeColor="text1"/>
          <w:sz w:val="24"/>
          <w:highlight w:val="none"/>
          <w14:textFill>
            <w14:solidFill>
              <w14:schemeClr w14:val="tx1"/>
            </w14:solidFill>
          </w14:textFill>
        </w:rPr>
      </w:pPr>
      <w:bookmarkStart w:id="196" w:name="_Toc4128"/>
      <w:bookmarkEnd w:id="196"/>
      <w:r>
        <w:rPr>
          <w:rFonts w:hint="eastAsia" w:ascii="仿宋" w:hAnsi="仿宋" w:eastAsia="仿宋" w:cs="仿宋"/>
          <w:b/>
          <w:bCs/>
          <w:color w:val="000000" w:themeColor="text1"/>
          <w:sz w:val="24"/>
          <w:highlight w:val="none"/>
          <w14:textFill>
            <w14:solidFill>
              <w14:schemeClr w14:val="tx1"/>
            </w14:solidFill>
          </w14:textFill>
        </w:rPr>
        <w:br w:type="page"/>
      </w:r>
      <w:r>
        <w:rPr>
          <w:rFonts w:hint="eastAsia" w:ascii="仿宋" w:hAnsi="仿宋" w:eastAsia="仿宋" w:cs="仿宋"/>
          <w:b/>
          <w:bCs/>
          <w:color w:val="000000" w:themeColor="text1"/>
          <w:sz w:val="24"/>
          <w:highlight w:val="none"/>
          <w14:textFill>
            <w14:solidFill>
              <w14:schemeClr w14:val="tx1"/>
            </w14:solidFill>
          </w14:textFill>
        </w:rPr>
        <w:t>附件1</w:t>
      </w:r>
    </w:p>
    <w:p>
      <w:pPr>
        <w:widowControl/>
        <w:spacing w:line="42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法定代表人身份证明</w:t>
      </w:r>
    </w:p>
    <w:p>
      <w:pPr>
        <w:widowControl/>
        <w:spacing w:line="420" w:lineRule="atLeast"/>
        <w:jc w:val="center"/>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 xml:space="preserve"> </w:t>
      </w:r>
    </w:p>
    <w:p>
      <w:pPr>
        <w:widowControl/>
        <w:spacing w:line="420" w:lineRule="atLeast"/>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p>
    <w:p>
      <w:pPr>
        <w:widowControl/>
        <w:spacing w:line="420" w:lineRule="atLeast"/>
        <w:ind w:firstLine="10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单位名称：</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pPr>
        <w:widowControl/>
        <w:spacing w:line="420" w:lineRule="atLeast"/>
        <w:ind w:firstLine="10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单位性质：</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pPr>
        <w:widowControl/>
        <w:spacing w:line="420" w:lineRule="atLeast"/>
        <w:ind w:firstLine="10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    址：</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pPr>
        <w:widowControl/>
        <w:spacing w:line="420" w:lineRule="atLeast"/>
        <w:ind w:firstLine="10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成立时间：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日</w:t>
      </w:r>
    </w:p>
    <w:p>
      <w:pPr>
        <w:widowControl/>
        <w:spacing w:line="420" w:lineRule="atLeast"/>
        <w:ind w:firstLine="10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经营期限：</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pPr>
        <w:widowControl/>
        <w:spacing w:line="420" w:lineRule="atLeast"/>
        <w:ind w:firstLine="10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姓    名：</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性    别：</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pPr>
        <w:widowControl/>
        <w:spacing w:line="420" w:lineRule="atLeast"/>
        <w:ind w:firstLine="10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年    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职    务：</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p>
    <w:p>
      <w:pPr>
        <w:widowControl/>
        <w:spacing w:line="420" w:lineRule="atLeast"/>
        <w:ind w:firstLine="10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系</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（投标人名称）的法定代表人。</w:t>
      </w:r>
    </w:p>
    <w:p>
      <w:pPr>
        <w:widowControl/>
        <w:spacing w:line="420" w:lineRule="atLeast"/>
        <w:ind w:firstLine="10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特此证明。</w:t>
      </w:r>
    </w:p>
    <w:p>
      <w:pPr>
        <w:widowControl/>
        <w:spacing w:line="420" w:lineRule="atLeas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p>
    <w:p>
      <w:pPr>
        <w:widowControl/>
        <w:spacing w:line="420" w:lineRule="atLeas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p>
    <w:p>
      <w:pPr>
        <w:widowControl/>
        <w:spacing w:line="420" w:lineRule="atLeast"/>
        <w:ind w:right="-64" w:firstLine="3600"/>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kern w:val="0"/>
          <w:sz w:val="24"/>
          <w:highlight w:val="none"/>
          <w14:textFill>
            <w14:solidFill>
              <w14:schemeClr w14:val="tx1"/>
            </w14:solidFill>
          </w14:textFill>
        </w:rPr>
        <w:t>（盖单位章）</w:t>
      </w:r>
    </w:p>
    <w:p>
      <w:pPr>
        <w:widowControl/>
        <w:spacing w:line="420" w:lineRule="atLeast"/>
        <w:ind w:right="420"/>
        <w:rPr>
          <w:rFonts w:hint="eastAsia" w:ascii="仿宋" w:hAnsi="仿宋" w:eastAsia="仿宋" w:cs="仿宋"/>
          <w:b/>
          <w:bCs/>
          <w:color w:val="000000" w:themeColor="text1"/>
          <w:kern w:val="0"/>
          <w:sz w:val="24"/>
          <w:highlight w:val="none"/>
          <w:u w:val="single"/>
          <w14:textFill>
            <w14:solidFill>
              <w14:schemeClr w14:val="tx1"/>
            </w14:solidFill>
          </w14:textFill>
        </w:rPr>
      </w:pPr>
    </w:p>
    <w:p>
      <w:pPr>
        <w:widowControl/>
        <w:spacing w:line="420" w:lineRule="atLeast"/>
        <w:ind w:right="-64" w:firstLine="4320"/>
        <w:rPr>
          <w:rFonts w:hint="eastAsia" w:ascii="仿宋" w:hAnsi="仿宋" w:eastAsia="仿宋" w:cs="仿宋"/>
          <w:b/>
          <w:bCs/>
          <w:color w:val="000000" w:themeColor="text1"/>
          <w:kern w:val="0"/>
          <w:sz w:val="24"/>
          <w:highlight w:val="none"/>
          <w:u w:val="single"/>
          <w14:textFill>
            <w14:solidFill>
              <w14:schemeClr w14:val="tx1"/>
            </w14:solidFill>
          </w14:textFill>
        </w:rPr>
      </w:pP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kern w:val="0"/>
          <w:sz w:val="24"/>
          <w:highlight w:val="none"/>
          <w14:textFill>
            <w14:solidFill>
              <w14:schemeClr w14:val="tx1"/>
            </w14:solidFill>
          </w14:textFill>
        </w:rPr>
        <w:t>年</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kern w:val="0"/>
          <w:sz w:val="24"/>
          <w:highlight w:val="none"/>
          <w14:textFill>
            <w14:solidFill>
              <w14:schemeClr w14:val="tx1"/>
            </w14:solidFill>
          </w14:textFill>
        </w:rPr>
        <w:t>月</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bCs/>
          <w:color w:val="000000" w:themeColor="text1"/>
          <w:kern w:val="0"/>
          <w:sz w:val="24"/>
          <w:highlight w:val="none"/>
          <w14:textFill>
            <w14:solidFill>
              <w14:schemeClr w14:val="tx1"/>
            </w14:solidFill>
          </w14:textFill>
        </w:rPr>
        <w:t xml:space="preserve">日 </w:t>
      </w:r>
    </w:p>
    <w:p>
      <w:pPr>
        <w:pStyle w:val="107"/>
        <w:rPr>
          <w:rFonts w:hint="eastAsia" w:ascii="仿宋" w:hAnsi="仿宋" w:eastAsia="仿宋" w:cs="仿宋"/>
          <w:b/>
          <w:bCs/>
          <w:color w:val="000000" w:themeColor="text1"/>
          <w:sz w:val="24"/>
          <w:szCs w:val="24"/>
          <w:highlight w:val="none"/>
          <w14:textFill>
            <w14:solidFill>
              <w14:schemeClr w14:val="tx1"/>
            </w14:solidFill>
          </w14:textFill>
        </w:rPr>
      </w:pPr>
    </w:p>
    <w:p>
      <w:pPr>
        <w:pStyle w:val="41"/>
        <w:ind w:left="10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pStyle w:val="4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0" distR="0" simplePos="0" relativeHeight="251660288" behindDoc="0" locked="0" layoutInCell="1" allowOverlap="1">
                <wp:simplePos x="0" y="0"/>
                <wp:positionH relativeFrom="page">
                  <wp:posOffset>1294765</wp:posOffset>
                </wp:positionH>
                <wp:positionV relativeFrom="paragraph">
                  <wp:posOffset>88265</wp:posOffset>
                </wp:positionV>
                <wp:extent cx="4796790" cy="1959610"/>
                <wp:effectExtent l="4445" t="4445" r="18415" b="17145"/>
                <wp:wrapTopAndBottom/>
                <wp:docPr id="2" name="_x0000_s2052"/>
                <wp:cNvGraphicFramePr/>
                <a:graphic xmlns:a="http://schemas.openxmlformats.org/drawingml/2006/main">
                  <a:graphicData uri="http://schemas.microsoft.com/office/word/2010/wordprocessingShape">
                    <wps:wsp>
                      <wps:cNvSpPr/>
                      <wps:spPr>
                        <a:xfrm>
                          <a:off x="0" y="0"/>
                          <a:ext cx="4796790" cy="1959610"/>
                        </a:xfrm>
                        <a:prstGeom prst="rect">
                          <a:avLst/>
                        </a:prstGeom>
                        <a:ln w="6096">
                          <a:solidFill>
                            <a:schemeClr val="tx1"/>
                          </a:solidFill>
                        </a:ln>
                      </wps:spPr>
                      <wps:txbx>
                        <w:txbxContent>
                          <w:p>
                            <w:pPr>
                              <w:spacing w:before="174"/>
                              <w:jc w:val="center"/>
                              <w:rPr>
                                <w:rFonts w:hint="eastAsia" w:ascii="仿宋" w:hAnsi="仿宋" w:eastAsia="仿宋" w:cs="仿宋"/>
                                <w:sz w:val="20"/>
                              </w:rPr>
                            </w:pPr>
                            <w:r>
                              <w:rPr>
                                <w:rFonts w:hint="eastAsia" w:ascii="仿宋" w:hAnsi="仿宋" w:eastAsia="仿宋" w:cs="仿宋"/>
                                <w:sz w:val="20"/>
                              </w:rPr>
                              <w:t>法定代表人身份证正反面影印件或复印件粘贴处</w:t>
                            </w:r>
                          </w:p>
                          <w:p>
                            <w:pP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vert="horz" wrap="square" lIns="91440" tIns="45720" rIns="91440" bIns="45720" anchor="t" anchorCtr="0"/>
                    </wps:wsp>
                  </a:graphicData>
                </a:graphic>
              </wp:anchor>
            </w:drawing>
          </mc:Choice>
          <mc:Fallback>
            <w:pict>
              <v:rect id="_x0000_s2052" o:spid="_x0000_s1026" o:spt="1" style="position:absolute;left:0pt;margin-left:101.95pt;margin-top:6.95pt;height:154.3pt;width:377.7pt;mso-position-horizontal-relative:page;mso-wrap-distance-bottom:0pt;mso-wrap-distance-top:0pt;z-index:251660288;mso-width-relative:page;mso-height-relative:page;" filled="f" stroked="t" coordsize="21600,21600" o:gfxdata="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t/Gza&#10;AAAACgEAAA8AAAAAAAAAAQAgAAAAIgAAAGRycy9kb3ducmV2LnhtbFBLAQIUABQAAAAIAIdO4kCE&#10;YkrC5QEAANADAAAOAAAAAAAAAAEAIAAAACkBAABkcnMvZTJvRG9jLnhtbFBLBQYAAAAABgAGAFkB&#10;AACABQAAAAA=&#10;">
                <v:fill on="f" focussize="0,0"/>
                <v:stroke weight="0.48pt" color="#000000 [3213]" joinstyle="round"/>
                <v:imagedata o:title=""/>
                <o:lock v:ext="edit" aspectratio="f"/>
                <v:textbox>
                  <w:txbxContent>
                    <w:p>
                      <w:pPr>
                        <w:spacing w:before="174"/>
                        <w:jc w:val="center"/>
                        <w:rPr>
                          <w:rFonts w:hint="eastAsia" w:ascii="仿宋" w:hAnsi="仿宋" w:eastAsia="仿宋" w:cs="仿宋"/>
                          <w:sz w:val="20"/>
                        </w:rPr>
                      </w:pPr>
                      <w:r>
                        <w:rPr>
                          <w:rFonts w:hint="eastAsia" w:ascii="仿宋" w:hAnsi="仿宋" w:eastAsia="仿宋" w:cs="仿宋"/>
                          <w:sz w:val="20"/>
                        </w:rPr>
                        <w:t>法定代表人身份证正反面影印件或复印件粘贴处</w:t>
                      </w:r>
                    </w:p>
                    <w:p>
                      <w:pP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w10:wrap type="topAndBottom"/>
              </v:rect>
            </w:pict>
          </mc:Fallback>
        </mc:AlternateContent>
      </w:r>
      <w:r>
        <w:rPr>
          <w:rFonts w:hint="eastAsia" w:ascii="仿宋" w:hAnsi="仿宋" w:eastAsia="仿宋" w:cs="仿宋"/>
          <w:color w:val="000000" w:themeColor="text1"/>
          <w:kern w:val="0"/>
          <w:sz w:val="24"/>
          <w:highlight w:val="none"/>
          <w14:textFill>
            <w14:solidFill>
              <w14:schemeClr w14:val="tx1"/>
            </w14:solidFill>
          </w14:textFill>
        </w:rPr>
        <w:t xml:space="preserve">   </w:t>
      </w:r>
    </w:p>
    <w:p>
      <w:pPr>
        <w:widowControl/>
        <w:spacing w:line="420" w:lineRule="atLeast"/>
        <w:jc w:val="left"/>
        <w:outlineLvl w:val="1"/>
        <w:rPr>
          <w:rFonts w:hint="eastAsia" w:ascii="仿宋" w:hAnsi="仿宋" w:eastAsia="仿宋" w:cs="仿宋"/>
          <w:b/>
          <w:bCs/>
          <w:color w:val="000000" w:themeColor="text1"/>
          <w:kern w:val="0"/>
          <w:sz w:val="24"/>
          <w:highlight w:val="none"/>
          <w14:textFill>
            <w14:solidFill>
              <w14:schemeClr w14:val="tx1"/>
            </w14:solidFill>
          </w14:textFill>
        </w:rPr>
      </w:pPr>
      <w:bookmarkStart w:id="197" w:name="_Toc8964"/>
      <w:bookmarkEnd w:id="197"/>
      <w:r>
        <w:rPr>
          <w:rFonts w:hint="eastAsia" w:ascii="仿宋" w:hAnsi="仿宋" w:eastAsia="仿宋" w:cs="仿宋"/>
          <w:b/>
          <w:bCs/>
          <w:color w:val="000000" w:themeColor="text1"/>
          <w:kern w:val="0"/>
          <w:sz w:val="24"/>
          <w:highlight w:val="none"/>
          <w14:textFill>
            <w14:solidFill>
              <w14:schemeClr w14:val="tx1"/>
            </w14:solidFill>
          </w14:textFill>
        </w:rPr>
        <w:br w:type="page"/>
      </w:r>
      <w:r>
        <w:rPr>
          <w:rFonts w:hint="eastAsia" w:ascii="仿宋" w:hAnsi="仿宋" w:eastAsia="仿宋" w:cs="仿宋"/>
          <w:b/>
          <w:bCs/>
          <w:color w:val="000000" w:themeColor="text1"/>
          <w:sz w:val="24"/>
          <w:highlight w:val="none"/>
          <w14:textFill>
            <w14:solidFill>
              <w14:schemeClr w14:val="tx1"/>
            </w14:solidFill>
          </w14:textFill>
        </w:rPr>
        <w:t>附件1-1</w:t>
      </w:r>
    </w:p>
    <w:p>
      <w:pPr>
        <w:widowControl/>
        <w:spacing w:line="42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法定代表人授权委托书</w:t>
      </w:r>
    </w:p>
    <w:p>
      <w:pPr>
        <w:widowControl/>
        <w:spacing w:line="420" w:lineRule="atLeast"/>
        <w:ind w:left="120"/>
        <w:jc w:val="left"/>
        <w:rPr>
          <w:rFonts w:hint="eastAsia" w:ascii="仿宋" w:hAnsi="仿宋" w:eastAsia="仿宋" w:cs="仿宋"/>
          <w:color w:val="000000" w:themeColor="text1"/>
          <w:kern w:val="0"/>
          <w:sz w:val="24"/>
          <w:highlight w:val="none"/>
          <w14:textFill>
            <w14:solidFill>
              <w14:schemeClr w14:val="tx1"/>
            </w14:solidFill>
          </w14:textFill>
        </w:rPr>
      </w:pPr>
    </w:p>
    <w:p>
      <w:pPr>
        <w:widowControl/>
        <w:spacing w:line="360" w:lineRule="auto"/>
        <w:ind w:left="120"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本授权书声明：我</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（法人代表姓名、职务）是</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（单位名称）的法人代表，现代表本单位授权</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（被授权人的姓名、职务）为本单位的合法代理人，就参加</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常山县城区餐厨（厨余）垃圾收运处置服务项目</w:t>
      </w:r>
      <w:r>
        <w:rPr>
          <w:rFonts w:hint="eastAsia" w:ascii="仿宋" w:hAnsi="仿宋" w:eastAsia="仿宋" w:cs="仿宋"/>
          <w:color w:val="000000" w:themeColor="text1"/>
          <w:kern w:val="0"/>
          <w:sz w:val="24"/>
          <w:highlight w:val="none"/>
          <w:u w:val="single"/>
          <w14:textFill>
            <w14:solidFill>
              <w14:schemeClr w14:val="tx1"/>
            </w14:solidFill>
          </w14:textFill>
        </w:rPr>
        <w:t xml:space="preserve">   （项目编号：</w:t>
      </w:r>
      <w:r>
        <w:rPr>
          <w:rFonts w:hint="eastAsia" w:ascii="仿宋" w:hAnsi="仿宋" w:eastAsia="仿宋" w:cs="仿宋"/>
          <w:color w:val="000000" w:themeColor="text1"/>
          <w:kern w:val="0"/>
          <w:sz w:val="24"/>
          <w:highlight w:val="none"/>
          <w:u w:val="single"/>
          <w:lang w:eastAsia="zh-CN"/>
          <w14:textFill>
            <w14:solidFill>
              <w14:schemeClr w14:val="tx1"/>
            </w14:solidFill>
          </w14:textFill>
        </w:rPr>
        <w:t>JYZFCG-2024-GK018</w:t>
      </w:r>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公开招标的投标、签订合同以及合同的执行、完成和服务，及以本单位名义处理一切与之有关的事务。</w:t>
      </w:r>
    </w:p>
    <w:p>
      <w:pPr>
        <w:widowControl/>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本授权书于</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日签字生效，特此声明。</w:t>
      </w:r>
    </w:p>
    <w:p>
      <w:pPr>
        <w:pStyle w:val="107"/>
        <w:rPr>
          <w:rFonts w:hint="eastAsia" w:ascii="仿宋" w:hAnsi="仿宋" w:eastAsia="仿宋" w:cs="仿宋"/>
          <w:color w:val="000000" w:themeColor="text1"/>
          <w:sz w:val="24"/>
          <w:szCs w:val="24"/>
          <w:highlight w:val="none"/>
          <w14:textFill>
            <w14:solidFill>
              <w14:schemeClr w14:val="tx1"/>
            </w14:solidFill>
          </w14:textFill>
        </w:rPr>
      </w:pPr>
    </w:p>
    <w:p>
      <w:pPr>
        <w:widowControl/>
        <w:spacing w:line="360" w:lineRule="auto"/>
        <w:ind w:firstLine="600"/>
        <w:jc w:val="left"/>
        <w:rPr>
          <w:rFonts w:hint="eastAsia" w:ascii="仿宋" w:hAnsi="仿宋" w:eastAsia="仿宋" w:cs="仿宋"/>
          <w:color w:val="000000" w:themeColor="text1"/>
          <w:kern w:val="0"/>
          <w:sz w:val="24"/>
          <w:highlight w:val="none"/>
          <w14:textFill>
            <w14:solidFill>
              <w14:schemeClr w14:val="tx1"/>
            </w14:solidFill>
          </w14:textFill>
        </w:rPr>
      </w:pPr>
    </w:p>
    <w:p>
      <w:pPr>
        <w:widowControl/>
        <w:spacing w:line="360" w:lineRule="auto"/>
        <w:ind w:firstLine="600"/>
        <w:jc w:val="lef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法人代表（签字）</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w:t>
      </w:r>
    </w:p>
    <w:p>
      <w:pPr>
        <w:widowControl/>
        <w:spacing w:line="360" w:lineRule="auto"/>
        <w:ind w:firstLine="600"/>
        <w:jc w:val="lef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授权委托人（签字）</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w:t>
      </w:r>
    </w:p>
    <w:p>
      <w:pPr>
        <w:widowControl/>
        <w:spacing w:line="360" w:lineRule="auto"/>
        <w:ind w:firstLine="600"/>
        <w:jc w:val="lef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单位名称（公章）</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w:t>
      </w:r>
    </w:p>
    <w:p>
      <w:pPr>
        <w:widowControl/>
        <w:spacing w:line="360" w:lineRule="auto"/>
        <w:ind w:firstLine="480"/>
        <w:jc w:val="lef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 xml:space="preserve"> 日    期：</w:t>
      </w:r>
      <w:r>
        <w:rPr>
          <w:rFonts w:hint="eastAsia" w:ascii="仿宋" w:hAnsi="仿宋" w:eastAsia="仿宋" w:cs="仿宋"/>
          <w:b/>
          <w:bCs/>
          <w:color w:val="000000" w:themeColor="text1"/>
          <w:kern w:val="0"/>
          <w:sz w:val="24"/>
          <w:highlight w:val="none"/>
          <w:u w:val="single"/>
          <w14:textFill>
            <w14:solidFill>
              <w14:schemeClr w14:val="tx1"/>
            </w14:solidFill>
          </w14:textFill>
        </w:rPr>
        <w:t xml:space="preserve">                                    </w:t>
      </w:r>
    </w:p>
    <w:p>
      <w:pPr>
        <w:widowControl/>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p>
    <w:p>
      <w:pPr>
        <w:widowControl/>
        <w:spacing w:line="360" w:lineRule="auto"/>
        <w:rPr>
          <w:rFonts w:hint="eastAsia" w:ascii="仿宋" w:hAnsi="仿宋" w:eastAsia="仿宋" w:cs="仿宋"/>
          <w:color w:val="000000" w:themeColor="text1"/>
          <w:kern w:val="0"/>
          <w:sz w:val="24"/>
          <w:highlight w:val="none"/>
          <w14:textFill>
            <w14:solidFill>
              <w14:schemeClr w14:val="tx1"/>
            </w14:solidFill>
          </w14:textFill>
        </w:rPr>
      </w:pPr>
    </w:p>
    <w:p>
      <w:pPr>
        <w:pStyle w:val="41"/>
        <w:ind w:left="10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pStyle w:val="4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mc:AlternateContent>
          <mc:Choice Requires="wps">
            <w:drawing>
              <wp:anchor distT="0" distB="0" distL="0" distR="0" simplePos="0" relativeHeight="251660288" behindDoc="0" locked="0" layoutInCell="1" allowOverlap="1">
                <wp:simplePos x="0" y="0"/>
                <wp:positionH relativeFrom="page">
                  <wp:posOffset>1294765</wp:posOffset>
                </wp:positionH>
                <wp:positionV relativeFrom="paragraph">
                  <wp:posOffset>88265</wp:posOffset>
                </wp:positionV>
                <wp:extent cx="4954905" cy="1921510"/>
                <wp:effectExtent l="4445" t="4445" r="12700" b="17145"/>
                <wp:wrapTopAndBottom/>
                <wp:docPr id="3" name="_x0000_s2053"/>
                <wp:cNvGraphicFramePr/>
                <a:graphic xmlns:a="http://schemas.openxmlformats.org/drawingml/2006/main">
                  <a:graphicData uri="http://schemas.microsoft.com/office/word/2010/wordprocessingShape">
                    <wps:wsp>
                      <wps:cNvSpPr/>
                      <wps:spPr>
                        <a:xfrm>
                          <a:off x="0" y="0"/>
                          <a:ext cx="4954905" cy="1921510"/>
                        </a:xfrm>
                        <a:prstGeom prst="rect">
                          <a:avLst/>
                        </a:prstGeom>
                        <a:ln w="6096">
                          <a:solidFill>
                            <a:schemeClr val="tx1"/>
                          </a:solidFill>
                        </a:ln>
                      </wps:spPr>
                      <wps:txbx>
                        <w:txbxContent>
                          <w:p>
                            <w:pPr>
                              <w:spacing w:before="174"/>
                              <w:jc w:val="center"/>
                              <w:rPr>
                                <w:rFonts w:hint="eastAsia" w:ascii="仿宋" w:hAnsi="仿宋" w:eastAsia="仿宋" w:cs="仿宋"/>
                                <w:sz w:val="20"/>
                              </w:rPr>
                            </w:pPr>
                            <w:r>
                              <w:rPr>
                                <w:rFonts w:hint="eastAsia" w:ascii="仿宋" w:hAnsi="仿宋" w:eastAsia="仿宋" w:cs="仿宋"/>
                                <w:sz w:val="20"/>
                              </w:rPr>
                              <w:t>被授权人身份证正反面影印件或复印件粘贴处</w:t>
                            </w:r>
                          </w:p>
                          <w:p/>
                        </w:txbxContent>
                      </wps:txbx>
                      <wps:bodyPr rot="0" vert="horz" wrap="square" lIns="91440" tIns="45720" rIns="91440" bIns="45720" anchor="t" anchorCtr="0"/>
                    </wps:wsp>
                  </a:graphicData>
                </a:graphic>
              </wp:anchor>
            </w:drawing>
          </mc:Choice>
          <mc:Fallback>
            <w:pict>
              <v:rect id="_x0000_s2053" o:spid="_x0000_s1026" o:spt="1" style="position:absolute;left:0pt;margin-left:101.95pt;margin-top:6.95pt;height:151.3pt;width:390.15pt;mso-position-horizontal-relative:page;mso-wrap-distance-bottom:0pt;mso-wrap-distance-top:0pt;z-index:251660288;mso-width-relative:page;mso-height-relative:page;" filled="f" stroked="t" coordsize="21600,21600" o:gfxdata="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m2mjfZ&#10;AAAACgEAAA8AAAAAAAAAAQAgAAAAIgAAAGRycy9kb3ducmV2LnhtbFBLAQIUABQAAAAIAIdO4kB0&#10;Aiwj5gEAANADAAAOAAAAAAAAAAEAIAAAACgBAABkcnMvZTJvRG9jLnhtbFBLBQYAAAAABgAGAFkB&#10;AACABQAAAAA=&#10;">
                <v:fill on="f" focussize="0,0"/>
                <v:stroke weight="0.48pt" color="#000000 [3213]" joinstyle="round"/>
                <v:imagedata o:title=""/>
                <o:lock v:ext="edit" aspectratio="f"/>
                <v:textbox>
                  <w:txbxContent>
                    <w:p>
                      <w:pPr>
                        <w:spacing w:before="174"/>
                        <w:jc w:val="center"/>
                        <w:rPr>
                          <w:rFonts w:hint="eastAsia" w:ascii="仿宋" w:hAnsi="仿宋" w:eastAsia="仿宋" w:cs="仿宋"/>
                          <w:sz w:val="20"/>
                        </w:rPr>
                      </w:pPr>
                      <w:r>
                        <w:rPr>
                          <w:rFonts w:hint="eastAsia" w:ascii="仿宋" w:hAnsi="仿宋" w:eastAsia="仿宋" w:cs="仿宋"/>
                          <w:sz w:val="20"/>
                        </w:rPr>
                        <w:t>被授权人身份证正反面影印件或复印件粘贴处</w:t>
                      </w:r>
                    </w:p>
                    <w:p/>
                  </w:txbxContent>
                </v:textbox>
                <w10:wrap type="topAndBottom"/>
              </v:rect>
            </w:pict>
          </mc:Fallback>
        </mc:AlternateContent>
      </w:r>
      <w:r>
        <w:rPr>
          <w:rFonts w:hint="eastAsia" w:ascii="仿宋" w:hAnsi="仿宋" w:eastAsia="仿宋" w:cs="仿宋"/>
          <w:color w:val="000000" w:themeColor="text1"/>
          <w:kern w:val="0"/>
          <w:sz w:val="24"/>
          <w:highlight w:val="none"/>
          <w14:textFill>
            <w14:solidFill>
              <w14:schemeClr w14:val="tx1"/>
            </w14:solidFill>
          </w14:textFill>
        </w:rPr>
        <w:t xml:space="preserve">   </w:t>
      </w:r>
    </w:p>
    <w:p>
      <w:pPr>
        <w:spacing w:line="460" w:lineRule="exact"/>
        <w:jc w:val="left"/>
        <w:rPr>
          <w:rFonts w:hint="eastAsia" w:ascii="仿宋" w:hAnsi="仿宋" w:eastAsia="仿宋" w:cs="仿宋"/>
          <w:b/>
          <w:bCs/>
          <w:color w:val="000000" w:themeColor="text1"/>
          <w:sz w:val="24"/>
          <w:highlight w:val="none"/>
          <w14:textFill>
            <w14:solidFill>
              <w14:schemeClr w14:val="tx1"/>
            </w14:solidFill>
          </w14:textFill>
        </w:rPr>
      </w:pPr>
    </w:p>
    <w:p>
      <w:pPr>
        <w:spacing w:line="440" w:lineRule="exact"/>
        <w:ind w:firstLine="486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br w:type="page"/>
      </w:r>
    </w:p>
    <w:p>
      <w:pPr>
        <w:pStyle w:val="42"/>
        <w:ind w:firstLine="241"/>
        <w:jc w:val="left"/>
        <w:outlineLvl w:val="1"/>
        <w:rPr>
          <w:rFonts w:hint="eastAsia" w:ascii="仿宋" w:hAnsi="仿宋" w:eastAsia="仿宋" w:cs="仿宋"/>
          <w:b/>
          <w:bCs/>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附件2</w:t>
      </w:r>
    </w:p>
    <w:p>
      <w:pPr>
        <w:widowControl/>
        <w:spacing w:line="42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参与政府采购活动投标资格声明函</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常山县市容环卫中心</w:t>
      </w:r>
      <w:r>
        <w:rPr>
          <w:rFonts w:hint="eastAsia" w:ascii="仿宋" w:hAnsi="仿宋" w:eastAsia="仿宋" w:cs="仿宋"/>
          <w:color w:val="000000" w:themeColor="text1"/>
          <w:sz w:val="24"/>
          <w:highlight w:val="none"/>
          <w:u w:val="single"/>
          <w14:textFill>
            <w14:solidFill>
              <w14:schemeClr w14:val="tx1"/>
            </w14:solidFill>
          </w14:textFill>
        </w:rPr>
        <w:t>：</w:t>
      </w: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浙江九越建设管理有限公司：</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根据贵方</w:t>
      </w:r>
      <w:r>
        <w:rPr>
          <w:rFonts w:hint="eastAsia" w:ascii="仿宋" w:hAnsi="仿宋" w:eastAsia="仿宋" w:cs="仿宋"/>
          <w:color w:val="000000" w:themeColor="text1"/>
          <w:sz w:val="24"/>
          <w:highlight w:val="none"/>
          <w:u w:val="single"/>
          <w14:textFill>
            <w14:solidFill>
              <w14:schemeClr w14:val="tx1"/>
            </w14:solidFill>
          </w14:textFill>
        </w:rPr>
        <w:t>（项目名称：）（项目编号：）</w:t>
      </w:r>
      <w:r>
        <w:rPr>
          <w:rFonts w:hint="eastAsia" w:ascii="仿宋" w:hAnsi="仿宋" w:eastAsia="仿宋" w:cs="仿宋"/>
          <w:color w:val="000000" w:themeColor="text1"/>
          <w:sz w:val="24"/>
          <w:highlight w:val="none"/>
          <w14:textFill>
            <w14:solidFill>
              <w14:schemeClr w14:val="tx1"/>
            </w14:solidFill>
          </w14:textFill>
        </w:rPr>
        <w:t>采购文件要求，我公司在完全理解采购文件技术要求、商务条款及其他内容的基础上，决定响应该项目的采购活动。并承诺，我公司符合参与政府采购活动资格条件：</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（一）具有独立承担民事责任的能力；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（二）具有良好的商业信誉和健全的财务会计制度；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（三）具有履行合同所必需的设备和专业技术能力；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（四）有依法缴纳税收和社会保障资金的良好记录；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（五）参加采购活动前三年内，在经营活动中没有重大违法记录。   </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我公司对上述承诺的真实性负责，如有虚假，我公司同意按我方提供虚假材料谋取中标（成交）处理，并依法承担相应法律责任。</w:t>
      </w:r>
    </w:p>
    <w:p>
      <w:pPr>
        <w:pStyle w:val="58"/>
        <w:tabs>
          <w:tab w:val="left" w:pos="900"/>
        </w:tabs>
        <w:ind w:left="900" w:hanging="480"/>
        <w:rPr>
          <w:rFonts w:hint="eastAsia" w:ascii="仿宋" w:hAnsi="仿宋" w:eastAsia="仿宋" w:cs="仿宋"/>
          <w:color w:val="000000" w:themeColor="text1"/>
          <w:sz w:val="24"/>
          <w:szCs w:val="24"/>
          <w:highlight w:val="none"/>
          <w14:textFill>
            <w14:solidFill>
              <w14:schemeClr w14:val="tx1"/>
            </w14:solidFill>
          </w14:textFill>
        </w:rPr>
      </w:pPr>
    </w:p>
    <w:p>
      <w:pPr>
        <w:pStyle w:val="45"/>
        <w:ind w:firstLine="542"/>
        <w:rPr>
          <w:rFonts w:hint="eastAsia" w:ascii="仿宋" w:hAnsi="仿宋" w:eastAsia="仿宋" w:cs="仿宋"/>
          <w:color w:val="000000" w:themeColor="text1"/>
          <w:highlight w:val="none"/>
          <w14:textFill>
            <w14:solidFill>
              <w14:schemeClr w14:val="tx1"/>
            </w14:solidFill>
          </w14:textFill>
        </w:rPr>
      </w:pPr>
    </w:p>
    <w:p>
      <w:pPr>
        <w:pStyle w:val="45"/>
        <w:ind w:firstLine="542"/>
        <w:rPr>
          <w:rFonts w:hint="eastAsia" w:ascii="仿宋" w:hAnsi="仿宋" w:eastAsia="仿宋" w:cs="仿宋"/>
          <w:color w:val="000000" w:themeColor="text1"/>
          <w:highlight w:val="none"/>
          <w14:textFill>
            <w14:solidFill>
              <w14:schemeClr w14:val="tx1"/>
            </w14:solidFill>
          </w14:textFill>
        </w:rPr>
      </w:pP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供应商名称（盖章）：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    年   月   日</w:t>
      </w:r>
    </w:p>
    <w:p>
      <w:pPr>
        <w:spacing w:line="360" w:lineRule="auto"/>
        <w:jc w:val="left"/>
        <w:outlineLvl w:val="1"/>
        <w:rPr>
          <w:rFonts w:hint="eastAsia" w:ascii="仿宋" w:hAnsi="仿宋" w:eastAsia="仿宋" w:cs="仿宋"/>
          <w:b/>
          <w:bCs/>
          <w:color w:val="000000" w:themeColor="text1"/>
          <w:sz w:val="24"/>
          <w:highlight w:val="none"/>
          <w14:textFill>
            <w14:solidFill>
              <w14:schemeClr w14:val="tx1"/>
            </w14:solidFill>
          </w14:textFill>
        </w:rPr>
      </w:pPr>
      <w:bookmarkStart w:id="198" w:name="_Toc14477"/>
      <w:bookmarkEnd w:id="198"/>
      <w:r>
        <w:rPr>
          <w:rFonts w:hint="eastAsia" w:ascii="仿宋" w:hAnsi="仿宋" w:eastAsia="仿宋" w:cs="仿宋"/>
          <w:b/>
          <w:bCs/>
          <w:color w:val="000000" w:themeColor="text1"/>
          <w:sz w:val="24"/>
          <w:highlight w:val="none"/>
          <w14:textFill>
            <w14:solidFill>
              <w14:schemeClr w14:val="tx1"/>
            </w14:solidFill>
          </w14:textFill>
        </w:rPr>
        <w:br w:type="page"/>
      </w:r>
      <w:r>
        <w:rPr>
          <w:rFonts w:hint="eastAsia" w:ascii="仿宋" w:hAnsi="仿宋" w:eastAsia="仿宋" w:cs="仿宋"/>
          <w:b/>
          <w:bCs/>
          <w:color w:val="000000" w:themeColor="text1"/>
          <w:sz w:val="24"/>
          <w:highlight w:val="none"/>
          <w14:textFill>
            <w14:solidFill>
              <w14:schemeClr w14:val="tx1"/>
            </w14:solidFill>
          </w14:textFill>
        </w:rPr>
        <w:t xml:space="preserve">附件3                         </w:t>
      </w:r>
    </w:p>
    <w:p>
      <w:pPr>
        <w:pStyle w:val="33"/>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技术资信评分项索引表（放置投标文件首页）</w:t>
      </w:r>
    </w:p>
    <w:p>
      <w:pPr>
        <w:pStyle w:val="33"/>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3510"/>
        <w:gridCol w:w="3960"/>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7470" w:type="dxa"/>
            <w:gridSpan w:val="2"/>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评分项目</w:t>
            </w:r>
          </w:p>
        </w:tc>
        <w:tc>
          <w:tcPr>
            <w:tcW w:w="1340"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投标文件索引（页码）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510" w:type="dxa"/>
            <w:vAlign w:val="center"/>
          </w:tcPr>
          <w:p>
            <w:pPr>
              <w:spacing w:line="300" w:lineRule="exact"/>
              <w:ind w:left="-51"/>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spacing w:line="300" w:lineRule="exact"/>
              <w:ind w:left="-51"/>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510" w:type="dxa"/>
            <w:vAlign w:val="center"/>
          </w:tcPr>
          <w:p>
            <w:pPr>
              <w:ind w:left="-51"/>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ind w:left="-51"/>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510" w:type="dxa"/>
            <w:vAlign w:val="center"/>
          </w:tcPr>
          <w:p>
            <w:pPr>
              <w:spacing w:line="440" w:lineRule="exact"/>
              <w:ind w:left="-50"/>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ind w:left="-51"/>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3510" w:type="dxa"/>
            <w:vAlign w:val="center"/>
          </w:tcPr>
          <w:p>
            <w:pPr>
              <w:spacing w:line="440" w:lineRule="exact"/>
              <w:ind w:left="-50"/>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ind w:left="-51"/>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3510" w:type="dxa"/>
            <w:vAlign w:val="center"/>
          </w:tcPr>
          <w:p>
            <w:pPr>
              <w:spacing w:line="440" w:lineRule="exact"/>
              <w:ind w:left="-50"/>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ind w:left="-51"/>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3510" w:type="dxa"/>
            <w:vAlign w:val="center"/>
          </w:tcPr>
          <w:p>
            <w:pPr>
              <w:spacing w:line="300" w:lineRule="exact"/>
              <w:ind w:left="-50"/>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spacing w:line="440" w:lineRule="exact"/>
              <w:ind w:left="-50"/>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3510" w:type="dxa"/>
            <w:vAlign w:val="center"/>
          </w:tcPr>
          <w:p>
            <w:pPr>
              <w:spacing w:line="440" w:lineRule="exact"/>
              <w:ind w:left="-50"/>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spacing w:line="300" w:lineRule="exact"/>
              <w:ind w:left="-51"/>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3510" w:type="dxa"/>
            <w:vAlign w:val="center"/>
          </w:tcPr>
          <w:p>
            <w:pPr>
              <w:spacing w:line="440" w:lineRule="exact"/>
              <w:ind w:left="-50"/>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spacing w:line="300" w:lineRule="exact"/>
              <w:ind w:left="-51"/>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3510" w:type="dxa"/>
            <w:vAlign w:val="center"/>
          </w:tcPr>
          <w:p>
            <w:pPr>
              <w:spacing w:line="440" w:lineRule="exact"/>
              <w:ind w:left="-50"/>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spacing w:line="300" w:lineRule="exact"/>
              <w:ind w:left="-51"/>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3510" w:type="dxa"/>
            <w:vAlign w:val="center"/>
          </w:tcPr>
          <w:p>
            <w:pPr>
              <w:spacing w:line="300" w:lineRule="exact"/>
              <w:ind w:left="-50"/>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snapToGrid w:val="0"/>
              <w:spacing w:line="300" w:lineRule="atLeast"/>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c>
          <w:tcPr>
            <w:tcW w:w="3510" w:type="dxa"/>
            <w:vAlign w:val="center"/>
          </w:tcPr>
          <w:p>
            <w:pPr>
              <w:spacing w:line="300" w:lineRule="exact"/>
              <w:ind w:left="-51"/>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spacing w:line="300" w:lineRule="exact"/>
              <w:ind w:left="-50"/>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9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c>
          <w:tcPr>
            <w:tcW w:w="3510" w:type="dxa"/>
            <w:vAlign w:val="center"/>
          </w:tcPr>
          <w:p>
            <w:pPr>
              <w:spacing w:line="440" w:lineRule="exact"/>
              <w:ind w:left="-50"/>
              <w:jc w:val="center"/>
              <w:rPr>
                <w:rFonts w:hint="eastAsia" w:ascii="仿宋" w:hAnsi="仿宋" w:eastAsia="仿宋" w:cs="仿宋"/>
                <w:color w:val="000000" w:themeColor="text1"/>
                <w:sz w:val="24"/>
                <w:highlight w:val="none"/>
                <w14:textFill>
                  <w14:solidFill>
                    <w14:schemeClr w14:val="tx1"/>
                  </w14:solidFill>
                </w14:textFill>
              </w:rPr>
            </w:pPr>
          </w:p>
        </w:tc>
        <w:tc>
          <w:tcPr>
            <w:tcW w:w="3960" w:type="dxa"/>
            <w:vAlign w:val="center"/>
          </w:tcPr>
          <w:p>
            <w:pPr>
              <w:spacing w:line="440" w:lineRule="exact"/>
              <w:ind w:left="-50"/>
              <w:rPr>
                <w:rFonts w:hint="eastAsia" w:ascii="仿宋" w:hAnsi="仿宋" w:eastAsia="仿宋" w:cs="仿宋"/>
                <w:color w:val="000000" w:themeColor="text1"/>
                <w:sz w:val="24"/>
                <w:highlight w:val="none"/>
                <w14:textFill>
                  <w14:solidFill>
                    <w14:schemeClr w14:val="tx1"/>
                  </w14:solidFill>
                </w14:textFill>
              </w:rPr>
            </w:pPr>
          </w:p>
        </w:tc>
        <w:tc>
          <w:tcPr>
            <w:tcW w:w="1340" w:type="dxa"/>
            <w:vAlign w:val="center"/>
          </w:tcPr>
          <w:p>
            <w:pPr>
              <w:pStyle w:val="33"/>
              <w:rPr>
                <w:rFonts w:hint="eastAsia" w:ascii="仿宋" w:hAnsi="仿宋" w:eastAsia="仿宋" w:cs="仿宋"/>
                <w:color w:val="000000" w:themeColor="text1"/>
                <w:sz w:val="24"/>
                <w:szCs w:val="24"/>
                <w:highlight w:val="none"/>
                <w14:textFill>
                  <w14:solidFill>
                    <w14:schemeClr w14:val="tx1"/>
                  </w14:solidFill>
                </w14:textFill>
              </w:rPr>
            </w:pPr>
          </w:p>
        </w:tc>
      </w:tr>
    </w:tbl>
    <w:p>
      <w:pPr>
        <w:spacing w:line="440" w:lineRule="exac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注：评审项目、评分标准、分值对应“第五章  评标原则及方法”技术资信分评审内容。</w:t>
      </w:r>
    </w:p>
    <w:p>
      <w:pPr>
        <w:spacing w:line="440" w:lineRule="exact"/>
        <w:ind w:firstLine="4860"/>
        <w:rPr>
          <w:rFonts w:hint="eastAsia" w:ascii="仿宋" w:hAnsi="仿宋" w:eastAsia="仿宋" w:cs="仿宋"/>
          <w:b/>
          <w:bCs/>
          <w:color w:val="000000" w:themeColor="text1"/>
          <w:sz w:val="24"/>
          <w:highlight w:val="none"/>
          <w14:textFill>
            <w14:solidFill>
              <w14:schemeClr w14:val="tx1"/>
            </w14:solidFill>
          </w14:textFill>
        </w:rPr>
      </w:pPr>
    </w:p>
    <w:p>
      <w:pPr>
        <w:spacing w:line="440" w:lineRule="exact"/>
        <w:ind w:firstLine="4860"/>
        <w:rPr>
          <w:rFonts w:hint="eastAsia" w:ascii="仿宋" w:hAnsi="仿宋" w:eastAsia="仿宋" w:cs="仿宋"/>
          <w:b/>
          <w:bCs/>
          <w:color w:val="000000" w:themeColor="text1"/>
          <w:sz w:val="24"/>
          <w:highlight w:val="none"/>
          <w14:textFill>
            <w14:solidFill>
              <w14:schemeClr w14:val="tx1"/>
            </w14:solidFill>
          </w14:textFill>
        </w:rPr>
      </w:pPr>
    </w:p>
    <w:p>
      <w:pPr>
        <w:spacing w:line="440" w:lineRule="exact"/>
        <w:ind w:firstLine="486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投标人（盖章）：</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p>
    <w:p>
      <w:pPr>
        <w:spacing w:line="440" w:lineRule="exact"/>
        <w:ind w:firstLine="4860"/>
        <w:rPr>
          <w:rFonts w:hint="eastAsia" w:ascii="仿宋" w:hAnsi="仿宋" w:eastAsia="仿宋" w:cs="仿宋"/>
          <w:b/>
          <w:bCs/>
          <w:color w:val="000000" w:themeColor="text1"/>
          <w:sz w:val="24"/>
          <w:highlight w:val="none"/>
          <w14:textFill>
            <w14:solidFill>
              <w14:schemeClr w14:val="tx1"/>
            </w14:solidFill>
          </w14:textFill>
        </w:rPr>
      </w:pPr>
    </w:p>
    <w:p>
      <w:pPr>
        <w:spacing w:line="440" w:lineRule="exact"/>
        <w:ind w:firstLine="486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日 期：  年  月  日</w:t>
      </w:r>
    </w:p>
    <w:p>
      <w:pPr>
        <w:spacing w:line="360" w:lineRule="auto"/>
        <w:ind w:firstLine="482" w:firstLineChars="200"/>
        <w:jc w:val="left"/>
        <w:outlineLvl w:val="1"/>
        <w:rPr>
          <w:rFonts w:hint="eastAsia" w:ascii="仿宋" w:hAnsi="仿宋" w:eastAsia="仿宋" w:cs="仿宋"/>
          <w:b/>
          <w:bCs/>
          <w:color w:val="000000" w:themeColor="text1"/>
          <w:sz w:val="24"/>
          <w:highlight w:val="none"/>
          <w14:textFill>
            <w14:solidFill>
              <w14:schemeClr w14:val="tx1"/>
            </w14:solidFill>
          </w14:textFill>
        </w:rPr>
      </w:pPr>
      <w:bookmarkStart w:id="199" w:name="_Toc1393"/>
      <w:bookmarkEnd w:id="199"/>
      <w:r>
        <w:rPr>
          <w:rFonts w:hint="eastAsia" w:ascii="仿宋" w:hAnsi="仿宋" w:eastAsia="仿宋" w:cs="仿宋"/>
          <w:b/>
          <w:bCs/>
          <w:color w:val="000000" w:themeColor="text1"/>
          <w:sz w:val="24"/>
          <w:highlight w:val="none"/>
          <w14:textFill>
            <w14:solidFill>
              <w14:schemeClr w14:val="tx1"/>
            </w14:solidFill>
          </w14:textFill>
        </w:rPr>
        <w:br w:type="page"/>
      </w:r>
      <w:r>
        <w:rPr>
          <w:rFonts w:hint="eastAsia" w:ascii="仿宋" w:hAnsi="仿宋" w:eastAsia="仿宋" w:cs="仿宋"/>
          <w:b/>
          <w:bCs/>
          <w:color w:val="000000" w:themeColor="text1"/>
          <w:sz w:val="24"/>
          <w:highlight w:val="none"/>
          <w14:textFill>
            <w14:solidFill>
              <w14:schemeClr w14:val="tx1"/>
            </w14:solidFill>
          </w14:textFill>
        </w:rPr>
        <w:t>附件4</w:t>
      </w:r>
    </w:p>
    <w:p>
      <w:pPr>
        <w:pStyle w:val="33"/>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投标声明书</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常山县市容环卫中心</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根据贵方为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常山县城区餐厨（厨余）垃圾收运处置服务项目</w:t>
      </w:r>
      <w:r>
        <w:rPr>
          <w:rFonts w:hint="eastAsia" w:ascii="仿宋" w:hAnsi="仿宋" w:eastAsia="仿宋" w:cs="仿宋"/>
          <w:color w:val="000000" w:themeColor="text1"/>
          <w:sz w:val="24"/>
          <w:highlight w:val="none"/>
          <w:u w:val="single"/>
          <w14:textFill>
            <w14:solidFill>
              <w14:schemeClr w14:val="tx1"/>
            </w14:solidFill>
          </w14:textFill>
        </w:rPr>
        <w:t xml:space="preserve">   （项目编号：</w:t>
      </w:r>
      <w:r>
        <w:rPr>
          <w:rFonts w:hint="eastAsia" w:ascii="仿宋" w:hAnsi="仿宋" w:eastAsia="仿宋" w:cs="仿宋"/>
          <w:color w:val="000000" w:themeColor="text1"/>
          <w:sz w:val="24"/>
          <w:highlight w:val="none"/>
          <w:u w:val="single"/>
          <w:lang w:eastAsia="zh-CN"/>
          <w14:textFill>
            <w14:solidFill>
              <w14:schemeClr w14:val="tx1"/>
            </w14:solidFill>
          </w14:textFill>
        </w:rPr>
        <w:t>JYZFCG-2024-GK018</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的招标文件，我方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（投标人名称）作为投标人正式授权</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授权代表全名，职务）代表我方处理有关本投标的一切事宜。</w:t>
      </w:r>
    </w:p>
    <w:p>
      <w:pPr>
        <w:pStyle w:val="34"/>
        <w:spacing w:line="440" w:lineRule="exact"/>
        <w:ind w:firstLine="4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在此</w:t>
      </w:r>
      <w:r>
        <w:rPr>
          <w:rFonts w:hint="eastAsia" w:ascii="仿宋" w:hAnsi="仿宋" w:eastAsia="仿宋" w:cs="仿宋"/>
          <w:color w:val="000000" w:themeColor="text1"/>
          <w:spacing w:val="-3"/>
          <w:sz w:val="24"/>
          <w:szCs w:val="24"/>
          <w:highlight w:val="none"/>
          <w14:textFill>
            <w14:solidFill>
              <w14:schemeClr w14:val="tx1"/>
            </w14:solidFill>
          </w14:textFill>
        </w:rPr>
        <w:t>提</w:t>
      </w:r>
      <w:r>
        <w:rPr>
          <w:rFonts w:hint="eastAsia" w:ascii="仿宋" w:hAnsi="仿宋" w:eastAsia="仿宋" w:cs="仿宋"/>
          <w:color w:val="000000" w:themeColor="text1"/>
          <w:sz w:val="24"/>
          <w:szCs w:val="24"/>
          <w:highlight w:val="none"/>
          <w14:textFill>
            <w14:solidFill>
              <w14:schemeClr w14:val="tx1"/>
            </w14:solidFill>
          </w14:textFill>
        </w:rPr>
        <w:t>供</w:t>
      </w:r>
      <w:r>
        <w:rPr>
          <w:rFonts w:hint="eastAsia" w:ascii="仿宋" w:hAnsi="仿宋" w:eastAsia="仿宋" w:cs="仿宋"/>
          <w:color w:val="000000" w:themeColor="text1"/>
          <w:spacing w:val="-3"/>
          <w:sz w:val="24"/>
          <w:szCs w:val="24"/>
          <w:highlight w:val="none"/>
          <w14:textFill>
            <w14:solidFill>
              <w14:schemeClr w14:val="tx1"/>
            </w14:solidFill>
          </w14:textFill>
        </w:rPr>
        <w:t>投</w:t>
      </w:r>
      <w:r>
        <w:rPr>
          <w:rFonts w:hint="eastAsia" w:ascii="仿宋" w:hAnsi="仿宋" w:eastAsia="仿宋" w:cs="仿宋"/>
          <w:color w:val="000000" w:themeColor="text1"/>
          <w:sz w:val="24"/>
          <w:szCs w:val="24"/>
          <w:highlight w:val="none"/>
          <w14:textFill>
            <w14:solidFill>
              <w14:schemeClr w14:val="tx1"/>
            </w14:solidFill>
          </w14:textFill>
        </w:rPr>
        <w:t>标</w:t>
      </w:r>
      <w:r>
        <w:rPr>
          <w:rFonts w:hint="eastAsia" w:ascii="仿宋" w:hAnsi="仿宋" w:eastAsia="仿宋" w:cs="仿宋"/>
          <w:color w:val="000000" w:themeColor="text1"/>
          <w:spacing w:val="-3"/>
          <w:sz w:val="24"/>
          <w:szCs w:val="24"/>
          <w:highlight w:val="none"/>
          <w14:textFill>
            <w14:solidFill>
              <w14:schemeClr w14:val="tx1"/>
            </w14:solidFill>
          </w14:textFill>
        </w:rPr>
        <w:t>人</w:t>
      </w:r>
      <w:r>
        <w:rPr>
          <w:rFonts w:hint="eastAsia" w:ascii="仿宋" w:hAnsi="仿宋" w:eastAsia="仿宋" w:cs="仿宋"/>
          <w:color w:val="000000" w:themeColor="text1"/>
          <w:sz w:val="24"/>
          <w:szCs w:val="24"/>
          <w:highlight w:val="none"/>
          <w14:textFill>
            <w14:solidFill>
              <w14:schemeClr w14:val="tx1"/>
            </w14:solidFill>
          </w14:textFill>
        </w:rPr>
        <w:t>须知规</w:t>
      </w:r>
      <w:r>
        <w:rPr>
          <w:rFonts w:hint="eastAsia" w:ascii="仿宋" w:hAnsi="仿宋" w:eastAsia="仿宋" w:cs="仿宋"/>
          <w:color w:val="000000" w:themeColor="text1"/>
          <w:spacing w:val="-3"/>
          <w:sz w:val="24"/>
          <w:szCs w:val="24"/>
          <w:highlight w:val="none"/>
          <w14:textFill>
            <w14:solidFill>
              <w14:schemeClr w14:val="tx1"/>
            </w14:solidFill>
          </w14:textFill>
        </w:rPr>
        <w:t>定的</w:t>
      </w:r>
      <w:r>
        <w:rPr>
          <w:rFonts w:hint="eastAsia" w:ascii="仿宋" w:hAnsi="仿宋" w:eastAsia="仿宋" w:cs="仿宋"/>
          <w:color w:val="000000" w:themeColor="text1"/>
          <w:sz w:val="24"/>
          <w:szCs w:val="24"/>
          <w:highlight w:val="none"/>
          <w14:textFill>
            <w14:solidFill>
              <w14:schemeClr w14:val="tx1"/>
            </w14:solidFill>
          </w14:textFill>
        </w:rPr>
        <w:t>全部</w:t>
      </w:r>
      <w:r>
        <w:rPr>
          <w:rFonts w:hint="eastAsia" w:ascii="仿宋" w:hAnsi="仿宋" w:eastAsia="仿宋" w:cs="仿宋"/>
          <w:color w:val="000000" w:themeColor="text1"/>
          <w:spacing w:val="-3"/>
          <w:sz w:val="24"/>
          <w:szCs w:val="24"/>
          <w:highlight w:val="none"/>
          <w14:textFill>
            <w14:solidFill>
              <w14:schemeClr w14:val="tx1"/>
            </w14:solidFill>
          </w14:textFill>
        </w:rPr>
        <w:t>投</w:t>
      </w:r>
      <w:r>
        <w:rPr>
          <w:rFonts w:hint="eastAsia" w:ascii="仿宋" w:hAnsi="仿宋" w:eastAsia="仿宋" w:cs="仿宋"/>
          <w:color w:val="000000" w:themeColor="text1"/>
          <w:sz w:val="24"/>
          <w:szCs w:val="24"/>
          <w:highlight w:val="none"/>
          <w14:textFill>
            <w14:solidFill>
              <w14:schemeClr w14:val="tx1"/>
            </w14:solidFill>
          </w14:textFill>
        </w:rPr>
        <w:t>标</w:t>
      </w:r>
      <w:r>
        <w:rPr>
          <w:rFonts w:hint="eastAsia" w:ascii="仿宋" w:hAnsi="仿宋" w:eastAsia="仿宋" w:cs="仿宋"/>
          <w:color w:val="000000" w:themeColor="text1"/>
          <w:spacing w:val="-3"/>
          <w:sz w:val="24"/>
          <w:szCs w:val="24"/>
          <w:highlight w:val="none"/>
          <w14:textFill>
            <w14:solidFill>
              <w14:schemeClr w14:val="tx1"/>
            </w14:solidFill>
          </w14:textFill>
        </w:rPr>
        <w:t>文</w:t>
      </w:r>
      <w:r>
        <w:rPr>
          <w:rFonts w:hint="eastAsia" w:ascii="仿宋" w:hAnsi="仿宋" w:eastAsia="仿宋" w:cs="仿宋"/>
          <w:color w:val="000000" w:themeColor="text1"/>
          <w:sz w:val="24"/>
          <w:szCs w:val="24"/>
          <w:highlight w:val="none"/>
          <w14:textFill>
            <w14:solidFill>
              <w14:schemeClr w14:val="tx1"/>
            </w14:solidFill>
          </w14:textFill>
        </w:rPr>
        <w:t>件。</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我方已完全明白招标文件的所有条款要求，并重申以下几点：</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标人已详细审查全部“招标文件”，包括修改、澄清文件（如有的话）以及全部参考资料和有关附件，已经了解我方对于招标文件、采购过程、采购结果有依法进行询问、质疑、投诉的权利及相关渠道和要求。</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（二）投标人在投标之前已经与贵方进行了充分的沟通，完全理解并接受招标文件的各项规定和要求，对招标文件的合理性、合法性不再有异议。</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（三）本投标有效期自开标日起90日。</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（四）如中标，本投标文件至本项目合同履行完毕止均保持有效，本投标人将按“招标文件”及政府采购法律、法规的规定履行合同责任和义务。</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（五）投标人同意按照贵方要求提供与投标有关的一切数据或资料。</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（六）我方向贵方提交的所有投标文件、资料都是准确的和真实的。</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（七）我方不是采购人的附属机构；在获知本项目采购信息后，与采购人聘请的为此项目提供咨询服务的公司及其附属机构没有任何联系。</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（八）以上事项如有虚假或隐瞒，我方愿意承担一切后果，并不再寻求任何旨在减轻或免除法律责任的辩解。</w:t>
      </w:r>
    </w:p>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（九）本投标有关的一切正式往来信函请寄：</w:t>
      </w:r>
    </w:p>
    <w:p>
      <w:pPr>
        <w:spacing w:line="440" w:lineRule="exact"/>
        <w:ind w:firstLine="43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地址</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440" w:lineRule="exact"/>
        <w:ind w:firstLine="43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电话</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440" w:lineRule="exact"/>
        <w:ind w:firstLine="43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传真</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440" w:lineRule="exact"/>
        <w:ind w:firstLine="840" w:firstLineChars="3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电子邮件</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440" w:lineRule="exact"/>
        <w:ind w:firstLine="486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投标人（盖章）：</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p>
    <w:p>
      <w:pPr>
        <w:spacing w:line="440" w:lineRule="exact"/>
        <w:ind w:firstLine="486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日 期：  年  月  日</w:t>
      </w:r>
      <w:r>
        <w:rPr>
          <w:rFonts w:hint="eastAsia" w:ascii="仿宋" w:hAnsi="仿宋" w:eastAsia="仿宋" w:cs="仿宋"/>
          <w:b/>
          <w:bCs/>
          <w:color w:val="000000" w:themeColor="text1"/>
          <w:sz w:val="24"/>
          <w:highlight w:val="none"/>
          <w:u w:val="single"/>
          <w14:textFill>
            <w14:solidFill>
              <w14:schemeClr w14:val="tx1"/>
            </w14:solidFill>
          </w14:textFill>
        </w:rPr>
        <w:t xml:space="preserve">                            </w:t>
      </w:r>
    </w:p>
    <w:p>
      <w:pPr>
        <w:spacing w:line="460" w:lineRule="exact"/>
        <w:ind w:firstLine="435"/>
        <w:rPr>
          <w:rFonts w:hint="eastAsia" w:ascii="仿宋" w:hAnsi="仿宋" w:eastAsia="仿宋" w:cs="仿宋"/>
          <w:b/>
          <w:bCs/>
          <w:color w:val="000000" w:themeColor="text1"/>
          <w:sz w:val="24"/>
          <w:highlight w:val="none"/>
          <w:u w:val="single"/>
          <w14:textFill>
            <w14:solidFill>
              <w14:schemeClr w14:val="tx1"/>
            </w14:solidFill>
          </w14:textFill>
        </w:rPr>
      </w:pPr>
    </w:p>
    <w:p>
      <w:pPr>
        <w:spacing w:line="460" w:lineRule="exact"/>
        <w:outlineLvl w:val="1"/>
        <w:rPr>
          <w:rFonts w:hint="eastAsia" w:ascii="仿宋" w:hAnsi="仿宋" w:eastAsia="仿宋" w:cs="仿宋"/>
          <w:b/>
          <w:bCs/>
          <w:color w:val="000000" w:themeColor="text1"/>
          <w:sz w:val="24"/>
          <w:highlight w:val="none"/>
          <w14:textFill>
            <w14:solidFill>
              <w14:schemeClr w14:val="tx1"/>
            </w14:solidFill>
          </w14:textFill>
        </w:rPr>
      </w:pPr>
      <w:bookmarkStart w:id="200" w:name="_Toc793"/>
      <w:bookmarkEnd w:id="200"/>
      <w:r>
        <w:rPr>
          <w:rFonts w:hint="eastAsia" w:ascii="仿宋" w:hAnsi="仿宋" w:eastAsia="仿宋" w:cs="仿宋"/>
          <w:b/>
          <w:bCs/>
          <w:color w:val="000000" w:themeColor="text1"/>
          <w:sz w:val="24"/>
          <w:highlight w:val="none"/>
          <w14:textFill>
            <w14:solidFill>
              <w14:schemeClr w14:val="tx1"/>
            </w14:solidFill>
          </w14:textFill>
        </w:rPr>
        <w:br w:type="page"/>
      </w:r>
      <w:r>
        <w:rPr>
          <w:rFonts w:hint="eastAsia" w:ascii="仿宋" w:hAnsi="仿宋" w:eastAsia="仿宋" w:cs="仿宋"/>
          <w:b/>
          <w:bCs/>
          <w:color w:val="000000" w:themeColor="text1"/>
          <w:sz w:val="24"/>
          <w:highlight w:val="none"/>
          <w14:textFill>
            <w14:solidFill>
              <w14:schemeClr w14:val="tx1"/>
            </w14:solidFill>
          </w14:textFill>
        </w:rPr>
        <w:t>附件5</w:t>
      </w:r>
    </w:p>
    <w:p>
      <w:pPr>
        <w:pStyle w:val="33"/>
        <w:snapToGrid w:val="0"/>
        <w:spacing w:line="4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投标人基本情况表</w:t>
      </w:r>
    </w:p>
    <w:tbl>
      <w:tblPr>
        <w:tblStyle w:val="17"/>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4"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投标人名称</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4"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20" w:lineRule="exact"/>
              <w:ind w:left="-28" w:leftChars="-51" w:right="-107" w:rightChars="-51" w:hanging="79" w:hangingChars="33"/>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法定代表人</w:t>
            </w: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bCs/>
                <w:color w:val="000000" w:themeColor="text1"/>
                <w:sz w:val="24"/>
                <w:highlight w:val="none"/>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320" w:lineRule="exact"/>
              <w:ind w:left="-28" w:leftChars="-51" w:right="-107" w:rightChars="-51" w:hanging="79" w:hangingChars="33"/>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授权代表人</w:t>
            </w:r>
          </w:p>
        </w:tc>
        <w:tc>
          <w:tcPr>
            <w:tcW w:w="143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bCs/>
                <w:color w:val="000000" w:themeColor="text1"/>
                <w:sz w:val="24"/>
                <w:highlight w:val="none"/>
                <w14:textFill>
                  <w14:solidFill>
                    <w14:schemeClr w14:val="tx1"/>
                  </w14:solidFill>
                </w14:textFill>
              </w:rPr>
            </w:pP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营业（经营）执照号码</w:t>
            </w:r>
          </w:p>
        </w:tc>
        <w:tc>
          <w:tcPr>
            <w:tcW w:w="187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4"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职工人数</w:t>
            </w: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bCs/>
                <w:color w:val="000000" w:themeColor="text1"/>
                <w:sz w:val="24"/>
                <w:highlight w:val="none"/>
                <w14:textFill>
                  <w14:solidFill>
                    <w14:schemeClr w14:val="tx1"/>
                  </w14:solidFill>
                </w14:textFill>
              </w:rPr>
            </w:pP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注册时间</w:t>
            </w:r>
          </w:p>
        </w:tc>
        <w:tc>
          <w:tcPr>
            <w:tcW w:w="1431"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89"/>
              <w:jc w:val="center"/>
              <w:rPr>
                <w:rFonts w:hint="eastAsia" w:ascii="仿宋" w:hAnsi="仿宋" w:eastAsia="仿宋" w:cs="仿宋"/>
                <w:bCs/>
                <w:color w:val="000000" w:themeColor="text1"/>
                <w:sz w:val="24"/>
                <w:highlight w:val="none"/>
                <w14:textFill>
                  <w14:solidFill>
                    <w14:schemeClr w14:val="tx1"/>
                  </w14:solidFill>
                </w14:textFill>
              </w:rPr>
            </w:pPr>
          </w:p>
        </w:tc>
        <w:tc>
          <w:tcPr>
            <w:tcW w:w="1533" w:type="dxa"/>
            <w:tcBorders>
              <w:top w:val="single" w:color="000000" w:sz="4" w:space="0"/>
              <w:left w:val="single" w:color="000000" w:sz="4" w:space="0"/>
              <w:bottom w:val="single" w:color="000000" w:sz="4" w:space="0"/>
              <w:right w:val="single" w:color="000000" w:sz="4" w:space="0"/>
            </w:tcBorders>
            <w:vAlign w:val="center"/>
          </w:tcPr>
          <w:p>
            <w:pPr>
              <w:spacing w:line="320" w:lineRule="exact"/>
              <w:ind w:left="-28" w:leftChars="-51" w:hanging="79" w:hangingChars="33"/>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注册资金</w:t>
            </w:r>
          </w:p>
        </w:tc>
        <w:tc>
          <w:tcPr>
            <w:tcW w:w="187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 xml:space="preserve">      万元</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4"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地   址</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bCs/>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restart"/>
            <w:tcBorders>
              <w:top w:val="single" w:color="000000" w:sz="4" w:space="0"/>
              <w:left w:val="single" w:color="000000" w:sz="4" w:space="0"/>
              <w:right w:val="single" w:color="000000" w:sz="4" w:space="0"/>
            </w:tcBorders>
            <w:vAlign w:val="center"/>
          </w:tcPr>
          <w:p>
            <w:pPr>
              <w:spacing w:line="32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所获资质</w:t>
            </w:r>
          </w:p>
          <w:p>
            <w:pPr>
              <w:spacing w:line="32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或认证</w:t>
            </w: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证书或证件名称及等级</w:t>
            </w: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颁发部门</w:t>
            </w: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颁发时间</w:t>
            </w:r>
          </w:p>
        </w:tc>
        <w:tc>
          <w:tcPr>
            <w:tcW w:w="157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有效期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2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2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2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2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restart"/>
            <w:tcBorders>
              <w:top w:val="single" w:color="000000" w:sz="4" w:space="0"/>
              <w:left w:val="single" w:color="000000" w:sz="4" w:space="0"/>
              <w:right w:val="single" w:color="000000" w:sz="4" w:space="0"/>
            </w:tcBorders>
            <w:vAlign w:val="center"/>
          </w:tcPr>
          <w:p>
            <w:pPr>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所获荣誉</w:t>
            </w: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荣誉名称</w:t>
            </w: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颁发部门</w:t>
            </w: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颁发时间</w:t>
            </w:r>
          </w:p>
        </w:tc>
        <w:tc>
          <w:tcPr>
            <w:tcW w:w="157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有效期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2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right w:val="single" w:color="000000" w:sz="4" w:space="0"/>
            </w:tcBorders>
            <w:vAlign w:val="center"/>
          </w:tcPr>
          <w:p>
            <w:pPr>
              <w:spacing w:line="2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544" w:hRule="atLeast"/>
          <w:jc w:val="center"/>
        </w:trPr>
        <w:tc>
          <w:tcPr>
            <w:tcW w:w="1543"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143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285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841"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color w:val="000000" w:themeColor="text1"/>
                <w:sz w:val="24"/>
                <w:highlight w:val="none"/>
                <w:u w:val="singl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26"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经营范围</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pStyle w:val="35"/>
              <w:tabs>
                <w:tab w:val="left" w:pos="1800"/>
                <w:tab w:val="left" w:pos="1980"/>
              </w:tabs>
              <w:spacing w:line="240" w:lineRule="exact"/>
              <w:rPr>
                <w:rFonts w:hint="eastAsia" w:ascii="仿宋" w:hAnsi="仿宋" w:eastAsia="仿宋" w:cs="仿宋"/>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79"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其他</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 w:hAnsi="仿宋" w:eastAsia="仿宋" w:cs="仿宋"/>
                <w:bCs/>
                <w:color w:val="000000" w:themeColor="text1"/>
                <w:sz w:val="24"/>
                <w:highlight w:val="none"/>
                <w14:textFill>
                  <w14:solidFill>
                    <w14:schemeClr w14:val="tx1"/>
                  </w14:solidFill>
                </w14:textFill>
              </w:rPr>
            </w:pPr>
          </w:p>
        </w:tc>
      </w:tr>
    </w:tbl>
    <w:p>
      <w:pPr>
        <w:spacing w:line="320" w:lineRule="exact"/>
        <w:ind w:firstLine="9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注：1.表格内容不够，可另附页。</w:t>
      </w:r>
    </w:p>
    <w:p>
      <w:pPr>
        <w:spacing w:line="320" w:lineRule="exact"/>
        <w:ind w:firstLine="43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2.企业营业执照、所获认证证书、荣誉资料的复印件附后。</w:t>
      </w:r>
    </w:p>
    <w:p>
      <w:pPr>
        <w:spacing w:line="320" w:lineRule="exact"/>
        <w:rPr>
          <w:rFonts w:hint="eastAsia" w:ascii="仿宋" w:hAnsi="仿宋" w:eastAsia="仿宋" w:cs="仿宋"/>
          <w:b/>
          <w:color w:val="000000" w:themeColor="text1"/>
          <w:sz w:val="24"/>
          <w:highlight w:val="none"/>
          <w14:textFill>
            <w14:solidFill>
              <w14:schemeClr w14:val="tx1"/>
            </w14:solidFill>
          </w14:textFill>
        </w:rPr>
      </w:pPr>
    </w:p>
    <w:p>
      <w:pPr>
        <w:spacing w:line="320" w:lineRule="exact"/>
        <w:rPr>
          <w:rFonts w:hint="eastAsia" w:ascii="仿宋" w:hAnsi="仿宋" w:eastAsia="仿宋" w:cs="仿宋"/>
          <w:b/>
          <w:color w:val="000000" w:themeColor="text1"/>
          <w:sz w:val="24"/>
          <w:highlight w:val="none"/>
          <w14:textFill>
            <w14:solidFill>
              <w14:schemeClr w14:val="tx1"/>
            </w14:solidFill>
          </w14:textFill>
        </w:rPr>
      </w:pPr>
    </w:p>
    <w:p>
      <w:pPr>
        <w:spacing w:line="320" w:lineRule="exact"/>
        <w:rPr>
          <w:rFonts w:hint="eastAsia" w:ascii="仿宋" w:hAnsi="仿宋" w:eastAsia="仿宋" w:cs="仿宋"/>
          <w:b/>
          <w:color w:val="000000" w:themeColor="text1"/>
          <w:sz w:val="24"/>
          <w:highlight w:val="none"/>
          <w14:textFill>
            <w14:solidFill>
              <w14:schemeClr w14:val="tx1"/>
            </w14:solidFill>
          </w14:textFill>
        </w:rPr>
      </w:pPr>
    </w:p>
    <w:p>
      <w:pPr>
        <w:spacing w:line="320" w:lineRule="exact"/>
        <w:ind w:firstLine="48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投标人（盖章）：                    </w:t>
      </w:r>
    </w:p>
    <w:p>
      <w:pPr>
        <w:spacing w:line="320" w:lineRule="exact"/>
        <w:ind w:firstLine="480"/>
        <w:rPr>
          <w:rFonts w:hint="eastAsia" w:ascii="仿宋" w:hAnsi="仿宋" w:eastAsia="仿宋" w:cs="仿宋"/>
          <w:b/>
          <w:color w:val="000000" w:themeColor="text1"/>
          <w:sz w:val="24"/>
          <w:highlight w:val="none"/>
          <w14:textFill>
            <w14:solidFill>
              <w14:schemeClr w14:val="tx1"/>
            </w14:solidFill>
          </w14:textFill>
        </w:rPr>
      </w:pPr>
    </w:p>
    <w:p>
      <w:pPr>
        <w:spacing w:line="320" w:lineRule="exact"/>
        <w:ind w:firstLine="48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日    期：</w:t>
      </w:r>
    </w:p>
    <w:p>
      <w:pPr>
        <w:spacing w:line="460" w:lineRule="exact"/>
        <w:outlineLvl w:val="1"/>
        <w:rPr>
          <w:rFonts w:hint="eastAsia" w:ascii="仿宋" w:hAnsi="仿宋" w:eastAsia="仿宋" w:cs="仿宋"/>
          <w:b/>
          <w:bCs/>
          <w:color w:val="000000" w:themeColor="text1"/>
          <w:sz w:val="24"/>
          <w:highlight w:val="none"/>
          <w14:textFill>
            <w14:solidFill>
              <w14:schemeClr w14:val="tx1"/>
            </w14:solidFill>
          </w14:textFill>
        </w:rPr>
      </w:pPr>
      <w:bookmarkStart w:id="201" w:name="_Toc154"/>
      <w:bookmarkEnd w:id="201"/>
      <w:r>
        <w:rPr>
          <w:rFonts w:hint="eastAsia" w:ascii="仿宋" w:hAnsi="仿宋" w:eastAsia="仿宋" w:cs="仿宋"/>
          <w:b/>
          <w:bCs/>
          <w:color w:val="000000" w:themeColor="text1"/>
          <w:sz w:val="24"/>
          <w:highlight w:val="none"/>
          <w14:textFill>
            <w14:solidFill>
              <w14:schemeClr w14:val="tx1"/>
            </w14:solidFill>
          </w14:textFill>
        </w:rPr>
        <w:br w:type="page"/>
      </w:r>
      <w:r>
        <w:rPr>
          <w:rFonts w:hint="eastAsia" w:ascii="仿宋" w:hAnsi="仿宋" w:eastAsia="仿宋" w:cs="仿宋"/>
          <w:b/>
          <w:bCs/>
          <w:color w:val="000000" w:themeColor="text1"/>
          <w:sz w:val="24"/>
          <w:highlight w:val="none"/>
          <w14:textFill>
            <w14:solidFill>
              <w14:schemeClr w14:val="tx1"/>
            </w14:solidFill>
          </w14:textFill>
        </w:rPr>
        <w:t>附件6</w:t>
      </w:r>
    </w:p>
    <w:p>
      <w:pPr>
        <w:pStyle w:val="33"/>
        <w:keepNext w:val="0"/>
        <w:keepLines w:val="0"/>
        <w:pageBreakBefore w:val="0"/>
        <w:widowControl/>
        <w:kinsoku/>
        <w:wordWrap/>
        <w:overflowPunct w:val="0"/>
        <w:topLinePunct w:val="0"/>
        <w:autoSpaceDE w:val="0"/>
        <w:autoSpaceDN w:val="0"/>
        <w:bidi w:val="0"/>
        <w:adjustRightInd/>
        <w:snapToGrid w:val="0"/>
        <w:spacing w:line="400" w:lineRule="exact"/>
        <w:jc w:val="center"/>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偏离表</w:t>
      </w:r>
    </w:p>
    <w:tbl>
      <w:tblPr>
        <w:tblStyle w:val="17"/>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567"/>
        <w:gridCol w:w="3119"/>
        <w:gridCol w:w="2560"/>
        <w:gridCol w:w="984"/>
        <w:gridCol w:w="1417"/>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类别</w:t>
            </w:r>
          </w:p>
        </w:tc>
        <w:tc>
          <w:tcPr>
            <w:tcW w:w="3119"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招标要求</w:t>
            </w:r>
          </w:p>
        </w:tc>
        <w:tc>
          <w:tcPr>
            <w:tcW w:w="2560"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投标响应</w:t>
            </w:r>
          </w:p>
        </w:tc>
        <w:tc>
          <w:tcPr>
            <w:tcW w:w="984"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是否偏离</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说明</w:t>
            </w: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投标书页码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67" w:type="dxa"/>
            <w:vMerge w:val="restart"/>
            <w:tcBorders>
              <w:top w:val="single" w:color="000000" w:sz="4" w:space="0"/>
              <w:left w:val="single" w:color="000000" w:sz="4" w:space="0"/>
              <w:right w:val="single" w:color="000000" w:sz="4" w:space="0"/>
            </w:tcBorders>
            <w:vAlign w:val="center"/>
          </w:tcPr>
          <w:p>
            <w:pPr>
              <w:spacing w:before="156"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w:t>
            </w:r>
          </w:p>
          <w:p>
            <w:pPr>
              <w:spacing w:before="156"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偏离</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67" w:type="dxa"/>
            <w:vMerge w:val="continue"/>
            <w:tcBorders>
              <w:left w:val="single" w:color="000000" w:sz="4" w:space="0"/>
              <w:right w:val="single" w:color="000000" w:sz="4" w:space="0"/>
            </w:tcBorders>
            <w:vAlign w:val="center"/>
          </w:tcPr>
          <w:p>
            <w:pPr>
              <w:spacing w:before="156"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67" w:type="dxa"/>
            <w:vMerge w:val="continue"/>
            <w:tcBorders>
              <w:left w:val="single" w:color="000000" w:sz="4" w:space="0"/>
              <w:bottom w:val="single" w:color="000000" w:sz="4" w:space="0"/>
              <w:right w:val="single" w:color="000000" w:sz="4" w:space="0"/>
            </w:tcBorders>
            <w:vAlign w:val="center"/>
          </w:tcPr>
          <w:p>
            <w:pPr>
              <w:spacing w:before="156"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67" w:type="dxa"/>
            <w:vMerge w:val="restart"/>
            <w:tcBorders>
              <w:top w:val="single" w:color="000000" w:sz="4" w:space="0"/>
              <w:left w:val="single" w:color="000000" w:sz="4" w:space="0"/>
              <w:right w:val="single" w:color="000000" w:sz="4" w:space="0"/>
            </w:tcBorders>
            <w:vAlign w:val="center"/>
          </w:tcPr>
          <w:p>
            <w:pPr>
              <w:spacing w:before="156"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w:t>
            </w:r>
          </w:p>
          <w:p>
            <w:pPr>
              <w:spacing w:before="156"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偏离</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67" w:type="dxa"/>
            <w:vMerge w:val="continue"/>
            <w:tcBorders>
              <w:left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before="156"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567" w:type="dxa"/>
            <w:vMerge w:val="continue"/>
            <w:tcBorders>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3119"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2560"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984"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top"/>
          </w:tcPr>
          <w:p>
            <w:pPr>
              <w:spacing w:before="156"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bl>
    <w:p>
      <w:pPr>
        <w:spacing w:before="156" w:line="360" w:lineRule="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填表说明：</w:t>
      </w:r>
    </w:p>
    <w:p>
      <w:pPr>
        <w:pStyle w:val="58"/>
        <w:spacing w:line="360" w:lineRule="auto"/>
        <w:ind w:left="900" w:hanging="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1、投标人承诺：对采购文件有任何偏离（包括正偏离及负偏离）均已汇总并填写在此表中，</w:t>
      </w:r>
    </w:p>
    <w:p>
      <w:pPr>
        <w:pStyle w:val="58"/>
        <w:spacing w:line="360" w:lineRule="auto"/>
        <w:ind w:left="0" w:leftChars="0"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除偏离表列出的偏离外，承诺响应招标文件的全部要求。</w:t>
      </w:r>
    </w:p>
    <w:p>
      <w:pPr>
        <w:pStyle w:val="58"/>
        <w:spacing w:line="360" w:lineRule="auto"/>
        <w:ind w:left="900" w:hanging="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2、此表可在不改变格式的情况下自行制作。</w:t>
      </w:r>
    </w:p>
    <w:p>
      <w:pPr>
        <w:spacing w:line="360" w:lineRule="auto"/>
        <w:ind w:left="359" w:leftChars="171"/>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bCs/>
          <w:color w:val="000000" w:themeColor="text1"/>
          <w:sz w:val="24"/>
          <w:highlight w:val="none"/>
          <w14:textFill>
            <w14:solidFill>
              <w14:schemeClr w14:val="tx1"/>
            </w14:solidFill>
          </w14:textFill>
        </w:rPr>
        <w:t>投标人（盖章）：</w:t>
      </w:r>
    </w:p>
    <w:p>
      <w:pPr>
        <w:spacing w:line="360" w:lineRule="auto"/>
        <w:ind w:left="359" w:leftChars="171"/>
        <w:jc w:val="left"/>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ind w:left="359" w:leftChars="171"/>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 xml:space="preserve"> 日 期：  年  月  日</w:t>
      </w:r>
    </w:p>
    <w:p>
      <w:pPr>
        <w:spacing w:line="460" w:lineRule="exact"/>
        <w:jc w:val="center"/>
        <w:rPr>
          <w:rFonts w:hint="eastAsia" w:ascii="仿宋" w:hAnsi="仿宋" w:eastAsia="仿宋" w:cs="仿宋"/>
          <w:b/>
          <w:bCs/>
          <w:color w:val="000000" w:themeColor="text1"/>
          <w:sz w:val="24"/>
          <w:highlight w:val="none"/>
          <w14:textFill>
            <w14:solidFill>
              <w14:schemeClr w14:val="tx1"/>
            </w14:solidFill>
          </w14:textFill>
        </w:rPr>
      </w:pPr>
    </w:p>
    <w:p>
      <w:pPr>
        <w:spacing w:line="460" w:lineRule="exact"/>
        <w:jc w:val="center"/>
        <w:rPr>
          <w:rFonts w:hint="eastAsia" w:ascii="仿宋" w:hAnsi="仿宋" w:eastAsia="仿宋" w:cs="仿宋"/>
          <w:b/>
          <w:bCs/>
          <w:color w:val="000000" w:themeColor="text1"/>
          <w:sz w:val="24"/>
          <w:highlight w:val="none"/>
          <w14:textFill>
            <w14:solidFill>
              <w14:schemeClr w14:val="tx1"/>
            </w14:solidFill>
          </w14:textFill>
        </w:rPr>
      </w:pPr>
    </w:p>
    <w:p>
      <w:pPr>
        <w:pStyle w:val="4"/>
        <w:spacing w:before="120" w:after="120" w:line="360" w:lineRule="auto"/>
        <w:ind w:firstLine="482"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bookmarkStart w:id="202" w:name="_Toc31321"/>
      <w:bookmarkEnd w:id="202"/>
      <w:r>
        <w:rPr>
          <w:rFonts w:hint="eastAsia" w:ascii="仿宋" w:hAnsi="仿宋" w:eastAsia="仿宋" w:cs="仿宋"/>
          <w:b/>
          <w:bCs/>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附件</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p>
      <w:pPr>
        <w:spacing w:line="360" w:lineRule="auto"/>
        <w:ind w:firstLine="482" w:firstLineChars="200"/>
        <w:jc w:val="center"/>
        <w:outlineLvl w:val="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（1）进场作业车辆明细表</w:t>
      </w:r>
    </w:p>
    <w:tbl>
      <w:tblPr>
        <w:tblStyle w:val="17"/>
        <w:tblpPr w:leftFromText="180" w:rightFromText="180" w:vertAnchor="text" w:horzAnchor="margin" w:tblpXSpec="center" w:tblpY="533"/>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39"/>
        <w:gridCol w:w="1445"/>
        <w:gridCol w:w="1362"/>
        <w:gridCol w:w="1262"/>
        <w:gridCol w:w="1059"/>
        <w:gridCol w:w="1364"/>
        <w:gridCol w:w="909"/>
        <w:gridCol w:w="1212"/>
        <w:gridCol w:w="1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21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69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设备名称</w:t>
            </w:r>
          </w:p>
        </w:tc>
        <w:tc>
          <w:tcPr>
            <w:tcW w:w="65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605"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品牌/产地</w:t>
            </w:r>
          </w:p>
        </w:tc>
        <w:tc>
          <w:tcPr>
            <w:tcW w:w="50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已使用年限</w:t>
            </w:r>
          </w:p>
        </w:tc>
        <w:tc>
          <w:tcPr>
            <w:tcW w:w="65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核定载重量（kg）</w:t>
            </w:r>
          </w:p>
        </w:tc>
        <w:tc>
          <w:tcPr>
            <w:tcW w:w="43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数量（台）</w:t>
            </w:r>
          </w:p>
        </w:tc>
        <w:tc>
          <w:tcPr>
            <w:tcW w:w="58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价格(元)</w:t>
            </w:r>
          </w:p>
        </w:tc>
        <w:tc>
          <w:tcPr>
            <w:tcW w:w="65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车辆持有形式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1" w:hRule="exact"/>
          <w:jc w:val="center"/>
        </w:trPr>
        <w:tc>
          <w:tcPr>
            <w:tcW w:w="21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9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5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05"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0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5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3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8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5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1" w:hRule="exact"/>
          <w:jc w:val="center"/>
        </w:trPr>
        <w:tc>
          <w:tcPr>
            <w:tcW w:w="21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9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5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05"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0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5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3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8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5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1" w:hRule="exact"/>
          <w:jc w:val="center"/>
        </w:trPr>
        <w:tc>
          <w:tcPr>
            <w:tcW w:w="21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9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5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05"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0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5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3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8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5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bl>
    <w:p>
      <w:pPr>
        <w:spacing w:line="360" w:lineRule="auto"/>
        <w:ind w:firstLine="482" w:firstLineChars="200"/>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项目名称：                                                      </w:t>
      </w:r>
      <w:r>
        <w:rPr>
          <w:rFonts w:hint="eastAsia" w:ascii="仿宋" w:hAnsi="仿宋" w:eastAsia="仿宋" w:cs="仿宋"/>
          <w:b/>
          <w:color w:val="000000" w:themeColor="text1"/>
          <w:sz w:val="24"/>
          <w:szCs w:val="24"/>
          <w:highlight w:val="none"/>
          <w:lang w:eastAsia="zh-CN"/>
          <w14:textFill>
            <w14:solidFill>
              <w14:schemeClr w14:val="tx1"/>
            </w14:solidFill>
          </w14:textFill>
        </w:rPr>
        <w:t>项目</w:t>
      </w:r>
      <w:r>
        <w:rPr>
          <w:rFonts w:hint="eastAsia" w:ascii="仿宋" w:hAnsi="仿宋" w:eastAsia="仿宋" w:cs="仿宋"/>
          <w:b/>
          <w:color w:val="000000" w:themeColor="text1"/>
          <w:sz w:val="24"/>
          <w:szCs w:val="24"/>
          <w:highlight w:val="none"/>
          <w14:textFill>
            <w14:solidFill>
              <w14:schemeClr w14:val="tx1"/>
            </w14:solidFill>
          </w14:textFill>
        </w:rPr>
        <w:t>编号：</w:t>
      </w:r>
    </w:p>
    <w:p>
      <w:pPr>
        <w:pStyle w:val="9"/>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本表所列为投标人拟投入本项目专用的作业车辆清单。</w:t>
      </w:r>
    </w:p>
    <w:p>
      <w:pPr>
        <w:pStyle w:val="9"/>
        <w:spacing w:line="360" w:lineRule="auto"/>
        <w:ind w:left="437" w:leftChars="208"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本表所列设备价格不计入投标总价，但应在投标价格中考虑车辆的损耗、折旧及有关费用。</w:t>
      </w:r>
    </w:p>
    <w:p>
      <w:pPr>
        <w:pStyle w:val="9"/>
        <w:spacing w:line="360" w:lineRule="auto"/>
        <w:ind w:left="437" w:leftChars="208"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表格中必须注明车辆的持有形式（自有），并提供以下证明资料</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Style w:val="9"/>
        <w:numPr>
          <w:ilvl w:val="0"/>
          <w:numId w:val="5"/>
        </w:numPr>
        <w:spacing w:line="360" w:lineRule="auto"/>
        <w:ind w:firstLine="482" w:firstLineChars="200"/>
        <w:textAlignment w:val="baseline"/>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投标</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人</w:t>
      </w:r>
      <w:r>
        <w:rPr>
          <w:rFonts w:hint="eastAsia" w:ascii="仿宋" w:hAnsi="仿宋" w:eastAsia="仿宋" w:cs="仿宋"/>
          <w:b/>
          <w:color w:val="000000" w:themeColor="text1"/>
          <w:sz w:val="24"/>
          <w:szCs w:val="24"/>
          <w:highlight w:val="none"/>
          <w14:textFill>
            <w14:solidFill>
              <w14:schemeClr w14:val="tx1"/>
            </w14:solidFill>
          </w14:textFill>
        </w:rPr>
        <w:t>自有车辆上牌：已办理车辆行驶证的提供行驶证复印件和车辆照片；尚未办理行驶证的提供购车发票和车管所颁发的临时行驶牌、车辆照片；</w:t>
      </w:r>
    </w:p>
    <w:p>
      <w:pPr>
        <w:pStyle w:val="9"/>
        <w:numPr>
          <w:ilvl w:val="0"/>
          <w:numId w:val="5"/>
        </w:numPr>
        <w:spacing w:line="360" w:lineRule="auto"/>
        <w:ind w:firstLine="482" w:firstLineChars="200"/>
        <w:textAlignment w:val="baseline"/>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中标后新购置车辆，则按标书要求进行承诺.</w:t>
      </w:r>
    </w:p>
    <w:p>
      <w:pPr>
        <w:pStyle w:val="9"/>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4、此表仅提供了表格形式，投标人可按此表格复制。</w:t>
      </w:r>
    </w:p>
    <w:p>
      <w:pPr>
        <w:spacing w:line="360" w:lineRule="auto"/>
        <w:ind w:firstLine="723" w:firstLineChars="3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投标人（盖章）：</w:t>
      </w:r>
    </w:p>
    <w:p>
      <w:pPr>
        <w:spacing w:line="360" w:lineRule="auto"/>
        <w:ind w:left="218" w:leftChars="104"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日 期：  年  月  日</w:t>
      </w:r>
    </w:p>
    <w:p>
      <w:pPr>
        <w:spacing w:line="360" w:lineRule="auto"/>
        <w:jc w:val="center"/>
        <w:rPr>
          <w:rFonts w:hint="eastAsia" w:ascii="仿宋" w:hAnsi="仿宋" w:eastAsia="仿宋" w:cs="仿宋"/>
          <w:b/>
          <w:color w:val="000000" w:themeColor="text1"/>
          <w:sz w:val="24"/>
          <w:szCs w:val="24"/>
          <w:highlight w:val="none"/>
          <w14:textFill>
            <w14:solidFill>
              <w14:schemeClr w14:val="tx1"/>
            </w14:solidFill>
          </w14:textFill>
        </w:rPr>
      </w:pP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spacing w:line="360" w:lineRule="auto"/>
        <w:ind w:firstLine="482" w:firstLineChars="200"/>
        <w:jc w:val="center"/>
        <w:outlineLvl w:val="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（2）进场作业机具、设备明细表</w:t>
      </w:r>
    </w:p>
    <w:p>
      <w:pPr>
        <w:spacing w:line="360" w:lineRule="auto"/>
        <w:ind w:firstLine="482" w:firstLineChars="200"/>
        <w:jc w:val="both"/>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                                                    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0"/>
        <w:gridCol w:w="1506"/>
        <w:gridCol w:w="1622"/>
        <w:gridCol w:w="1554"/>
        <w:gridCol w:w="1508"/>
        <w:gridCol w:w="1202"/>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8"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330"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设备名称</w:t>
            </w:r>
          </w:p>
        </w:tc>
        <w:tc>
          <w:tcPr>
            <w:tcW w:w="1506"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1622"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品牌/产地</w:t>
            </w:r>
          </w:p>
        </w:tc>
        <w:tc>
          <w:tcPr>
            <w:tcW w:w="1554"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已使用年限</w:t>
            </w:r>
          </w:p>
        </w:tc>
        <w:tc>
          <w:tcPr>
            <w:tcW w:w="1508"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数量（台）</w:t>
            </w:r>
          </w:p>
        </w:tc>
        <w:tc>
          <w:tcPr>
            <w:tcW w:w="1202"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价格(元)</w:t>
            </w:r>
          </w:p>
        </w:tc>
        <w:tc>
          <w:tcPr>
            <w:tcW w:w="695"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758"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330"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06"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622"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54"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08"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202"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95"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758"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330"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06"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622"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54"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08"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202"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95"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758"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330"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06"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622"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54"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08"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202"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95" w:type="dxa"/>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bl>
    <w:p>
      <w:pPr>
        <w:pStyle w:val="9"/>
        <w:spacing w:line="360" w:lineRule="auto"/>
        <w:ind w:left="218" w:leftChars="10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注：1、本表所列为投标人拟投入的作业机具、设备清单。</w:t>
      </w:r>
    </w:p>
    <w:p>
      <w:pPr>
        <w:pStyle w:val="9"/>
        <w:spacing w:line="360" w:lineRule="auto"/>
        <w:ind w:left="657" w:leftChars="313"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2、本表所列设备价格不计入投标总价，但应在投标价格中考虑作业机具、设备的损耗、折旧及有关费用。</w:t>
      </w:r>
    </w:p>
    <w:p>
      <w:pPr>
        <w:pStyle w:val="9"/>
        <w:spacing w:line="360" w:lineRule="auto"/>
        <w:ind w:left="657" w:leftChars="313"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3、此表仅提供了表格形式，投标人可按此表格复制。</w:t>
      </w:r>
    </w:p>
    <w:p>
      <w:pPr>
        <w:pStyle w:val="9"/>
        <w:spacing w:line="360" w:lineRule="auto"/>
        <w:ind w:left="764" w:leftChars="364" w:firstLine="4080" w:firstLineChars="1700"/>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投标人（盖章）：</w:t>
      </w: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日 期：  年  月  日</w:t>
      </w: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spacing w:line="360" w:lineRule="auto"/>
        <w:jc w:val="center"/>
        <w:outlineLvl w:val="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（3）耗材配备明细表</w:t>
      </w:r>
    </w:p>
    <w:tbl>
      <w:tblPr>
        <w:tblStyle w:val="17"/>
        <w:tblpPr w:leftFromText="180" w:rightFromText="180" w:vertAnchor="text" w:horzAnchor="margin" w:tblpXSpec="center" w:tblpY="53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2014"/>
        <w:gridCol w:w="1789"/>
        <w:gridCol w:w="2014"/>
        <w:gridCol w:w="830"/>
        <w:gridCol w:w="1055"/>
        <w:gridCol w:w="120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27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耗材名称</w:t>
            </w:r>
          </w:p>
        </w:tc>
        <w:tc>
          <w:tcPr>
            <w:tcW w:w="85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规格型号</w:t>
            </w: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品牌/产地</w:t>
            </w:r>
          </w:p>
        </w:tc>
        <w:tc>
          <w:tcPr>
            <w:tcW w:w="39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数量</w:t>
            </w:r>
          </w:p>
        </w:tc>
        <w:tc>
          <w:tcPr>
            <w:tcW w:w="50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单价 (元)</w:t>
            </w:r>
          </w:p>
        </w:tc>
        <w:tc>
          <w:tcPr>
            <w:tcW w:w="57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合价 (元)</w:t>
            </w:r>
          </w:p>
        </w:tc>
        <w:tc>
          <w:tcPr>
            <w:tcW w:w="44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27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85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9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0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7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4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27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85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9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0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7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4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27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85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9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0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7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4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27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85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9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0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7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4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jc w:val="center"/>
        </w:trPr>
        <w:tc>
          <w:tcPr>
            <w:tcW w:w="27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85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9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0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7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46"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bl>
    <w:p>
      <w:p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项目名称：                                          </w:t>
      </w:r>
      <w:r>
        <w:rPr>
          <w:rFonts w:hint="eastAsia" w:ascii="仿宋" w:hAnsi="仿宋" w:eastAsia="仿宋" w:cs="仿宋"/>
          <w:b/>
          <w:color w:val="000000" w:themeColor="text1"/>
          <w:sz w:val="24"/>
          <w:szCs w:val="24"/>
          <w:highlight w:val="none"/>
          <w:lang w:eastAsia="zh-CN"/>
          <w14:textFill>
            <w14:solidFill>
              <w14:schemeClr w14:val="tx1"/>
            </w14:solidFill>
          </w14:textFill>
        </w:rPr>
        <w:t>项目编号</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u w:val="single"/>
          <w14:textFill>
            <w14:solidFill>
              <w14:schemeClr w14:val="tx1"/>
            </w14:solidFill>
          </w14:textFill>
        </w:rPr>
        <w:t xml:space="preserve">                    </w:t>
      </w:r>
    </w:p>
    <w:p>
      <w:pPr>
        <w:pStyle w:val="9"/>
        <w:spacing w:line="360" w:lineRule="auto"/>
        <w:ind w:left="218" w:leftChars="104"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注：1、本表所列为投标人拟投入的消耗材料清单。</w:t>
      </w:r>
    </w:p>
    <w:p>
      <w:pPr>
        <w:pStyle w:val="9"/>
        <w:spacing w:line="360" w:lineRule="auto"/>
        <w:ind w:left="657" w:leftChars="313"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2、本表所列耗材价格应计入投标总价。</w:t>
      </w:r>
    </w:p>
    <w:p>
      <w:pPr>
        <w:pStyle w:val="9"/>
        <w:spacing w:line="360" w:lineRule="auto"/>
        <w:ind w:left="657" w:leftChars="313"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3、此表仅提供了表格形式，投标人可按此表格复制。</w:t>
      </w:r>
    </w:p>
    <w:p>
      <w:pPr>
        <w:pStyle w:val="9"/>
        <w:spacing w:line="360" w:lineRule="auto"/>
        <w:ind w:left="764" w:leftChars="364" w:firstLine="4080" w:firstLineChars="1700"/>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投标人（盖章）：</w:t>
      </w: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日 期：  年  月  日</w:t>
      </w:r>
    </w:p>
    <w:p>
      <w:pPr>
        <w:spacing w:after="159" w:afterLines="50" w:line="360" w:lineRule="auto"/>
        <w:ind w:left="4200" w:leftChars="2000"/>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spacing w:line="360" w:lineRule="auto"/>
        <w:ind w:firstLine="482" w:firstLineChars="200"/>
        <w:jc w:val="center"/>
        <w:outlineLvl w:val="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（4）项目主管人员、专业人员概况</w:t>
      </w:r>
    </w:p>
    <w:p>
      <w:p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项目名称：                                          </w:t>
      </w:r>
      <w:r>
        <w:rPr>
          <w:rFonts w:hint="eastAsia" w:ascii="仿宋" w:hAnsi="仿宋" w:eastAsia="仿宋" w:cs="仿宋"/>
          <w:b/>
          <w:color w:val="000000" w:themeColor="text1"/>
          <w:sz w:val="24"/>
          <w:szCs w:val="24"/>
          <w:highlight w:val="none"/>
          <w:lang w:eastAsia="zh-CN"/>
          <w14:textFill>
            <w14:solidFill>
              <w14:schemeClr w14:val="tx1"/>
            </w14:solidFill>
          </w14:textFill>
        </w:rPr>
        <w:t>项目</w:t>
      </w:r>
      <w:r>
        <w:rPr>
          <w:rFonts w:hint="eastAsia" w:ascii="仿宋" w:hAnsi="仿宋" w:eastAsia="仿宋" w:cs="仿宋"/>
          <w:b/>
          <w:color w:val="000000" w:themeColor="text1"/>
          <w:sz w:val="24"/>
          <w:szCs w:val="24"/>
          <w:highlight w:val="none"/>
          <w14:textFill>
            <w14:solidFill>
              <w14:schemeClr w14:val="tx1"/>
            </w14:solidFill>
          </w14:textFill>
        </w:rPr>
        <w:t>编号：</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78"/>
        <w:gridCol w:w="965"/>
        <w:gridCol w:w="1126"/>
        <w:gridCol w:w="1332"/>
        <w:gridCol w:w="817"/>
        <w:gridCol w:w="2656"/>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92"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70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姓名</w:t>
            </w:r>
          </w:p>
        </w:tc>
        <w:tc>
          <w:tcPr>
            <w:tcW w:w="46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性别</w:t>
            </w:r>
          </w:p>
        </w:tc>
        <w:tc>
          <w:tcPr>
            <w:tcW w:w="540"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年龄</w:t>
            </w:r>
          </w:p>
        </w:tc>
        <w:tc>
          <w:tcPr>
            <w:tcW w:w="63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学历</w:t>
            </w:r>
          </w:p>
        </w:tc>
        <w:tc>
          <w:tcPr>
            <w:tcW w:w="392"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现任职务</w:t>
            </w:r>
          </w:p>
        </w:tc>
        <w:tc>
          <w:tcPr>
            <w:tcW w:w="127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从事</w:t>
            </w:r>
            <w:r>
              <w:rPr>
                <w:rFonts w:hint="eastAsia" w:ascii="仿宋" w:hAnsi="仿宋" w:eastAsia="仿宋" w:cs="仿宋"/>
                <w:color w:val="000000" w:themeColor="text1"/>
                <w:highlight w:val="none"/>
                <w:lang w:eastAsia="zh-CN"/>
                <w14:textFill>
                  <w14:solidFill>
                    <w14:schemeClr w14:val="tx1"/>
                  </w14:solidFill>
                </w14:textFill>
              </w:rPr>
              <w:t>餐厨（厨余）垃圾</w:t>
            </w:r>
            <w:r>
              <w:rPr>
                <w:rFonts w:hint="eastAsia" w:ascii="仿宋" w:hAnsi="仿宋" w:eastAsia="仿宋" w:cs="仿宋"/>
                <w:color w:val="000000" w:themeColor="text1"/>
                <w:highlight w:val="none"/>
                <w14:textFill>
                  <w14:solidFill>
                    <w14:schemeClr w14:val="tx1"/>
                  </w14:solidFill>
                </w14:textFill>
              </w:rPr>
              <w:t>收集服务简历、年限</w:t>
            </w:r>
          </w:p>
        </w:tc>
        <w:tc>
          <w:tcPr>
            <w:tcW w:w="58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2"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70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6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40"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3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92"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274" w:type="pct"/>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8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2"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70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6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40"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3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92"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274" w:type="pct"/>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8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2"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70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6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40"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3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92"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274" w:type="pct"/>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8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92"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70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463"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40"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63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92"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274" w:type="pct"/>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88"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bl>
    <w:p>
      <w:pPr>
        <w:pStyle w:val="9"/>
        <w:spacing w:line="360" w:lineRule="auto"/>
        <w:ind w:left="63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注：1、本表应附身份证等复印件。</w:t>
      </w:r>
    </w:p>
    <w:p>
      <w:pPr>
        <w:pStyle w:val="9"/>
        <w:spacing w:line="360" w:lineRule="auto"/>
        <w:ind w:left="439" w:leftChars="209" w:firstLine="1200" w:firstLine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2、此表仅提供了表格形式，投标人可按此表格复制。</w:t>
      </w:r>
    </w:p>
    <w:p>
      <w:pPr>
        <w:spacing w:after="159" w:afterLines="50" w:line="360" w:lineRule="auto"/>
        <w:ind w:left="4200" w:leftChars="2000"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投标人（盖章）：</w:t>
      </w: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日 期：  年  月  日</w:t>
      </w:r>
    </w:p>
    <w:p>
      <w:pPr>
        <w:pStyle w:val="9"/>
        <w:spacing w:line="360" w:lineRule="auto"/>
        <w:ind w:left="764" w:leftChars="364" w:firstLine="4080" w:firstLineChars="1700"/>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pStyle w:val="9"/>
        <w:spacing w:line="360" w:lineRule="auto"/>
        <w:jc w:val="center"/>
        <w:outlineLvl w:val="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（5）项目主要负责人简历表</w:t>
      </w:r>
    </w:p>
    <w:p>
      <w:pPr>
        <w:pStyle w:val="9"/>
        <w:spacing w:line="360" w:lineRule="auto"/>
        <w:ind w:left="441" w:leftChars="210" w:firstLine="482" w:firstLineChars="200"/>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项目名称：                                            </w:t>
      </w:r>
      <w:r>
        <w:rPr>
          <w:rFonts w:hint="eastAsia" w:ascii="仿宋" w:hAnsi="仿宋" w:eastAsia="仿宋" w:cs="仿宋"/>
          <w:b/>
          <w:color w:val="000000" w:themeColor="text1"/>
          <w:sz w:val="24"/>
          <w:szCs w:val="24"/>
          <w:highlight w:val="none"/>
          <w:lang w:eastAsia="zh-CN"/>
          <w14:textFill>
            <w14:solidFill>
              <w14:schemeClr w14:val="tx1"/>
            </w14:solidFill>
          </w14:textFill>
        </w:rPr>
        <w:t>项目</w:t>
      </w:r>
      <w:r>
        <w:rPr>
          <w:rFonts w:hint="eastAsia" w:ascii="仿宋" w:hAnsi="仿宋" w:eastAsia="仿宋" w:cs="仿宋"/>
          <w:b/>
          <w:color w:val="000000" w:themeColor="text1"/>
          <w:sz w:val="24"/>
          <w:szCs w:val="24"/>
          <w:highlight w:val="none"/>
          <w14:textFill>
            <w14:solidFill>
              <w14:schemeClr w14:val="tx1"/>
            </w14:solidFill>
          </w14:textFill>
        </w:rPr>
        <w:t>编号：</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104"/>
        <w:gridCol w:w="1725"/>
        <w:gridCol w:w="1842"/>
        <w:gridCol w:w="1102"/>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63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姓 名</w:t>
            </w:r>
          </w:p>
        </w:tc>
        <w:tc>
          <w:tcPr>
            <w:tcW w:w="1010"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827"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性 别</w:t>
            </w:r>
          </w:p>
        </w:tc>
        <w:tc>
          <w:tcPr>
            <w:tcW w:w="88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2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年 龄</w:t>
            </w:r>
          </w:p>
        </w:tc>
        <w:tc>
          <w:tcPr>
            <w:tcW w:w="1115"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63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学 历</w:t>
            </w:r>
          </w:p>
        </w:tc>
        <w:tc>
          <w:tcPr>
            <w:tcW w:w="1010"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827"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职 称</w:t>
            </w:r>
          </w:p>
        </w:tc>
        <w:tc>
          <w:tcPr>
            <w:tcW w:w="88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529"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职 务</w:t>
            </w:r>
          </w:p>
        </w:tc>
        <w:tc>
          <w:tcPr>
            <w:tcW w:w="1115"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631"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联系电话</w:t>
            </w:r>
          </w:p>
        </w:tc>
        <w:tc>
          <w:tcPr>
            <w:tcW w:w="1838" w:type="pct"/>
            <w:gridSpan w:val="2"/>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884" w:type="pct"/>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手 机</w:t>
            </w:r>
          </w:p>
        </w:tc>
        <w:tc>
          <w:tcPr>
            <w:tcW w:w="1645" w:type="pct"/>
            <w:gridSpan w:val="2"/>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5000" w:type="pct"/>
            <w:gridSpan w:val="6"/>
            <w:noWrap w:val="0"/>
            <w:vAlign w:val="top"/>
          </w:tcPr>
          <w:p>
            <w:pPr>
              <w:pStyle w:val="21"/>
              <w:bidi w:val="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近五年从事相关工作经历及业绩：</w:t>
            </w:r>
          </w:p>
        </w:tc>
      </w:tr>
    </w:tbl>
    <w:p>
      <w:pPr>
        <w:pStyle w:val="9"/>
        <w:spacing w:line="360" w:lineRule="auto"/>
        <w:ind w:left="66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注：本表应附职称证书、身份证、业绩证明等复印件。</w:t>
      </w:r>
    </w:p>
    <w:p>
      <w:pPr>
        <w:pStyle w:val="9"/>
        <w:spacing w:line="360" w:lineRule="auto"/>
        <w:ind w:left="657" w:leftChars="313" w:firstLine="4320" w:firstLineChars="1800"/>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投标人（盖章）：</w:t>
      </w: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日 期：  年  月  日</w:t>
      </w: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rPr>
          <w:rFonts w:hint="eastAsia" w:ascii="仿宋" w:hAnsi="仿宋" w:eastAsia="仿宋" w:cs="仿宋"/>
          <w:color w:val="000000" w:themeColor="text1"/>
          <w:highlight w:val="none"/>
          <w14:textFill>
            <w14:solidFill>
              <w14:schemeClr w14:val="tx1"/>
            </w14:solidFill>
          </w14:textFill>
        </w:rPr>
      </w:pPr>
    </w:p>
    <w:p>
      <w:pPr>
        <w:pStyle w:val="9"/>
        <w:spacing w:line="360" w:lineRule="auto"/>
        <w:ind w:firstLine="482" w:firstLineChars="200"/>
        <w:jc w:val="center"/>
        <w:outlineLvl w:val="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（6）岗位员工配置计划表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2121"/>
        <w:gridCol w:w="3012"/>
        <w:gridCol w:w="24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jc w:val="center"/>
        </w:trPr>
        <w:tc>
          <w:tcPr>
            <w:tcW w:w="212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岗位</w:t>
            </w:r>
          </w:p>
        </w:tc>
        <w:tc>
          <w:tcPr>
            <w:tcW w:w="2121"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人数</w:t>
            </w:r>
          </w:p>
        </w:tc>
        <w:tc>
          <w:tcPr>
            <w:tcW w:w="301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现 场 承 担 工 作</w:t>
            </w:r>
          </w:p>
        </w:tc>
        <w:tc>
          <w:tcPr>
            <w:tcW w:w="2483"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jc w:val="center"/>
        </w:trPr>
        <w:tc>
          <w:tcPr>
            <w:tcW w:w="212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121"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01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483"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jc w:val="center"/>
        </w:trPr>
        <w:tc>
          <w:tcPr>
            <w:tcW w:w="212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121"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01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483"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jc w:val="center"/>
        </w:trPr>
        <w:tc>
          <w:tcPr>
            <w:tcW w:w="212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121"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01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483"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jc w:val="center"/>
        </w:trPr>
        <w:tc>
          <w:tcPr>
            <w:tcW w:w="212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121"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01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483"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jc w:val="center"/>
        </w:trPr>
        <w:tc>
          <w:tcPr>
            <w:tcW w:w="212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121"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01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483"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exact"/>
          <w:jc w:val="center"/>
        </w:trPr>
        <w:tc>
          <w:tcPr>
            <w:tcW w:w="212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121"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012"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483" w:type="dxa"/>
            <w:noWrap w:val="0"/>
            <w:vAlign w:val="top"/>
          </w:tcPr>
          <w:p>
            <w:pPr>
              <w:pStyle w:val="21"/>
              <w:bidi w:val="0"/>
              <w:rPr>
                <w:rFonts w:hint="eastAsia" w:ascii="仿宋" w:hAnsi="仿宋" w:eastAsia="仿宋" w:cs="仿宋"/>
                <w:color w:val="000000" w:themeColor="text1"/>
                <w:highlight w:val="none"/>
                <w14:textFill>
                  <w14:solidFill>
                    <w14:schemeClr w14:val="tx1"/>
                  </w14:solidFill>
                </w14:textFill>
              </w:rPr>
            </w:pPr>
          </w:p>
        </w:tc>
      </w:tr>
    </w:tbl>
    <w:p>
      <w:pPr>
        <w:pStyle w:val="9"/>
        <w:tabs>
          <w:tab w:val="left" w:pos="0"/>
          <w:tab w:val="left" w:pos="540"/>
        </w:tabs>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注：此表仅提供了表格形式，投标人可按此表格复制。</w:t>
      </w: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投标人（盖章）：</w:t>
      </w: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日 期：  年  月  日</w:t>
      </w:r>
    </w:p>
    <w:p>
      <w:pPr>
        <w:pStyle w:val="9"/>
        <w:spacing w:line="36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r>
        <w:rPr>
          <w:rFonts w:hint="eastAsia" w:ascii="仿宋" w:hAnsi="仿宋" w:eastAsia="仿宋" w:cs="仿宋"/>
          <w:b/>
          <w:bCs/>
          <w:color w:val="000000" w:themeColor="text1"/>
          <w:sz w:val="24"/>
          <w:szCs w:val="24"/>
          <w:highlight w:val="none"/>
          <w14:textFill>
            <w14:solidFill>
              <w14:schemeClr w14:val="tx1"/>
            </w14:solidFill>
          </w14:textFill>
        </w:rPr>
        <w:t>附件8</w:t>
      </w:r>
    </w:p>
    <w:p>
      <w:pPr>
        <w:widowControl/>
        <w:spacing w:line="360" w:lineRule="auto"/>
        <w:ind w:firstLine="482" w:firstLineChars="200"/>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开标一览表</w:t>
      </w:r>
    </w:p>
    <w:p>
      <w:pPr>
        <w:pStyle w:val="16"/>
        <w:spacing w:line="360" w:lineRule="auto"/>
        <w:ind w:left="0" w:leftChars="0" w:firstLine="0" w:firstLineChars="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r>
        <w:rPr>
          <w:rFonts w:hint="eastAsia" w:ascii="仿宋" w:hAnsi="仿宋" w:eastAsia="仿宋" w:cs="仿宋"/>
          <w:b/>
          <w:color w:val="000000" w:themeColor="text1"/>
          <w:sz w:val="24"/>
          <w:szCs w:val="24"/>
          <w:highlight w:val="none"/>
          <w:lang w:eastAsia="zh-CN"/>
          <w14:textFill>
            <w14:solidFill>
              <w14:schemeClr w14:val="tx1"/>
            </w14:solidFill>
          </w14:textFill>
        </w:rPr>
        <w:t>常山县城区餐厨（厨余）垃圾收运处置服务项目</w:t>
      </w:r>
      <w:r>
        <w:rPr>
          <w:rFonts w:hint="eastAsia" w:ascii="仿宋" w:hAnsi="仿宋" w:eastAsia="仿宋" w:cs="仿宋"/>
          <w:b/>
          <w:color w:val="000000" w:themeColor="text1"/>
          <w:sz w:val="24"/>
          <w:szCs w:val="24"/>
          <w:highlight w:val="none"/>
          <w14:textFill>
            <w14:solidFill>
              <w14:schemeClr w14:val="tx1"/>
            </w14:solidFill>
          </w14:textFill>
        </w:rPr>
        <w:t xml:space="preserve">           </w:t>
      </w:r>
    </w:p>
    <w:p>
      <w:pPr>
        <w:pStyle w:val="16"/>
        <w:spacing w:line="360" w:lineRule="auto"/>
        <w:ind w:left="0" w:leftChars="0" w:firstLine="0" w:firstLineChars="0"/>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项目编号：</w:t>
      </w:r>
      <w:r>
        <w:rPr>
          <w:rFonts w:hint="eastAsia" w:ascii="仿宋" w:hAnsi="仿宋" w:eastAsia="仿宋" w:cs="仿宋"/>
          <w:b/>
          <w:color w:val="000000" w:themeColor="text1"/>
          <w:sz w:val="24"/>
          <w:szCs w:val="24"/>
          <w:highlight w:val="none"/>
          <w14:textFill>
            <w14:solidFill>
              <w14:schemeClr w14:val="tx1"/>
            </w14:solidFill>
          </w14:textFill>
        </w:rPr>
        <w:fldChar w:fldCharType="begin"/>
      </w:r>
      <w:r>
        <w:rPr>
          <w:rFonts w:hint="eastAsia" w:ascii="仿宋" w:hAnsi="仿宋" w:eastAsia="仿宋" w:cs="仿宋"/>
          <w:b/>
          <w:color w:val="000000" w:themeColor="text1"/>
          <w:sz w:val="24"/>
          <w:szCs w:val="24"/>
          <w:highlight w:val="none"/>
          <w14:textFill>
            <w14:solidFill>
              <w14:schemeClr w14:val="tx1"/>
            </w14:solidFill>
          </w14:textFill>
        </w:rPr>
        <w:instrText xml:space="preserve"> HYPERLINK "https://www.zcygov.cn/project-center/project-result-detail/7067337902307816587" \t "https://www.zcygov.cn/project-center/self-project/_blank" </w:instrText>
      </w:r>
      <w:r>
        <w:rPr>
          <w:rFonts w:hint="eastAsia" w:ascii="仿宋" w:hAnsi="仿宋" w:eastAsia="仿宋" w:cs="仿宋"/>
          <w:b/>
          <w:color w:val="000000" w:themeColor="text1"/>
          <w:sz w:val="24"/>
          <w:szCs w:val="24"/>
          <w:highlight w:val="none"/>
          <w14:textFill>
            <w14:solidFill>
              <w14:schemeClr w14:val="tx1"/>
            </w14:solidFill>
          </w14:textFill>
        </w:rPr>
        <w:fldChar w:fldCharType="separate"/>
      </w:r>
      <w:r>
        <w:rPr>
          <w:rFonts w:hint="eastAsia" w:ascii="仿宋" w:hAnsi="仿宋" w:eastAsia="仿宋" w:cs="仿宋"/>
          <w:b/>
          <w:color w:val="000000" w:themeColor="text1"/>
          <w:sz w:val="24"/>
          <w:szCs w:val="24"/>
          <w:highlight w:val="none"/>
          <w:lang w:eastAsia="zh-CN"/>
          <w14:textFill>
            <w14:solidFill>
              <w14:schemeClr w14:val="tx1"/>
            </w14:solidFill>
          </w14:textFill>
        </w:rPr>
        <w:t>JYZFCG-2024-GK018</w:t>
      </w:r>
      <w:r>
        <w:rPr>
          <w:rFonts w:hint="eastAsia" w:ascii="仿宋" w:hAnsi="仿宋" w:eastAsia="仿宋" w:cs="仿宋"/>
          <w:b/>
          <w:color w:val="000000" w:themeColor="text1"/>
          <w:sz w:val="24"/>
          <w:szCs w:val="24"/>
          <w:highlight w:val="none"/>
          <w14:textFill>
            <w14:solidFill>
              <w14:schemeClr w14:val="tx1"/>
            </w14:solidFill>
          </w14:textFill>
        </w:rPr>
        <w:fldChar w:fldCharType="end"/>
      </w:r>
    </w:p>
    <w:tbl>
      <w:tblPr>
        <w:tblStyle w:val="17"/>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1523"/>
        <w:gridCol w:w="3693"/>
        <w:gridCol w:w="43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93" w:type="dxa"/>
            <w:tcBorders>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1523" w:type="dxa"/>
            <w:tcBorders>
              <w:left w:val="single" w:color="auto" w:sz="4" w:space="0"/>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名称</w:t>
            </w:r>
          </w:p>
        </w:tc>
        <w:tc>
          <w:tcPr>
            <w:tcW w:w="3693" w:type="dxa"/>
            <w:tcBorders>
              <w:left w:val="single" w:color="auto" w:sz="4" w:space="0"/>
              <w:bottom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投标报价综合单价（元/吨）</w:t>
            </w:r>
          </w:p>
        </w:tc>
        <w:tc>
          <w:tcPr>
            <w:tcW w:w="4330" w:type="dxa"/>
            <w:tcBorders>
              <w:left w:val="single" w:color="auto" w:sz="4" w:space="0"/>
              <w:bottom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3" w:hRule="atLeast"/>
          <w:jc w:val="center"/>
        </w:trPr>
        <w:tc>
          <w:tcPr>
            <w:tcW w:w="893" w:type="dxa"/>
            <w:tcBorders>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w:t>
            </w:r>
          </w:p>
        </w:tc>
        <w:tc>
          <w:tcPr>
            <w:tcW w:w="1523" w:type="dxa"/>
            <w:tcBorders>
              <w:left w:val="single" w:color="auto" w:sz="4" w:space="0"/>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综合单价</w:t>
            </w:r>
          </w:p>
        </w:tc>
        <w:tc>
          <w:tcPr>
            <w:tcW w:w="3693" w:type="dxa"/>
            <w:tcBorders>
              <w:top w:val="single" w:color="auto" w:sz="4" w:space="0"/>
              <w:left w:val="single" w:color="auto" w:sz="4" w:space="0"/>
              <w:bottom w:val="single" w:color="auto" w:sz="4" w:space="0"/>
            </w:tcBorders>
            <w:noWrap w:val="0"/>
            <w:vAlign w:val="center"/>
          </w:tcPr>
          <w:p>
            <w:pPr>
              <w:pStyle w:val="21"/>
              <w:bidi w:val="0"/>
              <w:jc w:val="both"/>
              <w:rPr>
                <w:rFonts w:hint="eastAsia" w:ascii="仿宋" w:hAnsi="仿宋" w:eastAsia="仿宋" w:cs="仿宋"/>
                <w:color w:val="000000" w:themeColor="text1"/>
                <w:highlight w:val="none"/>
                <w:u w:val="singl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小写：</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w:t>
            </w:r>
          </w:p>
          <w:p>
            <w:pPr>
              <w:pStyle w:val="21"/>
              <w:bidi w:val="0"/>
              <w:rPr>
                <w:rFonts w:hint="eastAsia" w:ascii="仿宋" w:hAnsi="仿宋" w:eastAsia="仿宋" w:cs="仿宋"/>
                <w:color w:val="000000" w:themeColor="text1"/>
                <w:highlight w:val="none"/>
                <w14:textFill>
                  <w14:solidFill>
                    <w14:schemeClr w14:val="tx1"/>
                  </w14:solidFill>
                </w14:textFill>
              </w:rPr>
            </w:pPr>
          </w:p>
          <w:p>
            <w:pPr>
              <w:pStyle w:val="21"/>
              <w:bidi w:val="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大写：</w:t>
            </w:r>
            <w:r>
              <w:rPr>
                <w:rFonts w:hint="eastAsia" w:ascii="仿宋" w:hAnsi="仿宋" w:eastAsia="仿宋" w:cs="仿宋"/>
                <w:color w:val="000000" w:themeColor="text1"/>
                <w:highlight w:val="none"/>
                <w:lang w:val="en-US" w:eastAsia="zh-CN"/>
                <w14:textFill>
                  <w14:solidFill>
                    <w14:schemeClr w14:val="tx1"/>
                  </w14:solidFill>
                </w14:textFill>
              </w:rPr>
              <w:t>(</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u w:val="single"/>
                <w:lang w:val="en-US" w:eastAsia="zh-CN"/>
                <w14:textFill>
                  <w14:solidFill>
                    <w14:schemeClr w14:val="tx1"/>
                  </w14:solidFill>
                </w14:textFill>
              </w:rPr>
              <w:t>)</w:t>
            </w:r>
          </w:p>
        </w:tc>
        <w:tc>
          <w:tcPr>
            <w:tcW w:w="4330" w:type="dxa"/>
            <w:tcBorders>
              <w:top w:val="single" w:color="auto" w:sz="4" w:space="0"/>
              <w:lef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餐厨（厨余）垃圾</w:t>
            </w:r>
            <w:r>
              <w:rPr>
                <w:rFonts w:hint="eastAsia" w:ascii="仿宋" w:hAnsi="仿宋" w:eastAsia="仿宋" w:cs="仿宋"/>
                <w:color w:val="000000" w:themeColor="text1"/>
                <w:highlight w:val="none"/>
                <w14:textFill>
                  <w14:solidFill>
                    <w14:schemeClr w14:val="tx1"/>
                  </w14:solidFill>
                </w14:textFill>
              </w:rPr>
              <w:t>收运服务收运费采用综合单价形式，每日收运的量运至由中标</w:t>
            </w:r>
            <w:r>
              <w:rPr>
                <w:rFonts w:hint="eastAsia" w:ascii="仿宋" w:hAnsi="仿宋" w:eastAsia="仿宋" w:cs="仿宋"/>
                <w:color w:val="000000" w:themeColor="text1"/>
                <w:highlight w:val="none"/>
                <w:lang w:val="en-US" w:eastAsia="zh-CN"/>
                <w14:textFill>
                  <w14:solidFill>
                    <w14:schemeClr w14:val="tx1"/>
                  </w14:solidFill>
                </w14:textFill>
              </w:rPr>
              <w:t>人</w:t>
            </w:r>
            <w:r>
              <w:rPr>
                <w:rFonts w:hint="eastAsia" w:ascii="仿宋" w:hAnsi="仿宋" w:eastAsia="仿宋" w:cs="仿宋"/>
                <w:color w:val="000000" w:themeColor="text1"/>
                <w:highlight w:val="none"/>
                <w14:textFill>
                  <w14:solidFill>
                    <w14:schemeClr w14:val="tx1"/>
                  </w14:solidFill>
                </w14:textFill>
              </w:rPr>
              <w:t>自行安排的具有处置能力的处置场所，▲由于采购需要，收运费最高综合单价为</w:t>
            </w:r>
            <w:r>
              <w:rPr>
                <w:rFonts w:hint="eastAsia" w:ascii="仿宋" w:hAnsi="仿宋" w:eastAsia="仿宋" w:cs="仿宋"/>
                <w:color w:val="000000" w:themeColor="text1"/>
                <w:highlight w:val="none"/>
                <w:lang w:val="en-US" w:eastAsia="zh-CN"/>
                <w14:textFill>
                  <w14:solidFill>
                    <w14:schemeClr w14:val="tx1"/>
                  </w14:solidFill>
                </w14:textFill>
              </w:rPr>
              <w:t>141.5</w:t>
            </w:r>
            <w:r>
              <w:rPr>
                <w:rFonts w:hint="eastAsia" w:ascii="仿宋" w:hAnsi="仿宋" w:eastAsia="仿宋" w:cs="仿宋"/>
                <w:color w:val="000000" w:themeColor="text1"/>
                <w:highlight w:val="none"/>
                <w14:textFill>
                  <w14:solidFill>
                    <w14:schemeClr w14:val="tx1"/>
                  </w14:solidFill>
                </w14:textFill>
              </w:rPr>
              <w:t>元/吨，处置费最高综合单价为163.5元/吨（不许超过最高单价限价，超过作废标处理）。此次报价实行固定综合单价包干，今后不管</w:t>
            </w:r>
            <w:r>
              <w:rPr>
                <w:rFonts w:hint="eastAsia" w:ascii="仿宋" w:hAnsi="仿宋" w:eastAsia="仿宋" w:cs="仿宋"/>
                <w:color w:val="000000" w:themeColor="text1"/>
                <w:highlight w:val="none"/>
                <w:lang w:eastAsia="zh-CN"/>
                <w14:textFill>
                  <w14:solidFill>
                    <w14:schemeClr w14:val="tx1"/>
                  </w14:solidFill>
                </w14:textFill>
              </w:rPr>
              <w:t>餐厨（厨余）垃圾</w:t>
            </w:r>
            <w:r>
              <w:rPr>
                <w:rFonts w:hint="eastAsia" w:ascii="仿宋" w:hAnsi="仿宋" w:eastAsia="仿宋" w:cs="仿宋"/>
                <w:color w:val="000000" w:themeColor="text1"/>
                <w:highlight w:val="none"/>
                <w14:textFill>
                  <w14:solidFill>
                    <w14:schemeClr w14:val="tx1"/>
                  </w14:solidFill>
                </w14:textFill>
              </w:rPr>
              <w:t>清运量发生如何变化，每吨垃圾清运单价在服务期内均以中标</w:t>
            </w:r>
            <w:r>
              <w:rPr>
                <w:rFonts w:hint="eastAsia" w:ascii="仿宋" w:hAnsi="仿宋" w:eastAsia="仿宋" w:cs="仿宋"/>
                <w:color w:val="000000" w:themeColor="text1"/>
                <w:highlight w:val="none"/>
                <w:lang w:eastAsia="zh-CN"/>
                <w14:textFill>
                  <w14:solidFill>
                    <w14:schemeClr w14:val="tx1"/>
                  </w14:solidFill>
                </w14:textFill>
              </w:rPr>
              <w:t>人</w:t>
            </w:r>
            <w:r>
              <w:rPr>
                <w:rFonts w:hint="eastAsia" w:ascii="仿宋" w:hAnsi="仿宋" w:eastAsia="仿宋" w:cs="仿宋"/>
                <w:color w:val="000000" w:themeColor="text1"/>
                <w:highlight w:val="none"/>
                <w14:textFill>
                  <w14:solidFill>
                    <w14:schemeClr w14:val="tx1"/>
                  </w14:solidFill>
                </w14:textFill>
              </w:rPr>
              <w:t>投标文件中承诺的报价综合单价为准，不再调整</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（各投标供应商应充分考虑其投标报价风险）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893" w:type="dxa"/>
            <w:tcBorders>
              <w:top w:val="single" w:color="auto" w:sz="4" w:space="0"/>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项目负责人</w:t>
            </w:r>
          </w:p>
        </w:tc>
        <w:tc>
          <w:tcPr>
            <w:tcW w:w="8023" w:type="dxa"/>
            <w:gridSpan w:val="2"/>
            <w:tcBorders>
              <w:top w:val="single" w:color="auto" w:sz="4" w:space="0"/>
              <w:left w:val="single" w:color="auto" w:sz="4" w:space="0"/>
              <w:bottom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bl>
    <w:p>
      <w:pPr>
        <w:spacing w:line="360" w:lineRule="auto"/>
        <w:ind w:left="-139" w:leftChars="-66"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说明：1. </w:t>
      </w:r>
      <w:r>
        <w:rPr>
          <w:rFonts w:hint="eastAsia" w:ascii="仿宋" w:hAnsi="仿宋" w:eastAsia="仿宋" w:cs="仿宋"/>
          <w:color w:val="000000" w:themeColor="text1"/>
          <w:sz w:val="24"/>
          <w:szCs w:val="24"/>
          <w:highlight w:val="none"/>
          <w14:textFill>
            <w14:solidFill>
              <w14:schemeClr w14:val="tx1"/>
            </w14:solidFill>
          </w14:textFill>
        </w:rPr>
        <w:t>报价一览表中报价为符合采购文件要求的项目投标</w:t>
      </w:r>
      <w:r>
        <w:rPr>
          <w:rFonts w:hint="eastAsia" w:ascii="仿宋" w:hAnsi="仿宋" w:eastAsia="仿宋" w:cs="仿宋"/>
          <w:color w:val="000000" w:themeColor="text1"/>
          <w:sz w:val="24"/>
          <w:szCs w:val="24"/>
          <w:highlight w:val="none"/>
          <w:lang w:eastAsia="zh-CN"/>
          <w14:textFill>
            <w14:solidFill>
              <w14:schemeClr w14:val="tx1"/>
            </w14:solidFill>
          </w14:textFill>
        </w:rPr>
        <w:t>综合单价</w:t>
      </w:r>
      <w:r>
        <w:rPr>
          <w:rFonts w:hint="eastAsia" w:ascii="仿宋" w:hAnsi="仿宋" w:eastAsia="仿宋" w:cs="仿宋"/>
          <w:color w:val="000000" w:themeColor="text1"/>
          <w:sz w:val="24"/>
          <w:szCs w:val="24"/>
          <w:highlight w:val="none"/>
          <w14:textFill>
            <w14:solidFill>
              <w14:schemeClr w14:val="tx1"/>
            </w14:solidFill>
          </w14:textFill>
        </w:rPr>
        <w:t>，包括</w:t>
      </w:r>
      <w:r>
        <w:rPr>
          <w:rFonts w:hint="eastAsia" w:ascii="仿宋" w:hAnsi="仿宋" w:eastAsia="仿宋" w:cs="仿宋"/>
          <w:color w:val="000000" w:themeColor="text1"/>
          <w:sz w:val="24"/>
          <w:szCs w:val="24"/>
          <w:highlight w:val="none"/>
          <w:lang w:eastAsia="zh-CN"/>
          <w14:textFill>
            <w14:solidFill>
              <w14:schemeClr w14:val="tx1"/>
            </w14:solidFill>
          </w14:textFill>
        </w:rPr>
        <w:t>但不限于</w:t>
      </w:r>
      <w:r>
        <w:rPr>
          <w:rFonts w:hint="eastAsia" w:ascii="仿宋" w:hAnsi="仿宋" w:eastAsia="仿宋" w:cs="仿宋"/>
          <w:color w:val="000000" w:themeColor="text1"/>
          <w:sz w:val="24"/>
          <w:szCs w:val="24"/>
          <w:highlight w:val="none"/>
          <w14:textFill>
            <w14:solidFill>
              <w14:schemeClr w14:val="tx1"/>
            </w14:solidFill>
          </w14:textFill>
        </w:rPr>
        <w:t>收运费</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处置费</w:t>
      </w:r>
      <w:r>
        <w:rPr>
          <w:rFonts w:hint="eastAsia" w:ascii="仿宋" w:hAnsi="仿宋" w:eastAsia="仿宋" w:cs="仿宋"/>
          <w:color w:val="000000" w:themeColor="text1"/>
          <w:sz w:val="24"/>
          <w:szCs w:val="24"/>
          <w:highlight w:val="none"/>
          <w:lang w:eastAsia="zh-CN"/>
          <w14:textFill>
            <w14:solidFill>
              <w14:schemeClr w14:val="tx1"/>
            </w14:solidFill>
          </w14:textFill>
        </w:rPr>
        <w:t>、所需</w:t>
      </w:r>
      <w:r>
        <w:rPr>
          <w:rFonts w:hint="eastAsia" w:ascii="仿宋" w:hAnsi="仿宋" w:eastAsia="仿宋" w:cs="仿宋"/>
          <w:color w:val="000000" w:themeColor="text1"/>
          <w:sz w:val="24"/>
          <w:szCs w:val="24"/>
          <w:highlight w:val="none"/>
          <w14:textFill>
            <w14:solidFill>
              <w14:schemeClr w14:val="tx1"/>
            </w14:solidFill>
          </w14:textFill>
        </w:rPr>
        <w:t>设备技术费、材料费、劳动成本（员工工资、社保、国家补贴等）、生产费用税金、安装施工、调试费、人工费</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招标代理费</w:t>
      </w:r>
      <w:r>
        <w:rPr>
          <w:rFonts w:hint="eastAsia" w:ascii="仿宋" w:hAnsi="仿宋" w:eastAsia="仿宋" w:cs="仿宋"/>
          <w:color w:val="000000" w:themeColor="text1"/>
          <w:sz w:val="24"/>
          <w:szCs w:val="24"/>
          <w:highlight w:val="none"/>
          <w:lang w:eastAsia="zh-CN"/>
          <w14:textFill>
            <w14:solidFill>
              <w14:schemeClr w14:val="tx1"/>
            </w14:solidFill>
          </w14:textFill>
        </w:rPr>
        <w:t>及其他与本项目相关</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所有</w:t>
      </w:r>
      <w:r>
        <w:rPr>
          <w:rFonts w:hint="eastAsia" w:ascii="仿宋" w:hAnsi="仿宋" w:eastAsia="仿宋" w:cs="仿宋"/>
          <w:color w:val="000000" w:themeColor="text1"/>
          <w:sz w:val="24"/>
          <w:szCs w:val="24"/>
          <w:highlight w:val="none"/>
          <w14:textFill>
            <w14:solidFill>
              <w14:schemeClr w14:val="tx1"/>
            </w14:solidFill>
          </w14:textFill>
        </w:rPr>
        <w:t>费用。</w:t>
      </w:r>
    </w:p>
    <w:p>
      <w:pPr>
        <w:spacing w:line="360" w:lineRule="auto"/>
        <w:ind w:left="519" w:leftChars="247"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2.此栏内投标报价应与附件</w:t>
      </w:r>
      <w:r>
        <w:rPr>
          <w:rFonts w:hint="eastAsia" w:ascii="仿宋" w:hAnsi="仿宋" w:eastAsia="仿宋" w:cs="仿宋"/>
          <w:b/>
          <w:color w:val="000000" w:themeColor="text1"/>
          <w:sz w:val="24"/>
          <w:szCs w:val="24"/>
          <w:highlight w:val="none"/>
          <w:lang w:val="en-US" w:eastAsia="zh-CN"/>
          <w14:textFill>
            <w14:solidFill>
              <w14:schemeClr w14:val="tx1"/>
            </w14:solidFill>
          </w14:textFill>
        </w:rPr>
        <w:t>8-1</w:t>
      </w:r>
      <w:r>
        <w:rPr>
          <w:rFonts w:hint="eastAsia" w:ascii="仿宋" w:hAnsi="仿宋" w:eastAsia="仿宋" w:cs="仿宋"/>
          <w:b/>
          <w:color w:val="000000" w:themeColor="text1"/>
          <w:sz w:val="24"/>
          <w:szCs w:val="24"/>
          <w:highlight w:val="none"/>
          <w14:textFill>
            <w14:solidFill>
              <w14:schemeClr w14:val="tx1"/>
            </w14:solidFill>
          </w14:textFill>
        </w:rPr>
        <w:t>“投标分项报价表”中总计价相一致。</w:t>
      </w:r>
    </w:p>
    <w:p>
      <w:pPr>
        <w:tabs>
          <w:tab w:val="left" w:pos="720"/>
          <w:tab w:val="left" w:pos="5355"/>
        </w:tabs>
        <w:spacing w:line="360" w:lineRule="auto"/>
        <w:ind w:firstLine="482" w:firstLineChars="2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注：1、开标时开标一览表根据系统要求在线填写，</w:t>
      </w:r>
      <w:r>
        <w:rPr>
          <w:rFonts w:hint="eastAsia" w:ascii="仿宋" w:hAnsi="仿宋" w:eastAsia="仿宋" w:cs="仿宋"/>
          <w:b/>
          <w:bCs/>
          <w:color w:val="000000" w:themeColor="text1"/>
          <w:sz w:val="24"/>
          <w:szCs w:val="24"/>
          <w:highlight w:val="none"/>
          <w:lang w:eastAsia="zh-CN"/>
          <w14:textFill>
            <w14:solidFill>
              <w14:schemeClr w14:val="tx1"/>
            </w14:solidFill>
          </w14:textFill>
        </w:rPr>
        <w:t>中标人</w:t>
      </w:r>
      <w:r>
        <w:rPr>
          <w:rFonts w:hint="eastAsia" w:ascii="仿宋" w:hAnsi="仿宋" w:eastAsia="仿宋" w:cs="仿宋"/>
          <w:b/>
          <w:bCs/>
          <w:color w:val="000000" w:themeColor="text1"/>
          <w:sz w:val="24"/>
          <w:szCs w:val="24"/>
          <w:highlight w:val="none"/>
          <w14:textFill>
            <w14:solidFill>
              <w14:schemeClr w14:val="tx1"/>
            </w14:solidFill>
          </w14:textFill>
        </w:rPr>
        <w:t>补纸质投标文件时提供本附件。</w:t>
      </w: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投标人（盖章）：</w:t>
      </w: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日 期：  年  月  日</w:t>
      </w:r>
    </w:p>
    <w:p>
      <w:pPr>
        <w:spacing w:line="360" w:lineRule="auto"/>
        <w:ind w:firstLine="482" w:firstLineChars="200"/>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bookmarkStart w:id="203" w:name="_Toc30020"/>
      <w:r>
        <w:rPr>
          <w:rFonts w:hint="eastAsia" w:ascii="仿宋" w:hAnsi="仿宋" w:eastAsia="仿宋" w:cs="仿宋"/>
          <w:b/>
          <w:bCs/>
          <w:color w:val="000000" w:themeColor="text1"/>
          <w:sz w:val="24"/>
          <w:szCs w:val="24"/>
          <w:highlight w:val="none"/>
          <w14:textFill>
            <w14:solidFill>
              <w14:schemeClr w14:val="tx1"/>
            </w14:solidFill>
          </w14:textFill>
        </w:rPr>
        <w:t>附件</w:t>
      </w:r>
      <w:bookmarkEnd w:id="203"/>
      <w:r>
        <w:rPr>
          <w:rFonts w:hint="eastAsia" w:ascii="仿宋" w:hAnsi="仿宋" w:eastAsia="仿宋" w:cs="仿宋"/>
          <w:b/>
          <w:bCs/>
          <w:color w:val="000000" w:themeColor="text1"/>
          <w:sz w:val="24"/>
          <w:szCs w:val="24"/>
          <w:highlight w:val="none"/>
          <w:lang w:val="en-US" w:eastAsia="zh-CN"/>
          <w14:textFill>
            <w14:solidFill>
              <w14:schemeClr w14:val="tx1"/>
            </w14:solidFill>
          </w14:textFill>
        </w:rPr>
        <w:t>8-1</w:t>
      </w:r>
    </w:p>
    <w:p>
      <w:pPr>
        <w:rPr>
          <w:rFonts w:hint="eastAsia" w:ascii="仿宋" w:hAnsi="仿宋" w:eastAsia="仿宋" w:cs="仿宋"/>
          <w:b/>
          <w:bCs/>
          <w:color w:val="000000" w:themeColor="text1"/>
          <w:kern w:val="0"/>
          <w:sz w:val="24"/>
          <w:szCs w:val="24"/>
          <w:highlight w:val="none"/>
          <w14:textFill>
            <w14:solidFill>
              <w14:schemeClr w14:val="tx1"/>
            </w14:solidFill>
          </w14:textFill>
        </w:rPr>
      </w:pPr>
      <w:bookmarkStart w:id="204" w:name="_Toc20287"/>
      <w:r>
        <w:rPr>
          <w:rFonts w:hint="eastAsia" w:ascii="仿宋" w:hAnsi="仿宋" w:eastAsia="仿宋" w:cs="仿宋"/>
          <w:b/>
          <w:bCs/>
          <w:color w:val="000000" w:themeColor="text1"/>
          <w:kern w:val="0"/>
          <w:sz w:val="24"/>
          <w:szCs w:val="24"/>
          <w:highlight w:val="none"/>
          <w14:textFill>
            <w14:solidFill>
              <w14:schemeClr w14:val="tx1"/>
            </w14:solidFill>
          </w14:textFill>
        </w:rPr>
        <w:br w:type="page"/>
      </w:r>
    </w:p>
    <w:p>
      <w:pPr>
        <w:widowControl/>
        <w:spacing w:line="360" w:lineRule="auto"/>
        <w:ind w:firstLine="482" w:firstLineChars="200"/>
        <w:jc w:val="center"/>
        <w:outlineLvl w:val="9"/>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投标报价明细表</w:t>
      </w:r>
      <w:bookmarkEnd w:id="204"/>
    </w:p>
    <w:p>
      <w:pPr>
        <w:pStyle w:val="16"/>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r>
        <w:rPr>
          <w:rFonts w:hint="eastAsia" w:ascii="仿宋" w:hAnsi="仿宋" w:eastAsia="仿宋" w:cs="仿宋"/>
          <w:b/>
          <w:color w:val="000000" w:themeColor="text1"/>
          <w:sz w:val="24"/>
          <w:szCs w:val="24"/>
          <w:highlight w:val="none"/>
          <w:lang w:eastAsia="zh-CN"/>
          <w14:textFill>
            <w14:solidFill>
              <w14:schemeClr w14:val="tx1"/>
            </w14:solidFill>
          </w14:textFill>
        </w:rPr>
        <w:t>常山县城区餐厨（厨余）垃圾收运处置服务项目</w:t>
      </w:r>
      <w:r>
        <w:rPr>
          <w:rFonts w:hint="eastAsia" w:ascii="仿宋" w:hAnsi="仿宋" w:eastAsia="仿宋" w:cs="仿宋"/>
          <w:b/>
          <w:color w:val="000000" w:themeColor="text1"/>
          <w:sz w:val="24"/>
          <w:szCs w:val="24"/>
          <w:highlight w:val="none"/>
          <w14:textFill>
            <w14:solidFill>
              <w14:schemeClr w14:val="tx1"/>
            </w14:solidFill>
          </w14:textFill>
        </w:rPr>
        <w:t xml:space="preserve">     </w:t>
      </w:r>
    </w:p>
    <w:p>
      <w:pPr>
        <w:pStyle w:val="16"/>
        <w:spacing w:line="360" w:lineRule="auto"/>
        <w:rPr>
          <w:rFonts w:hint="eastAsia" w:ascii="仿宋" w:hAnsi="仿宋" w:eastAsia="仿宋" w:cs="仿宋"/>
          <w:b/>
          <w:color w:val="000000" w:themeColor="text1"/>
          <w:sz w:val="24"/>
          <w:szCs w:val="24"/>
          <w:highlight w:val="none"/>
          <w:lang w:eastAsia="zh-CN"/>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项目编号：</w:t>
      </w:r>
      <w:r>
        <w:rPr>
          <w:rFonts w:hint="eastAsia" w:ascii="仿宋" w:hAnsi="仿宋" w:eastAsia="仿宋" w:cs="仿宋"/>
          <w:b/>
          <w:color w:val="000000" w:themeColor="text1"/>
          <w:sz w:val="24"/>
          <w:szCs w:val="24"/>
          <w:highlight w:val="none"/>
          <w14:textFill>
            <w14:solidFill>
              <w14:schemeClr w14:val="tx1"/>
            </w14:solidFill>
          </w14:textFill>
        </w:rPr>
        <w:fldChar w:fldCharType="begin"/>
      </w:r>
      <w:r>
        <w:rPr>
          <w:rFonts w:hint="eastAsia" w:ascii="仿宋" w:hAnsi="仿宋" w:eastAsia="仿宋" w:cs="仿宋"/>
          <w:b/>
          <w:color w:val="000000" w:themeColor="text1"/>
          <w:sz w:val="24"/>
          <w:szCs w:val="24"/>
          <w:highlight w:val="none"/>
          <w14:textFill>
            <w14:solidFill>
              <w14:schemeClr w14:val="tx1"/>
            </w14:solidFill>
          </w14:textFill>
        </w:rPr>
        <w:instrText xml:space="preserve"> HYPERLINK "https://www.zcygov.cn/project-center/project-result-detail/7067337902307816587" \t "https://www.zcygov.cn/project-center/self-project/_blank" </w:instrText>
      </w:r>
      <w:r>
        <w:rPr>
          <w:rFonts w:hint="eastAsia" w:ascii="仿宋" w:hAnsi="仿宋" w:eastAsia="仿宋" w:cs="仿宋"/>
          <w:b/>
          <w:color w:val="000000" w:themeColor="text1"/>
          <w:sz w:val="24"/>
          <w:szCs w:val="24"/>
          <w:highlight w:val="none"/>
          <w14:textFill>
            <w14:solidFill>
              <w14:schemeClr w14:val="tx1"/>
            </w14:solidFill>
          </w14:textFill>
        </w:rPr>
        <w:fldChar w:fldCharType="separate"/>
      </w:r>
      <w:r>
        <w:rPr>
          <w:rFonts w:hint="eastAsia" w:ascii="仿宋" w:hAnsi="仿宋" w:eastAsia="仿宋" w:cs="仿宋"/>
          <w:b/>
          <w:color w:val="000000" w:themeColor="text1"/>
          <w:sz w:val="24"/>
          <w:szCs w:val="24"/>
          <w:highlight w:val="none"/>
          <w:lang w:eastAsia="zh-CN"/>
          <w14:textFill>
            <w14:solidFill>
              <w14:schemeClr w14:val="tx1"/>
            </w14:solidFill>
          </w14:textFill>
        </w:rPr>
        <w:t>JYZFCG-2024-GK018</w:t>
      </w:r>
      <w:r>
        <w:rPr>
          <w:rFonts w:hint="eastAsia" w:ascii="仿宋" w:hAnsi="仿宋" w:eastAsia="仿宋" w:cs="仿宋"/>
          <w:b/>
          <w:color w:val="000000" w:themeColor="text1"/>
          <w:sz w:val="24"/>
          <w:szCs w:val="24"/>
          <w:highlight w:val="none"/>
          <w14:textFill>
            <w14:solidFill>
              <w14:schemeClr w14:val="tx1"/>
            </w14:solidFill>
          </w14:textFill>
        </w:rPr>
        <w:fldChar w:fldCharType="end"/>
      </w:r>
    </w:p>
    <w:tbl>
      <w:tblPr>
        <w:tblStyle w:val="17"/>
        <w:tblW w:w="0" w:type="auto"/>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813"/>
        <w:gridCol w:w="968"/>
        <w:gridCol w:w="1538"/>
        <w:gridCol w:w="1420"/>
        <w:gridCol w:w="1465"/>
        <w:gridCol w:w="140"/>
        <w:gridCol w:w="3516"/>
      </w:tblGrid>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3" w:type="dxa"/>
            <w:tcBorders>
              <w:top w:val="single" w:color="auto" w:sz="18" w:space="0"/>
              <w:left w:val="single" w:color="auto" w:sz="18"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序号</w:t>
            </w:r>
          </w:p>
        </w:tc>
        <w:tc>
          <w:tcPr>
            <w:tcW w:w="2506" w:type="dxa"/>
            <w:gridSpan w:val="2"/>
            <w:tcBorders>
              <w:top w:val="single" w:color="auto" w:sz="18"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项     目</w:t>
            </w:r>
          </w:p>
        </w:tc>
        <w:tc>
          <w:tcPr>
            <w:tcW w:w="1420" w:type="dxa"/>
            <w:tcBorders>
              <w:top w:val="single" w:color="auto" w:sz="18"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月支出</w:t>
            </w:r>
          </w:p>
        </w:tc>
        <w:tc>
          <w:tcPr>
            <w:tcW w:w="1465" w:type="dxa"/>
            <w:tcBorders>
              <w:top w:val="single" w:color="auto" w:sz="18"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一</w:t>
            </w:r>
            <w:r>
              <w:rPr>
                <w:rFonts w:hint="eastAsia" w:ascii="仿宋" w:hAnsi="仿宋" w:eastAsia="仿宋" w:cs="仿宋"/>
                <w:color w:val="000000" w:themeColor="text1"/>
                <w:highlight w:val="none"/>
                <w14:textFill>
                  <w14:solidFill>
                    <w14:schemeClr w14:val="tx1"/>
                  </w14:solidFill>
                </w14:textFill>
              </w:rPr>
              <w:t>年支出</w:t>
            </w:r>
          </w:p>
        </w:tc>
        <w:tc>
          <w:tcPr>
            <w:tcW w:w="3656" w:type="dxa"/>
            <w:gridSpan w:val="2"/>
            <w:tcBorders>
              <w:top w:val="single" w:color="auto" w:sz="18"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说  明</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900" w:hRule="atLeast"/>
          <w:jc w:val="center"/>
        </w:trPr>
        <w:tc>
          <w:tcPr>
            <w:tcW w:w="813" w:type="dxa"/>
            <w:vMerge w:val="restart"/>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restart"/>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劳动成本</w:t>
            </w:r>
          </w:p>
        </w:tc>
        <w:tc>
          <w:tcPr>
            <w:tcW w:w="1538" w:type="dxa"/>
            <w:tcBorders>
              <w:top w:val="single" w:color="auto" w:sz="6" w:space="0"/>
              <w:left w:val="single" w:color="auto" w:sz="4"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人员工资</w:t>
            </w:r>
          </w:p>
        </w:tc>
        <w:tc>
          <w:tcPr>
            <w:tcW w:w="1420" w:type="dxa"/>
            <w:tcBorders>
              <w:top w:val="single" w:color="auto" w:sz="6" w:space="0"/>
              <w:left w:val="single" w:color="auto" w:sz="6"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4"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月工资收入不低于常山县最低工资标准110%</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80"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4"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出勤补贴</w:t>
            </w:r>
          </w:p>
        </w:tc>
        <w:tc>
          <w:tcPr>
            <w:tcW w:w="1420" w:type="dxa"/>
            <w:tcBorders>
              <w:top w:val="single" w:color="auto" w:sz="4"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4"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4"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加班费</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高温费</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各类保险</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包括社保、意外保险</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人员福利</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包括过节费、奖金</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13" w:type="dxa"/>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813" w:type="dxa"/>
            <w:vMerge w:val="restart"/>
            <w:tcBorders>
              <w:top w:val="single" w:color="auto" w:sz="4" w:space="0"/>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restart"/>
            <w:tcBorders>
              <w:top w:val="single" w:color="auto" w:sz="4" w:space="0"/>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生产费用</w:t>
            </w: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劳保用品</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工作服、雨衣、雨鞋等</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生产工具</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42"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耗材用品</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90"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修理费用</w:t>
            </w:r>
          </w:p>
        </w:tc>
        <w:tc>
          <w:tcPr>
            <w:tcW w:w="1420" w:type="dxa"/>
            <w:tcBorders>
              <w:top w:val="single" w:color="auto" w:sz="6" w:space="0"/>
              <w:left w:val="single" w:color="auto" w:sz="6"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4"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4" w:space="0"/>
              <w:left w:val="single" w:color="auto" w:sz="4"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住房租金</w:t>
            </w:r>
          </w:p>
        </w:tc>
        <w:tc>
          <w:tcPr>
            <w:tcW w:w="1420" w:type="dxa"/>
            <w:tcBorders>
              <w:top w:val="single" w:color="auto" w:sz="4" w:space="0"/>
              <w:left w:val="single" w:color="auto" w:sz="6"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4"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4"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813" w:type="dxa"/>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4" w:space="0"/>
              <w:left w:val="single" w:color="auto" w:sz="4"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1420" w:type="dxa"/>
            <w:tcBorders>
              <w:top w:val="single" w:color="auto" w:sz="4" w:space="0"/>
              <w:left w:val="single" w:color="auto" w:sz="6"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4"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4"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13" w:type="dxa"/>
            <w:vMerge w:val="restart"/>
            <w:tcBorders>
              <w:top w:val="single" w:color="auto" w:sz="4" w:space="0"/>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restart"/>
            <w:tcBorders>
              <w:top w:val="single" w:color="auto" w:sz="4" w:space="0"/>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机械设施</w:t>
            </w:r>
          </w:p>
        </w:tc>
        <w:tc>
          <w:tcPr>
            <w:tcW w:w="1538" w:type="dxa"/>
            <w:tcBorders>
              <w:top w:val="single" w:color="auto" w:sz="4"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折旧费</w:t>
            </w:r>
          </w:p>
        </w:tc>
        <w:tc>
          <w:tcPr>
            <w:tcW w:w="1420" w:type="dxa"/>
            <w:tcBorders>
              <w:top w:val="single" w:color="auto" w:sz="4"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保养、修理费</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保险费</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油  费</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水  费</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6" w:space="0"/>
              <w:left w:val="single" w:color="auto" w:sz="4"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耗  材</w:t>
            </w:r>
          </w:p>
        </w:tc>
        <w:tc>
          <w:tcPr>
            <w:tcW w:w="1420" w:type="dxa"/>
            <w:tcBorders>
              <w:top w:val="single" w:color="auto" w:sz="6" w:space="0"/>
              <w:left w:val="single" w:color="auto" w:sz="6"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4"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813" w:type="dxa"/>
            <w:vMerge w:val="continue"/>
            <w:tcBorders>
              <w:left w:val="single" w:color="auto" w:sz="18"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968" w:type="dxa"/>
            <w:vMerge w:val="continue"/>
            <w:tcBorders>
              <w:left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538" w:type="dxa"/>
            <w:tcBorders>
              <w:top w:val="single" w:color="auto" w:sz="4"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1420" w:type="dxa"/>
            <w:tcBorders>
              <w:top w:val="single" w:color="auto" w:sz="4"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4"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4"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13" w:type="dxa"/>
            <w:tcBorders>
              <w:top w:val="single" w:color="auto" w:sz="6" w:space="0"/>
              <w:left w:val="single" w:color="auto" w:sz="18"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506" w:type="dxa"/>
            <w:gridSpan w:val="2"/>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餐厨专用垃圾桶</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13" w:type="dxa"/>
            <w:tcBorders>
              <w:top w:val="single" w:color="auto" w:sz="6" w:space="0"/>
              <w:left w:val="single" w:color="auto" w:sz="18"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506" w:type="dxa"/>
            <w:gridSpan w:val="2"/>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不可预见费</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13" w:type="dxa"/>
            <w:tcBorders>
              <w:top w:val="single" w:color="auto" w:sz="6" w:space="0"/>
              <w:left w:val="single" w:color="auto" w:sz="18"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506" w:type="dxa"/>
            <w:gridSpan w:val="2"/>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13" w:type="dxa"/>
            <w:tcBorders>
              <w:top w:val="single" w:color="auto" w:sz="6" w:space="0"/>
              <w:left w:val="single" w:color="auto" w:sz="18"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506" w:type="dxa"/>
            <w:gridSpan w:val="2"/>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13" w:type="dxa"/>
            <w:tcBorders>
              <w:top w:val="single" w:color="auto" w:sz="6" w:space="0"/>
              <w:left w:val="single" w:color="auto" w:sz="18"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506" w:type="dxa"/>
            <w:gridSpan w:val="2"/>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经营管理费</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13" w:type="dxa"/>
            <w:tcBorders>
              <w:top w:val="single" w:color="auto" w:sz="6" w:space="0"/>
              <w:left w:val="single" w:color="auto" w:sz="18"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506" w:type="dxa"/>
            <w:gridSpan w:val="2"/>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利润</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813" w:type="dxa"/>
            <w:tcBorders>
              <w:top w:val="single" w:color="auto" w:sz="6" w:space="0"/>
              <w:left w:val="single" w:color="auto" w:sz="18" w:space="0"/>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506" w:type="dxa"/>
            <w:gridSpan w:val="2"/>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税金</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211" w:hRule="atLeast"/>
          <w:jc w:val="center"/>
        </w:trPr>
        <w:tc>
          <w:tcPr>
            <w:tcW w:w="813" w:type="dxa"/>
            <w:tcBorders>
              <w:top w:val="single" w:color="auto" w:sz="6" w:space="0"/>
              <w:left w:val="single" w:color="auto" w:sz="18" w:space="0"/>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2506" w:type="dxa"/>
            <w:gridSpan w:val="2"/>
            <w:tcBorders>
              <w:top w:val="single" w:color="auto" w:sz="6" w:space="0"/>
              <w:left w:val="single" w:color="auto" w:sz="4"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其他</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1465" w:type="dxa"/>
            <w:tcBorders>
              <w:top w:val="single" w:color="auto" w:sz="6" w:space="0"/>
              <w:left w:val="single" w:color="auto" w:sz="6" w:space="0"/>
              <w:bottom w:val="single" w:color="auto" w:sz="6"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c>
          <w:tcPr>
            <w:tcW w:w="3656" w:type="dxa"/>
            <w:gridSpan w:val="2"/>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19" w:type="dxa"/>
            <w:gridSpan w:val="3"/>
            <w:tcBorders>
              <w:top w:val="single" w:color="auto" w:sz="6" w:space="0"/>
              <w:left w:val="single" w:color="auto" w:sz="18" w:space="0"/>
              <w:bottom w:val="single" w:color="auto" w:sz="6"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一、合计（元/</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年）</w:t>
            </w:r>
          </w:p>
        </w:tc>
        <w:tc>
          <w:tcPr>
            <w:tcW w:w="6541" w:type="dxa"/>
            <w:gridSpan w:val="4"/>
            <w:tcBorders>
              <w:top w:val="single" w:color="auto" w:sz="6" w:space="0"/>
              <w:left w:val="single" w:color="auto" w:sz="6" w:space="0"/>
              <w:bottom w:val="single" w:color="auto" w:sz="6"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大写：</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小写：</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19" w:type="dxa"/>
            <w:gridSpan w:val="3"/>
            <w:tcBorders>
              <w:left w:val="single" w:color="auto" w:sz="18" w:space="0"/>
              <w:bottom w:val="single" w:color="auto" w:sz="4" w:space="0"/>
              <w:right w:val="single" w:color="auto" w:sz="6"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二、投标单价（元/吨）</w:t>
            </w:r>
          </w:p>
        </w:tc>
        <w:tc>
          <w:tcPr>
            <w:tcW w:w="3025" w:type="dxa"/>
            <w:gridSpan w:val="3"/>
            <w:tcBorders>
              <w:top w:val="single" w:color="auto" w:sz="6" w:space="0"/>
              <w:left w:val="single" w:color="auto" w:sz="6" w:space="0"/>
              <w:bottom w:val="single" w:color="auto" w:sz="4" w:space="0"/>
              <w:right w:val="single" w:color="auto" w:sz="4"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每日收运的</w:t>
            </w:r>
            <w:r>
              <w:rPr>
                <w:rFonts w:hint="eastAsia" w:ascii="仿宋" w:hAnsi="仿宋" w:eastAsia="仿宋" w:cs="仿宋"/>
                <w:color w:val="000000" w:themeColor="text1"/>
                <w:highlight w:val="none"/>
                <w:lang w:eastAsia="zh-CN"/>
                <w14:textFill>
                  <w14:solidFill>
                    <w14:schemeClr w14:val="tx1"/>
                  </w14:solidFill>
                </w14:textFill>
              </w:rPr>
              <w:t>运量</w:t>
            </w:r>
            <w:r>
              <w:rPr>
                <w:rFonts w:hint="eastAsia" w:ascii="仿宋" w:hAnsi="仿宋" w:eastAsia="仿宋" w:cs="仿宋"/>
                <w:color w:val="000000" w:themeColor="text1"/>
                <w:highlight w:val="none"/>
                <w14:textFill>
                  <w14:solidFill>
                    <w14:schemeClr w14:val="tx1"/>
                  </w14:solidFill>
                </w14:textFill>
              </w:rPr>
              <w:t>由中标</w:t>
            </w:r>
            <w:r>
              <w:rPr>
                <w:rFonts w:hint="eastAsia" w:ascii="仿宋" w:hAnsi="仿宋" w:eastAsia="仿宋" w:cs="仿宋"/>
                <w:color w:val="000000" w:themeColor="text1"/>
                <w:highlight w:val="none"/>
                <w:lang w:val="en-US" w:eastAsia="zh-CN"/>
                <w14:textFill>
                  <w14:solidFill>
                    <w14:schemeClr w14:val="tx1"/>
                  </w14:solidFill>
                </w14:textFill>
              </w:rPr>
              <w:t>人</w:t>
            </w:r>
            <w:r>
              <w:rPr>
                <w:rFonts w:hint="eastAsia" w:ascii="仿宋" w:hAnsi="仿宋" w:eastAsia="仿宋" w:cs="仿宋"/>
                <w:color w:val="000000" w:themeColor="text1"/>
                <w:highlight w:val="none"/>
                <w14:textFill>
                  <w14:solidFill>
                    <w14:schemeClr w14:val="tx1"/>
                  </w14:solidFill>
                </w14:textFill>
              </w:rPr>
              <w:t>全部运至具有处置能力的处置场所进行处置（处置场所须符合相关法律法规及政策规定）的收运费报价：</w:t>
            </w:r>
          </w:p>
          <w:p>
            <w:pPr>
              <w:pStyle w:val="21"/>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小写：</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大写：</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每日收运的</w:t>
            </w:r>
            <w:r>
              <w:rPr>
                <w:rFonts w:hint="eastAsia" w:ascii="仿宋" w:hAnsi="仿宋" w:eastAsia="仿宋" w:cs="仿宋"/>
                <w:color w:val="000000" w:themeColor="text1"/>
                <w:highlight w:val="none"/>
                <w:lang w:eastAsia="zh-CN"/>
                <w14:textFill>
                  <w14:solidFill>
                    <w14:schemeClr w14:val="tx1"/>
                  </w14:solidFill>
                </w14:textFill>
              </w:rPr>
              <w:t>运量</w:t>
            </w:r>
            <w:r>
              <w:rPr>
                <w:rFonts w:hint="eastAsia" w:ascii="仿宋" w:hAnsi="仿宋" w:eastAsia="仿宋" w:cs="仿宋"/>
                <w:color w:val="000000" w:themeColor="text1"/>
                <w:highlight w:val="none"/>
                <w14:textFill>
                  <w14:solidFill>
                    <w14:schemeClr w14:val="tx1"/>
                  </w14:solidFill>
                </w14:textFill>
              </w:rPr>
              <w:t>由中标</w:t>
            </w:r>
            <w:r>
              <w:rPr>
                <w:rFonts w:hint="eastAsia" w:ascii="仿宋" w:hAnsi="仿宋" w:eastAsia="仿宋" w:cs="仿宋"/>
                <w:color w:val="000000" w:themeColor="text1"/>
                <w:highlight w:val="none"/>
                <w:lang w:val="en-US" w:eastAsia="zh-CN"/>
                <w14:textFill>
                  <w14:solidFill>
                    <w14:schemeClr w14:val="tx1"/>
                  </w14:solidFill>
                </w14:textFill>
              </w:rPr>
              <w:t>人</w:t>
            </w:r>
            <w:r>
              <w:rPr>
                <w:rFonts w:hint="eastAsia" w:ascii="仿宋" w:hAnsi="仿宋" w:eastAsia="仿宋" w:cs="仿宋"/>
                <w:color w:val="000000" w:themeColor="text1"/>
                <w:highlight w:val="none"/>
                <w14:textFill>
                  <w14:solidFill>
                    <w14:schemeClr w14:val="tx1"/>
                  </w14:solidFill>
                </w14:textFill>
              </w:rPr>
              <w:t>全部运至具有处置能力的处置场所进行处置（处置场所须符合相关法律法规及政策规定）处置费报价：</w:t>
            </w:r>
          </w:p>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小写：</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大写：</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w:t>
            </w:r>
          </w:p>
        </w:tc>
        <w:tc>
          <w:tcPr>
            <w:tcW w:w="3516" w:type="dxa"/>
            <w:tcBorders>
              <w:top w:val="single" w:color="auto" w:sz="6" w:space="0"/>
              <w:left w:val="single" w:color="auto" w:sz="4" w:space="0"/>
              <w:bottom w:val="single" w:color="auto" w:sz="4" w:space="0"/>
              <w:right w:val="single" w:color="auto" w:sz="18" w:space="0"/>
            </w:tcBorders>
            <w:noWrap w:val="0"/>
            <w:vAlign w:val="center"/>
          </w:tcPr>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备注：</w:t>
            </w:r>
          </w:p>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1、按日处理20吨计；</w:t>
            </w:r>
          </w:p>
          <w:p>
            <w:pPr>
              <w:pStyle w:val="21"/>
              <w:bidi w:val="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餐厨（厨余）垃圾</w:t>
            </w:r>
            <w:r>
              <w:rPr>
                <w:rFonts w:hint="eastAsia" w:ascii="仿宋" w:hAnsi="仿宋" w:eastAsia="仿宋" w:cs="仿宋"/>
                <w:color w:val="000000" w:themeColor="text1"/>
                <w:highlight w:val="none"/>
                <w14:textFill>
                  <w14:solidFill>
                    <w14:schemeClr w14:val="tx1"/>
                  </w14:solidFill>
                </w14:textFill>
              </w:rPr>
              <w:t>实际收运计量以处置场过磅计量为准，最终结算价款=实际的垃圾清运量（吨）×</w:t>
            </w:r>
            <w:r>
              <w:rPr>
                <w:rFonts w:hint="eastAsia" w:ascii="仿宋" w:hAnsi="仿宋" w:eastAsia="仿宋" w:cs="仿宋"/>
                <w:color w:val="000000" w:themeColor="text1"/>
                <w:highlight w:val="none"/>
                <w:lang w:val="en-US" w:eastAsia="zh-CN"/>
                <w14:textFill>
                  <w14:solidFill>
                    <w14:schemeClr w14:val="tx1"/>
                  </w14:solidFill>
                </w14:textFill>
              </w:rPr>
              <w:t>中标人</w:t>
            </w:r>
            <w:r>
              <w:rPr>
                <w:rFonts w:hint="eastAsia" w:ascii="仿宋" w:hAnsi="仿宋" w:eastAsia="仿宋" w:cs="仿宋"/>
                <w:color w:val="000000" w:themeColor="text1"/>
                <w:highlight w:val="none"/>
                <w14:textFill>
                  <w14:solidFill>
                    <w14:schemeClr w14:val="tx1"/>
                  </w14:solidFill>
                </w14:textFill>
              </w:rPr>
              <w:t>投标文件中承诺的综合单价（元/吨）。</w:t>
            </w:r>
          </w:p>
        </w:tc>
      </w:tr>
    </w:tbl>
    <w:p>
      <w:pPr>
        <w:spacing w:line="360" w:lineRule="auto"/>
        <w:outlineLvl w:val="9"/>
        <w:rPr>
          <w:rFonts w:hint="eastAsia" w:ascii="仿宋" w:hAnsi="仿宋" w:eastAsia="仿宋" w:cs="仿宋"/>
          <w:b/>
          <w:color w:val="000000" w:themeColor="text1"/>
          <w:sz w:val="24"/>
          <w:szCs w:val="24"/>
          <w:highlight w:val="none"/>
          <w14:textFill>
            <w14:solidFill>
              <w14:schemeClr w14:val="tx1"/>
            </w14:solidFill>
          </w14:textFill>
        </w:rPr>
      </w:pPr>
      <w:bookmarkStart w:id="205" w:name="OLE_LINK13"/>
      <w:r>
        <w:rPr>
          <w:rFonts w:hint="eastAsia" w:ascii="仿宋" w:hAnsi="仿宋" w:eastAsia="仿宋" w:cs="仿宋"/>
          <w:b/>
          <w:color w:val="000000" w:themeColor="text1"/>
          <w:sz w:val="24"/>
          <w:szCs w:val="24"/>
          <w:highlight w:val="none"/>
          <w14:textFill>
            <w14:solidFill>
              <w14:schemeClr w14:val="tx1"/>
            </w14:solidFill>
          </w14:textFill>
        </w:rPr>
        <w:t>注：1. 总计价应与“开标一览表”中投标报价相一致。</w:t>
      </w:r>
    </w:p>
    <w:p>
      <w:pPr>
        <w:spacing w:line="360" w:lineRule="auto"/>
        <w:ind w:firstLine="482"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bookmarkStart w:id="206" w:name="_Toc3929"/>
      <w:bookmarkStart w:id="207" w:name="_Toc6027"/>
      <w:bookmarkStart w:id="208" w:name="_Toc21438"/>
      <w:r>
        <w:rPr>
          <w:rFonts w:hint="eastAsia" w:ascii="仿宋" w:hAnsi="仿宋" w:eastAsia="仿宋" w:cs="仿宋"/>
          <w:b/>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xml:space="preserve"> 本表可在不改变格式的情况下根据具体需要自行增加。</w:t>
      </w:r>
      <w:bookmarkEnd w:id="206"/>
      <w:bookmarkEnd w:id="207"/>
      <w:bookmarkEnd w:id="208"/>
      <w:r>
        <w:rPr>
          <w:rFonts w:hint="eastAsia" w:ascii="仿宋" w:hAnsi="仿宋" w:eastAsia="仿宋" w:cs="仿宋"/>
          <w:color w:val="000000" w:themeColor="text1"/>
          <w:sz w:val="24"/>
          <w:szCs w:val="24"/>
          <w:highlight w:val="none"/>
          <w14:textFill>
            <w14:solidFill>
              <w14:schemeClr w14:val="tx1"/>
            </w14:solidFill>
          </w14:textFill>
        </w:rPr>
        <w:t xml:space="preserve"> </w:t>
      </w:r>
    </w:p>
    <w:bookmarkEnd w:id="205"/>
    <w:p>
      <w:pPr>
        <w:pStyle w:val="9"/>
        <w:spacing w:line="360" w:lineRule="auto"/>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投标人（盖章）：</w:t>
      </w:r>
    </w:p>
    <w:p>
      <w:pPr>
        <w:spacing w:line="360" w:lineRule="auto"/>
        <w:ind w:firstLine="482" w:firstLineChars="20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日 期：  年  月  日</w:t>
      </w: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pStyle w:val="87"/>
        <w:widowControl w:val="0"/>
        <w:snapToGrid w:val="0"/>
        <w:spacing w:after="0" w:line="500" w:lineRule="exact"/>
        <w:ind w:left="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政府采购活动现场确认声明书</w:t>
      </w:r>
    </w:p>
    <w:p>
      <w:pPr>
        <w:pStyle w:val="87"/>
        <w:widowControl w:val="0"/>
        <w:snapToGrid w:val="0"/>
        <w:spacing w:after="0" w:line="44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浙江九越建设管理有限公司：</w:t>
      </w:r>
    </w:p>
    <w:p>
      <w:pPr>
        <w:pStyle w:val="87"/>
        <w:widowControl w:val="0"/>
        <w:snapToGrid w:val="0"/>
        <w:spacing w:after="0" w:line="440" w:lineRule="exact"/>
        <w:ind w:firstLine="504" w:firstLineChars="200"/>
        <w:rPr>
          <w:rFonts w:hint="eastAsia" w:ascii="仿宋" w:hAnsi="仿宋" w:eastAsia="仿宋" w:cs="仿宋"/>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pacing w:val="6"/>
          <w:sz w:val="24"/>
          <w:szCs w:val="24"/>
          <w:highlight w:val="none"/>
          <w14:textFill>
            <w14:solidFill>
              <w14:schemeClr w14:val="tx1"/>
            </w14:solidFill>
          </w14:textFill>
        </w:rPr>
        <w:t>本人</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（授权代表姓名），经由</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（单位）</w:t>
      </w:r>
      <w:r>
        <w:rPr>
          <w:rFonts w:hint="eastAsia" w:ascii="仿宋" w:hAnsi="仿宋" w:eastAsia="仿宋" w:cs="仿宋"/>
          <w:color w:val="000000" w:themeColor="text1"/>
          <w:spacing w:val="6"/>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（法定代表人姓名）合法授权参加</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常山县城区餐厨（厨余）垃圾收运处置服务项目</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4"/>
          <w:szCs w:val="24"/>
          <w:highlight w:val="none"/>
          <w14:textFill>
            <w14:solidFill>
              <w14:schemeClr w14:val="tx1"/>
            </w14:solidFill>
          </w14:textFill>
        </w:rPr>
        <w:t>（编号：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JYZFCG-2024-GK018</w:t>
      </w:r>
      <w:r>
        <w:rPr>
          <w:rFonts w:hint="eastAsia" w:ascii="仿宋" w:hAnsi="仿宋" w:eastAsia="仿宋" w:cs="仿宋"/>
          <w:color w:val="000000" w:themeColor="text1"/>
          <w:sz w:val="24"/>
          <w:szCs w:val="24"/>
          <w:highlight w:val="none"/>
          <w:u w:val="single"/>
          <w14:textFill>
            <w14:solidFill>
              <w14:schemeClr w14:val="tx1"/>
            </w14:solidFill>
          </w14:textFill>
        </w:rPr>
        <w:t>）</w:t>
      </w:r>
      <w:r>
        <w:rPr>
          <w:rFonts w:hint="eastAsia" w:ascii="仿宋" w:hAnsi="仿宋" w:eastAsia="仿宋" w:cs="仿宋"/>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pPr>
        <w:pStyle w:val="88"/>
        <w:widowControl/>
        <w:numPr>
          <w:ilvl w:val="0"/>
          <w:numId w:val="6"/>
        </w:numPr>
        <w:snapToGrid w:val="0"/>
        <w:spacing w:after="0" w:line="440" w:lineRule="exact"/>
        <w:ind w:firstLine="453" w:firstLineChars="18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本单位与采购人之间 □不存在利害关系 □存在下列利害关系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pStyle w:val="88"/>
        <w:widowControl/>
        <w:snapToGrid w:val="0"/>
        <w:spacing w:after="0" w:line="44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A.投资关系    B.行政隶属关系    C.业务指导关系</w:t>
      </w:r>
    </w:p>
    <w:p>
      <w:pPr>
        <w:pStyle w:val="88"/>
        <w:widowControl/>
        <w:snapToGrid w:val="0"/>
        <w:spacing w:after="0" w:line="44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D.其他可能</w:t>
      </w:r>
      <w:r>
        <w:rPr>
          <w:rFonts w:hint="eastAsia" w:ascii="仿宋" w:hAnsi="仿宋" w:eastAsia="仿宋" w:cs="仿宋"/>
          <w:color w:val="000000" w:themeColor="text1"/>
          <w:sz w:val="24"/>
          <w:szCs w:val="24"/>
          <w:highlight w:val="none"/>
          <w14:textFill>
            <w14:solidFill>
              <w14:schemeClr w14:val="tx1"/>
            </w14:solidFill>
          </w14:textFill>
        </w:rPr>
        <w:t>影响采购公正的</w:t>
      </w:r>
      <w:r>
        <w:rPr>
          <w:rFonts w:hint="eastAsia" w:ascii="仿宋" w:hAnsi="仿宋" w:eastAsia="仿宋" w:cs="仿宋"/>
          <w:color w:val="000000" w:themeColor="text1"/>
          <w:kern w:val="0"/>
          <w:sz w:val="24"/>
          <w:szCs w:val="24"/>
          <w:highlight w:val="none"/>
          <w14:textFill>
            <w14:solidFill>
              <w14:schemeClr w14:val="tx1"/>
            </w14:solidFill>
          </w14:textFill>
        </w:rPr>
        <w:t xml:space="preserve">利害关系（如有，请如实说明）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pStyle w:val="88"/>
        <w:widowControl/>
        <w:numPr>
          <w:ilvl w:val="0"/>
          <w:numId w:val="6"/>
        </w:numPr>
        <w:snapToGrid w:val="0"/>
        <w:spacing w:after="0" w:line="440" w:lineRule="exact"/>
        <w:ind w:firstLine="453" w:firstLineChars="18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现已清楚知道参加本项目采购活动的其他所有供应商名称，本单位 □与其他所有供应商之间均不存在利害关系 □与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（供应商名称）之间存在下列利害关系</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pStyle w:val="87"/>
        <w:widowControl w:val="0"/>
        <w:snapToGrid w:val="0"/>
        <w:spacing w:line="44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A.法定代表人或负责人或实际控制人是同一人</w:t>
      </w:r>
    </w:p>
    <w:p>
      <w:pPr>
        <w:pStyle w:val="87"/>
        <w:widowControl w:val="0"/>
        <w:snapToGrid w:val="0"/>
        <w:spacing w:line="44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B.法定代表人或负责人或实际控制人是夫妻关系</w:t>
      </w:r>
    </w:p>
    <w:p>
      <w:pPr>
        <w:pStyle w:val="87"/>
        <w:widowControl w:val="0"/>
        <w:snapToGrid w:val="0"/>
        <w:spacing w:line="44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C.法定代表人或负责人或实际控制人是直系血亲关系</w:t>
      </w:r>
    </w:p>
    <w:p>
      <w:pPr>
        <w:pStyle w:val="87"/>
        <w:widowControl w:val="0"/>
        <w:snapToGrid w:val="0"/>
        <w:spacing w:line="44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pPr>
        <w:pStyle w:val="87"/>
        <w:widowControl w:val="0"/>
        <w:snapToGrid w:val="0"/>
        <w:spacing w:line="44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E.法定代表人或负责人或实际控制人存在近姻亲关系</w:t>
      </w:r>
    </w:p>
    <w:p>
      <w:pPr>
        <w:pStyle w:val="87"/>
        <w:widowControl w:val="0"/>
        <w:snapToGrid w:val="0"/>
        <w:spacing w:line="44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pPr>
        <w:pStyle w:val="87"/>
        <w:widowControl w:val="0"/>
        <w:snapToGrid w:val="0"/>
        <w:spacing w:line="44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G.存在共同直接或间接投资设立子公司、联营企业和合营企业情况</w:t>
      </w:r>
    </w:p>
    <w:p>
      <w:pPr>
        <w:pStyle w:val="87"/>
        <w:widowControl w:val="0"/>
        <w:snapToGrid w:val="0"/>
        <w:spacing w:line="440" w:lineRule="exact"/>
        <w:jc w:val="both"/>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  H.存在分级代理或代销关系、同一生产制造商关系、</w:t>
      </w:r>
      <w:r>
        <w:rPr>
          <w:rFonts w:hint="eastAsia" w:ascii="仿宋" w:hAnsi="仿宋" w:eastAsia="仿宋" w:cs="仿宋"/>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pPr>
        <w:pStyle w:val="87"/>
        <w:widowControl w:val="0"/>
        <w:snapToGrid w:val="0"/>
        <w:spacing w:line="440" w:lineRule="exact"/>
        <w:jc w:val="both"/>
        <w:rPr>
          <w:rFonts w:hint="eastAsia" w:ascii="仿宋" w:hAnsi="仿宋" w:eastAsia="仿宋" w:cs="仿宋"/>
          <w:color w:val="000000" w:themeColor="text1"/>
          <w:sz w:val="24"/>
          <w:szCs w:val="24"/>
          <w:highlight w:val="none"/>
          <w14:textFill>
            <w14:solidFill>
              <w14:schemeClr w14:val="tx1"/>
            </w14:solidFill>
          </w14:textFill>
        </w:rPr>
      </w:pPr>
      <w:bookmarkStart w:id="209" w:name="_Toc22681"/>
      <w:bookmarkEnd w:id="209"/>
      <w:r>
        <w:rPr>
          <w:rFonts w:hint="eastAsia" w:ascii="仿宋" w:hAnsi="仿宋" w:eastAsia="仿宋" w:cs="仿宋"/>
          <w:color w:val="000000" w:themeColor="text1"/>
          <w:sz w:val="24"/>
          <w:szCs w:val="24"/>
          <w:highlight w:val="none"/>
          <w14:textFill>
            <w14:solidFill>
              <w14:schemeClr w14:val="tx1"/>
            </w14:solidFill>
          </w14:textFill>
        </w:rPr>
        <w:t xml:space="preserve">  I</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其他利害关系情况</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w:t>
      </w:r>
    </w:p>
    <w:p>
      <w:pPr>
        <w:pStyle w:val="88"/>
        <w:widowControl/>
        <w:numPr>
          <w:ilvl w:val="0"/>
          <w:numId w:val="7"/>
        </w:numPr>
        <w:snapToGrid w:val="0"/>
        <w:spacing w:line="440" w:lineRule="exact"/>
        <w:ind w:firstLine="453" w:firstLineChars="18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现已清楚知道并</w:t>
      </w:r>
      <w:r>
        <w:rPr>
          <w:rFonts w:hint="eastAsia" w:ascii="仿宋" w:hAnsi="仿宋" w:eastAsia="仿宋" w:cs="仿宋"/>
          <w:color w:val="000000" w:themeColor="text1"/>
          <w:kern w:val="0"/>
          <w:sz w:val="24"/>
          <w:szCs w:val="24"/>
          <w:highlight w:val="none"/>
          <w14:textFill>
            <w14:solidFill>
              <w14:schemeClr w14:val="tx1"/>
            </w14:solidFill>
          </w14:textFill>
        </w:rPr>
        <w:t>严格遵守政府采购法律法规和现场纪律。</w:t>
      </w:r>
    </w:p>
    <w:p>
      <w:pPr>
        <w:pStyle w:val="88"/>
        <w:widowControl/>
        <w:numPr>
          <w:ilvl w:val="0"/>
          <w:numId w:val="7"/>
        </w:numPr>
        <w:snapToGrid w:val="0"/>
        <w:spacing w:line="440" w:lineRule="exact"/>
        <w:ind w:firstLine="453" w:firstLineChars="18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我发现</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供应商之间存在或可能存在上述第二条第</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项利害关系。</w:t>
      </w:r>
    </w:p>
    <w:p>
      <w:pPr>
        <w:pStyle w:val="87"/>
        <w:widowControl w:val="0"/>
        <w:snapToGrid w:val="0"/>
        <w:spacing w:line="440" w:lineRule="exact"/>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（供应商代表签名）：                                         2024年  月  日</w:t>
      </w:r>
    </w:p>
    <w:p>
      <w:pPr>
        <w:pStyle w:val="87"/>
        <w:widowControl w:val="0"/>
        <w:snapToGrid w:val="0"/>
        <w:spacing w:line="44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注：待完成解密后填写本确认书再以扫描件的形式发至QQ邮箱&lt;1627136484@qq.com&gt;内，打印时请删除此项注明。</w:t>
      </w:r>
    </w:p>
    <w:sectPr>
      <w:headerReference r:id="rId6" w:type="default"/>
      <w:footerReference r:id="rId7" w:type="default"/>
      <w:pgSz w:w="11906" w:h="16838"/>
      <w:pgMar w:top="1440" w:right="850" w:bottom="1440" w:left="850" w:header="737" w:footer="992" w:gutter="0"/>
      <w:pgBorders>
        <w:top w:val="none" w:sz="0" w:space="0"/>
        <w:left w:val="none" w:sz="0" w:space="0"/>
        <w:bottom w:val="none" w:sz="0" w:space="0"/>
        <w:right w:val="none" w:sz="0" w:space="0"/>
      </w:pgBorders>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SimSong">
    <w:altName w:val="仿宋"/>
    <w:panose1 w:val="00000000000000000000"/>
    <w:charset w:val="86"/>
    <w:family w:val="auto"/>
    <w:pitch w:val="default"/>
    <w:sig w:usb0="00000000" w:usb1="00000000" w:usb2="00000000" w:usb3="00000000" w:csb0="0016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FuturaA Bk B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VTCM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GlUwj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51"/>
        <w:rPr>
          <w:rStyle w:val="66"/>
          <w:rFonts w:hint="eastAsia"/>
          <w:sz w:val="18"/>
        </w:rPr>
      </w:pPr>
      <w:r>
        <w:rPr>
          <w:rStyle w:val="66"/>
          <w:rFonts w:hint="eastAsia"/>
          <w:sz w:val="18"/>
        </w:rPr>
        <w:footnoteRef/>
      </w:r>
      <w:r>
        <w:rPr>
          <w:rFonts w:ascii="宋体" w:hAnsi="宋体"/>
          <w:sz w:val="21"/>
        </w:rPr>
        <w:t>从业人员、营业收入、资产总额填报上一年度数据，无上一年度数据的新成立企业可不填报。</w:t>
      </w:r>
    </w:p>
  </w:footnote>
  <w:footnote w:id="1">
    <w:p>
      <w:pPr>
        <w:pStyle w:val="5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333399" w:sz="8" w:space="0"/>
      </w:pBdr>
      <w:jc w:val="center"/>
      <w:rPr>
        <w:rFonts w:hint="eastAsia"/>
        <w:u w:val="single"/>
      </w:rPr>
    </w:pPr>
    <w:r>
      <w:rPr>
        <w:rFonts w:hint="eastAsia"/>
        <w:u w:val="none"/>
      </w:rPr>
      <w:drawing>
        <wp:inline distT="0" distB="0" distL="0" distR="0">
          <wp:extent cx="389890" cy="360045"/>
          <wp:effectExtent l="0" t="0" r="3810" b="8255"/>
          <wp:docPr id="6" name="_x0000_i1061"/>
          <wp:cNvGraphicFramePr/>
          <a:graphic xmlns:a="http://schemas.openxmlformats.org/drawingml/2006/main">
            <a:graphicData uri="http://schemas.openxmlformats.org/drawingml/2006/picture">
              <pic:pic xmlns:pic="http://schemas.openxmlformats.org/drawingml/2006/picture">
                <pic:nvPicPr>
                  <pic:cNvPr id="6" name="_x0000_i1061"/>
                  <pic:cNvPicPr/>
                </pic:nvPicPr>
                <pic:blipFill>
                  <a:blip r:embed="rId1"/>
                  <a:stretch>
                    <a:fillRect/>
                  </a:stretch>
                </pic:blipFill>
                <pic:spPr>
                  <a:xfrm>
                    <a:off x="0" y="0"/>
                    <a:ext cx="389900" cy="360677"/>
                  </a:xfrm>
                  <a:prstGeom prst="rect">
                    <a:avLst/>
                  </a:prstGeom>
                </pic:spPr>
              </pic:pic>
            </a:graphicData>
          </a:graphic>
        </wp:inline>
      </w:drawing>
    </w:r>
    <w:r>
      <w:rPr>
        <w:rFonts w:hint="eastAsia"/>
        <w:u w:val="none"/>
      </w:rPr>
      <w:t xml:space="preserve">                               </w:t>
    </w:r>
    <w:r>
      <w:rPr>
        <w:rFonts w:hint="eastAsia"/>
        <w:u w:val="none"/>
        <w:lang w:val="en-US" w:eastAsia="zh-CN"/>
      </w:rPr>
      <w:t xml:space="preserve">                                                        </w:t>
    </w:r>
    <w:r>
      <w:rPr>
        <w:rFonts w:hint="eastAsia"/>
        <w:u w:val="none"/>
      </w:rPr>
      <w:t xml:space="preserve">          </w:t>
    </w:r>
    <w:r>
      <w:rPr>
        <w:rFonts w:hint="eastAsia" w:ascii="楷体_GB2312" w:hAnsi="楷体_GB2312" w:eastAsia="楷体_GB2312"/>
        <w:szCs w:val="21"/>
        <w:u w:val="none"/>
        <w:lang w:eastAsia="zh-CN"/>
      </w:rPr>
      <w:t>常山县城区餐厨（厨余）垃圾收运处置服务项目</w:t>
    </w:r>
    <w:r>
      <w:rPr>
        <w:rFonts w:hint="eastAsia" w:ascii="楷体_GB2312" w:hAnsi="楷体_GB2312" w:eastAsia="楷体_GB2312"/>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333399" w:sz="8" w:space="0"/>
      </w:pBdr>
      <w:jc w:val="center"/>
      <w:rPr>
        <w:rFonts w:hint="eastAsia"/>
        <w:u w:val="none"/>
      </w:rPr>
    </w:pPr>
    <w:r>
      <w:rPr>
        <w:rFonts w:hint="eastAsia"/>
        <w:u w:val="none"/>
      </w:rPr>
      <w:drawing>
        <wp:inline distT="0" distB="0" distL="0" distR="0">
          <wp:extent cx="389890" cy="360045"/>
          <wp:effectExtent l="0" t="0" r="3810" b="8255"/>
          <wp:docPr id="4" name="_x0000_i1063"/>
          <wp:cNvGraphicFramePr/>
          <a:graphic xmlns:a="http://schemas.openxmlformats.org/drawingml/2006/main">
            <a:graphicData uri="http://schemas.openxmlformats.org/drawingml/2006/picture">
              <pic:pic xmlns:pic="http://schemas.openxmlformats.org/drawingml/2006/picture">
                <pic:nvPicPr>
                  <pic:cNvPr id="4" name="_x0000_i1063"/>
                  <pic:cNvPicPr/>
                </pic:nvPicPr>
                <pic:blipFill>
                  <a:blip r:embed="rId1"/>
                  <a:stretch>
                    <a:fillRect/>
                  </a:stretch>
                </pic:blipFill>
                <pic:spPr>
                  <a:xfrm>
                    <a:off x="0" y="0"/>
                    <a:ext cx="389900" cy="360677"/>
                  </a:xfrm>
                  <a:prstGeom prst="rect">
                    <a:avLst/>
                  </a:prstGeom>
                </pic:spPr>
              </pic:pic>
            </a:graphicData>
          </a:graphic>
        </wp:inline>
      </w:drawing>
    </w:r>
    <w:r>
      <w:rPr>
        <w:rFonts w:hint="eastAsia"/>
        <w:u w:val="none"/>
      </w:rPr>
      <w:t xml:space="preserve">                                     </w:t>
    </w:r>
    <w:r>
      <w:rPr>
        <w:rFonts w:hint="eastAsia"/>
        <w:u w:val="none"/>
        <w:lang w:val="en-US" w:eastAsia="zh-CN"/>
      </w:rPr>
      <w:t xml:space="preserve">                                                     </w:t>
    </w:r>
    <w:r>
      <w:rPr>
        <w:rFonts w:hint="eastAsia"/>
        <w:u w:val="none"/>
      </w:rPr>
      <w:t xml:space="preserve">    </w:t>
    </w:r>
    <w:r>
      <w:rPr>
        <w:rFonts w:hint="eastAsia" w:ascii="楷体_GB2312" w:hAnsi="楷体_GB2312" w:eastAsia="楷体_GB2312"/>
        <w:szCs w:val="21"/>
        <w:u w:val="none"/>
        <w:lang w:eastAsia="zh-CN"/>
      </w:rPr>
      <w:t>常山县城区餐厨（厨余）垃圾收运处置服务项目</w:t>
    </w:r>
    <w:r>
      <w:rPr>
        <w:rFonts w:hint="eastAsia" w:ascii="楷体_GB2312" w:hAnsi="楷体_GB2312" w:eastAsia="楷体_GB2312"/>
        <w:szCs w:val="21"/>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03"/>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D10369"/>
    <w:multiLevelType w:val="multilevel"/>
    <w:tmpl w:val="0FD10369"/>
    <w:lvl w:ilvl="0" w:tentative="0">
      <w:start w:val="1"/>
      <w:numFmt w:val="bullet"/>
      <w:lvlText w:val=""/>
      <w:lvlJc w:val="left"/>
      <w:pPr>
        <w:tabs>
          <w:tab w:val="left" w:pos="862"/>
        </w:tabs>
        <w:ind w:left="862" w:hanging="420"/>
      </w:pPr>
      <w:rPr>
        <w:rFonts w:hint="default" w:ascii="Wingdings" w:hAnsi="Wingdings"/>
      </w:rPr>
    </w:lvl>
    <w:lvl w:ilvl="1" w:tentative="0">
      <w:start w:val="1"/>
      <w:numFmt w:val="bullet"/>
      <w:lvlText w:val=""/>
      <w:lvlJc w:val="left"/>
      <w:pPr>
        <w:tabs>
          <w:tab w:val="left" w:pos="1282"/>
        </w:tabs>
        <w:ind w:left="1282" w:hanging="420"/>
      </w:pPr>
      <w:rPr>
        <w:rFonts w:hint="default" w:ascii="Wingdings" w:hAnsi="Wingdings"/>
      </w:rPr>
    </w:lvl>
    <w:lvl w:ilvl="2" w:tentative="0">
      <w:start w:val="1"/>
      <w:numFmt w:val="bullet"/>
      <w:lvlText w:val=""/>
      <w:lvlJc w:val="left"/>
      <w:pPr>
        <w:tabs>
          <w:tab w:val="left" w:pos="1702"/>
        </w:tabs>
        <w:ind w:left="1702" w:hanging="420"/>
      </w:pPr>
      <w:rPr>
        <w:rFonts w:hint="default" w:ascii="Wingdings" w:hAnsi="Wingdings"/>
      </w:rPr>
    </w:lvl>
    <w:lvl w:ilvl="3" w:tentative="0">
      <w:start w:val="1"/>
      <w:numFmt w:val="bullet"/>
      <w:lvlText w:val=""/>
      <w:lvlJc w:val="left"/>
      <w:pPr>
        <w:tabs>
          <w:tab w:val="left" w:pos="2122"/>
        </w:tabs>
        <w:ind w:left="2122" w:hanging="420"/>
      </w:pPr>
      <w:rPr>
        <w:rFonts w:hint="default" w:ascii="Wingdings" w:hAnsi="Wingdings"/>
      </w:rPr>
    </w:lvl>
    <w:lvl w:ilvl="4" w:tentative="0">
      <w:start w:val="1"/>
      <w:numFmt w:val="bullet"/>
      <w:lvlText w:val=""/>
      <w:lvlJc w:val="left"/>
      <w:pPr>
        <w:tabs>
          <w:tab w:val="left" w:pos="2542"/>
        </w:tabs>
        <w:ind w:left="2542" w:hanging="420"/>
      </w:pPr>
      <w:rPr>
        <w:rFonts w:hint="default" w:ascii="Wingdings" w:hAnsi="Wingdings"/>
      </w:rPr>
    </w:lvl>
    <w:lvl w:ilvl="5" w:tentative="0">
      <w:start w:val="1"/>
      <w:numFmt w:val="bullet"/>
      <w:lvlText w:val=""/>
      <w:lvlJc w:val="left"/>
      <w:pPr>
        <w:tabs>
          <w:tab w:val="left" w:pos="2962"/>
        </w:tabs>
        <w:ind w:left="2962" w:hanging="420"/>
      </w:pPr>
      <w:rPr>
        <w:rFonts w:hint="default" w:ascii="Wingdings" w:hAnsi="Wingdings"/>
      </w:rPr>
    </w:lvl>
    <w:lvl w:ilvl="6" w:tentative="0">
      <w:start w:val="1"/>
      <w:numFmt w:val="bullet"/>
      <w:lvlText w:val=""/>
      <w:lvlJc w:val="left"/>
      <w:pPr>
        <w:tabs>
          <w:tab w:val="left" w:pos="3382"/>
        </w:tabs>
        <w:ind w:left="3382" w:hanging="420"/>
      </w:pPr>
      <w:rPr>
        <w:rFonts w:hint="default" w:ascii="Wingdings" w:hAnsi="Wingdings"/>
      </w:rPr>
    </w:lvl>
    <w:lvl w:ilvl="7" w:tentative="0">
      <w:start w:val="1"/>
      <w:numFmt w:val="bullet"/>
      <w:lvlText w:val=""/>
      <w:lvlJc w:val="left"/>
      <w:pPr>
        <w:tabs>
          <w:tab w:val="left" w:pos="3802"/>
        </w:tabs>
        <w:ind w:left="3802" w:hanging="420"/>
      </w:pPr>
      <w:rPr>
        <w:rFonts w:hint="default" w:ascii="Wingdings" w:hAnsi="Wingdings"/>
      </w:rPr>
    </w:lvl>
    <w:lvl w:ilvl="8" w:tentative="0">
      <w:start w:val="1"/>
      <w:numFmt w:val="bullet"/>
      <w:lvlText w:val=""/>
      <w:lvlJc w:val="left"/>
      <w:pPr>
        <w:tabs>
          <w:tab w:val="left" w:pos="4222"/>
        </w:tabs>
        <w:ind w:left="4222" w:hanging="420"/>
      </w:pPr>
      <w:rPr>
        <w:rFonts w:hint="default" w:ascii="Wingdings" w:hAnsi="Wingdings"/>
      </w:rPr>
    </w:lvl>
  </w:abstractNum>
  <w:abstractNum w:abstractNumId="2">
    <w:nsid w:val="23954EED"/>
    <w:multiLevelType w:val="multilevel"/>
    <w:tmpl w:val="23954EED"/>
    <w:lvl w:ilvl="0" w:tentative="0">
      <w:start w:val="1"/>
      <w:numFmt w:val="bullet"/>
      <w:lvlText w:val=""/>
      <w:lvlJc w:val="left"/>
      <w:pPr>
        <w:tabs>
          <w:tab w:val="left" w:pos="1080"/>
        </w:tabs>
        <w:ind w:left="1080" w:hanging="420"/>
      </w:pPr>
      <w:rPr>
        <w:rFonts w:hint="default" w:ascii="Wingdings" w:hAnsi="Wingdings"/>
      </w:rPr>
    </w:lvl>
    <w:lvl w:ilvl="1" w:tentative="0">
      <w:start w:val="1"/>
      <w:numFmt w:val="bullet"/>
      <w:lvlText w:val=""/>
      <w:lvlJc w:val="left"/>
      <w:pPr>
        <w:tabs>
          <w:tab w:val="left" w:pos="1500"/>
        </w:tabs>
        <w:ind w:left="1500" w:hanging="420"/>
      </w:pPr>
      <w:rPr>
        <w:rFonts w:hint="default" w:ascii="Wingdings" w:hAnsi="Wingdings"/>
      </w:rPr>
    </w:lvl>
    <w:lvl w:ilvl="2" w:tentative="0">
      <w:start w:val="1"/>
      <w:numFmt w:val="bullet"/>
      <w:lvlText w:val=""/>
      <w:lvlJc w:val="left"/>
      <w:pPr>
        <w:tabs>
          <w:tab w:val="left" w:pos="1920"/>
        </w:tabs>
        <w:ind w:left="1920" w:hanging="420"/>
      </w:pPr>
      <w:rPr>
        <w:rFonts w:hint="default" w:ascii="Wingdings" w:hAnsi="Wingdings"/>
      </w:rPr>
    </w:lvl>
    <w:lvl w:ilvl="3" w:tentative="0">
      <w:start w:val="1"/>
      <w:numFmt w:val="bullet"/>
      <w:lvlText w:val=""/>
      <w:lvlJc w:val="left"/>
      <w:pPr>
        <w:tabs>
          <w:tab w:val="left" w:pos="2340"/>
        </w:tabs>
        <w:ind w:left="2340" w:hanging="420"/>
      </w:pPr>
      <w:rPr>
        <w:rFonts w:hint="default" w:ascii="Wingdings" w:hAnsi="Wingdings"/>
      </w:rPr>
    </w:lvl>
    <w:lvl w:ilvl="4" w:tentative="0">
      <w:start w:val="1"/>
      <w:numFmt w:val="bullet"/>
      <w:lvlText w:val=""/>
      <w:lvlJc w:val="left"/>
      <w:pPr>
        <w:tabs>
          <w:tab w:val="left" w:pos="2760"/>
        </w:tabs>
        <w:ind w:left="2760" w:hanging="420"/>
      </w:pPr>
      <w:rPr>
        <w:rFonts w:hint="default" w:ascii="Wingdings" w:hAnsi="Wingdings"/>
      </w:rPr>
    </w:lvl>
    <w:lvl w:ilvl="5" w:tentative="0">
      <w:start w:val="1"/>
      <w:numFmt w:val="bullet"/>
      <w:lvlText w:val=""/>
      <w:lvlJc w:val="left"/>
      <w:pPr>
        <w:tabs>
          <w:tab w:val="left" w:pos="3180"/>
        </w:tabs>
        <w:ind w:left="3180" w:hanging="420"/>
      </w:pPr>
      <w:rPr>
        <w:rFonts w:hint="default" w:ascii="Wingdings" w:hAnsi="Wingdings"/>
      </w:rPr>
    </w:lvl>
    <w:lvl w:ilvl="6" w:tentative="0">
      <w:start w:val="1"/>
      <w:numFmt w:val="bullet"/>
      <w:lvlText w:val=""/>
      <w:lvlJc w:val="left"/>
      <w:pPr>
        <w:tabs>
          <w:tab w:val="left" w:pos="3600"/>
        </w:tabs>
        <w:ind w:left="3600" w:hanging="420"/>
      </w:pPr>
      <w:rPr>
        <w:rFonts w:hint="default" w:ascii="Wingdings" w:hAnsi="Wingdings"/>
      </w:rPr>
    </w:lvl>
    <w:lvl w:ilvl="7" w:tentative="0">
      <w:start w:val="1"/>
      <w:numFmt w:val="bullet"/>
      <w:lvlText w:val=""/>
      <w:lvlJc w:val="left"/>
      <w:pPr>
        <w:tabs>
          <w:tab w:val="left" w:pos="4020"/>
        </w:tabs>
        <w:ind w:left="4020" w:hanging="420"/>
      </w:pPr>
      <w:rPr>
        <w:rFonts w:hint="default" w:ascii="Wingdings" w:hAnsi="Wingdings"/>
      </w:rPr>
    </w:lvl>
    <w:lvl w:ilvl="8" w:tentative="0">
      <w:start w:val="1"/>
      <w:numFmt w:val="bullet"/>
      <w:lvlText w:val=""/>
      <w:lvlJc w:val="left"/>
      <w:pPr>
        <w:tabs>
          <w:tab w:val="left" w:pos="4440"/>
        </w:tabs>
        <w:ind w:left="4440" w:hanging="420"/>
      </w:pPr>
      <w:rPr>
        <w:rFonts w:hint="default" w:ascii="Wingdings" w:hAnsi="Wingdings"/>
      </w:rPr>
    </w:lvl>
  </w:abstractNum>
  <w:abstractNum w:abstractNumId="3">
    <w:nsid w:val="2A5B5864"/>
    <w:multiLevelType w:val="singleLevel"/>
    <w:tmpl w:val="2A5B5864"/>
    <w:lvl w:ilvl="0" w:tentative="0">
      <w:start w:val="7"/>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853AD7B"/>
    <w:multiLevelType w:val="multilevel"/>
    <w:tmpl w:val="5853AD7B"/>
    <w:lvl w:ilvl="0" w:tentative="0">
      <w:start w:val="1"/>
      <w:numFmt w:val="lowerLetter"/>
      <w:pStyle w:val="3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2"/>
    </o:shapelayout>
  </w:hdrShapeDefaults>
  <w:footnotePr>
    <w:footnote w:id="4"/>
    <w:footnote w:id="5"/>
  </w:footnotePr>
  <w:compat>
    <w:spaceForUL/>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5MmNlMmNjOGU4ZjAxZWZjNDgxMDljNDdmOWQifQ=="/>
  </w:docVars>
  <w:rsids>
    <w:rsidRoot w:val="00000000"/>
    <w:rsid w:val="0058523E"/>
    <w:rsid w:val="00590C0C"/>
    <w:rsid w:val="01D34B7C"/>
    <w:rsid w:val="02A15559"/>
    <w:rsid w:val="03C30C20"/>
    <w:rsid w:val="05DB5BEB"/>
    <w:rsid w:val="060E0879"/>
    <w:rsid w:val="063546FC"/>
    <w:rsid w:val="08273E74"/>
    <w:rsid w:val="083B16CD"/>
    <w:rsid w:val="08650291"/>
    <w:rsid w:val="0895702F"/>
    <w:rsid w:val="094D16B8"/>
    <w:rsid w:val="09B23C11"/>
    <w:rsid w:val="0A1C139E"/>
    <w:rsid w:val="0A311144"/>
    <w:rsid w:val="0A84735B"/>
    <w:rsid w:val="0A8A06EA"/>
    <w:rsid w:val="0AC4505C"/>
    <w:rsid w:val="0AD100C7"/>
    <w:rsid w:val="0AEC6B04"/>
    <w:rsid w:val="0B1411F9"/>
    <w:rsid w:val="0B456A08"/>
    <w:rsid w:val="0BD75BB1"/>
    <w:rsid w:val="0CA21D1B"/>
    <w:rsid w:val="0D515C3D"/>
    <w:rsid w:val="0D645222"/>
    <w:rsid w:val="0D7D4536"/>
    <w:rsid w:val="0E60782A"/>
    <w:rsid w:val="0ECE329B"/>
    <w:rsid w:val="0ED32FD6"/>
    <w:rsid w:val="0F59068B"/>
    <w:rsid w:val="10084720"/>
    <w:rsid w:val="10374E70"/>
    <w:rsid w:val="10C83D1A"/>
    <w:rsid w:val="113A7BB8"/>
    <w:rsid w:val="12502219"/>
    <w:rsid w:val="12E82452"/>
    <w:rsid w:val="159468C1"/>
    <w:rsid w:val="1615355E"/>
    <w:rsid w:val="164B51D1"/>
    <w:rsid w:val="18CD45C3"/>
    <w:rsid w:val="18E514F3"/>
    <w:rsid w:val="19D454DE"/>
    <w:rsid w:val="1AE04287"/>
    <w:rsid w:val="1B663D29"/>
    <w:rsid w:val="1C507DA3"/>
    <w:rsid w:val="1CB11B06"/>
    <w:rsid w:val="1CF528EE"/>
    <w:rsid w:val="1DCE2715"/>
    <w:rsid w:val="1E026ABD"/>
    <w:rsid w:val="1EC94B5F"/>
    <w:rsid w:val="1F996FAD"/>
    <w:rsid w:val="20F052F3"/>
    <w:rsid w:val="2111483D"/>
    <w:rsid w:val="21525AB7"/>
    <w:rsid w:val="218B501C"/>
    <w:rsid w:val="21CD73E2"/>
    <w:rsid w:val="22F369D5"/>
    <w:rsid w:val="231E74CD"/>
    <w:rsid w:val="2373410F"/>
    <w:rsid w:val="23C95987"/>
    <w:rsid w:val="241C01AD"/>
    <w:rsid w:val="251610A0"/>
    <w:rsid w:val="259A0E2C"/>
    <w:rsid w:val="26DE174A"/>
    <w:rsid w:val="27513007"/>
    <w:rsid w:val="278A18D2"/>
    <w:rsid w:val="284303FE"/>
    <w:rsid w:val="28443360"/>
    <w:rsid w:val="291514B9"/>
    <w:rsid w:val="29353D69"/>
    <w:rsid w:val="2A691C72"/>
    <w:rsid w:val="2AA902C1"/>
    <w:rsid w:val="2AFF019E"/>
    <w:rsid w:val="2B2B6F28"/>
    <w:rsid w:val="2B7E52A9"/>
    <w:rsid w:val="2C85520A"/>
    <w:rsid w:val="2CC17B44"/>
    <w:rsid w:val="2D0155DF"/>
    <w:rsid w:val="2DAE50FF"/>
    <w:rsid w:val="2E6E1B25"/>
    <w:rsid w:val="2E8C0CED"/>
    <w:rsid w:val="2ECE02F6"/>
    <w:rsid w:val="315076E8"/>
    <w:rsid w:val="31627D0C"/>
    <w:rsid w:val="316A07AA"/>
    <w:rsid w:val="318A49A8"/>
    <w:rsid w:val="323B5CA2"/>
    <w:rsid w:val="32B37F2E"/>
    <w:rsid w:val="351302D1"/>
    <w:rsid w:val="355125F1"/>
    <w:rsid w:val="3625302B"/>
    <w:rsid w:val="36392E40"/>
    <w:rsid w:val="379E73FF"/>
    <w:rsid w:val="37B973EE"/>
    <w:rsid w:val="380A6C8D"/>
    <w:rsid w:val="396F26D5"/>
    <w:rsid w:val="39771D61"/>
    <w:rsid w:val="3A8D5509"/>
    <w:rsid w:val="3B4570B1"/>
    <w:rsid w:val="3B4C0F20"/>
    <w:rsid w:val="3C4D1060"/>
    <w:rsid w:val="3D66469B"/>
    <w:rsid w:val="3E1000F5"/>
    <w:rsid w:val="3F573360"/>
    <w:rsid w:val="3F850EA5"/>
    <w:rsid w:val="3FAD33E9"/>
    <w:rsid w:val="41085961"/>
    <w:rsid w:val="41586871"/>
    <w:rsid w:val="426D634C"/>
    <w:rsid w:val="42A15FF5"/>
    <w:rsid w:val="431A03B9"/>
    <w:rsid w:val="446B0669"/>
    <w:rsid w:val="4629258A"/>
    <w:rsid w:val="46607F75"/>
    <w:rsid w:val="47906483"/>
    <w:rsid w:val="49484545"/>
    <w:rsid w:val="4CF3569F"/>
    <w:rsid w:val="50AD2009"/>
    <w:rsid w:val="517A59A7"/>
    <w:rsid w:val="52321F06"/>
    <w:rsid w:val="52FA2FB9"/>
    <w:rsid w:val="55F23BC5"/>
    <w:rsid w:val="56692258"/>
    <w:rsid w:val="56935B78"/>
    <w:rsid w:val="56BE0ACC"/>
    <w:rsid w:val="58271B3B"/>
    <w:rsid w:val="58F670FB"/>
    <w:rsid w:val="59C363FA"/>
    <w:rsid w:val="5B3B11CE"/>
    <w:rsid w:val="5BEC7E8A"/>
    <w:rsid w:val="5C261529"/>
    <w:rsid w:val="5CF93AE0"/>
    <w:rsid w:val="5D064F7B"/>
    <w:rsid w:val="5F1F0576"/>
    <w:rsid w:val="60083949"/>
    <w:rsid w:val="60FD2D62"/>
    <w:rsid w:val="6175576D"/>
    <w:rsid w:val="61DC274E"/>
    <w:rsid w:val="61EA4E6B"/>
    <w:rsid w:val="62C6396E"/>
    <w:rsid w:val="64460353"/>
    <w:rsid w:val="66021183"/>
    <w:rsid w:val="663C1A0D"/>
    <w:rsid w:val="666920D7"/>
    <w:rsid w:val="667C1E0A"/>
    <w:rsid w:val="66B477F6"/>
    <w:rsid w:val="67CE48E7"/>
    <w:rsid w:val="69921C5A"/>
    <w:rsid w:val="6B012A20"/>
    <w:rsid w:val="6B5211A2"/>
    <w:rsid w:val="6B6555BF"/>
    <w:rsid w:val="6B98099F"/>
    <w:rsid w:val="6BDB3A77"/>
    <w:rsid w:val="6C350159"/>
    <w:rsid w:val="6D5C523C"/>
    <w:rsid w:val="6D6C2BD8"/>
    <w:rsid w:val="6E9614AC"/>
    <w:rsid w:val="6F9A1B99"/>
    <w:rsid w:val="6FCE7B7A"/>
    <w:rsid w:val="6FE23626"/>
    <w:rsid w:val="6FE27182"/>
    <w:rsid w:val="700510C2"/>
    <w:rsid w:val="7056191E"/>
    <w:rsid w:val="70614648"/>
    <w:rsid w:val="70986476"/>
    <w:rsid w:val="718801FD"/>
    <w:rsid w:val="71881FAB"/>
    <w:rsid w:val="72275320"/>
    <w:rsid w:val="727F515C"/>
    <w:rsid w:val="734A7C98"/>
    <w:rsid w:val="73905147"/>
    <w:rsid w:val="75483F2B"/>
    <w:rsid w:val="75ED062E"/>
    <w:rsid w:val="763D3B4D"/>
    <w:rsid w:val="767174B1"/>
    <w:rsid w:val="769413F2"/>
    <w:rsid w:val="774E15A1"/>
    <w:rsid w:val="77843214"/>
    <w:rsid w:val="77A15916"/>
    <w:rsid w:val="77A47413"/>
    <w:rsid w:val="77D00208"/>
    <w:rsid w:val="77F86D65"/>
    <w:rsid w:val="783D0EE1"/>
    <w:rsid w:val="78B611AB"/>
    <w:rsid w:val="78D14237"/>
    <w:rsid w:val="7912534E"/>
    <w:rsid w:val="7A691322"/>
    <w:rsid w:val="7A70548C"/>
    <w:rsid w:val="7A756E44"/>
    <w:rsid w:val="7AC202DC"/>
    <w:rsid w:val="7B9D1CC4"/>
    <w:rsid w:val="7CF36E72"/>
    <w:rsid w:val="7DEB7B49"/>
    <w:rsid w:val="7E2117BD"/>
    <w:rsid w:val="7F74591C"/>
    <w:rsid w:val="7FD23724"/>
    <w:rsid w:val="7FD726A5"/>
    <w:rsid w:val="7FFE2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jc w:val="center"/>
      <w:outlineLvl w:val="0"/>
    </w:pPr>
    <w:rPr>
      <w:rFonts w:ascii="楷体_GB2312" w:eastAsia="楷体_GB2312"/>
      <w:b/>
      <w:bCs/>
      <w:kern w:val="0"/>
      <w:sz w:val="20"/>
      <w:szCs w:val="20"/>
    </w:rPr>
  </w:style>
  <w:style w:type="paragraph" w:styleId="4">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10"/>
    <w:pPr>
      <w:widowControl/>
      <w:spacing w:before="60" w:after="60"/>
      <w:jc w:val="center"/>
      <w:outlineLvl w:val="0"/>
    </w:pPr>
    <w:rPr>
      <w:rFonts w:ascii="Cambria" w:hAnsi="Cambria"/>
      <w:b/>
      <w:bCs/>
      <w:kern w:val="0"/>
      <w:sz w:val="24"/>
      <w:szCs w:val="32"/>
    </w:rPr>
  </w:style>
  <w:style w:type="paragraph" w:styleId="5">
    <w:name w:val="Body Text"/>
    <w:basedOn w:val="1"/>
    <w:next w:val="6"/>
    <w:autoRedefine/>
    <w:unhideWhenUsed/>
    <w:qFormat/>
    <w:uiPriority w:val="99"/>
    <w:pPr>
      <w:spacing w:after="120"/>
    </w:pPr>
  </w:style>
  <w:style w:type="paragraph" w:styleId="6">
    <w:name w:val="Body Text First Indent"/>
    <w:basedOn w:val="5"/>
    <w:next w:val="1"/>
    <w:autoRedefine/>
    <w:qFormat/>
    <w:uiPriority w:val="0"/>
    <w:pPr>
      <w:autoSpaceDE w:val="0"/>
      <w:autoSpaceDN w:val="0"/>
      <w:adjustRightInd w:val="0"/>
      <w:ind w:firstLine="420" w:firstLineChars="100"/>
      <w:textAlignment w:val="baseline"/>
    </w:pPr>
    <w:rPr>
      <w:sz w:val="24"/>
      <w:szCs w:val="20"/>
    </w:rPr>
  </w:style>
  <w:style w:type="paragraph" w:styleId="7">
    <w:name w:val="Body Text Indent"/>
    <w:basedOn w:val="1"/>
    <w:next w:val="1"/>
    <w:autoRedefine/>
    <w:unhideWhenUsed/>
    <w:qFormat/>
    <w:uiPriority w:val="99"/>
    <w:pPr>
      <w:ind w:left="480" w:hanging="480" w:hangingChars="200"/>
    </w:pPr>
    <w:rPr>
      <w:sz w:val="24"/>
    </w:rPr>
  </w:style>
  <w:style w:type="paragraph" w:styleId="8">
    <w:name w:val="toc 3"/>
    <w:basedOn w:val="1"/>
    <w:autoRedefine/>
    <w:qFormat/>
    <w:uiPriority w:val="0"/>
    <w:pPr>
      <w:widowControl/>
      <w:spacing w:after="100" w:line="276" w:lineRule="auto"/>
      <w:ind w:left="440"/>
      <w:jc w:val="left"/>
    </w:pPr>
    <w:rPr>
      <w:rFonts w:ascii="Calibri" w:hAnsi="Calibri" w:eastAsia="宋体"/>
      <w:kern w:val="0"/>
      <w:sz w:val="22"/>
      <w:szCs w:val="22"/>
    </w:rPr>
  </w:style>
  <w:style w:type="paragraph" w:styleId="9">
    <w:name w:val="Plain Text"/>
    <w:basedOn w:val="1"/>
    <w:next w:val="1"/>
    <w:autoRedefine/>
    <w:unhideWhenUsed/>
    <w:qFormat/>
    <w:uiPriority w:val="99"/>
    <w:pPr>
      <w:widowControl/>
      <w:overflowPunct w:val="0"/>
      <w:autoSpaceDE w:val="0"/>
      <w:autoSpaceDN w:val="0"/>
      <w:adjustRightInd w:val="0"/>
      <w:jc w:val="left"/>
    </w:pPr>
    <w:rPr>
      <w:rFonts w:ascii="宋体" w:hAnsi="Courier New" w:cs="黑体"/>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toc 1"/>
    <w:basedOn w:val="1"/>
    <w:autoRedefine/>
    <w:qFormat/>
    <w:uiPriority w:val="0"/>
    <w:pPr>
      <w:tabs>
        <w:tab w:val="right" w:leader="dot" w:pos="9628"/>
      </w:tabs>
      <w:spacing w:line="480" w:lineRule="auto"/>
    </w:pPr>
    <w:rPr>
      <w:rFonts w:ascii="Arial" w:hAnsi="Arial" w:eastAsia="新宋体"/>
      <w:bCs/>
      <w:sz w:val="24"/>
    </w:rPr>
  </w:style>
  <w:style w:type="paragraph" w:styleId="12">
    <w:name w:val="toc 4"/>
    <w:basedOn w:val="1"/>
    <w:autoRedefine/>
    <w:qFormat/>
    <w:uiPriority w:val="0"/>
    <w:pPr>
      <w:ind w:left="1260" w:leftChars="600"/>
    </w:pPr>
  </w:style>
  <w:style w:type="paragraph" w:styleId="13">
    <w:name w:val="toc 6"/>
    <w:basedOn w:val="1"/>
    <w:autoRedefine/>
    <w:qFormat/>
    <w:uiPriority w:val="0"/>
    <w:pPr>
      <w:ind w:left="2100" w:leftChars="1000"/>
    </w:pPr>
    <w:rPr>
      <w:rFonts w:ascii="Calibri" w:hAnsi="Calibri"/>
      <w:szCs w:val="22"/>
    </w:rPr>
  </w:style>
  <w:style w:type="paragraph" w:styleId="14">
    <w:name w:val="toc 2"/>
    <w:basedOn w:val="1"/>
    <w:autoRedefine/>
    <w:qFormat/>
    <w:uiPriority w:val="0"/>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7"/>
    <w:next w:val="6"/>
    <w:autoRedefine/>
    <w:unhideWhenUsed/>
    <w:qFormat/>
    <w:uiPriority w:val="99"/>
    <w:pPr>
      <w:spacing w:after="120" w:line="240" w:lineRule="auto"/>
      <w:ind w:left="420" w:leftChars="200" w:firstLine="420"/>
    </w:pPr>
    <w:rPr>
      <w:rFonts w:cs="宋体"/>
      <w:sz w:val="21"/>
      <w:szCs w:val="21"/>
    </w:rPr>
  </w:style>
  <w:style w:type="character" w:customStyle="1" w:styleId="19">
    <w:name w:val="标题 1 字符"/>
    <w:link w:val="20"/>
    <w:autoRedefine/>
    <w:qFormat/>
    <w:uiPriority w:val="0"/>
    <w:rPr>
      <w:rFonts w:ascii="楷体_GB2312" w:eastAsia="楷体_GB2312"/>
      <w:b/>
      <w:bCs/>
    </w:rPr>
  </w:style>
  <w:style w:type="paragraph" w:customStyle="1" w:styleId="20">
    <w:name w:val="标题 11"/>
    <w:basedOn w:val="1"/>
    <w:link w:val="19"/>
    <w:autoRedefine/>
    <w:qFormat/>
    <w:uiPriority w:val="0"/>
    <w:pPr>
      <w:keepNext/>
      <w:jc w:val="center"/>
      <w:outlineLvl w:val="0"/>
    </w:pPr>
    <w:rPr>
      <w:rFonts w:ascii="楷体_GB2312" w:eastAsia="楷体_GB2312"/>
      <w:b/>
      <w:bCs/>
      <w:kern w:val="0"/>
      <w:sz w:val="20"/>
      <w:szCs w:val="20"/>
    </w:rPr>
  </w:style>
  <w:style w:type="paragraph" w:customStyle="1" w:styleId="21">
    <w:name w:val="!表格正文"/>
    <w:basedOn w:val="1"/>
    <w:link w:val="22"/>
    <w:autoRedefine/>
    <w:qFormat/>
    <w:uiPriority w:val="0"/>
    <w:pPr>
      <w:spacing w:line="360" w:lineRule="auto"/>
      <w:jc w:val="center"/>
    </w:pPr>
    <w:rPr>
      <w:rFonts w:ascii="Calibri" w:hAnsi="Calibri" w:eastAsia="宋体"/>
      <w:kern w:val="0"/>
      <w:szCs w:val="21"/>
    </w:rPr>
  </w:style>
  <w:style w:type="character" w:customStyle="1" w:styleId="22">
    <w:name w:val="!表格正文 Char Char"/>
    <w:link w:val="21"/>
    <w:autoRedefine/>
    <w:qFormat/>
    <w:uiPriority w:val="0"/>
    <w:rPr>
      <w:rFonts w:ascii="Calibri" w:hAnsi="Calibri" w:eastAsia="宋体"/>
      <w:sz w:val="21"/>
      <w:szCs w:val="21"/>
      <w:lang w:val="en-US" w:eastAsia="zh-CN" w:bidi="ar-SA"/>
    </w:rPr>
  </w:style>
  <w:style w:type="paragraph" w:customStyle="1" w:styleId="23">
    <w:name w:val="表格文字"/>
    <w:basedOn w:val="1"/>
    <w:autoRedefine/>
    <w:qFormat/>
    <w:uiPriority w:val="0"/>
    <w:pPr>
      <w:jc w:val="left"/>
    </w:pPr>
    <w:rPr>
      <w:sz w:val="18"/>
    </w:rPr>
  </w:style>
  <w:style w:type="paragraph" w:customStyle="1" w:styleId="24">
    <w:name w:val="表格正文"/>
    <w:basedOn w:val="1"/>
    <w:autoRedefine/>
    <w:qFormat/>
    <w:uiPriority w:val="0"/>
    <w:pPr>
      <w:jc w:val="left"/>
    </w:pPr>
    <w:rPr>
      <w:rFonts w:eastAsia="SimSong"/>
      <w:sz w:val="24"/>
      <w:lang w:eastAsia="en-US"/>
    </w:rPr>
  </w:style>
  <w:style w:type="character" w:customStyle="1" w:styleId="25">
    <w:name w:val="标题 1 Char"/>
    <w:link w:val="1"/>
    <w:autoRedefine/>
    <w:qFormat/>
    <w:uiPriority w:val="0"/>
    <w:rPr>
      <w:rFonts w:ascii="楷体_GB2312" w:eastAsia="楷体_GB2312"/>
      <w:b/>
      <w:bCs/>
    </w:rPr>
  </w:style>
  <w:style w:type="character" w:customStyle="1" w:styleId="26">
    <w:name w:val="fontstyle01"/>
    <w:link w:val="1"/>
    <w:autoRedefine/>
    <w:qFormat/>
    <w:uiPriority w:val="0"/>
    <w:rPr>
      <w:rFonts w:hint="eastAsia" w:ascii="宋体" w:hAnsi="宋体" w:eastAsia="宋体"/>
      <w:color w:val="000000"/>
      <w:sz w:val="22"/>
      <w:szCs w:val="22"/>
    </w:rPr>
  </w:style>
  <w:style w:type="paragraph" w:customStyle="1" w:styleId="27">
    <w:name w:val="样式 首行缩进:  2 字符"/>
    <w:basedOn w:val="1"/>
    <w:autoRedefine/>
    <w:qFormat/>
    <w:uiPriority w:val="0"/>
    <w:pPr>
      <w:spacing w:line="360" w:lineRule="auto"/>
      <w:ind w:firstLine="480" w:firstLineChars="200"/>
    </w:pPr>
    <w:rPr>
      <w:rFonts w:ascii="宋体" w:hAnsi="宋体" w:cs="宋体"/>
      <w:color w:val="000000"/>
      <w:sz w:val="24"/>
    </w:rPr>
  </w:style>
  <w:style w:type="paragraph" w:customStyle="1" w:styleId="28">
    <w:name w:val="标题 211"/>
    <w:basedOn w:val="1"/>
    <w:autoRedefine/>
    <w:qFormat/>
    <w:uiPriority w:val="0"/>
    <w:pPr>
      <w:keepNext/>
      <w:keepLines/>
      <w:spacing w:before="260" w:after="260" w:line="415" w:lineRule="auto"/>
      <w:outlineLvl w:val="1"/>
    </w:pPr>
    <w:rPr>
      <w:rFonts w:ascii="Arial" w:hAnsi="Arial" w:eastAsia="黑体"/>
      <w:b/>
      <w:bCs/>
      <w:sz w:val="32"/>
      <w:szCs w:val="32"/>
    </w:rPr>
  </w:style>
  <w:style w:type="paragraph" w:customStyle="1" w:styleId="29">
    <w:name w:val="标题 31"/>
    <w:basedOn w:val="1"/>
    <w:autoRedefine/>
    <w:qFormat/>
    <w:uiPriority w:val="0"/>
    <w:pPr>
      <w:keepNext/>
      <w:keepLines/>
      <w:spacing w:before="260" w:after="260" w:line="415" w:lineRule="auto"/>
      <w:jc w:val="center"/>
      <w:outlineLvl w:val="2"/>
    </w:pPr>
    <w:rPr>
      <w:rFonts w:ascii="Times New Roman" w:hAnsi="Times New Roman" w:eastAsia="黑体"/>
      <w:b/>
      <w:bCs/>
      <w:sz w:val="30"/>
      <w:szCs w:val="32"/>
    </w:rPr>
  </w:style>
  <w:style w:type="paragraph" w:customStyle="1" w:styleId="30">
    <w:name w:val="标题 41"/>
    <w:basedOn w:val="1"/>
    <w:autoRedefine/>
    <w:qFormat/>
    <w:uiPriority w:val="0"/>
    <w:pPr>
      <w:keepNext/>
      <w:keepLines/>
      <w:numPr>
        <w:ilvl w:val="0"/>
        <w:numId w:val="1"/>
      </w:numPr>
      <w:ind w:left="0" w:firstLine="480"/>
      <w:outlineLvl w:val="3"/>
    </w:pPr>
    <w:rPr>
      <w:rFonts w:ascii="Cambria" w:hAnsi="Cambria"/>
      <w:b/>
      <w:bCs/>
      <w:kern w:val="0"/>
      <w:sz w:val="28"/>
      <w:szCs w:val="28"/>
    </w:rPr>
  </w:style>
  <w:style w:type="character" w:customStyle="1" w:styleId="31">
    <w:name w:val="默认段落字体1"/>
    <w:link w:val="1"/>
    <w:autoRedefine/>
    <w:qFormat/>
    <w:uiPriority w:val="0"/>
  </w:style>
  <w:style w:type="table" w:customStyle="1" w:styleId="32">
    <w:name w:val="普通表格1"/>
    <w:autoRedefine/>
    <w:qFormat/>
    <w:uiPriority w:val="0"/>
    <w:pPr>
      <w:widowControl/>
      <w:spacing w:before="0" w:beforeAutospacing="0" w:after="0" w:afterAutospacing="0"/>
      <w:ind w:left="0" w:right="0"/>
    </w:pPr>
    <w:rPr>
      <w:rFonts w:ascii="Times New Roman" w:hAnsi="Times New Roman" w:eastAsia="Times New Roman"/>
      <w:sz w:val="20"/>
      <w:szCs w:val="20"/>
    </w:rPr>
  </w:style>
  <w:style w:type="paragraph" w:customStyle="1" w:styleId="33">
    <w:name w:val="纯文本11"/>
    <w:basedOn w:val="1"/>
    <w:autoRedefine/>
    <w:qFormat/>
    <w:uiPriority w:val="0"/>
    <w:pPr>
      <w:widowControl/>
      <w:overflowPunct w:val="0"/>
      <w:autoSpaceDE w:val="0"/>
      <w:autoSpaceDN w:val="0"/>
      <w:jc w:val="left"/>
    </w:pPr>
    <w:rPr>
      <w:rFonts w:ascii="宋体" w:hAnsi="Courier New"/>
      <w:szCs w:val="21"/>
    </w:rPr>
  </w:style>
  <w:style w:type="paragraph" w:customStyle="1" w:styleId="34">
    <w:name w:val="正文缩进11"/>
    <w:basedOn w:val="1"/>
    <w:autoRedefine/>
    <w:qFormat/>
    <w:uiPriority w:val="0"/>
    <w:pPr>
      <w:spacing w:line="312" w:lineRule="atLeast"/>
      <w:ind w:firstLine="420"/>
    </w:pPr>
    <w:rPr>
      <w:rFonts w:ascii="Calibri" w:hAnsi="Calibri" w:eastAsia="宋体"/>
      <w:szCs w:val="22"/>
    </w:rPr>
  </w:style>
  <w:style w:type="paragraph" w:customStyle="1" w:styleId="35">
    <w:name w:val="正文文本缩进1"/>
    <w:basedOn w:val="1"/>
    <w:autoRedefine/>
    <w:qFormat/>
    <w:uiPriority w:val="0"/>
    <w:pPr>
      <w:ind w:left="480" w:hanging="480" w:hangingChars="200"/>
    </w:pPr>
    <w:rPr>
      <w:sz w:val="24"/>
    </w:rPr>
  </w:style>
  <w:style w:type="paragraph" w:customStyle="1" w:styleId="36">
    <w:name w:val="文档结构图1"/>
    <w:basedOn w:val="1"/>
    <w:link w:val="37"/>
    <w:autoRedefine/>
    <w:qFormat/>
    <w:uiPriority w:val="0"/>
    <w:rPr>
      <w:rFonts w:ascii="宋体"/>
      <w:sz w:val="18"/>
      <w:szCs w:val="18"/>
    </w:rPr>
  </w:style>
  <w:style w:type="character" w:customStyle="1" w:styleId="37">
    <w:name w:val="文档结构图 字符"/>
    <w:link w:val="36"/>
    <w:autoRedefine/>
    <w:semiHidden/>
    <w:qFormat/>
    <w:uiPriority w:val="0"/>
    <w:rPr>
      <w:rFonts w:ascii="宋体"/>
      <w:kern w:val="2"/>
      <w:sz w:val="18"/>
      <w:szCs w:val="18"/>
    </w:rPr>
  </w:style>
  <w:style w:type="paragraph" w:customStyle="1" w:styleId="38">
    <w:name w:val="引文目录标题1"/>
    <w:basedOn w:val="1"/>
    <w:autoRedefine/>
    <w:qFormat/>
    <w:uiPriority w:val="0"/>
    <w:pPr>
      <w:spacing w:before="120"/>
    </w:pPr>
    <w:rPr>
      <w:rFonts w:ascii="Arial" w:hAnsi="Arial" w:eastAsia="仿宋_GB2312"/>
      <w:b/>
      <w:bCs/>
      <w:color w:val="000000"/>
      <w:kern w:val="0"/>
      <w:sz w:val="24"/>
      <w:szCs w:val="21"/>
    </w:rPr>
  </w:style>
  <w:style w:type="paragraph" w:customStyle="1" w:styleId="39">
    <w:name w:val="批注文字1"/>
    <w:basedOn w:val="1"/>
    <w:link w:val="40"/>
    <w:autoRedefine/>
    <w:qFormat/>
    <w:uiPriority w:val="0"/>
    <w:pPr>
      <w:jc w:val="left"/>
    </w:pPr>
  </w:style>
  <w:style w:type="character" w:customStyle="1" w:styleId="40">
    <w:name w:val="批注文字 字符"/>
    <w:link w:val="39"/>
    <w:autoRedefine/>
    <w:qFormat/>
    <w:uiPriority w:val="0"/>
    <w:rPr>
      <w:kern w:val="2"/>
      <w:sz w:val="21"/>
      <w:szCs w:val="24"/>
    </w:rPr>
  </w:style>
  <w:style w:type="paragraph" w:customStyle="1" w:styleId="41">
    <w:name w:val="正文文本1"/>
    <w:basedOn w:val="1"/>
    <w:autoRedefine/>
    <w:qFormat/>
    <w:uiPriority w:val="0"/>
    <w:pPr>
      <w:spacing w:after="120"/>
    </w:pPr>
  </w:style>
  <w:style w:type="paragraph" w:customStyle="1" w:styleId="42">
    <w:name w:val="正文文本首行缩进"/>
    <w:basedOn w:val="41"/>
    <w:autoRedefine/>
    <w:qFormat/>
    <w:uiPriority w:val="0"/>
    <w:pPr>
      <w:autoSpaceDE w:val="0"/>
      <w:autoSpaceDN w:val="0"/>
      <w:ind w:firstLine="420" w:firstLineChars="100"/>
    </w:pPr>
    <w:rPr>
      <w:sz w:val="24"/>
      <w:szCs w:val="20"/>
    </w:rPr>
  </w:style>
  <w:style w:type="paragraph" w:customStyle="1" w:styleId="43">
    <w:name w:val="列表 21"/>
    <w:basedOn w:val="1"/>
    <w:autoRedefine/>
    <w:qFormat/>
    <w:uiPriority w:val="0"/>
    <w:pPr>
      <w:ind w:left="100" w:leftChars="200" w:hanging="200" w:hangingChars="200"/>
      <w:contextualSpacing/>
    </w:pPr>
  </w:style>
  <w:style w:type="paragraph" w:customStyle="1" w:styleId="44">
    <w:name w:val="文本块1"/>
    <w:basedOn w:val="1"/>
    <w:autoRedefine/>
    <w:qFormat/>
    <w:uiPriority w:val="0"/>
    <w:pPr>
      <w:spacing w:before="156" w:after="156"/>
      <w:ind w:left="426" w:right="-11" w:hanging="426" w:hangingChars="203"/>
    </w:pPr>
    <w:rPr>
      <w:rFonts w:eastAsia="楷体_GB2312"/>
    </w:rPr>
  </w:style>
  <w:style w:type="paragraph" w:customStyle="1" w:styleId="45">
    <w:name w:val="正文文本缩进 21"/>
    <w:basedOn w:val="1"/>
    <w:autoRedefine/>
    <w:qFormat/>
    <w:uiPriority w:val="0"/>
    <w:pPr>
      <w:snapToGrid w:val="0"/>
      <w:ind w:firstLine="225" w:firstLineChars="225"/>
    </w:pPr>
    <w:rPr>
      <w:rFonts w:ascii="Arial Unicode MS" w:hAnsi="Arial Unicode MS"/>
      <w:b/>
      <w:bCs/>
      <w:color w:val="000000"/>
      <w:kern w:val="0"/>
      <w:sz w:val="24"/>
    </w:rPr>
  </w:style>
  <w:style w:type="paragraph" w:customStyle="1" w:styleId="46">
    <w:name w:val="批注框文本1"/>
    <w:basedOn w:val="1"/>
    <w:link w:val="47"/>
    <w:autoRedefine/>
    <w:qFormat/>
    <w:uiPriority w:val="0"/>
    <w:rPr>
      <w:sz w:val="18"/>
      <w:szCs w:val="18"/>
    </w:rPr>
  </w:style>
  <w:style w:type="character" w:customStyle="1" w:styleId="47">
    <w:name w:val="批注框文本 字符"/>
    <w:link w:val="46"/>
    <w:autoRedefine/>
    <w:semiHidden/>
    <w:qFormat/>
    <w:uiPriority w:val="0"/>
    <w:rPr>
      <w:kern w:val="2"/>
      <w:sz w:val="18"/>
      <w:szCs w:val="18"/>
    </w:rPr>
  </w:style>
  <w:style w:type="paragraph" w:customStyle="1" w:styleId="48">
    <w:name w:val="页脚1"/>
    <w:basedOn w:val="1"/>
    <w:autoRedefine/>
    <w:qFormat/>
    <w:uiPriority w:val="0"/>
    <w:pPr>
      <w:tabs>
        <w:tab w:val="center" w:pos="4153"/>
        <w:tab w:val="right" w:pos="8306"/>
      </w:tabs>
      <w:snapToGrid w:val="0"/>
      <w:jc w:val="left"/>
    </w:pPr>
    <w:rPr>
      <w:sz w:val="18"/>
    </w:rPr>
  </w:style>
  <w:style w:type="paragraph" w:customStyle="1" w:styleId="49">
    <w:name w:val="寄信人地址1"/>
    <w:basedOn w:val="1"/>
    <w:autoRedefine/>
    <w:qFormat/>
    <w:uiPriority w:val="0"/>
    <w:pPr>
      <w:snapToGrid w:val="0"/>
    </w:pPr>
    <w:rPr>
      <w:rFonts w:ascii="Arial" w:hAnsi="Arial"/>
    </w:rPr>
  </w:style>
  <w:style w:type="paragraph" w:customStyle="1" w:styleId="50">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1">
    <w:name w:val="脚注文本1"/>
    <w:basedOn w:val="1"/>
    <w:autoRedefine/>
    <w:qFormat/>
    <w:uiPriority w:val="0"/>
    <w:pPr>
      <w:snapToGrid w:val="0"/>
      <w:jc w:val="left"/>
    </w:pPr>
    <w:rPr>
      <w:rFonts w:hint="eastAsia"/>
      <w:sz w:val="18"/>
    </w:rPr>
  </w:style>
  <w:style w:type="paragraph" w:customStyle="1" w:styleId="52">
    <w:name w:val="图表目录1"/>
    <w:basedOn w:val="1"/>
    <w:autoRedefine/>
    <w:qFormat/>
    <w:uiPriority w:val="0"/>
    <w:pPr>
      <w:ind w:left="200" w:leftChars="200" w:hanging="200" w:hangingChars="200"/>
    </w:pPr>
    <w:rPr>
      <w:rFonts w:ascii="Times New Roman" w:hAnsi="Times New Roman"/>
    </w:rPr>
  </w:style>
  <w:style w:type="paragraph" w:customStyle="1" w:styleId="53">
    <w:name w:val="正文文本 21"/>
    <w:basedOn w:val="1"/>
    <w:autoRedefine/>
    <w:qFormat/>
    <w:uiPriority w:val="0"/>
    <w:pPr>
      <w:spacing w:after="120" w:line="480" w:lineRule="auto"/>
    </w:pPr>
  </w:style>
  <w:style w:type="paragraph" w:customStyle="1" w:styleId="54">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5">
    <w:name w:val="标题1"/>
    <w:basedOn w:val="1"/>
    <w:autoRedefine/>
    <w:qFormat/>
    <w:uiPriority w:val="0"/>
    <w:pPr>
      <w:keepNext/>
      <w:keepLines/>
      <w:widowControl/>
      <w:tabs>
        <w:tab w:val="center" w:pos="540"/>
      </w:tabs>
      <w:spacing w:line="360" w:lineRule="auto"/>
      <w:outlineLvl w:val="0"/>
    </w:pPr>
    <w:rPr>
      <w:rFonts w:ascii="Arial" w:hAnsi="Arial"/>
      <w:b/>
      <w:bCs/>
      <w:sz w:val="28"/>
      <w:szCs w:val="32"/>
    </w:rPr>
  </w:style>
  <w:style w:type="paragraph" w:customStyle="1" w:styleId="56">
    <w:name w:val="批注主题1"/>
    <w:basedOn w:val="39"/>
    <w:link w:val="57"/>
    <w:autoRedefine/>
    <w:qFormat/>
    <w:uiPriority w:val="0"/>
    <w:rPr>
      <w:b/>
      <w:bCs/>
    </w:rPr>
  </w:style>
  <w:style w:type="character" w:customStyle="1" w:styleId="57">
    <w:name w:val="批注主题 字符"/>
    <w:link w:val="56"/>
    <w:autoRedefine/>
    <w:semiHidden/>
    <w:qFormat/>
    <w:uiPriority w:val="0"/>
    <w:rPr>
      <w:b/>
      <w:bCs/>
      <w:kern w:val="2"/>
      <w:sz w:val="21"/>
      <w:szCs w:val="24"/>
    </w:rPr>
  </w:style>
  <w:style w:type="paragraph" w:customStyle="1" w:styleId="58">
    <w:name w:val="正文文本首行缩进 2"/>
    <w:basedOn w:val="35"/>
    <w:autoRedefine/>
    <w:qFormat/>
    <w:uiPriority w:val="0"/>
    <w:pPr>
      <w:spacing w:after="120" w:line="240" w:lineRule="auto"/>
      <w:ind w:left="420" w:leftChars="200" w:firstLine="420"/>
    </w:pPr>
    <w:rPr>
      <w:sz w:val="21"/>
      <w:szCs w:val="21"/>
    </w:rPr>
  </w:style>
  <w:style w:type="table" w:customStyle="1" w:styleId="59">
    <w:name w:val="网格型1"/>
    <w:basedOn w:val="32"/>
    <w:autoRedefine/>
    <w:qFormat/>
    <w:uiPriority w:val="0"/>
    <w:pPr>
      <w:widowControl w:val="0"/>
      <w:jc w:val="both"/>
    </w:pPr>
    <w:rPr>
      <w:rFonts w:ascii="Times New Roman" w:hAnsi="Times New Roman" w:eastAsia="宋体"/>
      <w:kern w:val="0"/>
      <w:sz w:val="20"/>
      <w:szCs w:val="20"/>
    </w:rPr>
  </w:style>
  <w:style w:type="character" w:customStyle="1" w:styleId="60">
    <w:name w:val="要点1"/>
    <w:link w:val="1"/>
    <w:autoRedefine/>
    <w:qFormat/>
    <w:uiPriority w:val="0"/>
    <w:rPr>
      <w:b/>
      <w:bCs/>
    </w:rPr>
  </w:style>
  <w:style w:type="character" w:customStyle="1" w:styleId="61">
    <w:name w:val="页码1"/>
    <w:link w:val="1"/>
    <w:autoRedefine/>
    <w:qFormat/>
    <w:uiPriority w:val="0"/>
  </w:style>
  <w:style w:type="character" w:customStyle="1" w:styleId="62">
    <w:name w:val="访问过的超链接"/>
    <w:link w:val="1"/>
    <w:autoRedefine/>
    <w:qFormat/>
    <w:uiPriority w:val="0"/>
    <w:rPr>
      <w:color w:val="000000"/>
      <w:u w:val="none"/>
    </w:rPr>
  </w:style>
  <w:style w:type="character" w:customStyle="1" w:styleId="63">
    <w:name w:val="强调1"/>
    <w:link w:val="1"/>
    <w:autoRedefine/>
    <w:qFormat/>
    <w:uiPriority w:val="0"/>
    <w:rPr>
      <w:i/>
    </w:rPr>
  </w:style>
  <w:style w:type="character" w:customStyle="1" w:styleId="64">
    <w:name w:val="超链接1"/>
    <w:link w:val="1"/>
    <w:autoRedefine/>
    <w:qFormat/>
    <w:uiPriority w:val="0"/>
    <w:rPr>
      <w:color w:val="000000"/>
      <w:sz w:val="20"/>
      <w:szCs w:val="20"/>
      <w:u w:val="none"/>
    </w:rPr>
  </w:style>
  <w:style w:type="character" w:customStyle="1" w:styleId="65">
    <w:name w:val="批注引用1"/>
    <w:link w:val="1"/>
    <w:autoRedefine/>
    <w:qFormat/>
    <w:uiPriority w:val="0"/>
    <w:rPr>
      <w:sz w:val="21"/>
      <w:szCs w:val="21"/>
    </w:rPr>
  </w:style>
  <w:style w:type="character" w:customStyle="1" w:styleId="66">
    <w:name w:val="脚注引用1"/>
    <w:link w:val="1"/>
    <w:autoRedefine/>
    <w:qFormat/>
    <w:uiPriority w:val="0"/>
    <w:rPr>
      <w:rFonts w:ascii="Times New Roman"/>
      <w:sz w:val="24"/>
      <w:vertAlign w:val="superscript"/>
    </w:rPr>
  </w:style>
  <w:style w:type="paragraph" w:customStyle="1" w:styleId="67">
    <w:name w:val="xl53"/>
    <w:basedOn w:val="1"/>
    <w:autoRedefine/>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b/>
      <w:bCs/>
      <w:kern w:val="0"/>
      <w:sz w:val="20"/>
      <w:szCs w:val="20"/>
    </w:rPr>
  </w:style>
  <w:style w:type="character" w:customStyle="1" w:styleId="68">
    <w:name w:val="font61"/>
    <w:link w:val="1"/>
    <w:autoRedefine/>
    <w:qFormat/>
    <w:uiPriority w:val="0"/>
    <w:rPr>
      <w:rFonts w:hint="eastAsia" w:ascii="宋体" w:hAnsi="宋体" w:eastAsia="宋体"/>
      <w:color w:val="000000"/>
      <w:sz w:val="20"/>
      <w:szCs w:val="20"/>
      <w:u w:val="none"/>
    </w:rPr>
  </w:style>
  <w:style w:type="character" w:customStyle="1" w:styleId="69">
    <w:name w:val="标题 1 Char1"/>
    <w:link w:val="1"/>
    <w:autoRedefine/>
    <w:qFormat/>
    <w:uiPriority w:val="0"/>
    <w:rPr>
      <w:rFonts w:ascii="楷体_GB2312" w:eastAsia="楷体_GB2312"/>
      <w:b/>
      <w:bCs/>
    </w:rPr>
  </w:style>
  <w:style w:type="character" w:customStyle="1" w:styleId="70">
    <w:name w:val="font21"/>
    <w:link w:val="1"/>
    <w:autoRedefine/>
    <w:qFormat/>
    <w:uiPriority w:val="0"/>
    <w:rPr>
      <w:rFonts w:hint="eastAsia" w:ascii="宋体" w:hAnsi="宋体" w:eastAsia="宋体"/>
      <w:color w:val="000000"/>
      <w:sz w:val="18"/>
      <w:szCs w:val="18"/>
      <w:u w:val="none"/>
    </w:rPr>
  </w:style>
  <w:style w:type="character" w:customStyle="1" w:styleId="71">
    <w:name w:val="font31"/>
    <w:link w:val="1"/>
    <w:autoRedefine/>
    <w:qFormat/>
    <w:uiPriority w:val="0"/>
    <w:rPr>
      <w:rFonts w:hint="eastAsia" w:ascii="宋体" w:hAnsi="宋体" w:eastAsia="宋体"/>
      <w:color w:val="000000"/>
      <w:sz w:val="20"/>
      <w:szCs w:val="20"/>
      <w:u w:val="none"/>
    </w:rPr>
  </w:style>
  <w:style w:type="character" w:customStyle="1" w:styleId="72">
    <w:name w:val="font01"/>
    <w:link w:val="1"/>
    <w:autoRedefine/>
    <w:qFormat/>
    <w:uiPriority w:val="0"/>
    <w:rPr>
      <w:rFonts w:hint="eastAsia" w:ascii="宋体" w:hAnsi="宋体" w:eastAsia="宋体"/>
      <w:b/>
      <w:bCs/>
      <w:color w:val="000000"/>
      <w:sz w:val="21"/>
      <w:szCs w:val="21"/>
      <w:u w:val="none"/>
    </w:rPr>
  </w:style>
  <w:style w:type="character" w:customStyle="1" w:styleId="73">
    <w:name w:val="文档结构图 Char"/>
    <w:link w:val="1"/>
    <w:autoRedefine/>
    <w:semiHidden/>
    <w:qFormat/>
    <w:uiPriority w:val="0"/>
    <w:rPr>
      <w:rFonts w:ascii="宋体"/>
      <w:kern w:val="2"/>
      <w:sz w:val="18"/>
      <w:szCs w:val="18"/>
    </w:rPr>
  </w:style>
  <w:style w:type="character" w:customStyle="1" w:styleId="74">
    <w:name w:val="font11"/>
    <w:link w:val="1"/>
    <w:autoRedefine/>
    <w:qFormat/>
    <w:uiPriority w:val="0"/>
    <w:rPr>
      <w:rFonts w:hint="eastAsia" w:ascii="华文中宋" w:hAnsi="华文中宋" w:eastAsia="华文中宋"/>
      <w:color w:val="000000"/>
      <w:sz w:val="18"/>
      <w:szCs w:val="18"/>
      <w:u w:val="none"/>
    </w:rPr>
  </w:style>
  <w:style w:type="character" w:customStyle="1" w:styleId="75">
    <w:name w:val="批注主题 Char"/>
    <w:link w:val="1"/>
    <w:autoRedefine/>
    <w:semiHidden/>
    <w:qFormat/>
    <w:uiPriority w:val="0"/>
    <w:rPr>
      <w:b/>
      <w:bCs/>
      <w:kern w:val="2"/>
      <w:sz w:val="21"/>
      <w:szCs w:val="24"/>
    </w:rPr>
  </w:style>
  <w:style w:type="character" w:customStyle="1" w:styleId="76">
    <w:name w:val="批注框文本 Char"/>
    <w:link w:val="1"/>
    <w:autoRedefine/>
    <w:semiHidden/>
    <w:qFormat/>
    <w:uiPriority w:val="0"/>
    <w:rPr>
      <w:kern w:val="2"/>
      <w:sz w:val="18"/>
      <w:szCs w:val="18"/>
    </w:rPr>
  </w:style>
  <w:style w:type="character" w:customStyle="1" w:styleId="77">
    <w:name w:val="font51"/>
    <w:link w:val="1"/>
    <w:autoRedefine/>
    <w:qFormat/>
    <w:uiPriority w:val="0"/>
    <w:rPr>
      <w:rFonts w:hint="eastAsia" w:ascii="宋体" w:hAnsi="宋体" w:eastAsia="宋体"/>
      <w:color w:val="000000"/>
      <w:sz w:val="18"/>
      <w:szCs w:val="18"/>
      <w:u w:val="none"/>
    </w:rPr>
  </w:style>
  <w:style w:type="character" w:customStyle="1" w:styleId="78">
    <w:name w:val="标题 1 Char2"/>
    <w:link w:val="1"/>
    <w:autoRedefine/>
    <w:qFormat/>
    <w:uiPriority w:val="0"/>
    <w:rPr>
      <w:rFonts w:ascii="楷体_GB2312" w:eastAsia="楷体_GB2312"/>
      <w:b/>
      <w:bCs/>
    </w:rPr>
  </w:style>
  <w:style w:type="character" w:customStyle="1" w:styleId="79">
    <w:name w:val="font41"/>
    <w:link w:val="1"/>
    <w:autoRedefine/>
    <w:qFormat/>
    <w:uiPriority w:val="0"/>
    <w:rPr>
      <w:rFonts w:hint="eastAsia" w:ascii="宋体" w:hAnsi="宋体" w:eastAsia="宋体"/>
      <w:color w:val="000000"/>
      <w:sz w:val="21"/>
      <w:szCs w:val="21"/>
      <w:u w:val="none"/>
    </w:rPr>
  </w:style>
  <w:style w:type="character" w:customStyle="1" w:styleId="80">
    <w:name w:val="列出段落 字符"/>
    <w:link w:val="81"/>
    <w:autoRedefine/>
    <w:qFormat/>
    <w:uiPriority w:val="0"/>
    <w:rPr>
      <w:kern w:val="2"/>
      <w:sz w:val="21"/>
      <w:szCs w:val="24"/>
    </w:rPr>
  </w:style>
  <w:style w:type="paragraph" w:customStyle="1" w:styleId="81">
    <w:name w:val="列表段落1"/>
    <w:basedOn w:val="1"/>
    <w:link w:val="80"/>
    <w:autoRedefine/>
    <w:qFormat/>
    <w:uiPriority w:val="0"/>
    <w:pPr>
      <w:ind w:firstLine="420" w:firstLineChars="200"/>
    </w:pPr>
  </w:style>
  <w:style w:type="character" w:customStyle="1" w:styleId="82">
    <w:name w:val="large1"/>
    <w:link w:val="1"/>
    <w:autoRedefine/>
    <w:qFormat/>
    <w:uiPriority w:val="0"/>
    <w:rPr>
      <w:rFonts w:hint="eastAsia" w:ascii="宋体" w:hAnsi="宋体" w:eastAsia="宋体"/>
      <w:sz w:val="21"/>
      <w:szCs w:val="21"/>
    </w:rPr>
  </w:style>
  <w:style w:type="character" w:customStyle="1" w:styleId="83">
    <w:name w:val="批注文字 Char"/>
    <w:link w:val="1"/>
    <w:autoRedefine/>
    <w:qFormat/>
    <w:uiPriority w:val="0"/>
    <w:rPr>
      <w:kern w:val="2"/>
      <w:sz w:val="21"/>
      <w:szCs w:val="24"/>
    </w:rPr>
  </w:style>
  <w:style w:type="character" w:customStyle="1" w:styleId="84">
    <w:name w:val="font131"/>
    <w:link w:val="1"/>
    <w:autoRedefine/>
    <w:qFormat/>
    <w:uiPriority w:val="0"/>
    <w:rPr>
      <w:rFonts w:ascii="Arial" w:hAnsi="Arial"/>
      <w:color w:val="000000"/>
      <w:sz w:val="22"/>
      <w:szCs w:val="22"/>
      <w:u w:val="none"/>
    </w:rPr>
  </w:style>
  <w:style w:type="character" w:customStyle="1" w:styleId="85">
    <w:name w:val="font101"/>
    <w:link w:val="1"/>
    <w:autoRedefine/>
    <w:qFormat/>
    <w:uiPriority w:val="0"/>
    <w:rPr>
      <w:rFonts w:hint="eastAsia" w:ascii="宋体" w:hAnsi="宋体" w:eastAsia="宋体"/>
      <w:color w:val="000000"/>
      <w:sz w:val="22"/>
      <w:szCs w:val="22"/>
      <w:u w:val="none"/>
    </w:rPr>
  </w:style>
  <w:style w:type="character" w:customStyle="1" w:styleId="86">
    <w:name w:val="font81"/>
    <w:link w:val="1"/>
    <w:autoRedefine/>
    <w:qFormat/>
    <w:uiPriority w:val="0"/>
    <w:rPr>
      <w:rFonts w:hint="eastAsia" w:ascii="宋体" w:hAnsi="宋体" w:eastAsia="宋体"/>
      <w:color w:val="000000"/>
      <w:sz w:val="16"/>
      <w:szCs w:val="16"/>
      <w:u w:val="none"/>
    </w:rPr>
  </w:style>
  <w:style w:type="paragraph" w:customStyle="1" w:styleId="87">
    <w:name w:val="纯文本1"/>
    <w:basedOn w:val="88"/>
    <w:autoRedefine/>
    <w:qFormat/>
    <w:uiPriority w:val="0"/>
    <w:pPr>
      <w:widowControl/>
      <w:jc w:val="left"/>
    </w:pPr>
    <w:rPr>
      <w:rFonts w:ascii="宋体" w:hAnsi="Courier New"/>
    </w:rPr>
  </w:style>
  <w:style w:type="paragraph" w:customStyle="1" w:styleId="88">
    <w:name w:val="正文1"/>
    <w:basedOn w:val="8"/>
    <w:next w:val="1"/>
    <w:autoRedefine/>
    <w:qFormat/>
    <w:uiPriority w:val="0"/>
    <w:pPr>
      <w:widowControl w:val="0"/>
      <w:jc w:val="both"/>
    </w:pPr>
    <w:rPr>
      <w:kern w:val="2"/>
      <w:sz w:val="21"/>
      <w:szCs w:val="21"/>
      <w:lang w:val="en-US" w:eastAsia="zh-CN" w:bidi="ar-SA"/>
    </w:rPr>
  </w:style>
  <w:style w:type="paragraph" w:customStyle="1" w:styleId="89">
    <w:name w:val="标题 21"/>
    <w:basedOn w:val="88"/>
    <w:autoRedefine/>
    <w:qFormat/>
    <w:uiPriority w:val="0"/>
    <w:pPr>
      <w:keepNext/>
      <w:keepLines/>
      <w:tabs>
        <w:tab w:val="left" w:pos="706"/>
        <w:tab w:val="right" w:leader="dot" w:pos="8268"/>
      </w:tabs>
      <w:ind w:left="106" w:firstLine="454"/>
      <w:outlineLvl w:val="1"/>
    </w:pPr>
    <w:rPr>
      <w:rFonts w:ascii="Arial" w:hAnsi="Arial" w:eastAsia="??"/>
      <w:b/>
      <w:bCs/>
      <w:szCs w:val="32"/>
    </w:rPr>
  </w:style>
  <w:style w:type="paragraph" w:customStyle="1" w:styleId="90">
    <w:name w:val="表格内容"/>
    <w:basedOn w:val="1"/>
    <w:autoRedefine/>
    <w:qFormat/>
    <w:uiPriority w:val="0"/>
    <w:pPr>
      <w:spacing w:before="40"/>
      <w:jc w:val="left"/>
    </w:pPr>
    <w:rPr>
      <w:sz w:val="24"/>
      <w:szCs w:val="20"/>
    </w:rPr>
  </w:style>
  <w:style w:type="paragraph" w:customStyle="1" w:styleId="91">
    <w:name w:val="列表段落"/>
    <w:basedOn w:val="1"/>
    <w:autoRedefine/>
    <w:qFormat/>
    <w:uiPriority w:val="0"/>
    <w:pPr>
      <w:ind w:left="253" w:firstLine="420"/>
    </w:pPr>
    <w:rPr>
      <w:rFonts w:ascii="宋体" w:hAnsi="宋体" w:eastAsia="宋体"/>
      <w:lang w:val="zh-CN" w:eastAsia="zh-CN" w:bidi="zh-CN"/>
    </w:rPr>
  </w:style>
  <w:style w:type="paragraph" w:customStyle="1" w:styleId="92">
    <w:name w:val="p18"/>
    <w:autoRedefine/>
    <w:qFormat/>
    <w:uiPriority w:val="0"/>
    <w:pPr>
      <w:spacing w:line="748" w:lineRule="atLeast"/>
      <w:ind w:left="-527" w:firstLine="527"/>
    </w:pPr>
    <w:rPr>
      <w:rFonts w:ascii="宋体" w:hAnsi="宋体" w:eastAsia="宋体" w:cs="Times New Roman"/>
      <w:sz w:val="24"/>
      <w:lang w:val="en-US" w:eastAsia="zh-CN" w:bidi="ar-SA"/>
    </w:rPr>
  </w:style>
  <w:style w:type="paragraph" w:customStyle="1" w:styleId="93">
    <w:name w:val="目录 7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4">
    <w:name w:val="首行缩进"/>
    <w:basedOn w:val="1"/>
    <w:autoRedefine/>
    <w:qFormat/>
    <w:uiPriority w:val="0"/>
    <w:rPr>
      <w:lang w:val="zh-CN"/>
    </w:rPr>
  </w:style>
  <w:style w:type="paragraph" w:customStyle="1" w:styleId="95">
    <w:name w:val="正文缩进1"/>
    <w:basedOn w:val="88"/>
    <w:autoRedefine/>
    <w:qFormat/>
    <w:uiPriority w:val="0"/>
    <w:pPr>
      <w:tabs>
        <w:tab w:val="right" w:leader="dot" w:pos="8268"/>
      </w:tabs>
      <w:snapToGrid w:val="0"/>
      <w:spacing w:after="120" w:line="360" w:lineRule="auto"/>
      <w:ind w:left="420" w:leftChars="200"/>
    </w:pPr>
    <w:rPr>
      <w:szCs w:val="21"/>
    </w:rPr>
  </w:style>
  <w:style w:type="paragraph" w:customStyle="1" w:styleId="96">
    <w:name w:val="正文文本首行缩进 21"/>
    <w:basedOn w:val="95"/>
    <w:autoRedefine/>
    <w:qFormat/>
    <w:uiPriority w:val="0"/>
    <w:pPr>
      <w:tabs>
        <w:tab w:val="clear" w:pos="8268"/>
      </w:tabs>
      <w:spacing w:line="200" w:lineRule="atLeast"/>
      <w:ind w:firstLine="420"/>
    </w:pPr>
    <w:rPr>
      <w:rFonts w:ascii="宋体"/>
      <w:spacing w:val="-4"/>
      <w:sz w:val="18"/>
    </w:rPr>
  </w:style>
  <w:style w:type="paragraph" w:customStyle="1" w:styleId="97">
    <w:name w:val="Default"/>
    <w:autoRedefine/>
    <w:qForma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customStyle="1" w:styleId="98">
    <w:name w:val="默认段落字体 Para Char Char Char Char Char Char Char Char Char1 Char Char Char Char"/>
    <w:basedOn w:val="1"/>
    <w:autoRedefine/>
    <w:qFormat/>
    <w:uiPriority w:val="0"/>
    <w:rPr>
      <w:rFonts w:ascii="Tahoma" w:hAnsi="Tahoma"/>
      <w:sz w:val="24"/>
      <w:szCs w:val="20"/>
    </w:rPr>
  </w:style>
  <w:style w:type="paragraph" w:customStyle="1" w:styleId="99">
    <w:name w:val="无间隔1"/>
    <w:autoRedefine/>
    <w:qFormat/>
    <w:uiPriority w:val="0"/>
    <w:pPr>
      <w:widowControl w:val="0"/>
      <w:jc w:val="both"/>
    </w:pPr>
    <w:rPr>
      <w:rFonts w:ascii="楷体_GB2312" w:hAnsi="Calibri" w:eastAsia="楷体_GB2312" w:cs="Times New Roman"/>
      <w:sz w:val="24"/>
      <w:szCs w:val="22"/>
      <w:lang w:val="en-US" w:eastAsia="zh-CN" w:bidi="ar-SA"/>
    </w:rPr>
  </w:style>
  <w:style w:type="paragraph" w:customStyle="1" w:styleId="100">
    <w:name w:val=" Char Char Char Char Char Char2 Char Char Char Char"/>
    <w:basedOn w:val="1"/>
    <w:autoRedefine/>
    <w:qFormat/>
    <w:uiPriority w:val="0"/>
  </w:style>
  <w:style w:type="paragraph" w:customStyle="1" w:styleId="101">
    <w:name w:val="样式1"/>
    <w:basedOn w:val="1"/>
    <w:autoRedefine/>
    <w:qFormat/>
    <w:uiPriority w:val="0"/>
    <w:pPr>
      <w:spacing w:line="360" w:lineRule="exact"/>
      <w:ind w:firstLine="200" w:firstLineChars="200"/>
    </w:pPr>
    <w:rPr>
      <w:rFonts w:ascii="Arial" w:hAnsi="Arial"/>
    </w:rPr>
  </w:style>
  <w:style w:type="paragraph" w:customStyle="1" w:styleId="102">
    <w:name w:val=" Char Char1 Char"/>
    <w:basedOn w:val="1"/>
    <w:autoRedefine/>
    <w:qFormat/>
    <w:uiPriority w:val="0"/>
    <w:rPr>
      <w:rFonts w:ascii="仿宋_GB2312" w:eastAsia="仿宋_GB2312"/>
      <w:b/>
      <w:sz w:val="32"/>
      <w:szCs w:val="32"/>
    </w:rPr>
  </w:style>
  <w:style w:type="paragraph" w:customStyle="1" w:styleId="103">
    <w:name w:val="引用1"/>
    <w:basedOn w:val="1"/>
    <w:autoRedefine/>
    <w:qFormat/>
    <w:uiPriority w:val="0"/>
    <w:pPr>
      <w:numPr>
        <w:ilvl w:val="0"/>
        <w:numId w:val="2"/>
      </w:numPr>
      <w:tabs>
        <w:tab w:val="clear" w:pos="360"/>
      </w:tabs>
      <w:spacing w:after="200" w:line="276" w:lineRule="auto"/>
      <w:ind w:left="0" w:firstLine="0"/>
    </w:pPr>
    <w:rPr>
      <w:rFonts w:ascii="Calibri" w:hAnsi="Calibri"/>
      <w:i/>
      <w:iCs/>
      <w:color w:val="000000"/>
      <w:sz w:val="22"/>
      <w:lang w:eastAsia="en-US" w:bidi="en-US"/>
    </w:rPr>
  </w:style>
  <w:style w:type="paragraph" w:customStyle="1" w:styleId="104">
    <w:name w:val="Body Text First Indent 21"/>
    <w:basedOn w:val="105"/>
    <w:autoRedefine/>
    <w:qFormat/>
    <w:uiPriority w:val="0"/>
    <w:pPr>
      <w:spacing w:after="120" w:line="240" w:lineRule="auto"/>
      <w:ind w:left="420" w:leftChars="200" w:firstLine="420"/>
    </w:pPr>
    <w:rPr>
      <w:rFonts w:ascii="Times New Roman" w:hAnsi="Times New Roman" w:eastAsia="宋体"/>
      <w:sz w:val="21"/>
      <w:szCs w:val="21"/>
    </w:rPr>
  </w:style>
  <w:style w:type="paragraph" w:customStyle="1" w:styleId="105">
    <w:name w:val="Body Text Indent1"/>
    <w:basedOn w:val="1"/>
    <w:autoRedefine/>
    <w:qFormat/>
    <w:uiPriority w:val="0"/>
    <w:pPr>
      <w:spacing w:after="120"/>
      <w:ind w:left="420" w:leftChars="200"/>
    </w:pPr>
    <w:rPr>
      <w:color w:val="000000"/>
      <w:sz w:val="21"/>
      <w:szCs w:val="21"/>
    </w:rPr>
  </w:style>
  <w:style w:type="paragraph" w:customStyle="1" w:styleId="106">
    <w:name w:val="正文2"/>
    <w:basedOn w:val="1"/>
    <w:autoRedefine/>
    <w:qFormat/>
    <w:uiPriority w:val="0"/>
    <w:pPr>
      <w:spacing w:before="156" w:line="360" w:lineRule="auto"/>
      <w:ind w:firstLine="510" w:firstLineChars="200"/>
    </w:pPr>
    <w:rPr>
      <w:sz w:val="24"/>
      <w:szCs w:val="20"/>
    </w:rPr>
  </w:style>
  <w:style w:type="paragraph" w:customStyle="1" w:styleId="107">
    <w:name w:val="Fließtext"/>
    <w:basedOn w:val="1"/>
    <w:autoRedefine/>
    <w:qFormat/>
    <w:uiPriority w:val="0"/>
    <w:pPr>
      <w:overflowPunct w:val="0"/>
      <w:autoSpaceDE w:val="0"/>
      <w:autoSpaceDN w:val="0"/>
    </w:pPr>
    <w:rPr>
      <w:kern w:val="28"/>
      <w:szCs w:val="20"/>
    </w:rPr>
  </w:style>
  <w:style w:type="paragraph" w:customStyle="1" w:styleId="108">
    <w:name w:val="WPSOffice手动目录 1"/>
    <w:autoRedefine/>
    <w:qFormat/>
    <w:uiPriority w:val="0"/>
    <w:rPr>
      <w:rFonts w:ascii="Times New Roman" w:hAnsi="Times New Roman" w:eastAsia="宋体" w:cs="Times New Roman"/>
      <w:lang w:val="en-US" w:eastAsia="zh-CN" w:bidi="ar-SA"/>
    </w:rPr>
  </w:style>
  <w:style w:type="paragraph" w:customStyle="1" w:styleId="109">
    <w:name w:val="保留正文"/>
    <w:basedOn w:val="41"/>
    <w:autoRedefine/>
    <w:qFormat/>
    <w:uiPriority w:val="0"/>
    <w:pPr>
      <w:keepNext/>
      <w:spacing w:after="160"/>
    </w:pPr>
  </w:style>
  <w:style w:type="paragraph" w:customStyle="1" w:styleId="110">
    <w:name w:val="Table Paragraph"/>
    <w:basedOn w:val="1"/>
    <w:autoRedefine/>
    <w:qFormat/>
    <w:uiPriority w:val="0"/>
    <w:rPr>
      <w:rFonts w:ascii="宋体" w:hAnsi="宋体" w:eastAsia="宋体"/>
      <w:lang w:val="zh-CN" w:eastAsia="zh-CN" w:bidi="zh-CN"/>
    </w:rPr>
  </w:style>
  <w:style w:type="paragraph" w:customStyle="1" w:styleId="11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段"/>
    <w:basedOn w:val="1"/>
    <w:autoRedefine/>
    <w:qFormat/>
    <w:uiPriority w:val="0"/>
    <w:pPr>
      <w:widowControl/>
      <w:snapToGrid w:val="0"/>
      <w:ind w:firstLine="200" w:firstLineChars="200"/>
    </w:pPr>
    <w:rPr>
      <w:kern w:val="0"/>
      <w:sz w:val="24"/>
      <w:szCs w:val="20"/>
    </w:rPr>
  </w:style>
  <w:style w:type="paragraph" w:customStyle="1" w:styleId="113">
    <w:name w:val="彩色列表 - 着色 11"/>
    <w:basedOn w:val="1"/>
    <w:autoRedefine/>
    <w:qFormat/>
    <w:uiPriority w:val="0"/>
    <w:pPr>
      <w:ind w:firstLine="420" w:firstLineChars="200"/>
    </w:pPr>
    <w:rPr>
      <w:rFonts w:ascii="Calibri" w:hAnsi="Calibri"/>
    </w:rPr>
  </w:style>
  <w:style w:type="paragraph" w:customStyle="1" w:styleId="114">
    <w:name w:val="TOC 标题"/>
    <w:basedOn w:val="20"/>
    <w:autoRedefine/>
    <w:qFormat/>
    <w:uiPriority w:val="0"/>
    <w:pPr>
      <w:keepLines/>
      <w:widowControl/>
      <w:spacing w:before="480" w:line="276" w:lineRule="auto"/>
      <w:jc w:val="left"/>
      <w:outlineLvl w:val="9"/>
    </w:pPr>
    <w:rPr>
      <w:rFonts w:ascii="Cambria" w:hAnsi="Cambria" w:eastAsia="宋体"/>
      <w:color w:val="365F91"/>
      <w:sz w:val="28"/>
      <w:szCs w:val="28"/>
    </w:rPr>
  </w:style>
  <w:style w:type="paragraph" w:customStyle="1" w:styleId="115">
    <w:name w:val="BodyText"/>
    <w:basedOn w:val="1"/>
    <w:autoRedefine/>
    <w:qFormat/>
    <w:uiPriority w:val="0"/>
    <w:pPr>
      <w:widowControl/>
      <w:spacing w:after="120"/>
      <w:jc w:val="left"/>
    </w:pPr>
    <w:rPr>
      <w:rFonts w:ascii="FuturaA Bk BT" w:hAnsi="FuturaA Bk BT" w:eastAsia="仿宋_GB2312"/>
      <w:kern w:val="0"/>
      <w:sz w:val="20"/>
    </w:rPr>
  </w:style>
  <w:style w:type="paragraph" w:customStyle="1" w:styleId="116">
    <w:name w:val="BodyText1I"/>
    <w:basedOn w:val="115"/>
    <w:autoRedefine/>
    <w:qFormat/>
    <w:uiPriority w:val="0"/>
    <w:pPr>
      <w:spacing w:line="360" w:lineRule="auto"/>
      <w:ind w:firstLine="420"/>
    </w:pPr>
    <w:rPr>
      <w:rFonts w:ascii="Times New Roman" w:hAnsi="Times New Roman" w:eastAsia="楷体_GB2312"/>
      <w:kern w:val="0"/>
      <w:sz w:val="24"/>
      <w:szCs w:val="20"/>
    </w:rPr>
  </w:style>
  <w:style w:type="paragraph" w:customStyle="1" w:styleId="117">
    <w:name w:val="List Paragraph1"/>
    <w:basedOn w:val="1"/>
    <w:autoRedefine/>
    <w:qFormat/>
    <w:uiPriority w:val="0"/>
    <w:pPr>
      <w:widowControl/>
      <w:ind w:firstLine="420"/>
      <w:jc w:val="left"/>
    </w:pPr>
  </w:style>
  <w:style w:type="paragraph" w:customStyle="1" w:styleId="118">
    <w:name w:val="模板普通正文"/>
    <w:basedOn w:val="35"/>
    <w:autoRedefine/>
    <w:qFormat/>
    <w:uiPriority w:val="0"/>
    <w:pPr>
      <w:spacing w:after="10"/>
      <w:ind w:firstLine="490" w:firstLineChars="175"/>
      <w:jc w:val="left"/>
    </w:pPr>
    <w:rPr>
      <w:rFonts w:ascii="Times New Roman" w:hAnsi="Times New Roman" w:eastAsia="宋体"/>
    </w:rPr>
  </w:style>
  <w:style w:type="paragraph" w:customStyle="1" w:styleId="119">
    <w:name w:val="表格"/>
    <w:basedOn w:val="1"/>
    <w:autoRedefine/>
    <w:qFormat/>
    <w:uiPriority w:val="0"/>
    <w:pPr>
      <w:spacing w:line="240" w:lineRule="auto"/>
      <w:ind w:firstLine="0" w:firstLineChars="0"/>
      <w:jc w:val="center"/>
    </w:pPr>
    <w:rPr>
      <w:kern w:val="10"/>
      <w:sz w:val="20"/>
      <w:szCs w:val="21"/>
    </w:rPr>
  </w:style>
  <w:style w:type="paragraph" w:customStyle="1" w:styleId="120">
    <w:name w:val="文章正文"/>
    <w:basedOn w:val="1"/>
    <w:autoRedefine/>
    <w:qFormat/>
    <w:uiPriority w:val="0"/>
    <w:pPr>
      <w:ind w:firstLine="200" w:firstLineChars="200"/>
    </w:pPr>
    <w:rPr>
      <w:rFonts w:eastAsia="仿宋_GB2312"/>
      <w:kern w:val="0"/>
      <w:sz w:val="28"/>
    </w:rPr>
  </w:style>
  <w:style w:type="paragraph" w:customStyle="1" w:styleId="121">
    <w:name w:val="1.正文首行缩进2字符"/>
    <w:basedOn w:val="1"/>
    <w:autoRedefine/>
    <w:qFormat/>
    <w:uiPriority w:val="0"/>
    <w:pPr>
      <w:snapToGrid w:val="0"/>
      <w:ind w:firstLine="482" w:firstLineChars="0"/>
      <w:jc w:val="left"/>
    </w:pPr>
    <w:rPr>
      <w:kern w:val="0"/>
      <w:szCs w:val="20"/>
    </w:rPr>
  </w:style>
  <w:style w:type="paragraph" w:customStyle="1" w:styleId="122">
    <w:name w:val="无间隔"/>
    <w:autoRedefine/>
    <w:qFormat/>
    <w:uiPriority w:val="0"/>
    <w:pPr>
      <w:widowControl w:val="0"/>
      <w:wordWrap w:val="0"/>
      <w:spacing w:line="360" w:lineRule="auto"/>
      <w:jc w:val="center"/>
    </w:pPr>
    <w:rPr>
      <w:rFonts w:ascii="Times New Roman" w:hAnsi="Times New Roman" w:eastAsia="黑体" w:cs="Times New Roman"/>
      <w:b/>
      <w:kern w:val="2"/>
      <w:sz w:val="21"/>
      <w:lang w:val="en-US" w:eastAsia="zh-CN" w:bidi="ar-SA"/>
    </w:rPr>
  </w:style>
  <w:style w:type="table" w:customStyle="1" w:styleId="123">
    <w:name w:val="表格feshoo"/>
    <w:basedOn w:val="32"/>
    <w:autoRedefine/>
    <w:qFormat/>
    <w:uiPriority w:val="0"/>
    <w:pPr>
      <w:jc w:val="both"/>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36232</Words>
  <Characters>38317</Characters>
  <Lines>0</Lines>
  <Paragraphs>0</Paragraphs>
  <TotalTime>35</TotalTime>
  <ScaleCrop>false</ScaleCrop>
  <LinksUpToDate>false</LinksUpToDate>
  <CharactersWithSpaces>40712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2024-02-16T10:57:00Z</dcterms:created>
  <dc:creator>CHEN</dc:creator>
  <cp:lastModifiedBy>CHEN</cp:lastModifiedBy>
  <cp:lastPrinted>2024-06-14T03:28:13Z</cp:lastPrinted>
  <dcterms:modified xsi:type="dcterms:W3CDTF">2024-06-14T03:33:18Z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28C9C03129874D33A1028065AAF8DF1E_13</vt:lpwstr>
  </property>
</Properties>
</file>