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A04DB">
      <w:pPr>
        <w:pStyle w:val="99"/>
        <w:keepNext w:val="0"/>
        <w:keepLines w:val="0"/>
        <w:pageBreakBefore w:val="0"/>
        <w:widowControl w:val="0"/>
        <w:kinsoku/>
        <w:wordWrap/>
        <w:overflowPunct/>
        <w:topLinePunct w:val="0"/>
        <w:autoSpaceDE/>
        <w:autoSpaceDN/>
        <w:bidi w:val="0"/>
        <w:adjustRightInd w:val="0"/>
        <w:snapToGrid/>
        <w:spacing w:line="680" w:lineRule="exact"/>
        <w:jc w:val="center"/>
        <w:textAlignment w:val="baseline"/>
        <w:rPr>
          <w:rFonts w:hint="default" w:ascii="宋体" w:hAnsi="宋体" w:eastAsia="宋体" w:cs="宋体"/>
          <w:b/>
          <w:bCs/>
          <w:color w:val="auto"/>
          <w:kern w:val="2"/>
          <w:sz w:val="48"/>
          <w:szCs w:val="48"/>
          <w:highlight w:val="none"/>
          <w:lang w:eastAsia="zh-CN" w:bidi="ar-SA"/>
        </w:rPr>
      </w:pPr>
      <w:r>
        <w:rPr>
          <w:rFonts w:hint="default" w:hAnsi="宋体" w:cs="宋体"/>
          <w:b/>
          <w:bCs/>
          <w:color w:val="auto"/>
          <w:sz w:val="44"/>
          <w:highlight w:val="none"/>
        </w:rPr>
        <w:t>柯城区双港街道社区卫生服务中心清莲里分中心建设项目办公桌椅等设施设备采购</w:t>
      </w:r>
    </w:p>
    <w:p w14:paraId="793AD7D4">
      <w:pPr>
        <w:pStyle w:val="35"/>
        <w:rPr>
          <w:rFonts w:hint="eastAsia"/>
          <w:color w:val="auto"/>
          <w:sz w:val="48"/>
          <w:szCs w:val="48"/>
          <w:highlight w:val="none"/>
        </w:rPr>
      </w:pPr>
    </w:p>
    <w:p w14:paraId="4A3500EB">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b/>
          <w:color w:val="auto"/>
          <w:sz w:val="48"/>
          <w:szCs w:val="48"/>
          <w:highlight w:val="none"/>
        </w:rPr>
      </w:pPr>
    </w:p>
    <w:p w14:paraId="7DFBD1D8">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b/>
          <w:color w:val="auto"/>
          <w:sz w:val="48"/>
          <w:szCs w:val="48"/>
          <w:highlight w:val="none"/>
        </w:rPr>
      </w:pPr>
    </w:p>
    <w:p w14:paraId="07912511">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color w:val="auto"/>
          <w:sz w:val="52"/>
          <w:szCs w:val="52"/>
          <w:highlight w:val="none"/>
        </w:rPr>
      </w:pPr>
      <w:r>
        <w:rPr>
          <w:rFonts w:hint="eastAsia" w:ascii="宋体" w:hAnsi="宋体" w:eastAsia="宋体" w:cs="宋体"/>
          <w:b/>
          <w:color w:val="auto"/>
          <w:sz w:val="52"/>
          <w:szCs w:val="52"/>
          <w:highlight w:val="none"/>
        </w:rPr>
        <w:t>公开招标采购文件</w:t>
      </w:r>
    </w:p>
    <w:p w14:paraId="09AA4D81">
      <w:pPr>
        <w:widowControl/>
        <w:kinsoku/>
        <w:overflowPunct/>
        <w:bidi w:val="0"/>
        <w:spacing w:line="360" w:lineRule="auto"/>
        <w:ind w:right="-2"/>
        <w:jc w:val="center"/>
        <w:rPr>
          <w:rFonts w:hint="eastAsia" w:ascii="宋体" w:hAnsi="宋体" w:eastAsia="宋体" w:cs="宋体"/>
          <w:b/>
          <w:color w:val="auto"/>
          <w:highlight w:val="none"/>
        </w:rPr>
      </w:pPr>
      <w:r>
        <w:rPr>
          <w:rFonts w:hint="eastAsia" w:ascii="宋体" w:hAnsi="宋体" w:eastAsia="宋体" w:cs="宋体"/>
          <w:b/>
          <w:color w:val="auto"/>
          <w:sz w:val="36"/>
          <w:highlight w:val="none"/>
        </w:rPr>
        <w:t>（线上电子招投标）</w:t>
      </w:r>
    </w:p>
    <w:p w14:paraId="758EAD87">
      <w:pPr>
        <w:pStyle w:val="87"/>
        <w:kinsoku/>
        <w:overflowPunct/>
        <w:bidi w:val="0"/>
        <w:spacing w:after="0" w:line="360" w:lineRule="auto"/>
        <w:rPr>
          <w:rFonts w:hint="eastAsia" w:ascii="宋体" w:hAnsi="宋体" w:eastAsia="宋体" w:cs="宋体"/>
          <w:color w:val="auto"/>
          <w:highlight w:val="none"/>
        </w:rPr>
      </w:pPr>
    </w:p>
    <w:p w14:paraId="70B0DAEC">
      <w:pPr>
        <w:pStyle w:val="87"/>
        <w:kinsoku/>
        <w:overflowPunct/>
        <w:bidi w:val="0"/>
        <w:spacing w:after="0" w:line="360" w:lineRule="auto"/>
        <w:rPr>
          <w:rFonts w:hint="eastAsia" w:ascii="宋体" w:hAnsi="宋体" w:eastAsia="宋体" w:cs="宋体"/>
          <w:color w:val="auto"/>
          <w:highlight w:val="none"/>
        </w:rPr>
      </w:pPr>
    </w:p>
    <w:p w14:paraId="16EA2CB3">
      <w:pPr>
        <w:kinsoku/>
        <w:overflowPunct/>
        <w:bidi w:val="0"/>
        <w:spacing w:beforeLines="10" w:line="360" w:lineRule="auto"/>
        <w:ind w:firstLine="321" w:firstLineChars="100"/>
        <w:jc w:val="left"/>
        <w:rPr>
          <w:rFonts w:hint="eastAsia" w:ascii="宋体" w:hAnsi="宋体" w:eastAsia="宋体" w:cs="宋体"/>
          <w:b/>
          <w:color w:val="auto"/>
          <w:sz w:val="32"/>
          <w:szCs w:val="18"/>
          <w:highlight w:val="none"/>
        </w:rPr>
      </w:pPr>
    </w:p>
    <w:p w14:paraId="54F323A0">
      <w:pPr>
        <w:kinsoku/>
        <w:overflowPunct/>
        <w:bidi w:val="0"/>
        <w:spacing w:beforeLines="10" w:line="360" w:lineRule="auto"/>
        <w:ind w:firstLine="320" w:firstLineChars="100"/>
        <w:jc w:val="left"/>
        <w:rPr>
          <w:rFonts w:hint="eastAsia" w:ascii="宋体" w:hAnsi="宋体" w:eastAsia="宋体" w:cs="宋体"/>
          <w:b w:val="0"/>
          <w:bCs/>
          <w:color w:val="auto"/>
          <w:sz w:val="32"/>
          <w:szCs w:val="18"/>
          <w:highlight w:val="none"/>
          <w:lang w:eastAsia="zh-CN"/>
        </w:rPr>
      </w:pPr>
      <w:r>
        <w:rPr>
          <w:rFonts w:hint="eastAsia" w:ascii="宋体" w:hAnsi="宋体" w:eastAsia="宋体" w:cs="宋体"/>
          <w:b w:val="0"/>
          <w:bCs/>
          <w:color w:val="auto"/>
          <w:sz w:val="32"/>
          <w:szCs w:val="18"/>
          <w:highlight w:val="none"/>
        </w:rPr>
        <w:t>项目编号：ZJTK2024015</w:t>
      </w:r>
    </w:p>
    <w:p w14:paraId="0BE3F5AB">
      <w:pPr>
        <w:kinsoku/>
        <w:overflowPunct/>
        <w:bidi w:val="0"/>
        <w:spacing w:beforeLines="10" w:line="360" w:lineRule="auto"/>
        <w:ind w:left="1958" w:leftChars="128" w:hanging="1600" w:hangingChars="500"/>
        <w:jc w:val="left"/>
        <w:rPr>
          <w:rFonts w:hint="eastAsia" w:ascii="宋体" w:hAnsi="宋体" w:eastAsia="宋体" w:cs="宋体"/>
          <w:b w:val="0"/>
          <w:bCs/>
          <w:color w:val="auto"/>
          <w:sz w:val="24"/>
          <w:szCs w:val="18"/>
          <w:highlight w:val="none"/>
        </w:rPr>
      </w:pPr>
      <w:r>
        <w:rPr>
          <w:rFonts w:hint="eastAsia" w:ascii="宋体" w:hAnsi="宋体" w:eastAsia="宋体" w:cs="宋体"/>
          <w:b w:val="0"/>
          <w:bCs/>
          <w:color w:val="auto"/>
          <w:sz w:val="32"/>
          <w:szCs w:val="18"/>
          <w:highlight w:val="none"/>
        </w:rPr>
        <w:t>项目名称：</w:t>
      </w:r>
      <w:r>
        <w:rPr>
          <w:rFonts w:hint="default" w:ascii="宋体" w:hAnsi="宋体" w:cs="宋体"/>
          <w:b w:val="0"/>
          <w:bCs/>
          <w:color w:val="auto"/>
          <w:sz w:val="32"/>
          <w:szCs w:val="18"/>
          <w:highlight w:val="none"/>
          <w:u w:val="single"/>
          <w:lang w:eastAsia="zh-CN"/>
        </w:rPr>
        <w:t>柯城区双港街道社区卫生服务中心清莲里分中心建设项目办公桌椅等设施设备采购</w:t>
      </w:r>
    </w:p>
    <w:p w14:paraId="2121CF96">
      <w:pPr>
        <w:kinsoku/>
        <w:overflowPunct/>
        <w:autoSpaceDE w:val="0"/>
        <w:autoSpaceDN w:val="0"/>
        <w:bidi w:val="0"/>
        <w:adjustRightInd w:val="0"/>
        <w:snapToGrid w:val="0"/>
        <w:spacing w:line="360" w:lineRule="auto"/>
        <w:ind w:firstLine="320" w:firstLineChars="100"/>
        <w:textAlignment w:val="bottom"/>
        <w:rPr>
          <w:rFonts w:hint="eastAsia" w:ascii="宋体" w:hAnsi="宋体" w:eastAsia="宋体" w:cs="宋体"/>
          <w:b w:val="0"/>
          <w:bCs/>
          <w:color w:val="auto"/>
          <w:sz w:val="32"/>
          <w:szCs w:val="18"/>
          <w:highlight w:val="none"/>
        </w:rPr>
      </w:pPr>
      <w:r>
        <w:rPr>
          <w:rFonts w:hint="eastAsia" w:ascii="宋体" w:hAnsi="宋体" w:eastAsia="宋体" w:cs="宋体"/>
          <w:b w:val="0"/>
          <w:bCs/>
          <w:color w:val="auto"/>
          <w:sz w:val="32"/>
          <w:szCs w:val="18"/>
          <w:highlight w:val="none"/>
        </w:rPr>
        <w:t>招</w:t>
      </w:r>
      <w:r>
        <w:rPr>
          <w:rFonts w:hint="eastAsia" w:ascii="宋体" w:hAnsi="宋体" w:cs="宋体"/>
          <w:b w:val="0"/>
          <w:bCs/>
          <w:color w:val="auto"/>
          <w:sz w:val="32"/>
          <w:szCs w:val="18"/>
          <w:highlight w:val="none"/>
          <w:lang w:eastAsia="zh-CN"/>
        </w:rPr>
        <w:t xml:space="preserve"> </w:t>
      </w:r>
      <w:r>
        <w:rPr>
          <w:rFonts w:hint="eastAsia" w:ascii="宋体" w:hAnsi="宋体" w:eastAsia="宋体" w:cs="宋体"/>
          <w:b w:val="0"/>
          <w:bCs/>
          <w:color w:val="auto"/>
          <w:sz w:val="32"/>
          <w:szCs w:val="18"/>
          <w:highlight w:val="none"/>
        </w:rPr>
        <w:t>标</w:t>
      </w:r>
      <w:r>
        <w:rPr>
          <w:rFonts w:hint="eastAsia" w:ascii="宋体" w:hAnsi="宋体" w:cs="宋体"/>
          <w:b w:val="0"/>
          <w:bCs/>
          <w:color w:val="auto"/>
          <w:sz w:val="32"/>
          <w:szCs w:val="18"/>
          <w:highlight w:val="none"/>
          <w:lang w:eastAsia="zh-CN"/>
        </w:rPr>
        <w:t xml:space="preserve"> </w:t>
      </w:r>
      <w:r>
        <w:rPr>
          <w:rFonts w:hint="eastAsia" w:ascii="宋体" w:hAnsi="宋体" w:eastAsia="宋体" w:cs="宋体"/>
          <w:b w:val="0"/>
          <w:bCs/>
          <w:color w:val="auto"/>
          <w:sz w:val="32"/>
          <w:szCs w:val="18"/>
          <w:highlight w:val="none"/>
        </w:rPr>
        <w:t>人：</w:t>
      </w:r>
      <w:r>
        <w:rPr>
          <w:rFonts w:hint="eastAsia" w:ascii="宋体" w:hAnsi="宋体" w:eastAsia="宋体" w:cs="宋体"/>
          <w:b w:val="0"/>
          <w:bCs/>
          <w:color w:val="auto"/>
          <w:sz w:val="32"/>
          <w:szCs w:val="18"/>
          <w:highlight w:val="none"/>
          <w:u w:val="single"/>
        </w:rPr>
        <w:t>衢州市柯城区卫生健康局</w:t>
      </w:r>
    </w:p>
    <w:p w14:paraId="108E6C68">
      <w:pPr>
        <w:kinsoku/>
        <w:overflowPunct/>
        <w:autoSpaceDE w:val="0"/>
        <w:autoSpaceDN w:val="0"/>
        <w:bidi w:val="0"/>
        <w:adjustRightInd w:val="0"/>
        <w:snapToGrid w:val="0"/>
        <w:spacing w:line="360" w:lineRule="auto"/>
        <w:ind w:firstLine="320" w:firstLineChars="100"/>
        <w:textAlignment w:val="bottom"/>
        <w:rPr>
          <w:rFonts w:hint="eastAsia" w:ascii="宋体" w:hAnsi="宋体" w:eastAsia="宋体" w:cs="宋体"/>
          <w:b w:val="0"/>
          <w:bCs/>
          <w:color w:val="auto"/>
          <w:sz w:val="32"/>
          <w:szCs w:val="18"/>
          <w:highlight w:val="none"/>
          <w:lang w:eastAsia="zh-CN"/>
        </w:rPr>
      </w:pPr>
      <w:r>
        <w:rPr>
          <w:rFonts w:hint="eastAsia" w:ascii="宋体" w:hAnsi="宋体" w:eastAsia="宋体" w:cs="宋体"/>
          <w:b w:val="0"/>
          <w:bCs/>
          <w:color w:val="auto"/>
          <w:sz w:val="32"/>
          <w:szCs w:val="18"/>
          <w:highlight w:val="none"/>
        </w:rPr>
        <w:t>招标代理机构：</w:t>
      </w:r>
      <w:r>
        <w:rPr>
          <w:rFonts w:hint="eastAsia" w:ascii="宋体" w:hAnsi="宋体" w:cs="宋体"/>
          <w:b w:val="0"/>
          <w:bCs/>
          <w:color w:val="auto"/>
          <w:sz w:val="32"/>
          <w:szCs w:val="18"/>
          <w:highlight w:val="none"/>
          <w:u w:val="single"/>
          <w:lang w:eastAsia="zh-CN"/>
        </w:rPr>
        <w:t>浙江天柯工程顾问有限公司</w:t>
      </w:r>
    </w:p>
    <w:p w14:paraId="3F6A8C6C">
      <w:pPr>
        <w:pStyle w:val="52"/>
        <w:kinsoku/>
        <w:overflowPunct/>
        <w:bidi w:val="0"/>
        <w:spacing w:beforeLines="10" w:line="360" w:lineRule="auto"/>
        <w:jc w:val="center"/>
        <w:rPr>
          <w:rFonts w:hint="eastAsia" w:ascii="宋体" w:hAnsi="宋体" w:eastAsia="宋体" w:cs="宋体"/>
          <w:color w:val="auto"/>
          <w:highlight w:val="none"/>
        </w:rPr>
      </w:pPr>
      <w:r>
        <w:rPr>
          <w:rFonts w:hint="eastAsia" w:ascii="宋体" w:hAnsi="宋体" w:eastAsia="宋体" w:cs="宋体"/>
          <w:b w:val="0"/>
          <w:bCs/>
          <w:color w:val="auto"/>
          <w:sz w:val="32"/>
          <w:szCs w:val="21"/>
          <w:highlight w:val="none"/>
        </w:rPr>
        <w:t>日期：</w:t>
      </w:r>
      <w:r>
        <w:rPr>
          <w:rFonts w:hint="eastAsia" w:ascii="宋体" w:hAnsi="宋体" w:eastAsia="宋体" w:cs="宋体"/>
          <w:b w:val="0"/>
          <w:bCs/>
          <w:color w:val="auto"/>
          <w:sz w:val="32"/>
          <w:szCs w:val="21"/>
          <w:highlight w:val="none"/>
          <w:lang w:eastAsia="zh-CN"/>
        </w:rPr>
        <w:t>202</w:t>
      </w:r>
      <w:r>
        <w:rPr>
          <w:rFonts w:hint="eastAsia" w:ascii="宋体" w:hAnsi="宋体" w:eastAsia="宋体" w:cs="宋体"/>
          <w:b w:val="0"/>
          <w:bCs/>
          <w:color w:val="auto"/>
          <w:sz w:val="32"/>
          <w:szCs w:val="21"/>
          <w:highlight w:val="none"/>
          <w:lang w:val="en-US" w:eastAsia="zh-CN"/>
        </w:rPr>
        <w:t>4</w:t>
      </w:r>
      <w:r>
        <w:rPr>
          <w:rFonts w:hint="eastAsia" w:ascii="宋体" w:hAnsi="宋体" w:eastAsia="宋体" w:cs="宋体"/>
          <w:b w:val="0"/>
          <w:bCs/>
          <w:color w:val="auto"/>
          <w:sz w:val="32"/>
          <w:szCs w:val="21"/>
          <w:highlight w:val="none"/>
        </w:rPr>
        <w:t>年</w:t>
      </w:r>
      <w:r>
        <w:rPr>
          <w:rFonts w:hint="eastAsia" w:ascii="宋体" w:hAnsi="宋体" w:eastAsia="宋体" w:cs="宋体"/>
          <w:b w:val="0"/>
          <w:bCs/>
          <w:color w:val="auto"/>
          <w:sz w:val="32"/>
          <w:szCs w:val="21"/>
          <w:highlight w:val="none"/>
          <w:lang w:val="en-US" w:eastAsia="zh-CN"/>
        </w:rPr>
        <w:t>10</w:t>
      </w:r>
      <w:r>
        <w:rPr>
          <w:rFonts w:hint="eastAsia" w:ascii="宋体" w:hAnsi="宋体" w:eastAsia="宋体" w:cs="宋体"/>
          <w:b w:val="0"/>
          <w:bCs/>
          <w:color w:val="auto"/>
          <w:sz w:val="32"/>
          <w:szCs w:val="21"/>
          <w:highlight w:val="none"/>
        </w:rPr>
        <w:t>月</w:t>
      </w:r>
      <w:r>
        <w:rPr>
          <w:rFonts w:hint="eastAsia" w:ascii="宋体" w:hAnsi="宋体" w:eastAsia="宋体" w:cs="宋体"/>
          <w:color w:val="auto"/>
          <w:highlight w:val="none"/>
        </w:rPr>
        <w:br w:type="page"/>
      </w:r>
    </w:p>
    <w:p w14:paraId="29552492">
      <w:pPr>
        <w:pStyle w:val="52"/>
        <w:kinsoku/>
        <w:overflowPunct/>
        <w:bidi w:val="0"/>
        <w:spacing w:beforeLines="10" w:line="360" w:lineRule="auto"/>
        <w:ind w:firstLine="361" w:firstLineChars="100"/>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目  录</w:t>
      </w:r>
    </w:p>
    <w:p w14:paraId="21B676BC">
      <w:pPr>
        <w:kinsoku/>
        <w:overflowPunct/>
        <w:bidi w:val="0"/>
        <w:spacing w:line="360" w:lineRule="auto"/>
        <w:rPr>
          <w:rFonts w:hint="eastAsia" w:ascii="宋体" w:hAnsi="宋体" w:eastAsia="宋体" w:cs="宋体"/>
          <w:color w:val="auto"/>
          <w:highlight w:val="none"/>
        </w:rPr>
      </w:pPr>
    </w:p>
    <w:p w14:paraId="1234A46C">
      <w:pPr>
        <w:pStyle w:val="61"/>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TOC \o "1-2" \h \z \u</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"_Toc32624"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第一部分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_Toc32624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0458545">
      <w:pPr>
        <w:pStyle w:val="61"/>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"_Toc31506"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第二部分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p>
    <w:p w14:paraId="03FAE3F0">
      <w:pPr>
        <w:pStyle w:val="61"/>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"_Toc4895"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第三部分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6558FF31">
      <w:pPr>
        <w:pStyle w:val="61"/>
        <w:tabs>
          <w:tab w:val="right" w:leader="dot" w:pos="9026"/>
          <w:tab w:val="clear" w:pos="8364"/>
        </w:tabs>
        <w:kinsoku/>
        <w:overflowPunct/>
        <w:bidi w:val="0"/>
        <w:spacing w:after="0" w:line="360" w:lineRule="auto"/>
        <w:rPr>
          <w:rFonts w:hint="eastAsia" w:ascii="宋体" w:hAnsi="宋体" w:cs="宋体"/>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"_Toc1203"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第四部分  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32</w:t>
      </w:r>
    </w:p>
    <w:p w14:paraId="163B1310">
      <w:pPr>
        <w:pStyle w:val="61"/>
        <w:tabs>
          <w:tab w:val="right" w:leader="dot" w:pos="9026"/>
          <w:tab w:val="clear" w:pos="8364"/>
        </w:tabs>
        <w:kinsoku/>
        <w:overflowPunct/>
        <w:bidi w:val="0"/>
        <w:spacing w:after="0" w:line="360" w:lineRule="auto"/>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 xml:space="preserve">第五部分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"_Toc2553"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投标文件部分格式文件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8</w:t>
      </w:r>
    </w:p>
    <w:p w14:paraId="7751B8FA">
      <w:pPr>
        <w:pStyle w:val="61"/>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"_Toc15453"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第六部分  评分办法</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6</w:t>
      </w:r>
    </w:p>
    <w:p w14:paraId="4C421CF5">
      <w:pPr>
        <w:kinsoku/>
        <w:overflowPunct/>
        <w:bidi w:val="0"/>
        <w:spacing w:line="360" w:lineRule="auto"/>
        <w:rPr>
          <w:rFonts w:hint="eastAsia" w:ascii="宋体" w:hAnsi="宋体" w:eastAsia="宋体" w:cs="宋体"/>
          <w:color w:val="auto"/>
          <w:sz w:val="24"/>
          <w:szCs w:val="24"/>
          <w:highlight w:val="none"/>
        </w:rPr>
      </w:pPr>
    </w:p>
    <w:p w14:paraId="5FB11E1E">
      <w:pPr>
        <w:pStyle w:val="47"/>
        <w:pageBreakBefore/>
        <w:kinsoku/>
        <w:overflowPunct/>
        <w:bidi w:val="0"/>
        <w:adjustRightInd w:val="0"/>
        <w:snapToGrid w:val="0"/>
        <w:spacing w:line="360" w:lineRule="auto"/>
        <w:jc w:val="center"/>
        <w:outlineLvl w:val="0"/>
        <w:rPr>
          <w:rFonts w:hint="eastAsia" w:ascii="宋体" w:hAnsi="宋体" w:eastAsia="宋体" w:cs="宋体"/>
          <w:b/>
          <w:color w:val="auto"/>
          <w:sz w:val="36"/>
          <w:highlight w:val="none"/>
        </w:rPr>
      </w:pPr>
      <w:r>
        <w:rPr>
          <w:rFonts w:hint="eastAsia" w:ascii="宋体" w:hAnsi="宋体" w:eastAsia="宋体" w:cs="宋体"/>
          <w:color w:val="auto"/>
          <w:sz w:val="24"/>
          <w:szCs w:val="24"/>
          <w:highlight w:val="none"/>
        </w:rPr>
        <w:fldChar w:fldCharType="end"/>
      </w:r>
      <w:bookmarkStart w:id="0" w:name="_Toc32624"/>
      <w:r>
        <w:rPr>
          <w:rFonts w:hint="eastAsia" w:ascii="宋体" w:hAnsi="宋体" w:eastAsia="宋体" w:cs="宋体"/>
          <w:b/>
          <w:color w:val="auto"/>
          <w:sz w:val="36"/>
          <w:highlight w:val="none"/>
        </w:rPr>
        <w:t xml:space="preserve"> 第一部分  招标公告</w:t>
      </w:r>
      <w:bookmarkEnd w:id="0"/>
      <w:bookmarkStart w:id="1" w:name="_Toc225840107"/>
    </w:p>
    <w:tbl>
      <w:tblPr>
        <w:tblStyle w:val="8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47B8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3C85D0BB">
            <w:pPr>
              <w:pStyle w:val="82"/>
              <w:keepNext w:val="0"/>
              <w:keepLines w:val="0"/>
              <w:pageBreakBefore w:val="0"/>
              <w:kinsoku/>
              <w:wordWrap/>
              <w:overflowPunct/>
              <w:topLinePunct w:val="0"/>
              <w:bidi w:val="0"/>
              <w:spacing w:before="0" w:beforeAutospacing="0" w:after="0" w:afterAutospacing="0" w:line="400" w:lineRule="exact"/>
              <w:ind w:left="0"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项目概况：</w:t>
            </w:r>
            <w:r>
              <w:rPr>
                <w:rFonts w:hint="default" w:cs="宋体"/>
                <w:color w:val="auto"/>
                <w:sz w:val="24"/>
                <w:szCs w:val="24"/>
                <w:highlight w:val="none"/>
              </w:rPr>
              <w:t>柯城区双港街道社区卫生服务中心清莲里分中心建设项目办公桌椅等设施设备采购</w:t>
            </w:r>
            <w:r>
              <w:rPr>
                <w:rFonts w:hint="eastAsia" w:ascii="宋体" w:hAnsi="宋体" w:eastAsia="宋体" w:cs="宋体"/>
                <w:color w:val="auto"/>
                <w:sz w:val="24"/>
                <w:szCs w:val="24"/>
                <w:highlight w:val="none"/>
              </w:rPr>
              <w:t>的潜在投标人应在政采云平台（http://zfcg.czt.zj.gov.cn）获取（下载）招标文件，并于</w:t>
            </w:r>
            <w:r>
              <w:rPr>
                <w:rFonts w:hint="eastAsia" w:cs="宋体"/>
                <w:color w:val="auto"/>
                <w:sz w:val="24"/>
                <w:szCs w:val="24"/>
                <w:highlight w:val="none"/>
                <w:lang w:eastAsia="zh-CN"/>
              </w:rPr>
              <w:t>2024</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cs="宋体"/>
                <w:color w:val="auto"/>
                <w:sz w:val="24"/>
                <w:szCs w:val="24"/>
                <w:highlight w:val="none"/>
                <w:lang w:val="en-US" w:eastAsia="zh-CN"/>
              </w:rPr>
              <w:t>14：00</w:t>
            </w:r>
            <w:r>
              <w:rPr>
                <w:rFonts w:hint="eastAsia" w:ascii="宋体" w:hAnsi="宋体" w:eastAsia="宋体" w:cs="宋体"/>
                <w:color w:val="auto"/>
                <w:sz w:val="24"/>
                <w:szCs w:val="24"/>
                <w:highlight w:val="none"/>
              </w:rPr>
              <w:t>（北京时间）前提交（上传）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p>
        </w:tc>
      </w:tr>
    </w:tbl>
    <w:p w14:paraId="16A332A3">
      <w:pPr>
        <w:keepNext w:val="0"/>
        <w:keepLines w:val="0"/>
        <w:pageBreakBefore w:val="0"/>
        <w:numPr>
          <w:ilvl w:val="0"/>
          <w:numId w:val="2"/>
        </w:numPr>
        <w:kinsoku/>
        <w:wordWrap/>
        <w:overflowPunct/>
        <w:topLinePunct w:val="0"/>
        <w:autoSpaceDE w:val="0"/>
        <w:autoSpaceDN w:val="0"/>
        <w:bidi w:val="0"/>
        <w:adjustRightInd w:val="0"/>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项目基本情况</w:t>
      </w:r>
    </w:p>
    <w:p w14:paraId="75B903E1">
      <w:pPr>
        <w:pStyle w:val="87"/>
        <w:keepNext w:val="0"/>
        <w:keepLines w:val="0"/>
        <w:pageBreakBefore w:val="0"/>
        <w:numPr>
          <w:ilvl w:val="0"/>
          <w:numId w:val="0"/>
        </w:numPr>
        <w:kinsoku/>
        <w:wordWrap/>
        <w:overflowPunct/>
        <w:topLinePunct w:val="0"/>
        <w:autoSpaceDE/>
        <w:autoSpaceDN/>
        <w:bidi w:val="0"/>
        <w:adjustRightInd/>
        <w:spacing w:after="0" w:line="400" w:lineRule="exact"/>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项目编号：</w:t>
      </w:r>
      <w:r>
        <w:rPr>
          <w:rFonts w:hint="eastAsia" w:ascii="宋体" w:hAnsi="宋体" w:eastAsia="宋体" w:cs="宋体"/>
          <w:b w:val="0"/>
          <w:bCs/>
          <w:color w:val="auto"/>
          <w:sz w:val="24"/>
          <w:szCs w:val="18"/>
          <w:highlight w:val="none"/>
        </w:rPr>
        <w:t>ZJTK2024015</w:t>
      </w:r>
    </w:p>
    <w:p w14:paraId="08D0B442">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default" w:ascii="宋体" w:hAnsi="宋体" w:cs="宋体"/>
          <w:color w:val="auto"/>
          <w:sz w:val="24"/>
          <w:szCs w:val="24"/>
          <w:highlight w:val="none"/>
          <w:u w:val="single"/>
          <w:lang w:eastAsia="zh-CN"/>
        </w:rPr>
        <w:t>柯城区双港街道社区卫生服务中心清莲里分中心建设项目办公桌椅等</w:t>
      </w:r>
      <w:r>
        <w:rPr>
          <w:rFonts w:hint="eastAsia" w:ascii="宋体" w:hAnsi="宋体" w:cs="宋体"/>
          <w:color w:val="auto"/>
          <w:sz w:val="24"/>
          <w:szCs w:val="24"/>
          <w:highlight w:val="none"/>
          <w:u w:val="single"/>
          <w:lang w:val="en-US" w:eastAsia="zh-CN"/>
        </w:rPr>
        <w:t>设施</w:t>
      </w:r>
      <w:r>
        <w:rPr>
          <w:rFonts w:hint="default" w:ascii="宋体" w:hAnsi="宋体" w:cs="宋体"/>
          <w:color w:val="auto"/>
          <w:sz w:val="24"/>
          <w:szCs w:val="24"/>
          <w:highlight w:val="none"/>
          <w:u w:val="single"/>
          <w:lang w:eastAsia="zh-CN"/>
        </w:rPr>
        <w:t>设备采购</w:t>
      </w:r>
    </w:p>
    <w:p w14:paraId="15D0A3FA">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441920</w:t>
      </w:r>
    </w:p>
    <w:p w14:paraId="0E1E44AE">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ascii="宋体" w:hAnsi="宋体" w:cs="宋体"/>
          <w:color w:val="auto"/>
          <w:sz w:val="24"/>
          <w:szCs w:val="24"/>
          <w:highlight w:val="none"/>
          <w:lang w:val="en-US" w:eastAsia="zh-CN"/>
        </w:rPr>
        <w:t>428820</w:t>
      </w:r>
    </w:p>
    <w:p w14:paraId="0887D339">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数量: 1</w:t>
      </w:r>
      <w:r>
        <w:rPr>
          <w:rFonts w:hint="eastAsia" w:ascii="宋体" w:hAnsi="宋体" w:cs="宋体"/>
          <w:color w:val="auto"/>
          <w:sz w:val="24"/>
          <w:szCs w:val="24"/>
          <w:highlight w:val="none"/>
          <w:lang w:val="en-US" w:eastAsia="zh-CN"/>
        </w:rPr>
        <w:t xml:space="preserve"> </w:t>
      </w:r>
    </w:p>
    <w:p w14:paraId="185A1CBB">
      <w:pPr>
        <w:snapToGrid w:val="0"/>
        <w:spacing w:line="420" w:lineRule="exact"/>
        <w:ind w:firstLine="480" w:firstLineChars="200"/>
        <w:jc w:val="left"/>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简要规格描述或项目基本概况介绍、用途：主要针对</w:t>
      </w:r>
      <w:r>
        <w:rPr>
          <w:rFonts w:hint="default" w:ascii="宋体" w:hAnsi="宋体" w:cs="宋体"/>
          <w:color w:val="auto"/>
          <w:sz w:val="24"/>
          <w:szCs w:val="24"/>
          <w:highlight w:val="none"/>
          <w:u w:val="none"/>
          <w:lang w:eastAsia="zh-CN"/>
        </w:rPr>
        <w:t>柯城区双港街道社区卫生服务中心清莲里分中心建设项目办公桌椅等设施</w:t>
      </w:r>
      <w:r>
        <w:rPr>
          <w:rFonts w:hint="eastAsia" w:ascii="宋体" w:hAnsi="宋体" w:eastAsia="宋体" w:cs="宋体"/>
          <w:color w:val="auto"/>
          <w:sz w:val="24"/>
          <w:szCs w:val="24"/>
          <w:highlight w:val="none"/>
        </w:rPr>
        <w:t>等采购（具体详见第三部分采购需求）</w:t>
      </w:r>
      <w:r>
        <w:rPr>
          <w:rFonts w:hint="eastAsia" w:ascii="宋体" w:hAnsi="宋体" w:eastAsia="宋体" w:cs="宋体"/>
          <w:color w:val="auto"/>
          <w:sz w:val="24"/>
          <w:szCs w:val="24"/>
          <w:highlight w:val="none"/>
          <w:lang w:eastAsia="zh-CN"/>
        </w:rPr>
        <w:t>。</w:t>
      </w:r>
    </w:p>
    <w:p w14:paraId="286F1B46">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合同履约期限：</w:t>
      </w:r>
      <w:r>
        <w:rPr>
          <w:rFonts w:hint="eastAsia" w:ascii="宋体" w:hAnsi="宋体" w:cs="宋体"/>
          <w:color w:val="auto"/>
          <w:sz w:val="24"/>
          <w:szCs w:val="24"/>
          <w:highlight w:val="none"/>
          <w:lang w:val="en-US" w:eastAsia="zh-CN"/>
        </w:rPr>
        <w:t>合同签订后30天内完成供货及安装、调试</w:t>
      </w:r>
      <w:r>
        <w:rPr>
          <w:rFonts w:hint="eastAsia" w:ascii="宋体" w:hAnsi="宋体" w:cs="宋体"/>
          <w:color w:val="auto"/>
          <w:sz w:val="24"/>
          <w:szCs w:val="24"/>
          <w:highlight w:val="none"/>
          <w:lang w:eastAsia="zh-CN"/>
        </w:rPr>
        <w:t>，具体时间以采购人书面通知为准。</w:t>
      </w:r>
    </w:p>
    <w:p w14:paraId="3D5E94F9">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本项目（否）接受联合体投标</w:t>
      </w:r>
      <w:r>
        <w:rPr>
          <w:rFonts w:hint="eastAsia" w:ascii="宋体" w:hAnsi="宋体" w:cs="宋体"/>
          <w:color w:val="auto"/>
          <w:sz w:val="24"/>
          <w:szCs w:val="24"/>
          <w:highlight w:val="none"/>
          <w:lang w:eastAsia="zh-CN"/>
        </w:rPr>
        <w:t>。</w:t>
      </w:r>
    </w:p>
    <w:p w14:paraId="4B99A331">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二、申请人的资格要求</w:t>
      </w:r>
    </w:p>
    <w:p w14:paraId="1634AC7D">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79D76404">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firstLine="480"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b/>
          <w:bCs/>
          <w:color w:val="auto"/>
          <w:sz w:val="24"/>
          <w:szCs w:val="24"/>
          <w:highlight w:val="none"/>
        </w:rPr>
        <w:t>本项目属于专门面向中小微企业采购的项目,供应商应为中小微企业</w:t>
      </w:r>
      <w:r>
        <w:rPr>
          <w:rFonts w:hint="eastAsia" w:ascii="宋体" w:hAnsi="宋体" w:eastAsia="宋体" w:cs="宋体"/>
          <w:b/>
          <w:bCs/>
          <w:color w:val="auto"/>
          <w:sz w:val="24"/>
          <w:szCs w:val="24"/>
          <w:highlight w:val="none"/>
          <w:lang w:eastAsia="zh-CN"/>
        </w:rPr>
        <w:t>或</w:t>
      </w:r>
      <w:r>
        <w:rPr>
          <w:rFonts w:hint="eastAsia" w:ascii="宋体" w:hAnsi="宋体" w:eastAsia="宋体" w:cs="宋体"/>
          <w:b/>
          <w:bCs/>
          <w:color w:val="auto"/>
          <w:sz w:val="24"/>
          <w:szCs w:val="24"/>
          <w:highlight w:val="none"/>
        </w:rPr>
        <w:t>监狱企业</w:t>
      </w:r>
      <w:r>
        <w:rPr>
          <w:rFonts w:hint="eastAsia" w:ascii="宋体" w:hAnsi="宋体" w:eastAsia="宋体" w:cs="宋体"/>
          <w:b/>
          <w:bCs/>
          <w:color w:val="auto"/>
          <w:sz w:val="24"/>
          <w:szCs w:val="24"/>
          <w:highlight w:val="none"/>
          <w:lang w:eastAsia="zh-CN"/>
        </w:rPr>
        <w:t>或</w:t>
      </w:r>
      <w:r>
        <w:rPr>
          <w:rFonts w:hint="eastAsia" w:ascii="宋体" w:hAnsi="宋体" w:eastAsia="宋体" w:cs="宋体"/>
          <w:b/>
          <w:bCs/>
          <w:color w:val="auto"/>
          <w:sz w:val="24"/>
          <w:szCs w:val="24"/>
          <w:highlight w:val="none"/>
        </w:rPr>
        <w:t>残疾人福利性单位。</w:t>
      </w:r>
    </w:p>
    <w:p w14:paraId="106EFC9D">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3.本项目的特定资格要求：</w:t>
      </w:r>
      <w:r>
        <w:rPr>
          <w:rFonts w:hint="eastAsia" w:ascii="宋体" w:hAnsi="宋体" w:cs="宋体"/>
          <w:color w:val="auto"/>
          <w:sz w:val="24"/>
          <w:szCs w:val="24"/>
          <w:highlight w:val="none"/>
          <w:lang w:val="en-US" w:eastAsia="zh-CN"/>
        </w:rPr>
        <w:t>无。</w:t>
      </w:r>
    </w:p>
    <w:p w14:paraId="247C5AC0">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三、获取采购文件</w:t>
      </w:r>
    </w:p>
    <w:p w14:paraId="6B924548">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时间：/至</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21日</w:t>
      </w:r>
      <w:r>
        <w:rPr>
          <w:rFonts w:hint="eastAsia" w:ascii="宋体" w:hAnsi="宋体" w:eastAsia="宋体" w:cs="宋体"/>
          <w:color w:val="auto"/>
          <w:sz w:val="24"/>
          <w:szCs w:val="24"/>
          <w:highlight w:val="none"/>
        </w:rPr>
        <w:t>，每天上午00:00至12:00，下午12:00至23:59（北京时间，线上获取法定节假日均可，线下获取文件法定节假日除外）</w:t>
      </w:r>
    </w:p>
    <w:p w14:paraId="24B08476">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地点（网址）：政采云平台（http://zfcg.czt.zj.gov.cn） </w:t>
      </w:r>
    </w:p>
    <w:p w14:paraId="76EDD662">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方式： 潜在投标人登陆政采云平台，在线申请获取招标文件（进入“项目采购”应用，在获取招标文件菜单中选择项目，申请获取招标文件，本项目招标文件不收取工本费；仅需浏览招标文件的投标人可点击“游客，浏览招标文件”直接下载招标文件浏览）。 </w:t>
      </w:r>
    </w:p>
    <w:p w14:paraId="40BD9467">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售价（元）：0 </w:t>
      </w:r>
    </w:p>
    <w:p w14:paraId="5816FE2F">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1557B34C">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注：请供应商按上述要求获取招标文件，如未在“政采云”系统内完成相关流程，引起的投标无效责任自负。</w:t>
      </w:r>
    </w:p>
    <w:p w14:paraId="36DCA282">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四、提交投标文件截止时间、开标时间和地点</w:t>
      </w:r>
    </w:p>
    <w:p w14:paraId="7A9EC0EA">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提交投标文件截止时间：2024年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14：00</w:t>
      </w:r>
      <w:r>
        <w:rPr>
          <w:rFonts w:hint="eastAsia" w:ascii="宋体" w:hAnsi="宋体" w:eastAsia="宋体" w:cs="宋体"/>
          <w:color w:val="auto"/>
          <w:sz w:val="24"/>
          <w:szCs w:val="24"/>
          <w:highlight w:val="none"/>
        </w:rPr>
        <w:t>（北京时间）</w:t>
      </w:r>
    </w:p>
    <w:p w14:paraId="56E1A98A">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63009A38">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投标地点（网址）：政采云平台（http://zfcg.czt.zj.gov.cn） </w:t>
      </w:r>
    </w:p>
    <w:p w14:paraId="313D4896">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开标时间：2024年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14：00</w:t>
      </w:r>
      <w:r>
        <w:rPr>
          <w:rFonts w:hint="eastAsia" w:ascii="宋体" w:hAnsi="宋体" w:eastAsia="宋体" w:cs="宋体"/>
          <w:color w:val="auto"/>
          <w:sz w:val="24"/>
          <w:szCs w:val="24"/>
          <w:highlight w:val="none"/>
        </w:rPr>
        <w:t xml:space="preserve">（北京时间） </w:t>
      </w:r>
    </w:p>
    <w:p w14:paraId="11C35945">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开标地点（网址）：</w:t>
      </w:r>
      <w:r>
        <w:rPr>
          <w:rFonts w:hint="eastAsia" w:ascii="宋体" w:hAnsi="宋体"/>
          <w:sz w:val="24"/>
          <w:szCs w:val="24"/>
          <w:highlight w:val="none"/>
          <w:u w:val="single"/>
        </w:rPr>
        <w:t>浙江天柯工程顾问有限公司</w:t>
      </w:r>
      <w:r>
        <w:rPr>
          <w:rFonts w:hint="eastAsia" w:ascii="宋体" w:hAnsi="宋体"/>
          <w:sz w:val="24"/>
          <w:szCs w:val="24"/>
          <w:highlight w:val="none"/>
        </w:rPr>
        <w:t>（衢州市柯城区白云街道鑫港大厦1206室）</w:t>
      </w:r>
      <w:r>
        <w:rPr>
          <w:rFonts w:hint="eastAsia" w:ascii="宋体" w:hAnsi="宋体" w:eastAsia="宋体" w:cs="宋体"/>
          <w:color w:val="auto"/>
          <w:sz w:val="24"/>
          <w:szCs w:val="24"/>
          <w:highlight w:val="none"/>
        </w:rPr>
        <w:t>。</w:t>
      </w:r>
    </w:p>
    <w:p w14:paraId="77BEF747">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五、采购意向公开链接</w:t>
      </w:r>
    </w:p>
    <w:p w14:paraId="771681EC">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Style w:val="91"/>
          <w:rFonts w:hint="eastAsia" w:ascii="宋体" w:hAnsi="宋体" w:eastAsia="宋体" w:cs="宋体"/>
          <w:color w:val="auto"/>
          <w:sz w:val="24"/>
          <w:szCs w:val="24"/>
          <w:highlight w:val="none"/>
          <w:lang w:eastAsia="zh-CN"/>
        </w:rPr>
      </w:pPr>
      <w:r>
        <w:rPr>
          <w:rStyle w:val="91"/>
          <w:rFonts w:hint="eastAsia" w:ascii="宋体" w:hAnsi="宋体" w:eastAsia="宋体" w:cs="宋体"/>
          <w:color w:val="auto"/>
          <w:sz w:val="24"/>
          <w:szCs w:val="24"/>
          <w:highlight w:val="none"/>
          <w:lang w:eastAsia="zh-CN"/>
        </w:rPr>
        <w:t>https://zfcg.czt.zj.gov.cn/site/detail?parentId=600007&amp;articleId=GZXIfnhy6EzXHyzvRe0syQ%3D%3D</w:t>
      </w:r>
    </w:p>
    <w:p w14:paraId="7C0917AC">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lang w:eastAsia="zh-CN"/>
        </w:rPr>
        <w:t>六、</w:t>
      </w:r>
      <w:r>
        <w:rPr>
          <w:rStyle w:val="91"/>
          <w:rFonts w:hint="eastAsia" w:ascii="宋体" w:hAnsi="宋体" w:eastAsia="宋体" w:cs="宋体"/>
          <w:color w:val="auto"/>
          <w:sz w:val="24"/>
          <w:szCs w:val="24"/>
          <w:highlight w:val="none"/>
        </w:rPr>
        <w:t>公告期限：</w:t>
      </w:r>
    </w:p>
    <w:p w14:paraId="08362B74">
      <w:pPr>
        <w:keepNext w:val="0"/>
        <w:keepLines w:val="0"/>
        <w:pageBreakBefore w:val="0"/>
        <w:kinsoku/>
        <w:wordWrap/>
        <w:overflowPunct/>
        <w:topLinePunct w:val="0"/>
        <w:autoSpaceDE w:val="0"/>
        <w:autoSpaceDN w:val="0"/>
        <w:bidi w:val="0"/>
        <w:adjustRightInd w:val="0"/>
        <w:spacing w:line="400" w:lineRule="exact"/>
        <w:ind w:right="-23"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770A89B7">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、其他补充事宜</w:t>
      </w:r>
    </w:p>
    <w:p w14:paraId="3FCD9C87">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1.《浙江省财政厅关于进一步发挥政府采购政策功能全力推动经济稳进提质的通知》（浙财采监（2022）3号）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浙江省财政厅关于进一步促进政府采购公平竞争打造最优营商环境的通知》（浙财采监（2021）22号）已分别于2022年1月29日和2022年2月1日开始实施，此前有关规定与上述文件内容不一致的，按上述文件要求执行。</w:t>
      </w:r>
    </w:p>
    <w:p w14:paraId="0F0A06F5">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 知》（浙财采监（2021）22号）文件关于“健全行政裁决机制”要求，鼓励供应商在线提起询问，路径为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政采云-项目采购-询问质疑投诉-询问列表:鼓励供应商在线提起质 疑，路径为：政采云-项目采购-询问质疑投诉-质疑列表。质疑供应商对在线质疑答复 不满意的，可在线提起投诉，路径为：浙江政府服务网-政府采购投诉处理-在线办理。</w:t>
      </w:r>
    </w:p>
    <w:p w14:paraId="4DA37303">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3.供应商认为采购文件使自己的权益受到损害的，可以自获取采购文件之日或者 采购公告期限届满之日（公告期限届满后获取采购文件的，以公告期限届满之日为准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起7个工作日内，对采购文件需求的以书面形式向招标人提出质疑，对其他内容的以书面形式向招标人和采购代理机构提出质疑。质疑供应商对招标人、采购代理机构的答复 不满意或者招标人、采购代理机构未在规定的时间内作出答复的，可以在答复期满后十 五个工作日内向同级政府采购监督管理部门投诉。质疑函范本、投诉书范本请到浙江政 府采购网下载专区下载。</w:t>
      </w:r>
    </w:p>
    <w:p w14:paraId="0E2CBF4A">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.其他事项：</w:t>
      </w:r>
    </w:p>
    <w:p w14:paraId="780549B8">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（1）包括节约资源、保护环境、支持创新、促进中小企业发展等。 详见招标文件的第二部分总则。</w:t>
      </w:r>
    </w:p>
    <w:p w14:paraId="67B9A721">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经招标人确认，本项目属于专门面向中小企业采购项目。</w:t>
      </w:r>
    </w:p>
    <w:p w14:paraId="64366C56">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（2）在线投标响应（电子投标）说明：</w:t>
      </w:r>
    </w:p>
    <w:p w14:paraId="458E65C3">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通过“政府采购云平台”参与在线投标时如遇平台技术问题详询95763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3）投标供应商应当在投标截止时间前，将生成的“电子加密投标文件”上传递交至“政府采购云平台”。投标截止时间以后上传递交的投标文件将被“政府采购云平台”拒收。4）投标供应商在“政府采购云平台”完成“电子加密投标文件”的上传递交后，还可以（EMS或顺丰邮寄形式）在投标截止时间前递交以介质（U盘）存储的数据电文形式的“备份投标文件”，“备份投标文件”应当密封包装并在包装上标注投标项目名称、投标单位名称并加盖公章。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14:paraId="70A9CBBA">
      <w:pPr>
        <w:keepNext w:val="0"/>
        <w:keepLines w:val="0"/>
        <w:pageBreakBefore w:val="0"/>
        <w:kinsoku/>
        <w:wordWrap/>
        <w:overflowPunct/>
        <w:topLinePunct w:val="0"/>
        <w:autoSpaceDE w:val="0"/>
        <w:autoSpaceDN w:val="0"/>
        <w:bidi w:val="0"/>
        <w:adjustRightInd w:val="0"/>
        <w:spacing w:line="400" w:lineRule="exact"/>
        <w:ind w:left="0" w:leftChars="0" w:right="-2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）采购项目需要落实的政府采购政策：</w:t>
      </w:r>
    </w:p>
    <w:p w14:paraId="4B57711B">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1）《财政部发展改革委 生态环境部 市场监管总局关于调整优化节能产品、环境标志产品政府采购执行机制的通知》（财库〔2019〕9号）；</w:t>
      </w:r>
    </w:p>
    <w:p w14:paraId="6072E107">
      <w:pPr>
        <w:keepNext w:val="0"/>
        <w:keepLines w:val="0"/>
        <w:pageBreakBefore w:val="0"/>
        <w:kinsoku/>
        <w:wordWrap/>
        <w:overflowPunct/>
        <w:topLinePunct w:val="0"/>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2）《政府采购促进中小企业发展管理办法》（财库[2020]46号）。</w:t>
      </w:r>
    </w:p>
    <w:p w14:paraId="61EA5785">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3）本次采购为专门面向中小企业。</w:t>
      </w:r>
    </w:p>
    <w:p w14:paraId="4BDAC593">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4）根据财政部发布的《政府采购促进中小企业发展管理办法》 （财库[2020]46号）的规定规定执行。投标文件中须提供《中小企业声明函》。</w:t>
      </w:r>
    </w:p>
    <w:p w14:paraId="63E18061">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5）对于专门面向中、小、微型企业或者监狱企业或者残疾人福利性单位的政府采购货物或服务项目或工程项目，符合资格条件的不再执行价格评审优惠的扶持政策。</w:t>
      </w:r>
    </w:p>
    <w:p w14:paraId="7DC4685B">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中标供应商为中小企业、残疾人福利性单位、监狱企业的，应当随中标结果同时公告其《中小企业声明函》、《残疾人福利性单位声明函》、《监狱企业声明函》，接受社会监督。）属于小型、微型企业的残疾人福利性单位、监狱企业，不重复享受政策。供应商提供的《中小企业声明函》、《残疾人福利性单位声明函》、《监狱企业声明函》与事实不符的，依照《政府采购法》第七十七条第一款的规定追究法律责任。 </w:t>
      </w:r>
    </w:p>
    <w:p w14:paraId="497B5327">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）信用记录：根据财库[2016]125号《关于在政府采购活动中查询及使用信用记录有关问题的通知》要求，采购代理机构会对供应商信用记录进行查询并甄别。</w:t>
      </w:r>
    </w:p>
    <w:p w14:paraId="47F7A8D2">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1）信用信息查询的截止时点：投标截止时间；</w:t>
      </w:r>
    </w:p>
    <w:p w14:paraId="7CD8DA3D">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2）查询渠道：“信用中国”（www.creditchina.gov.cn）、“中国政府采购网”（www.ccgp.gov.cn）；</w:t>
      </w:r>
    </w:p>
    <w:p w14:paraId="2221467F">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3）信用信息查询记录和证据留存具体方式：采购代理机构经办人将查询网页打印与其他采购文件一并保存；</w:t>
      </w:r>
    </w:p>
    <w:p w14:paraId="2DDBDBD9">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规则：供应商存在不良信用记录的，其投标将被作为无效投标被拒绝。不良信用记录指：被列入失信被执行人、重大税收违法案件当事人名单、政府采购严重违法失信行为记录名单或浙江政府采购网曝光台中尚在行政处罚期内的。</w:t>
      </w:r>
    </w:p>
    <w:p w14:paraId="63593DAA">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）本项目相关公告（包括招标公告、中标公告及更正公告等）均以浙江政府采购网（http://zfcg.czt.zj.gov.cn/）发布的为准。</w:t>
      </w:r>
    </w:p>
    <w:p w14:paraId="740900B3">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cs="宋体"/>
          <w:color w:val="auto"/>
          <w:sz w:val="24"/>
          <w:szCs w:val="24"/>
          <w:highlight w:val="none"/>
          <w:lang w:eastAsia="zh-CN"/>
        </w:rPr>
        <w:t>八</w:t>
      </w:r>
      <w:r>
        <w:rPr>
          <w:rStyle w:val="91"/>
          <w:rFonts w:hint="eastAsia" w:ascii="宋体" w:hAnsi="宋体" w:eastAsia="宋体" w:cs="宋体"/>
          <w:color w:val="auto"/>
          <w:sz w:val="24"/>
          <w:szCs w:val="24"/>
          <w:highlight w:val="none"/>
        </w:rPr>
        <w:t>、对本次采购提出询问、质疑、投诉，请按以下方式联系</w:t>
      </w:r>
    </w:p>
    <w:p w14:paraId="08A4347F">
      <w:pPr>
        <w:autoSpaceDE w:val="0"/>
        <w:autoSpaceDN w:val="0"/>
        <w:adjustRightInd w:val="0"/>
        <w:spacing w:line="360" w:lineRule="auto"/>
        <w:ind w:right="-20" w:firstLine="240" w:firstLineChars="1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1.采购人信息</w:t>
      </w:r>
    </w:p>
    <w:p w14:paraId="5A2334EA">
      <w:pPr>
        <w:keepNext w:val="0"/>
        <w:keepLines w:val="0"/>
        <w:pageBreakBefore w:val="0"/>
        <w:widowControl w:val="0"/>
        <w:tabs>
          <w:tab w:val="right" w:pos="8849"/>
        </w:tabs>
        <w:kinsoku/>
        <w:wordWrap/>
        <w:overflowPunct/>
        <w:topLinePunct w:val="0"/>
        <w:autoSpaceDE/>
        <w:autoSpaceDN/>
        <w:bidi w:val="0"/>
        <w:adjustRightInd/>
        <w:snapToGrid/>
        <w:spacing w:line="312" w:lineRule="auto"/>
        <w:ind w:firstLine="480" w:firstLineChars="200"/>
        <w:textAlignment w:val="auto"/>
        <w:rPr>
          <w:rFonts w:ascii="宋体" w:hAnsi="宋体"/>
          <w:sz w:val="24"/>
          <w:highlight w:val="none"/>
        </w:rPr>
      </w:pPr>
      <w:r>
        <w:rPr>
          <w:rFonts w:hint="eastAsia" w:ascii="宋体" w:hAnsi="宋体"/>
          <w:sz w:val="24"/>
          <w:highlight w:val="none"/>
        </w:rPr>
        <w:t>名称：</w:t>
      </w:r>
      <w:r>
        <w:rPr>
          <w:rFonts w:hint="eastAsia" w:ascii="宋体" w:hAnsi="宋体"/>
          <w:sz w:val="24"/>
          <w:highlight w:val="none"/>
          <w:lang w:eastAsia="zh-CN"/>
        </w:rPr>
        <w:t>衢州市柯城区卫生健康局</w:t>
      </w:r>
      <w:r>
        <w:rPr>
          <w:rFonts w:hint="eastAsia" w:ascii="宋体" w:hAnsi="宋体"/>
          <w:sz w:val="24"/>
          <w:highlight w:val="none"/>
        </w:rPr>
        <w:t xml:space="preserve">   </w:t>
      </w:r>
    </w:p>
    <w:p w14:paraId="677F27E3">
      <w:pPr>
        <w:keepNext w:val="0"/>
        <w:keepLines w:val="0"/>
        <w:pageBreakBefore w:val="0"/>
        <w:widowControl w:val="0"/>
        <w:tabs>
          <w:tab w:val="right" w:pos="8849"/>
        </w:tabs>
        <w:kinsoku/>
        <w:wordWrap/>
        <w:overflowPunct/>
        <w:topLinePunct w:val="0"/>
        <w:autoSpaceDE/>
        <w:autoSpaceDN/>
        <w:bidi w:val="0"/>
        <w:adjustRightInd/>
        <w:snapToGrid/>
        <w:spacing w:line="312" w:lineRule="auto"/>
        <w:ind w:firstLine="480" w:firstLineChars="200"/>
        <w:textAlignment w:val="auto"/>
        <w:rPr>
          <w:rFonts w:hint="eastAsia"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郑先生</w:t>
      </w:r>
      <w:r>
        <w:rPr>
          <w:rFonts w:hint="eastAsia" w:ascii="宋体" w:hAnsi="宋体"/>
          <w:sz w:val="24"/>
          <w:highlight w:val="none"/>
        </w:rPr>
        <w:t xml:space="preserve"> </w:t>
      </w:r>
    </w:p>
    <w:p w14:paraId="254FD068">
      <w:pPr>
        <w:keepNext w:val="0"/>
        <w:keepLines w:val="0"/>
        <w:pageBreakBefore w:val="0"/>
        <w:widowControl w:val="0"/>
        <w:tabs>
          <w:tab w:val="right" w:pos="8849"/>
        </w:tabs>
        <w:kinsoku/>
        <w:wordWrap/>
        <w:overflowPunct/>
        <w:topLinePunct w:val="0"/>
        <w:autoSpaceDE/>
        <w:autoSpaceDN/>
        <w:bidi w:val="0"/>
        <w:adjustRightInd/>
        <w:snapToGrid/>
        <w:spacing w:line="312" w:lineRule="auto"/>
        <w:ind w:firstLine="480" w:firstLineChars="200"/>
        <w:textAlignment w:val="auto"/>
        <w:rPr>
          <w:rFonts w:hint="default" w:ascii="宋体" w:hAnsi="宋体" w:eastAsia="宋体"/>
          <w:sz w:val="24"/>
          <w:highlight w:val="none"/>
          <w:lang w:val="en-US" w:eastAsia="zh-CN"/>
        </w:rPr>
      </w:pPr>
      <w:r>
        <w:rPr>
          <w:rFonts w:hint="eastAsia" w:ascii="宋体" w:hAnsi="宋体"/>
          <w:sz w:val="24"/>
          <w:highlight w:val="none"/>
        </w:rPr>
        <w:t>联系电话：</w:t>
      </w:r>
      <w:r>
        <w:rPr>
          <w:rFonts w:hint="eastAsia" w:ascii="宋体" w:hAnsi="宋体"/>
          <w:sz w:val="24"/>
          <w:highlight w:val="none"/>
          <w:lang w:val="en-US" w:eastAsia="zh-CN"/>
        </w:rPr>
        <w:t>0570-3029852</w:t>
      </w:r>
    </w:p>
    <w:p w14:paraId="4408BAA5">
      <w:pPr>
        <w:keepNext w:val="0"/>
        <w:keepLines w:val="0"/>
        <w:pageBreakBefore w:val="0"/>
        <w:widowControl w:val="0"/>
        <w:tabs>
          <w:tab w:val="right" w:pos="8849"/>
        </w:tabs>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rPr>
        <w:t>联系地址：</w:t>
      </w:r>
      <w:r>
        <w:rPr>
          <w:rFonts w:hint="eastAsia" w:ascii="宋体" w:hAnsi="宋体"/>
          <w:sz w:val="24"/>
          <w:highlight w:val="none"/>
          <w:lang w:eastAsia="zh-CN"/>
        </w:rPr>
        <w:t>衢州市柯城区荷花三路231号</w:t>
      </w:r>
    </w:p>
    <w:p w14:paraId="45A23734">
      <w:pPr>
        <w:keepNext w:val="0"/>
        <w:keepLines w:val="0"/>
        <w:pageBreakBefore w:val="0"/>
        <w:widowControl w:val="0"/>
        <w:tabs>
          <w:tab w:val="right" w:pos="8849"/>
        </w:tabs>
        <w:kinsoku/>
        <w:wordWrap/>
        <w:overflowPunct/>
        <w:topLinePunct w:val="0"/>
        <w:autoSpaceDE/>
        <w:autoSpaceDN/>
        <w:bidi w:val="0"/>
        <w:adjustRightInd/>
        <w:snapToGrid/>
        <w:spacing w:line="312" w:lineRule="auto"/>
        <w:ind w:firstLine="480" w:firstLineChars="200"/>
        <w:textAlignment w:val="auto"/>
        <w:rPr>
          <w:rFonts w:ascii="宋体" w:hAnsi="宋体"/>
          <w:sz w:val="24"/>
          <w:highlight w:val="none"/>
        </w:rPr>
      </w:pPr>
      <w:r>
        <w:rPr>
          <w:rFonts w:hint="eastAsia" w:ascii="宋体" w:hAnsi="宋体"/>
          <w:sz w:val="24"/>
          <w:highlight w:val="none"/>
        </w:rPr>
        <w:t>质疑联系人：</w:t>
      </w:r>
      <w:r>
        <w:rPr>
          <w:rFonts w:hint="eastAsia" w:ascii="宋体" w:hAnsi="宋体"/>
          <w:sz w:val="24"/>
          <w:highlight w:val="none"/>
          <w:lang w:val="en-US" w:eastAsia="zh-CN"/>
        </w:rPr>
        <w:t>陈先生</w:t>
      </w:r>
      <w:r>
        <w:rPr>
          <w:rFonts w:hint="eastAsia" w:ascii="宋体" w:hAnsi="宋体"/>
          <w:sz w:val="24"/>
          <w:highlight w:val="none"/>
        </w:rPr>
        <w:t xml:space="preserve">  </w:t>
      </w:r>
    </w:p>
    <w:p w14:paraId="3E4155CB">
      <w:pPr>
        <w:keepNext w:val="0"/>
        <w:keepLines w:val="0"/>
        <w:pageBreakBefore w:val="0"/>
        <w:widowControl w:val="0"/>
        <w:tabs>
          <w:tab w:val="right" w:pos="8849"/>
        </w:tabs>
        <w:kinsoku/>
        <w:wordWrap/>
        <w:overflowPunct/>
        <w:topLinePunct w:val="0"/>
        <w:autoSpaceDE/>
        <w:autoSpaceDN/>
        <w:bidi w:val="0"/>
        <w:adjustRightInd/>
        <w:snapToGrid/>
        <w:spacing w:line="312" w:lineRule="auto"/>
        <w:ind w:firstLine="480" w:firstLineChars="200"/>
        <w:textAlignment w:val="auto"/>
        <w:rPr>
          <w:rFonts w:hint="default" w:eastAsia="宋体"/>
          <w:highlight w:val="none"/>
          <w:lang w:val="en-US" w:eastAsia="zh-CN"/>
        </w:rPr>
      </w:pPr>
      <w:r>
        <w:rPr>
          <w:rFonts w:hint="eastAsia" w:ascii="宋体" w:hAnsi="宋体"/>
          <w:sz w:val="24"/>
          <w:highlight w:val="none"/>
        </w:rPr>
        <w:t>联系电话：</w:t>
      </w:r>
      <w:r>
        <w:rPr>
          <w:rFonts w:hint="eastAsia" w:ascii="宋体" w:hAnsi="宋体"/>
          <w:sz w:val="24"/>
          <w:highlight w:val="none"/>
          <w:lang w:val="en-US" w:eastAsia="zh-CN"/>
        </w:rPr>
        <w:t>0570-3029852</w:t>
      </w:r>
    </w:p>
    <w:p w14:paraId="17F7AA03">
      <w:pPr>
        <w:keepNext w:val="0"/>
        <w:keepLines w:val="0"/>
        <w:pageBreakBefore w:val="0"/>
        <w:widowControl w:val="0"/>
        <w:tabs>
          <w:tab w:val="right" w:pos="8849"/>
        </w:tabs>
        <w:kinsoku/>
        <w:wordWrap/>
        <w:overflowPunct/>
        <w:topLinePunct w:val="0"/>
        <w:autoSpaceDE/>
        <w:autoSpaceDN/>
        <w:bidi w:val="0"/>
        <w:adjustRightInd/>
        <w:snapToGrid/>
        <w:spacing w:line="312" w:lineRule="auto"/>
        <w:ind w:firstLine="480" w:firstLineChars="200"/>
        <w:textAlignment w:val="auto"/>
        <w:rPr>
          <w:rFonts w:ascii="宋体" w:hAnsi="宋体" w:cs="宋体"/>
          <w:sz w:val="24"/>
          <w:highlight w:val="none"/>
        </w:rPr>
      </w:pPr>
      <w:r>
        <w:rPr>
          <w:rFonts w:hint="eastAsia" w:ascii="宋体" w:hAnsi="宋体" w:cs="宋体"/>
          <w:sz w:val="24"/>
          <w:highlight w:val="none"/>
        </w:rPr>
        <w:t>2.采购代理机构信息</w:t>
      </w:r>
    </w:p>
    <w:p w14:paraId="3CF8B0EE">
      <w:pPr>
        <w:keepNext w:val="0"/>
        <w:keepLines w:val="0"/>
        <w:pageBreakBefore w:val="0"/>
        <w:widowControl w:val="0"/>
        <w:tabs>
          <w:tab w:val="right" w:pos="8849"/>
        </w:tabs>
        <w:kinsoku/>
        <w:wordWrap/>
        <w:overflowPunct/>
        <w:topLinePunct w:val="0"/>
        <w:autoSpaceDE/>
        <w:autoSpaceDN/>
        <w:bidi w:val="0"/>
        <w:adjustRightInd/>
        <w:snapToGrid/>
        <w:spacing w:line="312" w:lineRule="auto"/>
        <w:ind w:firstLine="480" w:firstLineChars="200"/>
        <w:textAlignment w:val="auto"/>
        <w:rPr>
          <w:rFonts w:ascii="宋体" w:hAnsi="宋体" w:cs="宋体"/>
          <w:sz w:val="24"/>
          <w:highlight w:val="none"/>
        </w:rPr>
      </w:pPr>
      <w:r>
        <w:rPr>
          <w:rFonts w:hint="eastAsia" w:ascii="宋体" w:hAnsi="宋体" w:cs="宋体"/>
          <w:sz w:val="24"/>
          <w:highlight w:val="none"/>
        </w:rPr>
        <w:t>名称：</w:t>
      </w:r>
      <w:r>
        <w:rPr>
          <w:rFonts w:hint="eastAsia" w:ascii="宋体" w:hAnsi="宋体" w:cs="宋体"/>
          <w:sz w:val="24"/>
          <w:highlight w:val="none"/>
          <w:lang w:eastAsia="zh-CN"/>
        </w:rPr>
        <w:t>浙江天柯工程顾问有限公司</w:t>
      </w:r>
      <w:r>
        <w:rPr>
          <w:rFonts w:hint="eastAsia" w:ascii="宋体" w:hAnsi="宋体" w:cs="宋体"/>
          <w:sz w:val="24"/>
          <w:highlight w:val="none"/>
        </w:rPr>
        <w:t xml:space="preserve">   </w:t>
      </w:r>
    </w:p>
    <w:p w14:paraId="5EA906E8">
      <w:pPr>
        <w:keepNext w:val="0"/>
        <w:keepLines w:val="0"/>
        <w:pageBreakBefore w:val="0"/>
        <w:widowControl w:val="0"/>
        <w:tabs>
          <w:tab w:val="right" w:pos="8849"/>
        </w:tabs>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联系地址：</w:t>
      </w:r>
      <w:r>
        <w:rPr>
          <w:rFonts w:hint="eastAsia" w:ascii="宋体" w:hAnsi="宋体" w:cs="宋体"/>
          <w:sz w:val="24"/>
          <w:highlight w:val="none"/>
          <w:lang w:eastAsia="zh-CN"/>
        </w:rPr>
        <w:t>衢州市柯城区白云街道鑫港大厦1206室</w:t>
      </w:r>
    </w:p>
    <w:p w14:paraId="086F143A">
      <w:pPr>
        <w:keepNext w:val="0"/>
        <w:keepLines w:val="0"/>
        <w:pageBreakBefore w:val="0"/>
        <w:widowControl w:val="0"/>
        <w:tabs>
          <w:tab w:val="right" w:pos="8849"/>
        </w:tabs>
        <w:kinsoku/>
        <w:wordWrap/>
        <w:overflowPunct/>
        <w:topLinePunct w:val="0"/>
        <w:autoSpaceDE/>
        <w:autoSpaceDN/>
        <w:bidi w:val="0"/>
        <w:adjustRightInd/>
        <w:snapToGrid/>
        <w:spacing w:line="312" w:lineRule="auto"/>
        <w:ind w:firstLine="480" w:firstLineChars="200"/>
        <w:textAlignment w:val="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lang w:eastAsia="zh-CN"/>
        </w:rPr>
        <w:t>（询问）</w:t>
      </w:r>
      <w:r>
        <w:rPr>
          <w:rFonts w:hint="eastAsia" w:ascii="宋体" w:hAnsi="宋体" w:cs="宋体"/>
          <w:sz w:val="24"/>
          <w:highlight w:val="none"/>
        </w:rPr>
        <w:t>：</w:t>
      </w:r>
      <w:r>
        <w:rPr>
          <w:rFonts w:hint="eastAsia" w:ascii="宋体" w:hAnsi="宋体" w:cs="宋体"/>
          <w:sz w:val="24"/>
          <w:highlight w:val="none"/>
          <w:lang w:val="en-US" w:eastAsia="zh-CN"/>
        </w:rPr>
        <w:t>许</w:t>
      </w:r>
      <w:r>
        <w:rPr>
          <w:rFonts w:hint="eastAsia" w:ascii="宋体" w:hAnsi="宋体" w:cs="宋体"/>
          <w:sz w:val="24"/>
          <w:highlight w:val="none"/>
        </w:rPr>
        <w:t xml:space="preserve">女士         </w:t>
      </w:r>
    </w:p>
    <w:p w14:paraId="1B3369F8">
      <w:pPr>
        <w:keepNext w:val="0"/>
        <w:keepLines w:val="0"/>
        <w:pageBreakBefore w:val="0"/>
        <w:widowControl w:val="0"/>
        <w:tabs>
          <w:tab w:val="right" w:pos="8849"/>
        </w:tabs>
        <w:kinsoku/>
        <w:wordWrap/>
        <w:overflowPunct/>
        <w:topLinePunct w:val="0"/>
        <w:autoSpaceDE/>
        <w:autoSpaceDN/>
        <w:bidi w:val="0"/>
        <w:adjustRightInd/>
        <w:snapToGrid/>
        <w:spacing w:line="312"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cs="宋体"/>
          <w:sz w:val="24"/>
          <w:highlight w:val="none"/>
        </w:rPr>
        <w:t>联系电话</w:t>
      </w:r>
      <w:r>
        <w:rPr>
          <w:rFonts w:hint="eastAsia" w:ascii="宋体" w:hAnsi="宋体" w:cs="宋体"/>
          <w:sz w:val="24"/>
          <w:highlight w:val="none"/>
          <w:lang w:eastAsia="zh-CN"/>
        </w:rPr>
        <w:t>（询问）</w:t>
      </w:r>
      <w:r>
        <w:rPr>
          <w:rFonts w:hint="eastAsia" w:ascii="宋体" w:hAnsi="宋体" w:cs="宋体"/>
          <w:sz w:val="24"/>
          <w:highlight w:val="none"/>
        </w:rPr>
        <w:t>：</w:t>
      </w:r>
      <w:r>
        <w:rPr>
          <w:rFonts w:hint="eastAsia" w:ascii="宋体" w:hAnsi="宋体" w:cs="宋体"/>
          <w:sz w:val="24"/>
          <w:highlight w:val="none"/>
          <w:lang w:val="en-US" w:eastAsia="zh-CN"/>
        </w:rPr>
        <w:t>13587001428</w:t>
      </w:r>
    </w:p>
    <w:p w14:paraId="1709FA8D">
      <w:pPr>
        <w:keepNext w:val="0"/>
        <w:keepLines w:val="0"/>
        <w:pageBreakBefore w:val="0"/>
        <w:widowControl w:val="0"/>
        <w:tabs>
          <w:tab w:val="right" w:pos="8849"/>
        </w:tabs>
        <w:kinsoku/>
        <w:wordWrap/>
        <w:overflowPunct/>
        <w:topLinePunct w:val="0"/>
        <w:autoSpaceDE/>
        <w:autoSpaceDN/>
        <w:bidi w:val="0"/>
        <w:adjustRightInd/>
        <w:snapToGrid/>
        <w:spacing w:line="312" w:lineRule="auto"/>
        <w:ind w:firstLine="480" w:firstLineChars="200"/>
        <w:textAlignment w:val="auto"/>
        <w:rPr>
          <w:rFonts w:ascii="宋体" w:hAnsi="宋体" w:cs="宋体"/>
          <w:sz w:val="24"/>
          <w:highlight w:val="none"/>
        </w:rPr>
      </w:pPr>
      <w:r>
        <w:rPr>
          <w:rFonts w:hint="eastAsia" w:ascii="宋体" w:hAnsi="宋体" w:cs="宋体"/>
          <w:sz w:val="24"/>
          <w:highlight w:val="none"/>
        </w:rPr>
        <w:t>质疑联系人：</w:t>
      </w:r>
      <w:r>
        <w:rPr>
          <w:rFonts w:hint="eastAsia" w:ascii="宋体" w:hAnsi="宋体" w:cs="宋体"/>
          <w:sz w:val="24"/>
          <w:highlight w:val="none"/>
          <w:lang w:val="en-US" w:eastAsia="zh-CN"/>
        </w:rPr>
        <w:t>余先生</w:t>
      </w:r>
      <w:r>
        <w:rPr>
          <w:rFonts w:hint="eastAsia" w:ascii="宋体" w:hAnsi="宋体" w:cs="宋体"/>
          <w:sz w:val="24"/>
          <w:highlight w:val="none"/>
        </w:rPr>
        <w:t xml:space="preserve">         </w:t>
      </w:r>
    </w:p>
    <w:p w14:paraId="5C52CC97">
      <w:pPr>
        <w:keepNext w:val="0"/>
        <w:keepLines w:val="0"/>
        <w:pageBreakBefore w:val="0"/>
        <w:widowControl w:val="0"/>
        <w:tabs>
          <w:tab w:val="right" w:pos="8849"/>
        </w:tabs>
        <w:kinsoku/>
        <w:wordWrap/>
        <w:overflowPunct/>
        <w:topLinePunct w:val="0"/>
        <w:autoSpaceDE/>
        <w:autoSpaceDN/>
        <w:bidi w:val="0"/>
        <w:adjustRightInd/>
        <w:snapToGrid/>
        <w:spacing w:line="312" w:lineRule="auto"/>
        <w:ind w:firstLine="480" w:firstLineChars="200"/>
        <w:textAlignment w:val="auto"/>
        <w:rPr>
          <w:highlight w:val="none"/>
        </w:rPr>
      </w:pPr>
      <w:r>
        <w:rPr>
          <w:rFonts w:hint="eastAsia" w:ascii="宋体" w:hAnsi="宋体" w:cs="宋体"/>
          <w:sz w:val="24"/>
          <w:highlight w:val="none"/>
        </w:rPr>
        <w:t>联系电话：</w:t>
      </w:r>
      <w:r>
        <w:rPr>
          <w:rFonts w:hint="eastAsia" w:ascii="宋体" w:hAnsi="宋体" w:cs="宋体"/>
          <w:sz w:val="24"/>
          <w:highlight w:val="none"/>
          <w:lang w:val="en-US" w:eastAsia="zh-CN"/>
        </w:rPr>
        <w:t>0570-</w:t>
      </w:r>
      <w:r>
        <w:rPr>
          <w:rFonts w:hint="eastAsia" w:ascii="宋体" w:hAnsi="宋体" w:eastAsia="宋体" w:cs="宋体"/>
          <w:color w:val="auto"/>
          <w:sz w:val="24"/>
          <w:szCs w:val="24"/>
          <w:highlight w:val="none"/>
          <w:lang w:val="en-US" w:eastAsia="zh-CN"/>
        </w:rPr>
        <w:t>8030937</w:t>
      </w:r>
    </w:p>
    <w:p w14:paraId="0BA255F8">
      <w:pPr>
        <w:keepNext w:val="0"/>
        <w:keepLines w:val="0"/>
        <w:pageBreakBefore w:val="0"/>
        <w:widowControl w:val="0"/>
        <w:tabs>
          <w:tab w:val="right" w:pos="8849"/>
        </w:tabs>
        <w:kinsoku/>
        <w:wordWrap/>
        <w:overflowPunct/>
        <w:topLinePunct w:val="0"/>
        <w:autoSpaceDE/>
        <w:autoSpaceDN/>
        <w:bidi w:val="0"/>
        <w:adjustRightInd/>
        <w:snapToGrid/>
        <w:spacing w:line="312" w:lineRule="auto"/>
        <w:ind w:firstLine="480" w:firstLineChars="200"/>
        <w:textAlignment w:val="auto"/>
        <w:rPr>
          <w:rFonts w:ascii="宋体" w:hAnsi="宋体" w:cs="宋体"/>
          <w:sz w:val="24"/>
          <w:highlight w:val="none"/>
        </w:rPr>
      </w:pPr>
      <w:r>
        <w:rPr>
          <w:rFonts w:hint="eastAsia" w:ascii="宋体" w:hAnsi="宋体" w:cs="宋体"/>
          <w:sz w:val="24"/>
          <w:highlight w:val="none"/>
        </w:rPr>
        <w:t>3.政府采购行政监管及投诉受理部门：</w:t>
      </w:r>
    </w:p>
    <w:p w14:paraId="53FEAEA0">
      <w:pPr>
        <w:keepNext w:val="0"/>
        <w:keepLines w:val="0"/>
        <w:pageBreakBefore w:val="0"/>
        <w:widowControl w:val="0"/>
        <w:tabs>
          <w:tab w:val="right" w:pos="8849"/>
        </w:tabs>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监管办公室：衢州市柯城区政府采购监督管理办公室</w:t>
      </w:r>
    </w:p>
    <w:p w14:paraId="34680CF5">
      <w:pPr>
        <w:keepNext w:val="0"/>
        <w:keepLines w:val="0"/>
        <w:pageBreakBefore w:val="0"/>
        <w:widowControl w:val="0"/>
        <w:tabs>
          <w:tab w:val="right" w:pos="8849"/>
        </w:tabs>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cs="宋体"/>
          <w:sz w:val="24"/>
          <w:highlight w:val="none"/>
        </w:rPr>
        <w:t>联系</w:t>
      </w:r>
      <w:r>
        <w:rPr>
          <w:rFonts w:hint="eastAsia" w:ascii="宋体" w:hAnsi="宋体" w:eastAsia="宋体" w:cs="宋体"/>
          <w:sz w:val="24"/>
          <w:highlight w:val="none"/>
          <w:lang w:eastAsia="zh-CN"/>
        </w:rPr>
        <w:t>地址：柯城区行政服务中心9号楼</w:t>
      </w:r>
    </w:p>
    <w:p w14:paraId="75E25DB8">
      <w:pPr>
        <w:keepNext w:val="0"/>
        <w:keepLines w:val="0"/>
        <w:pageBreakBefore w:val="0"/>
        <w:widowControl w:val="0"/>
        <w:tabs>
          <w:tab w:val="right" w:pos="8849"/>
        </w:tabs>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lang w:eastAsia="zh-CN"/>
        </w:rPr>
        <w:t>蒋</w:t>
      </w:r>
      <w:r>
        <w:rPr>
          <w:rFonts w:hint="eastAsia" w:ascii="宋体" w:hAnsi="宋体" w:eastAsia="宋体" w:cs="宋体"/>
          <w:sz w:val="24"/>
          <w:highlight w:val="none"/>
        </w:rPr>
        <w:t>先生</w:t>
      </w:r>
    </w:p>
    <w:p w14:paraId="48501C3B">
      <w:pPr>
        <w:keepNext w:val="0"/>
        <w:keepLines w:val="0"/>
        <w:pageBreakBefore w:val="0"/>
        <w:widowControl w:val="0"/>
        <w:tabs>
          <w:tab w:val="right" w:pos="8849"/>
        </w:tabs>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联系电话：0570-302</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8</w:t>
      </w:r>
      <w:r>
        <w:rPr>
          <w:rFonts w:hint="eastAsia" w:ascii="宋体" w:hAnsi="宋体" w:eastAsia="宋体" w:cs="宋体"/>
          <w:sz w:val="24"/>
          <w:highlight w:val="none"/>
          <w:lang w:val="en-US" w:eastAsia="zh-CN"/>
        </w:rPr>
        <w:t>29</w:t>
      </w:r>
    </w:p>
    <w:p w14:paraId="155A4B8E">
      <w:pPr>
        <w:keepNext w:val="0"/>
        <w:keepLines w:val="0"/>
        <w:pageBreakBefore w:val="0"/>
        <w:widowControl w:val="0"/>
        <w:tabs>
          <w:tab w:val="right" w:pos="8849"/>
        </w:tabs>
        <w:kinsoku/>
        <w:wordWrap/>
        <w:overflowPunct/>
        <w:topLinePunct w:val="0"/>
        <w:autoSpaceDE/>
        <w:autoSpaceDN/>
        <w:bidi w:val="0"/>
        <w:adjustRightInd/>
        <w:snapToGrid/>
        <w:spacing w:line="312"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4.系统技术支持：政采云有限公司     </w:t>
      </w:r>
    </w:p>
    <w:p w14:paraId="6E7587C0">
      <w:pPr>
        <w:keepNext w:val="0"/>
        <w:keepLines w:val="0"/>
        <w:pageBreakBefore w:val="0"/>
        <w:widowControl w:val="0"/>
        <w:tabs>
          <w:tab w:val="right" w:pos="8849"/>
        </w:tabs>
        <w:kinsoku/>
        <w:wordWrap/>
        <w:overflowPunct/>
        <w:topLinePunct w:val="0"/>
        <w:autoSpaceDE/>
        <w:autoSpaceDN/>
        <w:bidi w:val="0"/>
        <w:adjustRightInd/>
        <w:snapToGrid/>
        <w:spacing w:line="312"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联系人：客服   </w:t>
      </w:r>
    </w:p>
    <w:p w14:paraId="579C6065">
      <w:pPr>
        <w:keepNext w:val="0"/>
        <w:keepLines w:val="0"/>
        <w:pageBreakBefore w:val="0"/>
        <w:widowControl w:val="0"/>
        <w:tabs>
          <w:tab w:val="right" w:pos="8849"/>
        </w:tabs>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联系电话：95763</w:t>
      </w:r>
    </w:p>
    <w:p w14:paraId="0BFE53E8">
      <w:pPr>
        <w:pStyle w:val="87"/>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jc w:val="left"/>
        <w:textAlignment w:val="auto"/>
        <w:rPr>
          <w:rFonts w:hint="eastAsia" w:ascii="宋体" w:hAnsi="宋体" w:eastAsia="宋体" w:cs="宋体"/>
          <w:color w:val="auto"/>
          <w:sz w:val="21"/>
          <w:szCs w:val="21"/>
          <w:highlight w:val="none"/>
          <w:lang w:val="en-US" w:eastAsia="zh-CN"/>
        </w:rPr>
      </w:pPr>
    </w:p>
    <w:p w14:paraId="007C567C">
      <w:pPr>
        <w:pStyle w:val="35"/>
        <w:rPr>
          <w:rFonts w:hint="default"/>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kern w:val="2"/>
          <w:sz w:val="24"/>
          <w:highlight w:val="none"/>
          <w:lang w:val="en-US" w:eastAsia="zh-CN" w:bidi="ar-SA"/>
        </w:rPr>
        <w:t xml:space="preserve">  </w:t>
      </w:r>
      <w:r>
        <w:rPr>
          <w:rFonts w:hint="eastAsia" w:ascii="宋体" w:hAnsi="宋体" w:cs="宋体"/>
          <w:kern w:val="2"/>
          <w:sz w:val="24"/>
          <w:highlight w:val="none"/>
          <w:lang w:val="en-US" w:eastAsia="zh-CN" w:bidi="ar-SA"/>
        </w:rPr>
        <w:t xml:space="preserve">    </w:t>
      </w:r>
      <w:r>
        <w:rPr>
          <w:rFonts w:hint="eastAsia" w:ascii="宋体" w:hAnsi="宋体" w:eastAsia="宋体" w:cs="宋体"/>
          <w:kern w:val="2"/>
          <w:sz w:val="24"/>
          <w:highlight w:val="none"/>
          <w:lang w:val="en-US" w:eastAsia="zh-CN" w:bidi="ar-SA"/>
        </w:rPr>
        <w:t>2024年10月28日</w:t>
      </w:r>
    </w:p>
    <w:p w14:paraId="2DFDDAD1">
      <w:pPr>
        <w:pStyle w:val="47"/>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2" w:name="_Toc31506"/>
      <w:r>
        <w:rPr>
          <w:rFonts w:hint="eastAsia" w:ascii="宋体" w:hAnsi="宋体" w:eastAsia="宋体" w:cs="宋体"/>
          <w:b/>
          <w:color w:val="auto"/>
          <w:sz w:val="36"/>
          <w:highlight w:val="none"/>
        </w:rPr>
        <w:t>第二部分  投标人须知</w:t>
      </w:r>
      <w:bookmarkEnd w:id="2"/>
    </w:p>
    <w:p w14:paraId="6A075645">
      <w:pPr>
        <w:pStyle w:val="4"/>
        <w:kinsoku/>
        <w:overflowPunct/>
        <w:bidi w:val="0"/>
        <w:spacing w:line="400" w:lineRule="exact"/>
        <w:ind w:left="560" w:firstLine="0"/>
        <w:jc w:val="center"/>
        <w:rPr>
          <w:rFonts w:hint="eastAsia" w:ascii="宋体" w:hAnsi="宋体" w:eastAsia="宋体" w:cs="宋体"/>
          <w:color w:val="auto"/>
          <w:sz w:val="32"/>
          <w:highlight w:val="none"/>
        </w:rPr>
      </w:pPr>
      <w:bookmarkStart w:id="3" w:name="_Toc522530040"/>
      <w:bookmarkStart w:id="4" w:name="_Toc16117"/>
      <w:bookmarkStart w:id="5" w:name="_Toc519670190"/>
      <w:r>
        <w:rPr>
          <w:rFonts w:hint="eastAsia" w:ascii="宋体" w:hAnsi="宋体" w:eastAsia="宋体" w:cs="宋体"/>
          <w:color w:val="auto"/>
          <w:sz w:val="32"/>
          <w:highlight w:val="none"/>
        </w:rPr>
        <w:t>前 附 表</w:t>
      </w:r>
      <w:bookmarkEnd w:id="3"/>
      <w:bookmarkEnd w:id="4"/>
      <w:bookmarkEnd w:id="5"/>
    </w:p>
    <w:bookmarkEnd w:id="1"/>
    <w:tbl>
      <w:tblPr>
        <w:tblStyle w:val="8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592"/>
      </w:tblGrid>
      <w:tr w14:paraId="33051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6C13975E">
            <w:pPr>
              <w:snapToGrid w:val="0"/>
              <w:ind w:left="-140" w:leftChars="-50" w:right="-140" w:rightChars="-50"/>
              <w:jc w:val="center"/>
              <w:rPr>
                <w:rFonts w:ascii="宋体" w:hAnsi="宋体" w:cs="宋体"/>
                <w:sz w:val="24"/>
                <w:highlight w:val="none"/>
              </w:rPr>
            </w:pPr>
            <w:bookmarkStart w:id="6" w:name="_Toc522530041"/>
            <w:bookmarkStart w:id="7" w:name="_Toc994"/>
            <w:bookmarkStart w:id="8" w:name="_Toc233618972"/>
            <w:bookmarkStart w:id="9" w:name="_Toc226521904"/>
            <w:bookmarkStart w:id="10" w:name="_Toc226106516"/>
            <w:bookmarkStart w:id="11" w:name="_Toc226106467"/>
            <w:bookmarkStart w:id="12" w:name="_Toc225840109"/>
            <w:r>
              <w:rPr>
                <w:rFonts w:hint="eastAsia" w:ascii="宋体" w:hAnsi="宋体" w:cs="宋体"/>
                <w:sz w:val="24"/>
                <w:highlight w:val="none"/>
              </w:rPr>
              <w:t>序号</w:t>
            </w:r>
          </w:p>
        </w:tc>
        <w:tc>
          <w:tcPr>
            <w:tcW w:w="8592" w:type="dxa"/>
            <w:tcBorders>
              <w:top w:val="single" w:color="auto" w:sz="4" w:space="0"/>
              <w:left w:val="single" w:color="auto" w:sz="4" w:space="0"/>
              <w:bottom w:val="single" w:color="auto" w:sz="4" w:space="0"/>
              <w:right w:val="single" w:color="auto" w:sz="4" w:space="0"/>
            </w:tcBorders>
            <w:noWrap w:val="0"/>
            <w:vAlign w:val="center"/>
          </w:tcPr>
          <w:p w14:paraId="46F23078">
            <w:pPr>
              <w:snapToGrid w:val="0"/>
              <w:jc w:val="center"/>
              <w:rPr>
                <w:rFonts w:ascii="宋体" w:hAnsi="宋体" w:cs="宋体"/>
                <w:sz w:val="24"/>
                <w:highlight w:val="none"/>
              </w:rPr>
            </w:pPr>
            <w:r>
              <w:rPr>
                <w:rFonts w:hint="eastAsia" w:ascii="宋体" w:hAnsi="宋体" w:cs="宋体"/>
                <w:sz w:val="24"/>
                <w:highlight w:val="none"/>
              </w:rPr>
              <w:t>内容、要求</w:t>
            </w:r>
          </w:p>
        </w:tc>
      </w:tr>
      <w:tr w14:paraId="15015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358E26C2">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1</w:t>
            </w:r>
          </w:p>
        </w:tc>
        <w:tc>
          <w:tcPr>
            <w:tcW w:w="8592" w:type="dxa"/>
            <w:tcBorders>
              <w:top w:val="single" w:color="auto" w:sz="4" w:space="0"/>
              <w:left w:val="single" w:color="auto" w:sz="4" w:space="0"/>
              <w:bottom w:val="single" w:color="auto" w:sz="4" w:space="0"/>
              <w:right w:val="single" w:color="auto" w:sz="4" w:space="0"/>
            </w:tcBorders>
            <w:noWrap w:val="0"/>
            <w:vAlign w:val="center"/>
          </w:tcPr>
          <w:p w14:paraId="5B0C9803">
            <w:pPr>
              <w:keepNext w:val="0"/>
              <w:keepLines w:val="0"/>
              <w:pageBreakBefore w:val="0"/>
              <w:kinsoku/>
              <w:wordWrap/>
              <w:overflowPunct/>
              <w:topLinePunct w:val="0"/>
              <w:autoSpaceDE w:val="0"/>
              <w:autoSpaceDN w:val="0"/>
              <w:bidi w:val="0"/>
              <w:adjustRightInd w:val="0"/>
              <w:spacing w:line="400" w:lineRule="exact"/>
              <w:ind w:right="-20"/>
              <w:textAlignment w:val="auto"/>
              <w:rPr>
                <w:rFonts w:hint="default" w:ascii="宋体" w:hAnsi="宋体" w:eastAsia="宋体" w:cs="宋体"/>
                <w:sz w:val="24"/>
                <w:highlight w:val="none"/>
                <w:lang w:val="en-US" w:eastAsia="zh-CN"/>
              </w:rPr>
            </w:pPr>
            <w:r>
              <w:rPr>
                <w:rFonts w:hint="eastAsia" w:ascii="宋体" w:hAnsi="宋体" w:cs="宋体"/>
                <w:b/>
                <w:bCs/>
                <w:sz w:val="24"/>
                <w:highlight w:val="none"/>
              </w:rPr>
              <w:t>项目名称：</w:t>
            </w:r>
            <w:r>
              <w:rPr>
                <w:rFonts w:hint="default" w:ascii="宋体" w:hAnsi="宋体" w:cs="宋体"/>
                <w:color w:val="auto"/>
                <w:sz w:val="24"/>
                <w:szCs w:val="24"/>
                <w:highlight w:val="none"/>
                <w:u w:val="none"/>
                <w:lang w:eastAsia="zh-CN"/>
              </w:rPr>
              <w:t>柯城区双港街道社区卫生服务中心清莲里分中心建设项目办公桌椅等设施设备采购</w:t>
            </w:r>
          </w:p>
        </w:tc>
      </w:tr>
      <w:tr w14:paraId="1E9BD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11786664">
            <w:pPr>
              <w:snapToGrid w:val="0"/>
              <w:jc w:val="center"/>
              <w:rPr>
                <w:rFonts w:ascii="宋体" w:hAnsi="宋体" w:eastAsia="宋体" w:cs="宋体"/>
                <w:kern w:val="2"/>
                <w:sz w:val="24"/>
                <w:szCs w:val="24"/>
                <w:highlight w:val="none"/>
                <w:lang w:val="en-US" w:eastAsia="zh-CN" w:bidi="ar-SA"/>
              </w:rPr>
            </w:pPr>
            <w:r>
              <w:rPr>
                <w:rFonts w:hint="eastAsia" w:ascii="宋体" w:hAnsi="宋体" w:cs="宋体"/>
                <w:sz w:val="24"/>
                <w:highlight w:val="none"/>
              </w:rPr>
              <w:t>2</w:t>
            </w:r>
          </w:p>
        </w:tc>
        <w:tc>
          <w:tcPr>
            <w:tcW w:w="8592" w:type="dxa"/>
            <w:tcBorders>
              <w:top w:val="single" w:color="auto" w:sz="4" w:space="0"/>
              <w:left w:val="single" w:color="auto" w:sz="4" w:space="0"/>
              <w:bottom w:val="single" w:color="auto" w:sz="4" w:space="0"/>
              <w:right w:val="single" w:color="auto" w:sz="4" w:space="0"/>
            </w:tcBorders>
            <w:noWrap w:val="0"/>
            <w:vAlign w:val="center"/>
          </w:tcPr>
          <w:p w14:paraId="72FF75E9">
            <w:pPr>
              <w:ind w:left="1205" w:hanging="1200" w:hangingChars="500"/>
              <w:rPr>
                <w:rFonts w:ascii="宋体" w:hAnsi="宋体" w:cs="宋体"/>
                <w:sz w:val="24"/>
                <w:highlight w:val="none"/>
              </w:rPr>
            </w:pPr>
            <w:r>
              <w:rPr>
                <w:rFonts w:hint="eastAsia" w:ascii="宋体" w:hAnsi="宋体" w:cs="宋体"/>
                <w:sz w:val="24"/>
                <w:highlight w:val="none"/>
                <w:lang w:val="en-US" w:eastAsia="zh-CN"/>
              </w:rPr>
              <w:t>项目属性：货物类</w:t>
            </w:r>
          </w:p>
        </w:tc>
      </w:tr>
      <w:tr w14:paraId="5BBFD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1F7073DA">
            <w:pPr>
              <w:snapToGrid w:val="0"/>
              <w:jc w:val="center"/>
              <w:rPr>
                <w:rFonts w:ascii="宋体" w:hAnsi="宋体" w:eastAsia="宋体" w:cs="宋体"/>
                <w:kern w:val="2"/>
                <w:sz w:val="24"/>
                <w:szCs w:val="24"/>
                <w:highlight w:val="none"/>
                <w:lang w:val="en-US" w:eastAsia="zh-CN" w:bidi="ar-SA"/>
              </w:rPr>
            </w:pPr>
            <w:r>
              <w:rPr>
                <w:rFonts w:hint="eastAsia" w:ascii="宋体" w:hAnsi="宋体" w:cs="宋体"/>
                <w:sz w:val="24"/>
                <w:highlight w:val="none"/>
              </w:rPr>
              <w:t>3</w:t>
            </w:r>
          </w:p>
        </w:tc>
        <w:tc>
          <w:tcPr>
            <w:tcW w:w="8592" w:type="dxa"/>
            <w:tcBorders>
              <w:top w:val="single" w:color="auto" w:sz="4" w:space="0"/>
              <w:left w:val="single" w:color="auto" w:sz="4" w:space="0"/>
              <w:bottom w:val="single" w:color="auto" w:sz="4" w:space="0"/>
              <w:right w:val="single" w:color="auto" w:sz="4" w:space="0"/>
            </w:tcBorders>
            <w:noWrap w:val="0"/>
            <w:vAlign w:val="center"/>
          </w:tcPr>
          <w:p w14:paraId="1EB7C3A7">
            <w:pPr>
              <w:keepNext w:val="0"/>
              <w:keepLines w:val="0"/>
              <w:pageBreakBefore w:val="0"/>
              <w:widowControl w:val="0"/>
              <w:kinsoku/>
              <w:wordWrap/>
              <w:overflowPunct/>
              <w:topLinePunct w:val="0"/>
              <w:autoSpaceDE w:val="0"/>
              <w:autoSpaceDN w:val="0"/>
              <w:bidi w:val="0"/>
              <w:adjustRightInd w:val="0"/>
              <w:snapToGrid/>
              <w:spacing w:line="400" w:lineRule="exact"/>
              <w:ind w:right="-20"/>
              <w:jc w:val="both"/>
              <w:textAlignment w:val="auto"/>
              <w:outlineLvl w:val="9"/>
              <w:rPr>
                <w:rFonts w:ascii="宋体" w:hAnsi="宋体" w:cs="宋体"/>
                <w:sz w:val="24"/>
                <w:highlight w:val="none"/>
              </w:rPr>
            </w:pPr>
            <w:r>
              <w:rPr>
                <w:rFonts w:hint="eastAsia" w:ascii="宋体" w:hAnsi="宋体" w:cs="宋体"/>
                <w:b/>
                <w:bCs/>
                <w:sz w:val="24"/>
                <w:highlight w:val="none"/>
              </w:rPr>
              <w:t>落实政府采购政策需满足的资格要求：</w:t>
            </w:r>
            <w:r>
              <w:rPr>
                <w:rFonts w:hint="eastAsia" w:ascii="宋体" w:hAnsi="宋体" w:eastAsia="宋体" w:cs="宋体"/>
                <w:b/>
                <w:bCs/>
                <w:color w:val="auto"/>
                <w:sz w:val="24"/>
                <w:szCs w:val="24"/>
                <w:highlight w:val="none"/>
              </w:rPr>
              <w:t>本项目属于专门面向中小微企业采购的项目,供应商应为中小微企业</w:t>
            </w:r>
            <w:r>
              <w:rPr>
                <w:rFonts w:hint="eastAsia" w:ascii="宋体" w:hAnsi="宋体" w:eastAsia="宋体" w:cs="宋体"/>
                <w:b/>
                <w:bCs/>
                <w:color w:val="auto"/>
                <w:sz w:val="24"/>
                <w:szCs w:val="24"/>
                <w:highlight w:val="none"/>
                <w:lang w:eastAsia="zh-CN"/>
              </w:rPr>
              <w:t>或</w:t>
            </w:r>
            <w:r>
              <w:rPr>
                <w:rFonts w:hint="eastAsia" w:ascii="宋体" w:hAnsi="宋体" w:eastAsia="宋体" w:cs="宋体"/>
                <w:b/>
                <w:bCs/>
                <w:color w:val="auto"/>
                <w:sz w:val="24"/>
                <w:szCs w:val="24"/>
                <w:highlight w:val="none"/>
              </w:rPr>
              <w:t>监狱企业</w:t>
            </w:r>
            <w:r>
              <w:rPr>
                <w:rFonts w:hint="eastAsia" w:ascii="宋体" w:hAnsi="宋体" w:eastAsia="宋体" w:cs="宋体"/>
                <w:b/>
                <w:bCs/>
                <w:color w:val="auto"/>
                <w:sz w:val="24"/>
                <w:szCs w:val="24"/>
                <w:highlight w:val="none"/>
                <w:lang w:eastAsia="zh-CN"/>
              </w:rPr>
              <w:t>或</w:t>
            </w:r>
            <w:r>
              <w:rPr>
                <w:rFonts w:hint="eastAsia" w:ascii="宋体" w:hAnsi="宋体" w:eastAsia="宋体" w:cs="宋体"/>
                <w:b/>
                <w:bCs/>
                <w:color w:val="auto"/>
                <w:sz w:val="24"/>
                <w:szCs w:val="24"/>
                <w:highlight w:val="none"/>
              </w:rPr>
              <w:t>残疾人福利性单位。</w:t>
            </w:r>
          </w:p>
        </w:tc>
      </w:tr>
      <w:tr w14:paraId="2BBE0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1F279DC8">
            <w:pPr>
              <w:snapToGrid w:val="0"/>
              <w:jc w:val="center"/>
              <w:rPr>
                <w:rFonts w:ascii="宋体" w:hAnsi="宋体" w:eastAsia="宋体" w:cs="宋体"/>
                <w:kern w:val="2"/>
                <w:sz w:val="24"/>
                <w:szCs w:val="24"/>
                <w:highlight w:val="none"/>
                <w:lang w:val="en-US" w:eastAsia="zh-CN" w:bidi="ar-SA"/>
              </w:rPr>
            </w:pPr>
            <w:r>
              <w:rPr>
                <w:rFonts w:hint="eastAsia" w:ascii="宋体" w:hAnsi="宋体" w:cs="宋体"/>
                <w:sz w:val="24"/>
                <w:highlight w:val="none"/>
              </w:rPr>
              <w:t>4</w:t>
            </w:r>
          </w:p>
        </w:tc>
        <w:tc>
          <w:tcPr>
            <w:tcW w:w="8592" w:type="dxa"/>
            <w:tcBorders>
              <w:top w:val="single" w:color="auto" w:sz="4" w:space="0"/>
              <w:left w:val="single" w:color="auto" w:sz="4" w:space="0"/>
              <w:bottom w:val="single" w:color="auto" w:sz="4" w:space="0"/>
              <w:right w:val="single" w:color="auto" w:sz="4" w:space="0"/>
            </w:tcBorders>
            <w:noWrap w:val="0"/>
            <w:vAlign w:val="center"/>
          </w:tcPr>
          <w:p w14:paraId="0F35545F">
            <w:pPr>
              <w:snapToGrid w:val="0"/>
              <w:jc w:val="left"/>
              <w:rPr>
                <w:rFonts w:ascii="宋体" w:hAnsi="宋体" w:cs="宋体"/>
                <w:sz w:val="24"/>
                <w:highlight w:val="none"/>
              </w:rPr>
            </w:pPr>
            <w:r>
              <w:rPr>
                <w:rFonts w:hint="eastAsia" w:ascii="宋体" w:hAnsi="宋体" w:cs="宋体"/>
                <w:b/>
                <w:bCs/>
                <w:sz w:val="24"/>
                <w:highlight w:val="none"/>
              </w:rPr>
              <w:t>根据《中小企业划型标准规定的通知》（工信部联企业〔2011〕300号）规定，本项目采购标的所属行业：</w:t>
            </w:r>
            <w:r>
              <w:rPr>
                <w:rFonts w:hint="eastAsia" w:ascii="宋体" w:hAnsi="宋体" w:cs="宋体"/>
                <w:b/>
                <w:bCs/>
                <w:sz w:val="24"/>
                <w:highlight w:val="none"/>
                <w:u w:val="single"/>
              </w:rPr>
              <w:t>制造业</w:t>
            </w:r>
            <w:r>
              <w:rPr>
                <w:rFonts w:hint="eastAsia" w:ascii="宋体" w:hAnsi="宋体" w:cs="宋体"/>
                <w:b/>
                <w:bCs/>
                <w:sz w:val="24"/>
                <w:highlight w:val="none"/>
              </w:rPr>
              <w:t>（此项所属行业仅供中小企业政策扶持认定时使用）</w:t>
            </w:r>
          </w:p>
        </w:tc>
      </w:tr>
      <w:tr w14:paraId="32F2F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797C83D1">
            <w:pPr>
              <w:snapToGrid w:val="0"/>
              <w:jc w:val="center"/>
              <w:rPr>
                <w:rFonts w:ascii="宋体" w:hAnsi="宋体" w:eastAsia="宋体" w:cs="宋体"/>
                <w:kern w:val="2"/>
                <w:sz w:val="24"/>
                <w:szCs w:val="24"/>
                <w:highlight w:val="none"/>
                <w:lang w:val="en-US" w:eastAsia="zh-CN" w:bidi="ar-SA"/>
              </w:rPr>
            </w:pPr>
            <w:r>
              <w:rPr>
                <w:rFonts w:hint="eastAsia" w:ascii="宋体" w:hAnsi="宋体" w:cs="宋体"/>
                <w:sz w:val="24"/>
                <w:highlight w:val="none"/>
              </w:rPr>
              <w:t>5</w:t>
            </w:r>
          </w:p>
        </w:tc>
        <w:tc>
          <w:tcPr>
            <w:tcW w:w="8592" w:type="dxa"/>
            <w:tcBorders>
              <w:top w:val="single" w:color="auto" w:sz="4" w:space="0"/>
              <w:left w:val="single" w:color="auto" w:sz="4" w:space="0"/>
              <w:bottom w:val="single" w:color="auto" w:sz="4" w:space="0"/>
              <w:right w:val="single" w:color="auto" w:sz="4" w:space="0"/>
            </w:tcBorders>
            <w:noWrap w:val="0"/>
            <w:vAlign w:val="center"/>
          </w:tcPr>
          <w:p w14:paraId="76E2E72D">
            <w:pPr>
              <w:rPr>
                <w:rFonts w:ascii="宋体" w:hAnsi="宋体" w:cs="宋体"/>
                <w:sz w:val="24"/>
                <w:highlight w:val="none"/>
              </w:rPr>
            </w:pPr>
            <w:r>
              <w:rPr>
                <w:rFonts w:hint="eastAsia" w:ascii="宋体" w:hAnsi="宋体" w:cs="宋体"/>
                <w:sz w:val="24"/>
                <w:highlight w:val="none"/>
              </w:rPr>
              <w:t>投标报价及费用：1、本项目投标应以人民币报价；2、不论投标结果如何，投标人均应自行承担所有与投标有关的全部费用；</w:t>
            </w:r>
          </w:p>
        </w:tc>
      </w:tr>
      <w:tr w14:paraId="0F9DF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4F41FF98">
            <w:pPr>
              <w:snapToGrid w:val="0"/>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6</w:t>
            </w:r>
          </w:p>
        </w:tc>
        <w:tc>
          <w:tcPr>
            <w:tcW w:w="8592" w:type="dxa"/>
            <w:tcBorders>
              <w:top w:val="single" w:color="auto" w:sz="4" w:space="0"/>
              <w:left w:val="single" w:color="auto" w:sz="4" w:space="0"/>
              <w:bottom w:val="single" w:color="auto" w:sz="4" w:space="0"/>
              <w:right w:val="single" w:color="auto" w:sz="4" w:space="0"/>
            </w:tcBorders>
            <w:noWrap w:val="0"/>
            <w:vAlign w:val="center"/>
          </w:tcPr>
          <w:p w14:paraId="41BAFA9A">
            <w:pPr>
              <w:rPr>
                <w:rFonts w:hint="eastAsia" w:ascii="宋体" w:hAnsi="宋体" w:eastAsia="宋体" w:cs="宋体"/>
                <w:b/>
                <w:bCs/>
                <w:sz w:val="24"/>
                <w:highlight w:val="none"/>
                <w:lang w:eastAsia="zh-CN"/>
              </w:rPr>
            </w:pPr>
            <w:r>
              <w:rPr>
                <w:rFonts w:hint="eastAsia" w:ascii="宋体" w:hAnsi="宋体" w:cs="宋体"/>
                <w:b/>
                <w:bCs/>
                <w:sz w:val="24"/>
                <w:highlight w:val="none"/>
              </w:rPr>
              <w:t>是否允许进口产品</w:t>
            </w:r>
            <w:r>
              <w:rPr>
                <w:rFonts w:hint="eastAsia" w:ascii="宋体" w:hAnsi="宋体" w:cs="宋体"/>
                <w:sz w:val="24"/>
                <w:highlight w:val="none"/>
              </w:rPr>
              <w:t>：</w:t>
            </w:r>
            <w:r>
              <w:rPr>
                <w:rFonts w:hint="eastAsia" w:ascii="宋体" w:hAnsi="宋体" w:cs="宋体"/>
                <w:sz w:val="24"/>
                <w:highlight w:val="none"/>
                <w:lang w:eastAsia="zh-CN"/>
              </w:rPr>
              <w:t>否</w:t>
            </w:r>
          </w:p>
        </w:tc>
      </w:tr>
      <w:tr w14:paraId="5ADE4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30AC8954">
            <w:pPr>
              <w:snapToGrid w:val="0"/>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7</w:t>
            </w:r>
          </w:p>
        </w:tc>
        <w:tc>
          <w:tcPr>
            <w:tcW w:w="8592" w:type="dxa"/>
            <w:tcBorders>
              <w:top w:val="single" w:color="auto" w:sz="4" w:space="0"/>
              <w:left w:val="single" w:color="auto" w:sz="4" w:space="0"/>
              <w:bottom w:val="single" w:color="auto" w:sz="4" w:space="0"/>
              <w:right w:val="single" w:color="auto" w:sz="4" w:space="0"/>
            </w:tcBorders>
            <w:noWrap w:val="0"/>
            <w:vAlign w:val="center"/>
          </w:tcPr>
          <w:p w14:paraId="625EFC3F">
            <w:pPr>
              <w:rPr>
                <w:rFonts w:hint="default" w:ascii="宋体" w:hAnsi="宋体" w:cs="宋体"/>
                <w:b/>
                <w:bCs/>
                <w:sz w:val="24"/>
                <w:highlight w:val="none"/>
                <w:lang w:val="en-US"/>
              </w:rPr>
            </w:pPr>
            <w:r>
              <w:rPr>
                <w:rFonts w:hint="eastAsia" w:ascii="宋体" w:hAnsi="宋体" w:cs="宋体"/>
                <w:b/>
                <w:bCs/>
                <w:sz w:val="24"/>
                <w:highlight w:val="none"/>
                <w:lang w:val="en-US" w:eastAsia="zh-CN"/>
              </w:rPr>
              <w:t>质保期：3年（其中自助机.ups，打印机三年，家具的二年）</w:t>
            </w:r>
          </w:p>
        </w:tc>
      </w:tr>
      <w:tr w14:paraId="58686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0A99BA1E">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8</w:t>
            </w:r>
          </w:p>
        </w:tc>
        <w:tc>
          <w:tcPr>
            <w:tcW w:w="8592" w:type="dxa"/>
            <w:tcBorders>
              <w:top w:val="single" w:color="auto" w:sz="4" w:space="0"/>
              <w:left w:val="single" w:color="auto" w:sz="4" w:space="0"/>
              <w:bottom w:val="single" w:color="auto" w:sz="4" w:space="0"/>
              <w:right w:val="single" w:color="auto" w:sz="4" w:space="0"/>
            </w:tcBorders>
            <w:noWrap w:val="0"/>
            <w:vAlign w:val="center"/>
          </w:tcPr>
          <w:p w14:paraId="30621320">
            <w:pPr>
              <w:snapToGrid w:val="0"/>
              <w:rPr>
                <w:rFonts w:ascii="宋体" w:hAnsi="宋体" w:cs="宋体"/>
                <w:sz w:val="24"/>
                <w:highlight w:val="none"/>
              </w:rPr>
            </w:pPr>
            <w:r>
              <w:rPr>
                <w:rFonts w:hint="eastAsia" w:ascii="宋体" w:hAnsi="宋体" w:cs="宋体"/>
                <w:sz w:val="24"/>
                <w:highlight w:val="none"/>
              </w:rPr>
              <w:t>答疑与澄清：投标人如认为招标文件表述不清晰、存在歧视性、排他性或者其他违法内容的，应当</w:t>
            </w:r>
            <w:r>
              <w:rPr>
                <w:rFonts w:hint="eastAsia" w:ascii="宋体" w:hAnsi="宋体" w:cs="宋体"/>
                <w:sz w:val="24"/>
                <w:highlight w:val="none"/>
                <w:shd w:val="clear" w:color="auto" w:fill="FFFFFF"/>
              </w:rPr>
              <w:t>于</w:t>
            </w:r>
            <w:r>
              <w:rPr>
                <w:rFonts w:hint="eastAsia" w:ascii="宋体" w:hAnsi="宋体" w:cs="宋体"/>
                <w:b/>
                <w:bCs/>
                <w:sz w:val="24"/>
                <w:highlight w:val="none"/>
                <w:u w:val="single"/>
                <w:shd w:val="clear" w:color="auto" w:fill="FFFFFF"/>
              </w:rPr>
              <w:t>质疑期限届满之日</w:t>
            </w:r>
            <w:r>
              <w:rPr>
                <w:rFonts w:hint="eastAsia" w:ascii="宋体" w:hAnsi="宋体" w:cs="宋体"/>
                <w:sz w:val="24"/>
                <w:highlight w:val="none"/>
                <w:shd w:val="clear" w:color="auto" w:fill="FFFFFF"/>
              </w:rPr>
              <w:t>前，</w:t>
            </w:r>
            <w:r>
              <w:rPr>
                <w:rFonts w:hint="eastAsia" w:ascii="宋体" w:hAnsi="宋体" w:cs="宋体"/>
                <w:sz w:val="24"/>
                <w:highlight w:val="none"/>
              </w:rPr>
              <w:t>以书面形式要求招标采购单位或代理公司作出书面解释、澄清或者向招标采购单位提出书面质疑（</w:t>
            </w:r>
            <w:r>
              <w:rPr>
                <w:rFonts w:hint="eastAsia" w:ascii="宋体" w:hAnsi="宋体" w:cs="宋体"/>
                <w:b/>
                <w:sz w:val="24"/>
                <w:highlight w:val="none"/>
              </w:rPr>
              <w:t>超过此规定时间的质疑函将不予受理）</w:t>
            </w:r>
            <w:r>
              <w:rPr>
                <w:rFonts w:hint="eastAsia" w:ascii="宋体" w:hAnsi="宋体" w:cs="宋体"/>
                <w:sz w:val="24"/>
                <w:highlight w:val="none"/>
              </w:rPr>
              <w:t>；招标采购单位或代理公司将于</w:t>
            </w:r>
            <w:r>
              <w:rPr>
                <w:rFonts w:hint="eastAsia" w:ascii="宋体" w:hAnsi="宋体" w:cs="宋体"/>
                <w:b/>
                <w:bCs/>
                <w:sz w:val="24"/>
                <w:highlight w:val="none"/>
                <w:u w:val="single"/>
                <w:shd w:val="clear" w:color="auto" w:fill="FFFFFF"/>
              </w:rPr>
              <w:t>答疑期限届满之日</w:t>
            </w:r>
            <w:r>
              <w:rPr>
                <w:rFonts w:hint="eastAsia" w:ascii="宋体" w:hAnsi="宋体" w:cs="宋体"/>
                <w:b/>
                <w:bCs/>
                <w:sz w:val="24"/>
                <w:highlight w:val="none"/>
                <w:shd w:val="clear" w:color="auto" w:fill="FFFFFF"/>
              </w:rPr>
              <w:t>前</w:t>
            </w:r>
            <w:r>
              <w:rPr>
                <w:rFonts w:hint="eastAsia" w:ascii="宋体" w:hAnsi="宋体" w:cs="宋体"/>
                <w:sz w:val="24"/>
                <w:highlight w:val="none"/>
                <w:shd w:val="clear" w:color="auto" w:fill="FFFFFF"/>
              </w:rPr>
              <w:t>将答疑内容以传真或网上发布公告的形式通知所有已报名的投标人；答疑内容是招标</w:t>
            </w:r>
            <w:r>
              <w:rPr>
                <w:rFonts w:hint="eastAsia" w:ascii="宋体" w:hAnsi="宋体" w:cs="宋体"/>
                <w:sz w:val="24"/>
                <w:highlight w:val="none"/>
              </w:rPr>
              <w:t>文件的组成部分；因其他紧急情况影响本项目正常招标活动的，招标采购单位或代理公司将于投标截止日期5天前书面通知所有已报名的投标人。</w:t>
            </w:r>
          </w:p>
        </w:tc>
      </w:tr>
      <w:tr w14:paraId="6ECD9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36D4AD49">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9</w:t>
            </w:r>
          </w:p>
        </w:tc>
        <w:tc>
          <w:tcPr>
            <w:tcW w:w="8592" w:type="dxa"/>
            <w:tcBorders>
              <w:top w:val="single" w:color="auto" w:sz="4" w:space="0"/>
              <w:left w:val="single" w:color="auto" w:sz="4" w:space="0"/>
              <w:bottom w:val="single" w:color="auto" w:sz="4" w:space="0"/>
              <w:right w:val="single" w:color="auto" w:sz="4" w:space="0"/>
            </w:tcBorders>
            <w:noWrap w:val="0"/>
            <w:vAlign w:val="center"/>
          </w:tcPr>
          <w:p w14:paraId="55FFE819">
            <w:pPr>
              <w:snapToGrid w:val="0"/>
              <w:rPr>
                <w:rFonts w:ascii="宋体" w:hAnsi="宋体" w:cs="宋体"/>
                <w:b/>
                <w:bCs/>
                <w:sz w:val="24"/>
                <w:highlight w:val="none"/>
              </w:rPr>
            </w:pPr>
            <w:r>
              <w:rPr>
                <w:rFonts w:hint="eastAsia" w:ascii="宋体" w:hAnsi="宋体" w:cs="宋体"/>
                <w:b/>
                <w:bCs/>
                <w:sz w:val="24"/>
                <w:highlight w:val="none"/>
              </w:rPr>
              <w:t>投标文件组成：本项目投标文件由资格响应文件、报价要求响应文件、商务技术响应文件三部分组成。投标人应按以下方式递交投标文件：</w:t>
            </w:r>
          </w:p>
          <w:p w14:paraId="2DDE2B4E">
            <w:pPr>
              <w:snapToGrid w:val="0"/>
              <w:rPr>
                <w:rFonts w:ascii="宋体" w:hAnsi="宋体" w:cs="宋体"/>
                <w:b/>
                <w:bCs/>
                <w:sz w:val="24"/>
                <w:highlight w:val="none"/>
              </w:rPr>
            </w:pPr>
            <w:r>
              <w:rPr>
                <w:rFonts w:hint="eastAsia" w:ascii="宋体" w:hAnsi="宋体" w:cs="宋体"/>
                <w:b/>
                <w:bCs/>
                <w:sz w:val="24"/>
                <w:highlight w:val="none"/>
              </w:rPr>
              <w:t>▲1、本项目采用“网上投标、电子评标”，投标人应于投标截止时间前在“政采云”（电子交易平台）上传输、递交电子版投标文件（包括资格响应文件、报价要求响应文件、商务技术响应文件）；</w:t>
            </w:r>
          </w:p>
          <w:p w14:paraId="4A9690D5">
            <w:pPr>
              <w:snapToGrid w:val="0"/>
              <w:rPr>
                <w:rFonts w:ascii="宋体" w:hAnsi="宋体" w:cs="宋体"/>
                <w:b/>
                <w:bCs/>
                <w:sz w:val="24"/>
                <w:highlight w:val="none"/>
              </w:rPr>
            </w:pPr>
            <w:r>
              <w:rPr>
                <w:rFonts w:hint="eastAsia" w:ascii="宋体" w:hAnsi="宋体" w:cs="宋体"/>
                <w:b/>
                <w:bCs/>
                <w:sz w:val="24"/>
                <w:highlight w:val="none"/>
              </w:rPr>
              <w:t>2、为了避免由于电子交易平台无法正常运行等技术、安全故障等原因造成投标文件无法解密或解密失败，导致投标无效的情况发生，投标人可以在投标截止时间前将电子备份投标文件（经政采云电子交易客户端和CA驱动制作出的的加密电子备份投标文件）发送至邮箱：</w:t>
            </w:r>
            <w:r>
              <w:rPr>
                <w:rFonts w:hint="eastAsia" w:ascii="宋体" w:hAnsi="宋体" w:cs="宋体"/>
                <w:b/>
                <w:bCs/>
                <w:sz w:val="24"/>
                <w:highlight w:val="none"/>
                <w:lang w:val="en-US" w:eastAsia="zh-CN"/>
              </w:rPr>
              <w:t>692425905</w:t>
            </w:r>
            <w:r>
              <w:rPr>
                <w:rFonts w:hint="eastAsia" w:ascii="宋体" w:hAnsi="宋体" w:cs="宋体"/>
                <w:b/>
                <w:bCs/>
                <w:sz w:val="24"/>
                <w:highlight w:val="none"/>
                <w:lang w:eastAsia="zh-CN"/>
              </w:rPr>
              <w:t>@qq.com</w:t>
            </w:r>
            <w:r>
              <w:rPr>
                <w:rFonts w:hint="eastAsia" w:ascii="宋体" w:hAnsi="宋体" w:cs="宋体"/>
                <w:b/>
                <w:bCs/>
                <w:sz w:val="24"/>
                <w:highlight w:val="none"/>
              </w:rPr>
              <w:t>，逾期发送或发错的备份投标文件将被视为无效；</w:t>
            </w:r>
            <w:r>
              <w:rPr>
                <w:rFonts w:hint="eastAsia" w:ascii="宋体" w:hAnsi="宋体" w:eastAsia="宋体" w:cs="宋体"/>
                <w:b/>
                <w:bCs/>
                <w:sz w:val="24"/>
                <w:highlight w:val="none"/>
              </w:rPr>
              <w:t>还可以</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EMS 邮寄形式</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在</w:t>
            </w:r>
            <w:r>
              <w:rPr>
                <w:rFonts w:hint="eastAsia" w:ascii="宋体" w:hAnsi="宋体" w:eastAsia="宋体" w:cs="宋体"/>
                <w:b/>
                <w:bCs/>
                <w:sz w:val="24"/>
                <w:highlight w:val="none"/>
                <w:lang w:eastAsia="zh-CN"/>
              </w:rPr>
              <w:t>投标</w:t>
            </w:r>
            <w:r>
              <w:rPr>
                <w:rFonts w:hint="eastAsia" w:ascii="宋体" w:hAnsi="宋体" w:eastAsia="宋体" w:cs="宋体"/>
                <w:b/>
                <w:bCs/>
                <w:sz w:val="24"/>
                <w:highlight w:val="none"/>
              </w:rPr>
              <w:t>响应文件递交截止时间前</w:t>
            </w:r>
            <w:r>
              <w:rPr>
                <w:rFonts w:hint="eastAsia" w:ascii="宋体" w:hAnsi="宋体" w:eastAsia="宋体" w:cs="宋体"/>
                <w:b/>
                <w:bCs/>
                <w:sz w:val="24"/>
                <w:highlight w:val="none"/>
                <w:lang w:eastAsia="zh-CN"/>
              </w:rPr>
              <w:t>一天</w:t>
            </w:r>
            <w:r>
              <w:rPr>
                <w:rFonts w:hint="eastAsia" w:ascii="宋体" w:hAnsi="宋体" w:eastAsia="宋体" w:cs="宋体"/>
                <w:b/>
                <w:bCs/>
                <w:sz w:val="24"/>
                <w:highlight w:val="none"/>
              </w:rPr>
              <w:t>递交以介质（</w:t>
            </w:r>
            <w:r>
              <w:rPr>
                <w:rFonts w:hint="eastAsia" w:ascii="宋体" w:hAnsi="宋体" w:eastAsia="宋体" w:cs="宋体"/>
                <w:b/>
                <w:bCs/>
                <w:sz w:val="24"/>
                <w:highlight w:val="none"/>
                <w:lang w:val="en-US" w:eastAsia="zh-CN"/>
              </w:rPr>
              <w:t>U</w:t>
            </w:r>
            <w:r>
              <w:rPr>
                <w:rFonts w:hint="eastAsia" w:ascii="宋体" w:hAnsi="宋体" w:eastAsia="宋体" w:cs="宋体"/>
                <w:b/>
                <w:bCs/>
                <w:sz w:val="24"/>
                <w:highlight w:val="none"/>
              </w:rPr>
              <w:t>盘）存储的</w:t>
            </w:r>
            <w:r>
              <w:rPr>
                <w:rFonts w:hint="eastAsia" w:ascii="宋体" w:hAnsi="宋体" w:eastAsia="宋体" w:cs="宋体"/>
                <w:b/>
                <w:bCs/>
                <w:sz w:val="24"/>
                <w:highlight w:val="none"/>
                <w:lang w:eastAsia="zh-CN"/>
              </w:rPr>
              <w:t>“备份投标文件”</w:t>
            </w:r>
            <w:r>
              <w:rPr>
                <w:rFonts w:hint="eastAsia" w:ascii="宋体" w:hAnsi="宋体" w:eastAsia="宋体" w:cs="宋体"/>
                <w:b/>
                <w:bCs/>
                <w:sz w:val="24"/>
                <w:highlight w:val="none"/>
              </w:rPr>
              <w:t>（一份）</w:t>
            </w:r>
            <w:r>
              <w:rPr>
                <w:rFonts w:hint="eastAsia" w:ascii="宋体" w:hAnsi="宋体" w:eastAsia="宋体" w:cs="宋体"/>
                <w:b/>
                <w:bCs/>
                <w:sz w:val="24"/>
                <w:highlight w:val="none"/>
                <w:lang w:eastAsia="zh-CN"/>
              </w:rPr>
              <w:t>，“备份投标文件”</w:t>
            </w:r>
            <w:r>
              <w:rPr>
                <w:rFonts w:hint="eastAsia" w:ascii="宋体" w:hAnsi="宋体" w:eastAsia="宋体" w:cs="宋体"/>
                <w:b/>
                <w:bCs/>
                <w:sz w:val="24"/>
                <w:highlight w:val="none"/>
              </w:rPr>
              <w:t>应当密封包装，并在包装上标注投标项目名称、供应商名称并加盖公章。没有密封包装或者逾期邮寄送达至</w:t>
            </w:r>
            <w:r>
              <w:rPr>
                <w:rFonts w:hint="eastAsia" w:ascii="宋体" w:hAnsi="宋体" w:cs="宋体"/>
                <w:b/>
                <w:bCs/>
                <w:sz w:val="24"/>
                <w:highlight w:val="none"/>
                <w:lang w:eastAsia="zh-CN"/>
              </w:rPr>
              <w:t>评审</w:t>
            </w:r>
            <w:r>
              <w:rPr>
                <w:rFonts w:hint="eastAsia" w:ascii="宋体" w:hAnsi="宋体" w:eastAsia="宋体" w:cs="宋体"/>
                <w:b/>
                <w:bCs/>
                <w:sz w:val="24"/>
                <w:highlight w:val="none"/>
              </w:rPr>
              <w:t>地点的</w:t>
            </w:r>
            <w:r>
              <w:rPr>
                <w:rFonts w:hint="eastAsia" w:ascii="宋体" w:hAnsi="宋体" w:eastAsia="宋体" w:cs="宋体"/>
                <w:b/>
                <w:bCs/>
                <w:sz w:val="24"/>
                <w:highlight w:val="none"/>
                <w:lang w:eastAsia="zh-CN"/>
              </w:rPr>
              <w:t>“备份投标文件”</w:t>
            </w:r>
            <w:r>
              <w:rPr>
                <w:rFonts w:hint="eastAsia" w:ascii="宋体" w:hAnsi="宋体" w:eastAsia="宋体" w:cs="宋体"/>
                <w:b/>
                <w:bCs/>
                <w:sz w:val="24"/>
                <w:highlight w:val="none"/>
              </w:rPr>
              <w:t>将不予接收</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备份投标文件的提交不作强制要求。</w:t>
            </w:r>
          </w:p>
          <w:p w14:paraId="2024F80D">
            <w:pPr>
              <w:snapToGrid w:val="0"/>
              <w:rPr>
                <w:rFonts w:ascii="宋体" w:hAnsi="宋体" w:cs="宋体"/>
                <w:b/>
                <w:bCs/>
                <w:sz w:val="24"/>
                <w:highlight w:val="none"/>
              </w:rPr>
            </w:pPr>
            <w:r>
              <w:rPr>
                <w:rFonts w:hint="eastAsia" w:ascii="宋体" w:hAnsi="宋体" w:cs="宋体"/>
                <w:b/>
                <w:bCs/>
                <w:sz w:val="24"/>
                <w:highlight w:val="none"/>
              </w:rPr>
              <w:t>3、投标人仅提交了电子备份投标文件的，投标无效；</w:t>
            </w:r>
          </w:p>
          <w:p w14:paraId="603D571B">
            <w:pPr>
              <w:snapToGrid w:val="0"/>
              <w:rPr>
                <w:rFonts w:ascii="宋体" w:hAnsi="宋体" w:cs="宋体"/>
                <w:b/>
                <w:bCs/>
                <w:sz w:val="24"/>
                <w:highlight w:val="none"/>
              </w:rPr>
            </w:pPr>
            <w:r>
              <w:rPr>
                <w:rFonts w:hint="eastAsia" w:ascii="宋体" w:hAnsi="宋体" w:cs="宋体"/>
                <w:b/>
                <w:bCs/>
                <w:sz w:val="24"/>
                <w:highlight w:val="none"/>
              </w:rPr>
              <w:t>4、本项目不强制投标人提交电子备份投标文件；但如在开评标时出现电子投标文件无法解密或解密失败等情况，因投标人未提供电子备份投标文件而造成投标无效等一切后果和风险由投标人自行承担。</w:t>
            </w:r>
          </w:p>
          <w:p w14:paraId="0D0FB886">
            <w:pPr>
              <w:snapToGrid w:val="0"/>
              <w:rPr>
                <w:rFonts w:ascii="宋体" w:hAnsi="宋体" w:cs="宋体"/>
                <w:sz w:val="24"/>
                <w:highlight w:val="none"/>
              </w:rPr>
            </w:pPr>
            <w:r>
              <w:rPr>
                <w:rFonts w:hint="eastAsia" w:ascii="宋体" w:hAnsi="宋体" w:cs="宋体"/>
                <w:b w:val="0"/>
                <w:bCs w:val="0"/>
                <w:sz w:val="24"/>
                <w:highlight w:val="none"/>
              </w:rPr>
              <w:t>5、中标方应在领取中标通知书前，向</w:t>
            </w:r>
            <w:r>
              <w:rPr>
                <w:rFonts w:hint="eastAsia" w:ascii="宋体" w:hAnsi="宋体" w:cs="宋体"/>
                <w:b w:val="0"/>
                <w:bCs w:val="0"/>
                <w:sz w:val="24"/>
                <w:highlight w:val="none"/>
                <w:lang w:eastAsia="zh-CN"/>
              </w:rPr>
              <w:t>浙江天柯工程顾问有限公司</w:t>
            </w:r>
            <w:r>
              <w:rPr>
                <w:rFonts w:hint="eastAsia" w:ascii="宋体" w:hAnsi="宋体" w:cs="宋体"/>
                <w:b w:val="0"/>
                <w:bCs w:val="0"/>
                <w:sz w:val="24"/>
                <w:highlight w:val="none"/>
              </w:rPr>
              <w:t>提供纸质投标文件（纸质投标文件递交要求详见本章三、投标文件的编制第（五）条：投标文件的签署和份数的相关规定）。（递交或邮寄地址：</w:t>
            </w:r>
            <w:r>
              <w:rPr>
                <w:rFonts w:hint="eastAsia" w:ascii="宋体" w:hAnsi="宋体" w:cs="宋体"/>
                <w:b w:val="0"/>
                <w:bCs w:val="0"/>
                <w:sz w:val="24"/>
                <w:highlight w:val="none"/>
                <w:lang w:eastAsia="zh-CN"/>
              </w:rPr>
              <w:t>衢州市柯城区白云街道鑫港大厦1206室</w:t>
            </w:r>
            <w:r>
              <w:rPr>
                <w:rFonts w:hint="eastAsia" w:ascii="宋体" w:hAnsi="宋体" w:cs="宋体"/>
                <w:b w:val="0"/>
                <w:bCs w:val="0"/>
                <w:sz w:val="24"/>
                <w:highlight w:val="none"/>
              </w:rPr>
              <w:t>，</w:t>
            </w:r>
            <w:r>
              <w:rPr>
                <w:rFonts w:hint="eastAsia" w:ascii="宋体" w:hAnsi="宋体" w:cs="宋体"/>
                <w:b w:val="0"/>
                <w:bCs w:val="0"/>
                <w:sz w:val="24"/>
                <w:highlight w:val="none"/>
                <w:lang w:eastAsia="zh-CN"/>
              </w:rPr>
              <w:t>浙江天柯工程顾问有限公司</w:t>
            </w:r>
            <w:r>
              <w:rPr>
                <w:rFonts w:hint="eastAsia" w:ascii="宋体" w:hAnsi="宋体" w:cs="宋体"/>
                <w:b w:val="0"/>
                <w:bCs w:val="0"/>
                <w:sz w:val="24"/>
                <w:highlight w:val="none"/>
              </w:rPr>
              <w:t>；联系人：</w:t>
            </w:r>
            <w:r>
              <w:rPr>
                <w:rFonts w:hint="eastAsia" w:ascii="宋体" w:hAnsi="宋体" w:cs="宋体"/>
                <w:b w:val="0"/>
                <w:bCs w:val="0"/>
                <w:sz w:val="24"/>
                <w:highlight w:val="none"/>
                <w:lang w:val="en-US" w:eastAsia="zh-CN"/>
              </w:rPr>
              <w:t>许</w:t>
            </w:r>
            <w:r>
              <w:rPr>
                <w:rFonts w:hint="eastAsia" w:ascii="宋体" w:hAnsi="宋体" w:cs="宋体"/>
                <w:b w:val="0"/>
                <w:bCs w:val="0"/>
                <w:sz w:val="24"/>
                <w:highlight w:val="none"/>
              </w:rPr>
              <w:t>女士，电话：</w:t>
            </w:r>
            <w:r>
              <w:rPr>
                <w:rFonts w:hint="eastAsia" w:ascii="宋体" w:hAnsi="宋体" w:cs="宋体"/>
                <w:b w:val="0"/>
                <w:bCs w:val="0"/>
                <w:sz w:val="24"/>
                <w:highlight w:val="none"/>
                <w:lang w:val="en-US" w:eastAsia="zh-CN"/>
              </w:rPr>
              <w:t>0570-</w:t>
            </w:r>
            <w:r>
              <w:rPr>
                <w:rFonts w:hint="eastAsia" w:ascii="宋体" w:hAnsi="宋体" w:eastAsia="宋体" w:cs="宋体"/>
                <w:b w:val="0"/>
                <w:bCs w:val="0"/>
                <w:color w:val="auto"/>
                <w:sz w:val="24"/>
                <w:szCs w:val="24"/>
                <w:highlight w:val="none"/>
                <w:lang w:val="en-US" w:eastAsia="zh-CN"/>
              </w:rPr>
              <w:t>8030937</w:t>
            </w:r>
            <w:r>
              <w:rPr>
                <w:rFonts w:hint="eastAsia" w:ascii="宋体" w:hAnsi="宋体" w:cs="宋体"/>
                <w:b w:val="0"/>
                <w:bCs w:val="0"/>
                <w:sz w:val="24"/>
                <w:highlight w:val="none"/>
              </w:rPr>
              <w:t>）</w:t>
            </w:r>
          </w:p>
        </w:tc>
      </w:tr>
      <w:tr w14:paraId="509D3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55B770B6">
            <w:pPr>
              <w:snapToGrid w:val="0"/>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10</w:t>
            </w:r>
          </w:p>
        </w:tc>
        <w:tc>
          <w:tcPr>
            <w:tcW w:w="8592" w:type="dxa"/>
            <w:tcBorders>
              <w:top w:val="single" w:color="auto" w:sz="4" w:space="0"/>
              <w:left w:val="single" w:color="auto" w:sz="4" w:space="0"/>
              <w:bottom w:val="single" w:color="auto" w:sz="4" w:space="0"/>
              <w:right w:val="single" w:color="auto" w:sz="4" w:space="0"/>
            </w:tcBorders>
            <w:noWrap w:val="0"/>
            <w:vAlign w:val="center"/>
          </w:tcPr>
          <w:p w14:paraId="025E6F67">
            <w:pPr>
              <w:snapToGrid w:val="0"/>
              <w:rPr>
                <w:rFonts w:ascii="宋体" w:hAnsi="宋体" w:cs="宋体"/>
                <w:b/>
                <w:bCs/>
                <w:sz w:val="24"/>
                <w:highlight w:val="none"/>
              </w:rPr>
            </w:pPr>
            <w:r>
              <w:rPr>
                <w:rFonts w:hint="eastAsia" w:ascii="宋体" w:hAnsi="宋体" w:cs="宋体"/>
                <w:sz w:val="24"/>
                <w:highlight w:val="none"/>
              </w:rPr>
              <w:t>1、投标人应当在</w:t>
            </w:r>
            <w:r>
              <w:rPr>
                <w:rFonts w:hint="eastAsia" w:ascii="宋体" w:hAnsi="宋体" w:cs="宋体"/>
                <w:b/>
                <w:bCs/>
                <w:sz w:val="24"/>
                <w:highlight w:val="none"/>
                <w:u w:val="single"/>
                <w:lang w:eastAsia="zh-CN"/>
              </w:rPr>
              <w:t>202</w:t>
            </w:r>
            <w:r>
              <w:rPr>
                <w:rFonts w:hint="eastAsia" w:ascii="宋体" w:hAnsi="宋体" w:cs="宋体"/>
                <w:b/>
                <w:bCs/>
                <w:sz w:val="24"/>
                <w:highlight w:val="none"/>
                <w:u w:val="single"/>
                <w:lang w:val="en-US" w:eastAsia="zh-CN"/>
              </w:rPr>
              <w:t>4</w:t>
            </w:r>
            <w:r>
              <w:rPr>
                <w:rFonts w:hint="eastAsia" w:ascii="宋体" w:hAnsi="宋体" w:cs="宋体"/>
                <w:b/>
                <w:bCs/>
                <w:sz w:val="24"/>
                <w:highlight w:val="none"/>
                <w:u w:val="single"/>
                <w:lang w:eastAsia="zh-CN"/>
              </w:rPr>
              <w:t>年</w:t>
            </w:r>
            <w:r>
              <w:rPr>
                <w:rFonts w:hint="eastAsia" w:ascii="宋体" w:hAnsi="宋体" w:cs="宋体"/>
                <w:b/>
                <w:bCs/>
                <w:sz w:val="24"/>
                <w:highlight w:val="none"/>
                <w:u w:val="single"/>
                <w:lang w:val="en-US" w:eastAsia="zh-CN"/>
              </w:rPr>
              <w:t>11</w:t>
            </w:r>
            <w:r>
              <w:rPr>
                <w:rFonts w:hint="eastAsia" w:ascii="宋体" w:hAnsi="宋体" w:cs="宋体"/>
                <w:b/>
                <w:bCs/>
                <w:sz w:val="24"/>
                <w:highlight w:val="none"/>
                <w:u w:val="single"/>
                <w:lang w:eastAsia="zh-CN"/>
              </w:rPr>
              <w:t>月</w:t>
            </w:r>
            <w:r>
              <w:rPr>
                <w:rFonts w:hint="eastAsia" w:ascii="宋体" w:hAnsi="宋体" w:cs="宋体"/>
                <w:b/>
                <w:bCs/>
                <w:sz w:val="24"/>
                <w:highlight w:val="none"/>
                <w:u w:val="single"/>
                <w:lang w:val="en-US" w:eastAsia="zh-CN"/>
              </w:rPr>
              <w:t>21</w:t>
            </w:r>
            <w:r>
              <w:rPr>
                <w:rFonts w:hint="eastAsia" w:ascii="宋体" w:hAnsi="宋体" w:cs="宋体"/>
                <w:b/>
                <w:bCs/>
                <w:sz w:val="24"/>
                <w:highlight w:val="none"/>
                <w:u w:val="single"/>
                <w:lang w:eastAsia="zh-CN"/>
              </w:rPr>
              <w:t>日</w:t>
            </w:r>
            <w:r>
              <w:rPr>
                <w:rFonts w:hint="eastAsia" w:ascii="宋体" w:hAnsi="宋体" w:cs="宋体"/>
                <w:b/>
                <w:bCs/>
                <w:sz w:val="24"/>
                <w:highlight w:val="none"/>
                <w:u w:val="single"/>
                <w:lang w:val="en-US" w:eastAsia="zh-CN"/>
              </w:rPr>
              <w:t xml:space="preserve"> 14 </w:t>
            </w:r>
            <w:r>
              <w:rPr>
                <w:rFonts w:hint="eastAsia" w:ascii="宋体" w:hAnsi="宋体" w:cs="宋体"/>
                <w:b/>
                <w:bCs/>
                <w:sz w:val="24"/>
                <w:highlight w:val="none"/>
                <w:u w:val="single"/>
                <w:lang w:eastAsia="zh-CN"/>
              </w:rPr>
              <w:t>时</w:t>
            </w:r>
            <w:r>
              <w:rPr>
                <w:rFonts w:hint="eastAsia" w:ascii="宋体" w:hAnsi="宋体" w:cs="宋体"/>
                <w:b/>
                <w:bCs/>
                <w:sz w:val="24"/>
                <w:highlight w:val="none"/>
                <w:u w:val="single"/>
                <w:lang w:val="en-US" w:eastAsia="zh-CN"/>
              </w:rPr>
              <w:t xml:space="preserve">00 </w:t>
            </w:r>
            <w:r>
              <w:rPr>
                <w:rFonts w:hint="eastAsia" w:ascii="宋体" w:hAnsi="宋体" w:cs="宋体"/>
                <w:b/>
                <w:bCs/>
                <w:sz w:val="24"/>
                <w:highlight w:val="none"/>
                <w:u w:val="single"/>
                <w:lang w:eastAsia="zh-CN"/>
              </w:rPr>
              <w:t>分</w:t>
            </w:r>
            <w:r>
              <w:rPr>
                <w:rFonts w:hint="eastAsia" w:ascii="宋体" w:hAnsi="宋体" w:cs="宋体"/>
                <w:sz w:val="24"/>
                <w:highlight w:val="none"/>
              </w:rPr>
              <w:t>前在“政采云”（电子交易平台）上自行上传加密的电子投标文件。投标截止时间后递交的电子投标文件，将被政采云平台拒收。</w:t>
            </w:r>
          </w:p>
          <w:p w14:paraId="1745A7EE">
            <w:pPr>
              <w:snapToGrid w:val="0"/>
              <w:rPr>
                <w:rFonts w:ascii="宋体" w:hAnsi="宋体" w:cs="宋体"/>
                <w:sz w:val="24"/>
                <w:highlight w:val="none"/>
              </w:rPr>
            </w:pPr>
            <w:r>
              <w:rPr>
                <w:rFonts w:hint="eastAsia" w:ascii="宋体" w:hAnsi="宋体" w:cs="宋体"/>
                <w:sz w:val="24"/>
                <w:highlight w:val="none"/>
              </w:rPr>
              <w:t>2、电子投标文件的传输递交：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00F7B431">
            <w:pPr>
              <w:snapToGrid w:val="0"/>
              <w:rPr>
                <w:rFonts w:ascii="宋体" w:hAnsi="宋体" w:cs="宋体"/>
                <w:sz w:val="24"/>
                <w:highlight w:val="none"/>
              </w:rPr>
            </w:pPr>
            <w:r>
              <w:rPr>
                <w:rFonts w:hint="eastAsia" w:ascii="宋体" w:hAnsi="宋体" w:cs="宋体"/>
                <w:sz w:val="24"/>
                <w:highlight w:val="none"/>
              </w:rPr>
              <w:t>3、投标人可以在投标截止时间前将电子备份投标文件（经政采云电子交易客户端和CA驱动制作出的加密电子备份投标文件）发送至邮箱：</w:t>
            </w:r>
            <w:r>
              <w:rPr>
                <w:rFonts w:hint="eastAsia" w:ascii="宋体" w:hAnsi="宋体" w:cs="宋体"/>
                <w:b/>
                <w:bCs/>
                <w:sz w:val="24"/>
                <w:highlight w:val="none"/>
                <w:lang w:val="en-US" w:eastAsia="zh-CN"/>
              </w:rPr>
              <w:t>692425905</w:t>
            </w:r>
            <w:r>
              <w:rPr>
                <w:rFonts w:hint="eastAsia" w:ascii="宋体" w:hAnsi="宋体" w:cs="宋体"/>
                <w:b/>
                <w:bCs/>
                <w:sz w:val="24"/>
                <w:highlight w:val="none"/>
                <w:lang w:eastAsia="zh-CN"/>
              </w:rPr>
              <w:t>@qq.com</w:t>
            </w:r>
            <w:r>
              <w:rPr>
                <w:rFonts w:hint="eastAsia" w:ascii="宋体" w:hAnsi="宋体" w:cs="宋体"/>
                <w:sz w:val="24"/>
                <w:highlight w:val="none"/>
              </w:rPr>
              <w:t>，逾期发送或发错的电子备份投标文件将被视为无效；电子备份投标文件的提交不作强制性要求。电子备份投标文件的递交截止时间：投标人应当在</w:t>
            </w:r>
            <w:r>
              <w:rPr>
                <w:rFonts w:hint="eastAsia" w:ascii="宋体" w:hAnsi="宋体" w:cs="宋体"/>
                <w:b/>
                <w:bCs/>
                <w:sz w:val="24"/>
                <w:highlight w:val="none"/>
                <w:u w:val="single"/>
                <w:lang w:eastAsia="zh-CN"/>
              </w:rPr>
              <w:t>202</w:t>
            </w:r>
            <w:r>
              <w:rPr>
                <w:rFonts w:hint="eastAsia" w:ascii="宋体" w:hAnsi="宋体" w:cs="宋体"/>
                <w:b/>
                <w:bCs/>
                <w:sz w:val="24"/>
                <w:highlight w:val="none"/>
                <w:u w:val="single"/>
                <w:lang w:val="en-US" w:eastAsia="zh-CN"/>
              </w:rPr>
              <w:t>4</w:t>
            </w:r>
            <w:r>
              <w:rPr>
                <w:rFonts w:hint="eastAsia" w:ascii="宋体" w:hAnsi="宋体" w:cs="宋体"/>
                <w:b/>
                <w:bCs/>
                <w:sz w:val="24"/>
                <w:highlight w:val="none"/>
                <w:u w:val="single"/>
                <w:lang w:eastAsia="zh-CN"/>
              </w:rPr>
              <w:t>年</w:t>
            </w:r>
            <w:r>
              <w:rPr>
                <w:rFonts w:hint="eastAsia" w:ascii="宋体" w:hAnsi="宋体" w:cs="宋体"/>
                <w:b/>
                <w:bCs/>
                <w:sz w:val="24"/>
                <w:highlight w:val="none"/>
                <w:u w:val="single"/>
                <w:lang w:val="en-US" w:eastAsia="zh-CN"/>
              </w:rPr>
              <w:t>11</w:t>
            </w:r>
            <w:r>
              <w:rPr>
                <w:rFonts w:hint="eastAsia" w:ascii="宋体" w:hAnsi="宋体" w:cs="宋体"/>
                <w:b/>
                <w:bCs/>
                <w:sz w:val="24"/>
                <w:highlight w:val="none"/>
                <w:u w:val="single"/>
                <w:lang w:eastAsia="zh-CN"/>
              </w:rPr>
              <w:t>月</w:t>
            </w:r>
            <w:r>
              <w:rPr>
                <w:rFonts w:hint="eastAsia" w:ascii="宋体" w:hAnsi="宋体" w:cs="宋体"/>
                <w:b/>
                <w:bCs/>
                <w:sz w:val="24"/>
                <w:highlight w:val="none"/>
                <w:u w:val="single"/>
                <w:lang w:val="en-US" w:eastAsia="zh-CN"/>
              </w:rPr>
              <w:t xml:space="preserve">   21</w:t>
            </w:r>
            <w:r>
              <w:rPr>
                <w:rFonts w:hint="eastAsia" w:ascii="宋体" w:hAnsi="宋体" w:cs="宋体"/>
                <w:b/>
                <w:bCs/>
                <w:sz w:val="24"/>
                <w:highlight w:val="none"/>
                <w:u w:val="single"/>
                <w:lang w:eastAsia="zh-CN"/>
              </w:rPr>
              <w:t>日</w:t>
            </w:r>
            <w:r>
              <w:rPr>
                <w:rFonts w:hint="eastAsia" w:ascii="宋体" w:hAnsi="宋体" w:cs="宋体"/>
                <w:b/>
                <w:bCs/>
                <w:sz w:val="24"/>
                <w:highlight w:val="none"/>
                <w:u w:val="single"/>
                <w:lang w:val="en-US" w:eastAsia="zh-CN"/>
              </w:rPr>
              <w:t>14</w:t>
            </w:r>
            <w:r>
              <w:rPr>
                <w:rFonts w:hint="eastAsia" w:ascii="宋体" w:hAnsi="宋体" w:cs="宋体"/>
                <w:b/>
                <w:bCs/>
                <w:sz w:val="24"/>
                <w:highlight w:val="none"/>
                <w:u w:val="single"/>
                <w:lang w:eastAsia="zh-CN"/>
              </w:rPr>
              <w:t>时</w:t>
            </w:r>
            <w:r>
              <w:rPr>
                <w:rFonts w:hint="eastAsia" w:ascii="宋体" w:hAnsi="宋体" w:cs="宋体"/>
                <w:b/>
                <w:bCs/>
                <w:sz w:val="24"/>
                <w:highlight w:val="none"/>
                <w:u w:val="single"/>
                <w:lang w:val="en-US" w:eastAsia="zh-CN"/>
              </w:rPr>
              <w:t>00</w:t>
            </w:r>
            <w:r>
              <w:rPr>
                <w:rFonts w:hint="eastAsia" w:ascii="宋体" w:hAnsi="宋体" w:cs="宋体"/>
                <w:b/>
                <w:bCs/>
                <w:sz w:val="24"/>
                <w:highlight w:val="none"/>
                <w:u w:val="single"/>
                <w:lang w:eastAsia="zh-CN"/>
              </w:rPr>
              <w:t>分</w:t>
            </w:r>
            <w:r>
              <w:rPr>
                <w:rFonts w:hint="eastAsia" w:ascii="宋体" w:hAnsi="宋体" w:cs="宋体"/>
                <w:sz w:val="24"/>
                <w:highlight w:val="none"/>
              </w:rPr>
              <w:t>前，逾期未递交的视为自动放弃递交电子备份投标文件。</w:t>
            </w:r>
          </w:p>
        </w:tc>
      </w:tr>
      <w:tr w14:paraId="3C443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313D9485">
            <w:pPr>
              <w:snapToGrid w:val="0"/>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11</w:t>
            </w:r>
          </w:p>
        </w:tc>
        <w:tc>
          <w:tcPr>
            <w:tcW w:w="8592" w:type="dxa"/>
            <w:tcBorders>
              <w:top w:val="single" w:color="auto" w:sz="4" w:space="0"/>
              <w:left w:val="single" w:color="auto" w:sz="4" w:space="0"/>
              <w:bottom w:val="single" w:color="auto" w:sz="4" w:space="0"/>
              <w:right w:val="single" w:color="auto" w:sz="4" w:space="0"/>
            </w:tcBorders>
            <w:noWrap w:val="0"/>
            <w:vAlign w:val="center"/>
          </w:tcPr>
          <w:p w14:paraId="72402890">
            <w:pPr>
              <w:snapToGrid w:val="0"/>
              <w:rPr>
                <w:rFonts w:ascii="宋体" w:hAnsi="宋体" w:cs="宋体"/>
                <w:b/>
                <w:bCs/>
                <w:sz w:val="24"/>
                <w:highlight w:val="none"/>
              </w:rPr>
            </w:pPr>
            <w:r>
              <w:rPr>
                <w:rFonts w:hint="eastAsia" w:ascii="宋体" w:hAnsi="宋体" w:cs="宋体"/>
                <w:b/>
                <w:bCs/>
                <w:sz w:val="24"/>
                <w:highlight w:val="none"/>
              </w:rPr>
              <w:t>本项目开标时间：</w:t>
            </w:r>
            <w:r>
              <w:rPr>
                <w:rFonts w:hint="eastAsia" w:ascii="宋体" w:hAnsi="宋体" w:cs="宋体"/>
                <w:b/>
                <w:bCs/>
                <w:sz w:val="24"/>
                <w:highlight w:val="none"/>
                <w:u w:val="single"/>
                <w:lang w:eastAsia="zh-CN"/>
              </w:rPr>
              <w:t>202</w:t>
            </w:r>
            <w:r>
              <w:rPr>
                <w:rFonts w:hint="eastAsia" w:ascii="宋体" w:hAnsi="宋体" w:cs="宋体"/>
                <w:b/>
                <w:bCs/>
                <w:sz w:val="24"/>
                <w:highlight w:val="none"/>
                <w:u w:val="single"/>
                <w:lang w:val="en-US" w:eastAsia="zh-CN"/>
              </w:rPr>
              <w:t>4</w:t>
            </w:r>
            <w:r>
              <w:rPr>
                <w:rFonts w:hint="eastAsia" w:ascii="宋体" w:hAnsi="宋体" w:cs="宋体"/>
                <w:b/>
                <w:bCs/>
                <w:sz w:val="24"/>
                <w:highlight w:val="none"/>
                <w:u w:val="single"/>
                <w:lang w:eastAsia="zh-CN"/>
              </w:rPr>
              <w:t>年</w:t>
            </w:r>
            <w:r>
              <w:rPr>
                <w:rFonts w:hint="eastAsia" w:ascii="宋体" w:hAnsi="宋体" w:cs="宋体"/>
                <w:b/>
                <w:bCs/>
                <w:sz w:val="24"/>
                <w:highlight w:val="none"/>
                <w:u w:val="single"/>
                <w:lang w:val="en-US" w:eastAsia="zh-CN"/>
              </w:rPr>
              <w:t>11</w:t>
            </w:r>
            <w:r>
              <w:rPr>
                <w:rFonts w:hint="eastAsia" w:ascii="宋体" w:hAnsi="宋体" w:cs="宋体"/>
                <w:b/>
                <w:bCs/>
                <w:sz w:val="24"/>
                <w:highlight w:val="none"/>
                <w:u w:val="single"/>
                <w:lang w:eastAsia="zh-CN"/>
              </w:rPr>
              <w:t>月</w:t>
            </w:r>
            <w:r>
              <w:rPr>
                <w:rFonts w:hint="eastAsia" w:ascii="宋体" w:hAnsi="宋体" w:cs="宋体"/>
                <w:b/>
                <w:bCs/>
                <w:sz w:val="24"/>
                <w:highlight w:val="none"/>
                <w:u w:val="single"/>
                <w:lang w:val="en-US" w:eastAsia="zh-CN"/>
              </w:rPr>
              <w:t>21</w:t>
            </w:r>
            <w:r>
              <w:rPr>
                <w:rFonts w:hint="eastAsia" w:ascii="宋体" w:hAnsi="宋体" w:cs="宋体"/>
                <w:b/>
                <w:bCs/>
                <w:sz w:val="24"/>
                <w:highlight w:val="none"/>
                <w:u w:val="single"/>
                <w:lang w:eastAsia="zh-CN"/>
              </w:rPr>
              <w:t>日</w:t>
            </w:r>
            <w:r>
              <w:rPr>
                <w:rFonts w:hint="eastAsia" w:ascii="宋体" w:hAnsi="宋体" w:cs="宋体"/>
                <w:b/>
                <w:bCs/>
                <w:sz w:val="24"/>
                <w:highlight w:val="none"/>
                <w:u w:val="single"/>
                <w:lang w:val="en-US" w:eastAsia="zh-CN"/>
              </w:rPr>
              <w:t>14</w:t>
            </w:r>
            <w:r>
              <w:rPr>
                <w:rFonts w:hint="eastAsia" w:ascii="宋体" w:hAnsi="宋体" w:cs="宋体"/>
                <w:b/>
                <w:bCs/>
                <w:sz w:val="24"/>
                <w:highlight w:val="none"/>
                <w:u w:val="single"/>
                <w:lang w:eastAsia="zh-CN"/>
              </w:rPr>
              <w:t>时</w:t>
            </w:r>
            <w:r>
              <w:rPr>
                <w:rFonts w:hint="eastAsia" w:ascii="宋体" w:hAnsi="宋体" w:cs="宋体"/>
                <w:b/>
                <w:bCs/>
                <w:sz w:val="24"/>
                <w:highlight w:val="none"/>
                <w:u w:val="single"/>
                <w:lang w:val="en-US" w:eastAsia="zh-CN"/>
              </w:rPr>
              <w:t>00</w:t>
            </w:r>
            <w:r>
              <w:rPr>
                <w:rFonts w:hint="eastAsia" w:ascii="宋体" w:hAnsi="宋体" w:cs="宋体"/>
                <w:b/>
                <w:bCs/>
                <w:sz w:val="24"/>
                <w:highlight w:val="none"/>
                <w:u w:val="single"/>
                <w:lang w:eastAsia="zh-CN"/>
              </w:rPr>
              <w:t>分</w:t>
            </w:r>
          </w:p>
          <w:p w14:paraId="233FA61C">
            <w:pPr>
              <w:snapToGrid w:val="0"/>
              <w:rPr>
                <w:rFonts w:ascii="宋体" w:hAnsi="宋体" w:cs="宋体"/>
                <w:sz w:val="24"/>
                <w:highlight w:val="none"/>
              </w:rPr>
            </w:pPr>
            <w:r>
              <w:rPr>
                <w:rFonts w:hint="eastAsia" w:ascii="宋体" w:hAnsi="宋体" w:cs="宋体"/>
                <w:b/>
                <w:bCs/>
                <w:sz w:val="24"/>
                <w:highlight w:val="none"/>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完成解密或解密时限到后，采购代理机构开启投标文件；投标人超过解密时限解密的且采购代理机构无法开启投标文件的，系统默认自动放弃。</w:t>
            </w:r>
          </w:p>
        </w:tc>
      </w:tr>
      <w:tr w14:paraId="4608D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780AC604">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1</w:t>
            </w:r>
            <w:r>
              <w:rPr>
                <w:rFonts w:hint="eastAsia" w:ascii="宋体" w:hAnsi="宋体" w:cs="宋体"/>
                <w:sz w:val="24"/>
                <w:highlight w:val="none"/>
                <w:lang w:val="en-US" w:eastAsia="zh-CN"/>
              </w:rPr>
              <w:t>2</w:t>
            </w:r>
          </w:p>
        </w:tc>
        <w:tc>
          <w:tcPr>
            <w:tcW w:w="8592" w:type="dxa"/>
            <w:tcBorders>
              <w:top w:val="single" w:color="auto" w:sz="4" w:space="0"/>
              <w:left w:val="single" w:color="auto" w:sz="4" w:space="0"/>
              <w:bottom w:val="single" w:color="auto" w:sz="4" w:space="0"/>
              <w:right w:val="single" w:color="auto" w:sz="4" w:space="0"/>
            </w:tcBorders>
            <w:noWrap w:val="0"/>
            <w:vAlign w:val="center"/>
          </w:tcPr>
          <w:p w14:paraId="4E416131">
            <w:pPr>
              <w:snapToGrid w:val="0"/>
              <w:rPr>
                <w:rFonts w:ascii="宋体" w:hAnsi="宋体" w:cs="宋体"/>
                <w:sz w:val="24"/>
                <w:highlight w:val="none"/>
              </w:rPr>
            </w:pPr>
            <w:r>
              <w:rPr>
                <w:rFonts w:hint="eastAsia" w:ascii="宋体" w:hAnsi="宋体" w:cs="宋体"/>
                <w:sz w:val="24"/>
                <w:highlight w:val="none"/>
              </w:rPr>
              <w:t>投标保证金：本项目</w:t>
            </w:r>
            <w:r>
              <w:rPr>
                <w:rFonts w:hint="eastAsia" w:ascii="宋体" w:hAnsi="宋体" w:cs="宋体"/>
                <w:b/>
                <w:kern w:val="0"/>
                <w:sz w:val="24"/>
                <w:highlight w:val="none"/>
              </w:rPr>
              <w:t>不收取投标保证金。</w:t>
            </w:r>
          </w:p>
        </w:tc>
      </w:tr>
      <w:tr w14:paraId="5FC2C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318D344A">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1</w:t>
            </w:r>
            <w:r>
              <w:rPr>
                <w:rFonts w:hint="eastAsia" w:ascii="宋体" w:hAnsi="宋体" w:cs="宋体"/>
                <w:sz w:val="24"/>
                <w:highlight w:val="none"/>
                <w:lang w:val="en-US" w:eastAsia="zh-CN"/>
              </w:rPr>
              <w:t>3</w:t>
            </w:r>
          </w:p>
        </w:tc>
        <w:tc>
          <w:tcPr>
            <w:tcW w:w="8592" w:type="dxa"/>
            <w:tcBorders>
              <w:top w:val="single" w:color="auto" w:sz="4" w:space="0"/>
              <w:left w:val="single" w:color="auto" w:sz="4" w:space="0"/>
              <w:bottom w:val="single" w:color="auto" w:sz="4" w:space="0"/>
              <w:right w:val="single" w:color="auto" w:sz="4" w:space="0"/>
            </w:tcBorders>
            <w:noWrap w:val="0"/>
            <w:vAlign w:val="center"/>
          </w:tcPr>
          <w:p w14:paraId="698D6EB5">
            <w:pPr>
              <w:snapToGrid w:val="0"/>
              <w:rPr>
                <w:rFonts w:ascii="宋体" w:hAnsi="宋体" w:cs="宋体"/>
                <w:sz w:val="24"/>
                <w:highlight w:val="none"/>
              </w:rPr>
            </w:pPr>
            <w:r>
              <w:rPr>
                <w:rFonts w:hint="eastAsia" w:ascii="宋体" w:hAnsi="宋体" w:cs="宋体"/>
                <w:sz w:val="24"/>
                <w:highlight w:val="none"/>
              </w:rPr>
              <w:t>评标办法：综合评分法</w:t>
            </w:r>
          </w:p>
        </w:tc>
      </w:tr>
      <w:tr w14:paraId="697B1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4F4CEE0C">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1</w:t>
            </w:r>
            <w:r>
              <w:rPr>
                <w:rFonts w:hint="eastAsia" w:ascii="宋体" w:hAnsi="宋体" w:cs="宋体"/>
                <w:sz w:val="24"/>
                <w:highlight w:val="none"/>
                <w:lang w:val="en-US" w:eastAsia="zh-CN"/>
              </w:rPr>
              <w:t>4</w:t>
            </w:r>
          </w:p>
        </w:tc>
        <w:tc>
          <w:tcPr>
            <w:tcW w:w="8592" w:type="dxa"/>
            <w:tcBorders>
              <w:top w:val="single" w:color="auto" w:sz="4" w:space="0"/>
              <w:left w:val="single" w:color="auto" w:sz="4" w:space="0"/>
              <w:bottom w:val="single" w:color="auto" w:sz="4" w:space="0"/>
              <w:right w:val="single" w:color="auto" w:sz="4" w:space="0"/>
            </w:tcBorders>
            <w:noWrap w:val="0"/>
            <w:vAlign w:val="center"/>
          </w:tcPr>
          <w:p w14:paraId="75AD2A7D">
            <w:pPr>
              <w:snapToGrid w:val="0"/>
              <w:rPr>
                <w:rFonts w:ascii="宋体" w:hAnsi="宋体" w:cs="宋体"/>
                <w:sz w:val="24"/>
                <w:highlight w:val="none"/>
              </w:rPr>
            </w:pPr>
            <w:r>
              <w:rPr>
                <w:rFonts w:hint="eastAsia" w:ascii="宋体" w:hAnsi="宋体" w:cs="宋体"/>
                <w:sz w:val="24"/>
                <w:highlight w:val="none"/>
              </w:rPr>
              <w:t>采购人应当自收到评审报告之日起5个工作日内在评审报告推荐的中标或者成交候选人中按顺序确定中标或者成交供应商。如有投标人对评标结果提出质疑的，采购人可在质疑处理完毕后确定中标人。</w:t>
            </w:r>
          </w:p>
        </w:tc>
      </w:tr>
      <w:tr w14:paraId="4C9B0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42679061">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1</w:t>
            </w:r>
            <w:r>
              <w:rPr>
                <w:rFonts w:hint="eastAsia" w:ascii="宋体" w:hAnsi="宋体" w:cs="宋体"/>
                <w:sz w:val="24"/>
                <w:highlight w:val="none"/>
                <w:lang w:val="en-US" w:eastAsia="zh-CN"/>
              </w:rPr>
              <w:t>5</w:t>
            </w:r>
          </w:p>
        </w:tc>
        <w:tc>
          <w:tcPr>
            <w:tcW w:w="8592" w:type="dxa"/>
            <w:tcBorders>
              <w:top w:val="single" w:color="auto" w:sz="4" w:space="0"/>
              <w:left w:val="single" w:color="auto" w:sz="4" w:space="0"/>
              <w:bottom w:val="single" w:color="auto" w:sz="4" w:space="0"/>
              <w:right w:val="single" w:color="auto" w:sz="4" w:space="0"/>
            </w:tcBorders>
            <w:noWrap w:val="0"/>
            <w:vAlign w:val="center"/>
          </w:tcPr>
          <w:p w14:paraId="5C9228D7">
            <w:pPr>
              <w:snapToGrid w:val="0"/>
              <w:rPr>
                <w:rFonts w:ascii="宋体" w:hAnsi="宋体" w:cs="宋体"/>
                <w:sz w:val="24"/>
                <w:highlight w:val="none"/>
              </w:rPr>
            </w:pPr>
            <w:r>
              <w:rPr>
                <w:rFonts w:hint="eastAsia" w:ascii="宋体" w:hAnsi="宋体" w:cs="宋体"/>
                <w:sz w:val="24"/>
                <w:highlight w:val="none"/>
              </w:rPr>
              <w:t>采购人或者采购代理机构应当自中标、成交供应商确定之日起2个工作日内，发出中标、成交通知书，并在省级以上人民政府财政部门指定的媒体上公告中标、成交结果。</w:t>
            </w:r>
          </w:p>
        </w:tc>
      </w:tr>
      <w:tr w14:paraId="3B571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0AC5BD5D">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1</w:t>
            </w:r>
            <w:r>
              <w:rPr>
                <w:rFonts w:hint="eastAsia" w:ascii="宋体" w:hAnsi="宋体" w:cs="宋体"/>
                <w:sz w:val="24"/>
                <w:highlight w:val="none"/>
                <w:lang w:val="en-US" w:eastAsia="zh-CN"/>
              </w:rPr>
              <w:t>6</w:t>
            </w:r>
          </w:p>
        </w:tc>
        <w:tc>
          <w:tcPr>
            <w:tcW w:w="8592" w:type="dxa"/>
            <w:tcBorders>
              <w:top w:val="single" w:color="auto" w:sz="4" w:space="0"/>
              <w:left w:val="single" w:color="auto" w:sz="4" w:space="0"/>
              <w:bottom w:val="single" w:color="auto" w:sz="4" w:space="0"/>
              <w:right w:val="single" w:color="auto" w:sz="4" w:space="0"/>
            </w:tcBorders>
            <w:noWrap w:val="0"/>
            <w:vAlign w:val="center"/>
          </w:tcPr>
          <w:p w14:paraId="131C9FD6">
            <w:pPr>
              <w:autoSpaceDE w:val="0"/>
              <w:autoSpaceDN w:val="0"/>
              <w:snapToGrid w:val="0"/>
              <w:textAlignment w:val="bottom"/>
              <w:rPr>
                <w:rFonts w:ascii="宋体" w:hAnsi="宋体" w:cs="宋体"/>
                <w:sz w:val="24"/>
                <w:highlight w:val="none"/>
              </w:rPr>
            </w:pPr>
            <w:r>
              <w:rPr>
                <w:rFonts w:hint="eastAsia" w:ascii="宋体" w:hAnsi="宋体" w:cs="宋体"/>
                <w:sz w:val="24"/>
                <w:highlight w:val="none"/>
              </w:rPr>
              <w:t>签订合同：中标通知书发出后30日内签订。</w:t>
            </w:r>
          </w:p>
        </w:tc>
      </w:tr>
      <w:tr w14:paraId="2F40C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2689A150">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1</w:t>
            </w:r>
            <w:r>
              <w:rPr>
                <w:rFonts w:hint="eastAsia" w:ascii="宋体" w:hAnsi="宋体" w:cs="宋体"/>
                <w:sz w:val="24"/>
                <w:highlight w:val="none"/>
                <w:lang w:val="en-US" w:eastAsia="zh-CN"/>
              </w:rPr>
              <w:t>7</w:t>
            </w:r>
          </w:p>
        </w:tc>
        <w:tc>
          <w:tcPr>
            <w:tcW w:w="8592" w:type="dxa"/>
            <w:tcBorders>
              <w:top w:val="single" w:color="auto" w:sz="4" w:space="0"/>
              <w:left w:val="single" w:color="auto" w:sz="4" w:space="0"/>
              <w:bottom w:val="single" w:color="auto" w:sz="4" w:space="0"/>
              <w:right w:val="single" w:color="auto" w:sz="4" w:space="0"/>
            </w:tcBorders>
            <w:noWrap w:val="0"/>
            <w:vAlign w:val="center"/>
          </w:tcPr>
          <w:p w14:paraId="33A6058A">
            <w:pPr>
              <w:widowControl/>
              <w:shd w:val="clear" w:color="auto" w:fill="FFFFFF"/>
              <w:spacing w:line="400" w:lineRule="exact"/>
              <w:jc w:val="left"/>
              <w:rPr>
                <w:rFonts w:hint="eastAsia" w:ascii="宋体" w:hAnsi="宋体" w:cs="宋体"/>
                <w:b/>
                <w:bCs/>
                <w:sz w:val="24"/>
                <w:highlight w:val="none"/>
              </w:rPr>
            </w:pPr>
            <w:r>
              <w:rPr>
                <w:rFonts w:hint="eastAsia" w:ascii="宋体" w:hAnsi="宋体" w:cs="宋体"/>
                <w:b/>
                <w:bCs/>
                <w:sz w:val="24"/>
                <w:highlight w:val="none"/>
              </w:rPr>
              <w:t>履约保证金：</w:t>
            </w:r>
          </w:p>
          <w:p w14:paraId="5EFEE232">
            <w:pPr>
              <w:snapToGrid w:val="0"/>
              <w:rPr>
                <w:rFonts w:hint="eastAsia" w:ascii="宋体" w:hAnsi="宋体" w:eastAsia="宋体" w:cs="宋体"/>
                <w:sz w:val="24"/>
                <w:highlight w:val="none"/>
              </w:rPr>
            </w:pPr>
            <w:r>
              <w:rPr>
                <w:rFonts w:hint="eastAsia" w:ascii="宋体" w:hAnsi="宋体" w:eastAsia="宋体" w:cs="宋体"/>
                <w:sz w:val="24"/>
                <w:highlight w:val="none"/>
              </w:rPr>
              <w:t>中标单位应于合同签订前，中标通知书发出后的5个工作日内向医院交纳合同总价1%的履约保证金；</w:t>
            </w:r>
          </w:p>
          <w:p w14:paraId="09C01C76">
            <w:pPr>
              <w:snapToGrid w:val="0"/>
              <w:rPr>
                <w:highlight w:val="none"/>
              </w:rPr>
            </w:pPr>
            <w:r>
              <w:rPr>
                <w:rFonts w:hint="eastAsia" w:ascii="宋体" w:hAnsi="宋体" w:eastAsia="宋体" w:cs="宋体"/>
                <w:sz w:val="24"/>
                <w:highlight w:val="none"/>
              </w:rPr>
              <w:t>中标单位没有履行本合同约定的责任和义务所需承担的违约金、赔偿金及其他费用，医院有权直接从履约保证金中扣除，履约保证金不足以扣除的，医院有权从任何一笔结算款项中扣除；剩余履约保证金（如有）自全部产品到货安装验收合格后，凭医院出具的交纳票据，经医院业务主管职能部门审核，无息退回中标单位。</w:t>
            </w:r>
          </w:p>
        </w:tc>
      </w:tr>
      <w:tr w14:paraId="23E4D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58FF5232">
            <w:pPr>
              <w:snapToGrid w:val="0"/>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18</w:t>
            </w:r>
          </w:p>
        </w:tc>
        <w:tc>
          <w:tcPr>
            <w:tcW w:w="8592" w:type="dxa"/>
            <w:tcBorders>
              <w:top w:val="single" w:color="auto" w:sz="4" w:space="0"/>
              <w:left w:val="single" w:color="auto" w:sz="4" w:space="0"/>
              <w:bottom w:val="single" w:color="auto" w:sz="4" w:space="0"/>
              <w:right w:val="single" w:color="auto" w:sz="4" w:space="0"/>
            </w:tcBorders>
            <w:noWrap w:val="0"/>
            <w:vAlign w:val="center"/>
          </w:tcPr>
          <w:p w14:paraId="09E57ECE">
            <w:pPr>
              <w:widowControl/>
              <w:shd w:val="clear" w:color="auto" w:fill="FFFFFF"/>
              <w:spacing w:line="400" w:lineRule="exact"/>
              <w:jc w:val="left"/>
              <w:rPr>
                <w:rFonts w:hint="eastAsia" w:ascii="宋体" w:hAnsi="宋体" w:cs="宋体"/>
                <w:b/>
                <w:bCs/>
                <w:sz w:val="24"/>
                <w:highlight w:val="none"/>
              </w:rPr>
            </w:pPr>
            <w:r>
              <w:rPr>
                <w:rFonts w:hint="eastAsia" w:ascii="宋体" w:hAnsi="宋体" w:cs="宋体"/>
                <w:b/>
                <w:bCs/>
                <w:sz w:val="24"/>
                <w:highlight w:val="none"/>
                <w:lang w:eastAsia="zh-CN"/>
              </w:rPr>
              <w:t>付款方式</w:t>
            </w:r>
            <w:r>
              <w:rPr>
                <w:rFonts w:hint="eastAsia" w:ascii="宋体" w:hAnsi="宋体" w:cs="宋体"/>
                <w:b/>
                <w:bCs/>
                <w:sz w:val="24"/>
                <w:highlight w:val="none"/>
              </w:rPr>
              <w:t>：</w:t>
            </w:r>
          </w:p>
          <w:p w14:paraId="1EA0ABB5">
            <w:pPr>
              <w:snapToGrid w:val="0"/>
              <w:rPr>
                <w:rFonts w:hint="eastAsia" w:ascii="宋体" w:hAnsi="宋体" w:eastAsia="宋体" w:cs="宋体"/>
                <w:sz w:val="24"/>
                <w:highlight w:val="none"/>
                <w:lang w:eastAsia="zh-CN"/>
              </w:rPr>
            </w:pPr>
            <w:r>
              <w:rPr>
                <w:rFonts w:hint="eastAsia" w:ascii="宋体" w:hAnsi="宋体" w:cs="宋体"/>
                <w:sz w:val="24"/>
                <w:highlight w:val="none"/>
                <w:lang w:eastAsia="zh-CN"/>
              </w:rPr>
              <w:t>合同生效后，收到中标单位开具的正式发票之日起，于7个工作日内支付合同总价40%的预付款；全部产品到货并按要求完成安装调试后验收合格，自收到中标单位开具的正式发票和销货清单之日起，于30个工作日内一次性支付全部合同价款。</w:t>
            </w:r>
          </w:p>
        </w:tc>
      </w:tr>
      <w:tr w14:paraId="5F323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3AAAFC24">
            <w:pPr>
              <w:snapToGrid w:val="0"/>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19</w:t>
            </w:r>
          </w:p>
        </w:tc>
        <w:tc>
          <w:tcPr>
            <w:tcW w:w="8592" w:type="dxa"/>
            <w:tcBorders>
              <w:top w:val="single" w:color="auto" w:sz="4" w:space="0"/>
              <w:left w:val="single" w:color="auto" w:sz="4" w:space="0"/>
              <w:bottom w:val="single" w:color="auto" w:sz="4" w:space="0"/>
              <w:right w:val="single" w:color="auto" w:sz="4" w:space="0"/>
            </w:tcBorders>
            <w:noWrap w:val="0"/>
            <w:vAlign w:val="center"/>
          </w:tcPr>
          <w:p w14:paraId="7D103792">
            <w:pPr>
              <w:snapToGrid w:val="0"/>
              <w:jc w:val="left"/>
              <w:rPr>
                <w:rFonts w:ascii="宋体" w:hAnsi="宋体" w:cs="宋体"/>
                <w:sz w:val="24"/>
                <w:highlight w:val="none"/>
              </w:rPr>
            </w:pPr>
            <w:r>
              <w:rPr>
                <w:rFonts w:hint="eastAsia" w:ascii="宋体" w:hAnsi="宋体"/>
                <w:sz w:val="24"/>
                <w:highlight w:val="none"/>
              </w:rPr>
              <w:t>政采贷：本采购项目，中标单位与采购单位签订的政府采购合同适用于政府采购贷款政策，简称“政采贷”，具体内容详见 附件《政府采购支持中小企业信用融资相关事项通知》。本项目中的履约保函也可通过政采云系统办理。</w:t>
            </w:r>
          </w:p>
        </w:tc>
      </w:tr>
      <w:tr w14:paraId="0FF9F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72FAC4EE">
            <w:pPr>
              <w:snapToGrid w:val="0"/>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20</w:t>
            </w:r>
          </w:p>
        </w:tc>
        <w:tc>
          <w:tcPr>
            <w:tcW w:w="8592" w:type="dxa"/>
            <w:tcBorders>
              <w:top w:val="single" w:color="auto" w:sz="4" w:space="0"/>
              <w:left w:val="single" w:color="auto" w:sz="4" w:space="0"/>
              <w:bottom w:val="single" w:color="auto" w:sz="4" w:space="0"/>
              <w:right w:val="single" w:color="auto" w:sz="4" w:space="0"/>
            </w:tcBorders>
            <w:noWrap w:val="0"/>
            <w:vAlign w:val="center"/>
          </w:tcPr>
          <w:p w14:paraId="1C4F55A3">
            <w:pPr>
              <w:snapToGrid w:val="0"/>
              <w:rPr>
                <w:rFonts w:ascii="宋体" w:hAnsi="宋体" w:cs="宋体"/>
                <w:sz w:val="24"/>
                <w:highlight w:val="none"/>
              </w:rPr>
            </w:pPr>
            <w:r>
              <w:rPr>
                <w:rFonts w:hint="eastAsia" w:ascii="宋体" w:hAnsi="宋体" w:cs="宋体"/>
                <w:sz w:val="24"/>
                <w:highlight w:val="none"/>
              </w:rPr>
              <w:t>投标文件有效期：</w:t>
            </w:r>
            <w:r>
              <w:rPr>
                <w:rFonts w:hint="eastAsia" w:ascii="宋体" w:hAnsi="宋体" w:cs="宋体"/>
                <w:sz w:val="24"/>
                <w:highlight w:val="none"/>
                <w:u w:val="single"/>
              </w:rPr>
              <w:t xml:space="preserve"> 60 </w:t>
            </w:r>
            <w:r>
              <w:rPr>
                <w:rFonts w:hint="eastAsia" w:ascii="宋体" w:hAnsi="宋体" w:cs="宋体"/>
                <w:sz w:val="24"/>
                <w:highlight w:val="none"/>
              </w:rPr>
              <w:t>天</w:t>
            </w:r>
          </w:p>
        </w:tc>
      </w:tr>
      <w:tr w14:paraId="126B3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5E7FF8FF">
            <w:pPr>
              <w:snapToGrid w:val="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21</w:t>
            </w:r>
          </w:p>
        </w:tc>
        <w:tc>
          <w:tcPr>
            <w:tcW w:w="8592" w:type="dxa"/>
            <w:tcBorders>
              <w:top w:val="single" w:color="auto" w:sz="4" w:space="0"/>
              <w:left w:val="single" w:color="auto" w:sz="4" w:space="0"/>
              <w:bottom w:val="single" w:color="auto" w:sz="4" w:space="0"/>
              <w:right w:val="single" w:color="auto" w:sz="4" w:space="0"/>
            </w:tcBorders>
            <w:noWrap w:val="0"/>
            <w:vAlign w:val="center"/>
          </w:tcPr>
          <w:p w14:paraId="7111BBB6">
            <w:pPr>
              <w:tabs>
                <w:tab w:val="left" w:pos="6660"/>
              </w:tabs>
              <w:snapToGrid w:val="0"/>
              <w:spacing w:line="520" w:lineRule="exact"/>
              <w:rPr>
                <w:rFonts w:ascii="宋体" w:hAnsi="宋体" w:cs="宋体"/>
                <w:sz w:val="24"/>
              </w:rPr>
            </w:pPr>
            <w:r>
              <w:rPr>
                <w:rFonts w:hint="eastAsia" w:ascii="宋体" w:hAnsi="宋体" w:cs="宋体"/>
                <w:sz w:val="24"/>
              </w:rPr>
              <w:t>1、本次采购，采购代理服务费按国家计委计价格[2002]1980号规定中货物招标标准收取，不满3000按3000计取</w:t>
            </w:r>
            <w:r>
              <w:rPr>
                <w:rFonts w:hint="eastAsia" w:ascii="宋体" w:hAnsi="宋体" w:cs="宋体"/>
                <w:sz w:val="24"/>
                <w:lang w:eastAsia="zh-Hans"/>
              </w:rPr>
              <w:t>。</w:t>
            </w:r>
          </w:p>
          <w:tbl>
            <w:tblPr>
              <w:tblStyle w:val="88"/>
              <w:tblW w:w="0" w:type="auto"/>
              <w:jc w:val="center"/>
              <w:tblCellSpacing w:w="0" w:type="dxa"/>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
            <w:tblGrid>
              <w:gridCol w:w="3701"/>
              <w:gridCol w:w="1775"/>
              <w:gridCol w:w="1522"/>
              <w:gridCol w:w="1747"/>
            </w:tblGrid>
            <w:tr w14:paraId="3A6AD182">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300" w:hRule="atLeast"/>
                <w:tblCellSpacing w:w="0" w:type="dxa"/>
                <w:jc w:val="center"/>
              </w:trPr>
              <w:tc>
                <w:tcPr>
                  <w:tcW w:w="3701" w:type="dxa"/>
                  <w:vAlign w:val="center"/>
                </w:tcPr>
                <w:p w14:paraId="6D897A42">
                  <w:pPr>
                    <w:tabs>
                      <w:tab w:val="left" w:pos="6660"/>
                    </w:tabs>
                    <w:snapToGrid w:val="0"/>
                    <w:spacing w:line="520" w:lineRule="exact"/>
                    <w:ind w:firstLine="480" w:firstLineChars="200"/>
                    <w:rPr>
                      <w:rFonts w:ascii="宋体" w:hAnsi="宋体" w:cs="宋体"/>
                      <w:sz w:val="24"/>
                    </w:rPr>
                  </w:pPr>
                  <w:r>
                    <w:rPr>
                      <w:rFonts w:hint="eastAsia" w:ascii="宋体" w:hAnsi="宋体" w:cs="宋体"/>
                      <w:sz w:val="24"/>
                    </w:rPr>
                    <w:t xml:space="preserve">  中标金额（万元）</w:t>
                  </w:r>
                </w:p>
              </w:tc>
              <w:tc>
                <w:tcPr>
                  <w:tcW w:w="1775" w:type="dxa"/>
                  <w:vAlign w:val="center"/>
                </w:tcPr>
                <w:p w14:paraId="7C9B2A93">
                  <w:pPr>
                    <w:tabs>
                      <w:tab w:val="left" w:pos="6660"/>
                    </w:tabs>
                    <w:snapToGrid w:val="0"/>
                    <w:spacing w:line="520" w:lineRule="exact"/>
                    <w:ind w:firstLine="480" w:firstLineChars="200"/>
                    <w:rPr>
                      <w:rFonts w:ascii="宋体" w:hAnsi="宋体" w:cs="宋体"/>
                      <w:sz w:val="24"/>
                    </w:rPr>
                  </w:pPr>
                  <w:r>
                    <w:rPr>
                      <w:rFonts w:hint="eastAsia" w:ascii="宋体" w:hAnsi="宋体" w:cs="宋体"/>
                      <w:sz w:val="24"/>
                    </w:rPr>
                    <w:t>货物招标</w:t>
                  </w:r>
                </w:p>
              </w:tc>
              <w:tc>
                <w:tcPr>
                  <w:tcW w:w="1522" w:type="dxa"/>
                  <w:vAlign w:val="center"/>
                </w:tcPr>
                <w:p w14:paraId="796BD756">
                  <w:pPr>
                    <w:tabs>
                      <w:tab w:val="left" w:pos="6660"/>
                    </w:tabs>
                    <w:snapToGrid w:val="0"/>
                    <w:spacing w:line="520" w:lineRule="exact"/>
                    <w:ind w:firstLine="480" w:firstLineChars="200"/>
                    <w:rPr>
                      <w:rFonts w:ascii="宋体" w:hAnsi="宋体" w:cs="宋体"/>
                      <w:sz w:val="24"/>
                    </w:rPr>
                  </w:pPr>
                  <w:r>
                    <w:rPr>
                      <w:rFonts w:hint="eastAsia" w:ascii="宋体" w:hAnsi="宋体" w:cs="宋体"/>
                      <w:sz w:val="24"/>
                    </w:rPr>
                    <w:t>服务招标</w:t>
                  </w:r>
                </w:p>
              </w:tc>
              <w:tc>
                <w:tcPr>
                  <w:tcW w:w="1747" w:type="dxa"/>
                  <w:vAlign w:val="center"/>
                </w:tcPr>
                <w:p w14:paraId="3F27A44C">
                  <w:pPr>
                    <w:tabs>
                      <w:tab w:val="left" w:pos="6660"/>
                    </w:tabs>
                    <w:snapToGrid w:val="0"/>
                    <w:spacing w:line="520" w:lineRule="exact"/>
                    <w:ind w:firstLine="480" w:firstLineChars="200"/>
                    <w:rPr>
                      <w:rFonts w:ascii="宋体" w:hAnsi="宋体" w:cs="宋体"/>
                      <w:sz w:val="24"/>
                    </w:rPr>
                  </w:pPr>
                  <w:r>
                    <w:rPr>
                      <w:rFonts w:hint="eastAsia" w:ascii="宋体" w:hAnsi="宋体" w:cs="宋体"/>
                      <w:sz w:val="24"/>
                    </w:rPr>
                    <w:t>工程招标</w:t>
                  </w:r>
                </w:p>
              </w:tc>
            </w:tr>
            <w:tr w14:paraId="0EECB0E8">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3701" w:type="dxa"/>
                  <w:vAlign w:val="center"/>
                </w:tcPr>
                <w:p w14:paraId="1574CC7B">
                  <w:pPr>
                    <w:tabs>
                      <w:tab w:val="left" w:pos="6660"/>
                    </w:tabs>
                    <w:snapToGrid w:val="0"/>
                    <w:spacing w:line="520" w:lineRule="exact"/>
                    <w:ind w:firstLine="480" w:firstLineChars="200"/>
                    <w:rPr>
                      <w:rFonts w:ascii="宋体" w:hAnsi="宋体" w:cs="宋体"/>
                      <w:sz w:val="24"/>
                    </w:rPr>
                  </w:pPr>
                  <w:r>
                    <w:rPr>
                      <w:rFonts w:hint="eastAsia" w:ascii="宋体" w:hAnsi="宋体" w:cs="宋体"/>
                      <w:sz w:val="24"/>
                    </w:rPr>
                    <w:t>100以下</w:t>
                  </w:r>
                </w:p>
              </w:tc>
              <w:tc>
                <w:tcPr>
                  <w:tcW w:w="1775" w:type="dxa"/>
                  <w:vAlign w:val="center"/>
                </w:tcPr>
                <w:p w14:paraId="4F3955DF">
                  <w:pPr>
                    <w:tabs>
                      <w:tab w:val="left" w:pos="6660"/>
                    </w:tabs>
                    <w:snapToGrid w:val="0"/>
                    <w:spacing w:line="520" w:lineRule="exact"/>
                    <w:ind w:firstLine="480" w:firstLineChars="200"/>
                    <w:rPr>
                      <w:rFonts w:ascii="宋体" w:hAnsi="宋体" w:cs="宋体"/>
                      <w:sz w:val="24"/>
                    </w:rPr>
                  </w:pPr>
                  <w:r>
                    <w:rPr>
                      <w:rFonts w:hint="eastAsia" w:ascii="宋体" w:hAnsi="宋体" w:cs="宋体"/>
                      <w:sz w:val="24"/>
                    </w:rPr>
                    <w:t>1.5％</w:t>
                  </w:r>
                </w:p>
              </w:tc>
              <w:tc>
                <w:tcPr>
                  <w:tcW w:w="1522" w:type="dxa"/>
                  <w:vAlign w:val="center"/>
                </w:tcPr>
                <w:p w14:paraId="1E353A24">
                  <w:pPr>
                    <w:tabs>
                      <w:tab w:val="left" w:pos="6660"/>
                    </w:tabs>
                    <w:snapToGrid w:val="0"/>
                    <w:spacing w:line="520" w:lineRule="exact"/>
                    <w:ind w:firstLine="480" w:firstLineChars="200"/>
                    <w:rPr>
                      <w:rFonts w:ascii="宋体" w:hAnsi="宋体" w:cs="宋体"/>
                      <w:sz w:val="24"/>
                    </w:rPr>
                  </w:pPr>
                  <w:r>
                    <w:rPr>
                      <w:rFonts w:hint="eastAsia" w:ascii="宋体" w:hAnsi="宋体" w:cs="宋体"/>
                      <w:sz w:val="24"/>
                    </w:rPr>
                    <w:t>1.5％</w:t>
                  </w:r>
                </w:p>
              </w:tc>
              <w:tc>
                <w:tcPr>
                  <w:tcW w:w="1747" w:type="dxa"/>
                  <w:vAlign w:val="center"/>
                </w:tcPr>
                <w:p w14:paraId="36ECDA2A">
                  <w:pPr>
                    <w:tabs>
                      <w:tab w:val="left" w:pos="6660"/>
                    </w:tabs>
                    <w:snapToGrid w:val="0"/>
                    <w:spacing w:line="520" w:lineRule="exact"/>
                    <w:ind w:firstLine="480" w:firstLineChars="200"/>
                    <w:rPr>
                      <w:rFonts w:ascii="宋体" w:hAnsi="宋体" w:cs="宋体"/>
                      <w:sz w:val="24"/>
                    </w:rPr>
                  </w:pPr>
                  <w:r>
                    <w:rPr>
                      <w:rFonts w:hint="eastAsia" w:ascii="宋体" w:hAnsi="宋体" w:cs="宋体"/>
                      <w:sz w:val="24"/>
                    </w:rPr>
                    <w:t>1.0％</w:t>
                  </w:r>
                </w:p>
              </w:tc>
            </w:tr>
            <w:tr w14:paraId="536E27B9">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3701" w:type="dxa"/>
                  <w:vAlign w:val="center"/>
                </w:tcPr>
                <w:p w14:paraId="76A01590">
                  <w:pPr>
                    <w:tabs>
                      <w:tab w:val="left" w:pos="6660"/>
                    </w:tabs>
                    <w:snapToGrid w:val="0"/>
                    <w:spacing w:line="520" w:lineRule="exact"/>
                    <w:ind w:firstLine="480" w:firstLineChars="200"/>
                    <w:rPr>
                      <w:rFonts w:ascii="宋体" w:hAnsi="宋体" w:cs="宋体"/>
                      <w:sz w:val="24"/>
                    </w:rPr>
                  </w:pPr>
                  <w:r>
                    <w:rPr>
                      <w:rFonts w:hint="eastAsia" w:ascii="宋体" w:hAnsi="宋体" w:cs="宋体"/>
                      <w:sz w:val="24"/>
                    </w:rPr>
                    <w:t>100—500</w:t>
                  </w:r>
                </w:p>
              </w:tc>
              <w:tc>
                <w:tcPr>
                  <w:tcW w:w="1775" w:type="dxa"/>
                  <w:vAlign w:val="center"/>
                </w:tcPr>
                <w:p w14:paraId="78282F5D">
                  <w:pPr>
                    <w:tabs>
                      <w:tab w:val="left" w:pos="6660"/>
                    </w:tabs>
                    <w:snapToGrid w:val="0"/>
                    <w:spacing w:line="520" w:lineRule="exact"/>
                    <w:ind w:firstLine="480" w:firstLineChars="200"/>
                    <w:rPr>
                      <w:rFonts w:ascii="宋体" w:hAnsi="宋体" w:cs="宋体"/>
                      <w:sz w:val="24"/>
                    </w:rPr>
                  </w:pPr>
                  <w:r>
                    <w:rPr>
                      <w:rFonts w:hint="eastAsia" w:ascii="宋体" w:hAnsi="宋体" w:cs="宋体"/>
                      <w:sz w:val="24"/>
                    </w:rPr>
                    <w:t>1.1％</w:t>
                  </w:r>
                </w:p>
              </w:tc>
              <w:tc>
                <w:tcPr>
                  <w:tcW w:w="1522" w:type="dxa"/>
                  <w:vAlign w:val="center"/>
                </w:tcPr>
                <w:p w14:paraId="535D383B">
                  <w:pPr>
                    <w:tabs>
                      <w:tab w:val="left" w:pos="6660"/>
                    </w:tabs>
                    <w:snapToGrid w:val="0"/>
                    <w:spacing w:line="520" w:lineRule="exact"/>
                    <w:ind w:firstLine="480" w:firstLineChars="200"/>
                    <w:rPr>
                      <w:rFonts w:ascii="宋体" w:hAnsi="宋体" w:cs="宋体"/>
                      <w:sz w:val="24"/>
                    </w:rPr>
                  </w:pPr>
                  <w:r>
                    <w:rPr>
                      <w:rFonts w:hint="eastAsia" w:ascii="宋体" w:hAnsi="宋体" w:cs="宋体"/>
                      <w:sz w:val="24"/>
                    </w:rPr>
                    <w:t>0.8％</w:t>
                  </w:r>
                </w:p>
              </w:tc>
              <w:tc>
                <w:tcPr>
                  <w:tcW w:w="1747" w:type="dxa"/>
                  <w:vAlign w:val="center"/>
                </w:tcPr>
                <w:p w14:paraId="59D6146E">
                  <w:pPr>
                    <w:tabs>
                      <w:tab w:val="left" w:pos="6660"/>
                    </w:tabs>
                    <w:snapToGrid w:val="0"/>
                    <w:spacing w:line="520" w:lineRule="exact"/>
                    <w:ind w:firstLine="480" w:firstLineChars="200"/>
                    <w:rPr>
                      <w:rFonts w:ascii="宋体" w:hAnsi="宋体" w:cs="宋体"/>
                      <w:sz w:val="24"/>
                    </w:rPr>
                  </w:pPr>
                  <w:r>
                    <w:rPr>
                      <w:rFonts w:hint="eastAsia" w:ascii="宋体" w:hAnsi="宋体" w:cs="宋体"/>
                      <w:sz w:val="24"/>
                    </w:rPr>
                    <w:t>0.7％</w:t>
                  </w:r>
                </w:p>
              </w:tc>
            </w:tr>
            <w:tr w14:paraId="6827DC74">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452" w:hRule="atLeast"/>
                <w:tblCellSpacing w:w="0" w:type="dxa"/>
                <w:jc w:val="center"/>
              </w:trPr>
              <w:tc>
                <w:tcPr>
                  <w:tcW w:w="3701" w:type="dxa"/>
                  <w:vAlign w:val="center"/>
                </w:tcPr>
                <w:p w14:paraId="5F52BD97">
                  <w:pPr>
                    <w:tabs>
                      <w:tab w:val="left" w:pos="6660"/>
                    </w:tabs>
                    <w:snapToGrid w:val="0"/>
                    <w:spacing w:line="520" w:lineRule="exact"/>
                    <w:ind w:firstLine="480" w:firstLineChars="200"/>
                    <w:rPr>
                      <w:rFonts w:ascii="宋体" w:hAnsi="宋体" w:cs="宋体"/>
                      <w:sz w:val="24"/>
                    </w:rPr>
                  </w:pPr>
                  <w:r>
                    <w:rPr>
                      <w:rFonts w:hint="eastAsia" w:ascii="宋体" w:hAnsi="宋体" w:cs="宋体"/>
                      <w:sz w:val="24"/>
                    </w:rPr>
                    <w:t>500-1000</w:t>
                  </w:r>
                </w:p>
              </w:tc>
              <w:tc>
                <w:tcPr>
                  <w:tcW w:w="1775" w:type="dxa"/>
                  <w:vAlign w:val="center"/>
                </w:tcPr>
                <w:p w14:paraId="65568667">
                  <w:pPr>
                    <w:tabs>
                      <w:tab w:val="left" w:pos="6660"/>
                    </w:tabs>
                    <w:snapToGrid w:val="0"/>
                    <w:spacing w:line="520" w:lineRule="exact"/>
                    <w:ind w:firstLine="480" w:firstLineChars="200"/>
                    <w:rPr>
                      <w:rFonts w:ascii="宋体" w:hAnsi="宋体" w:cs="宋体"/>
                      <w:sz w:val="24"/>
                    </w:rPr>
                  </w:pPr>
                  <w:r>
                    <w:rPr>
                      <w:rFonts w:hint="eastAsia" w:ascii="宋体" w:hAnsi="宋体" w:cs="宋体"/>
                      <w:sz w:val="24"/>
                    </w:rPr>
                    <w:t>0.8％</w:t>
                  </w:r>
                </w:p>
              </w:tc>
              <w:tc>
                <w:tcPr>
                  <w:tcW w:w="1522" w:type="dxa"/>
                  <w:vAlign w:val="center"/>
                </w:tcPr>
                <w:p w14:paraId="19F6B8FB">
                  <w:pPr>
                    <w:tabs>
                      <w:tab w:val="left" w:pos="6660"/>
                    </w:tabs>
                    <w:snapToGrid w:val="0"/>
                    <w:spacing w:line="520" w:lineRule="exact"/>
                    <w:ind w:firstLine="480" w:firstLineChars="200"/>
                    <w:rPr>
                      <w:rFonts w:ascii="宋体" w:hAnsi="宋体" w:cs="宋体"/>
                      <w:sz w:val="24"/>
                    </w:rPr>
                  </w:pPr>
                  <w:r>
                    <w:rPr>
                      <w:rFonts w:hint="eastAsia" w:ascii="宋体" w:hAnsi="宋体" w:cs="宋体"/>
                      <w:sz w:val="24"/>
                    </w:rPr>
                    <w:t>0.45％</w:t>
                  </w:r>
                </w:p>
              </w:tc>
              <w:tc>
                <w:tcPr>
                  <w:tcW w:w="1747" w:type="dxa"/>
                  <w:vAlign w:val="center"/>
                </w:tcPr>
                <w:p w14:paraId="48D212CE">
                  <w:pPr>
                    <w:tabs>
                      <w:tab w:val="left" w:pos="6660"/>
                    </w:tabs>
                    <w:snapToGrid w:val="0"/>
                    <w:spacing w:line="520" w:lineRule="exact"/>
                    <w:ind w:firstLine="480" w:firstLineChars="200"/>
                    <w:rPr>
                      <w:rFonts w:ascii="宋体" w:hAnsi="宋体" w:cs="宋体"/>
                      <w:sz w:val="24"/>
                    </w:rPr>
                  </w:pPr>
                  <w:r>
                    <w:rPr>
                      <w:rFonts w:hint="eastAsia" w:ascii="宋体" w:hAnsi="宋体" w:cs="宋体"/>
                      <w:sz w:val="24"/>
                    </w:rPr>
                    <w:t>0.55％</w:t>
                  </w:r>
                </w:p>
              </w:tc>
            </w:tr>
            <w:tr w14:paraId="39D60C89">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3701" w:type="dxa"/>
                  <w:vAlign w:val="center"/>
                </w:tcPr>
                <w:p w14:paraId="01B95C76">
                  <w:pPr>
                    <w:tabs>
                      <w:tab w:val="left" w:pos="6660"/>
                    </w:tabs>
                    <w:snapToGrid w:val="0"/>
                    <w:spacing w:line="520" w:lineRule="exact"/>
                    <w:ind w:firstLine="480" w:firstLineChars="200"/>
                    <w:rPr>
                      <w:rFonts w:ascii="宋体" w:hAnsi="宋体" w:cs="宋体"/>
                      <w:sz w:val="24"/>
                    </w:rPr>
                  </w:pPr>
                  <w:r>
                    <w:rPr>
                      <w:rFonts w:hint="eastAsia" w:ascii="宋体" w:hAnsi="宋体" w:cs="宋体"/>
                      <w:sz w:val="24"/>
                    </w:rPr>
                    <w:t>1000-5000</w:t>
                  </w:r>
                </w:p>
              </w:tc>
              <w:tc>
                <w:tcPr>
                  <w:tcW w:w="1775" w:type="dxa"/>
                  <w:vAlign w:val="center"/>
                </w:tcPr>
                <w:p w14:paraId="27ECAFE9">
                  <w:pPr>
                    <w:tabs>
                      <w:tab w:val="left" w:pos="6660"/>
                    </w:tabs>
                    <w:snapToGrid w:val="0"/>
                    <w:spacing w:line="520" w:lineRule="exact"/>
                    <w:ind w:firstLine="480" w:firstLineChars="200"/>
                    <w:rPr>
                      <w:rFonts w:ascii="宋体" w:hAnsi="宋体" w:cs="宋体"/>
                      <w:sz w:val="24"/>
                    </w:rPr>
                  </w:pPr>
                  <w:r>
                    <w:rPr>
                      <w:rFonts w:hint="eastAsia" w:ascii="宋体" w:hAnsi="宋体" w:cs="宋体"/>
                      <w:sz w:val="24"/>
                    </w:rPr>
                    <w:t>0.5%</w:t>
                  </w:r>
                </w:p>
              </w:tc>
              <w:tc>
                <w:tcPr>
                  <w:tcW w:w="1522" w:type="dxa"/>
                  <w:vAlign w:val="center"/>
                </w:tcPr>
                <w:p w14:paraId="623C5ADC">
                  <w:pPr>
                    <w:tabs>
                      <w:tab w:val="left" w:pos="6660"/>
                    </w:tabs>
                    <w:snapToGrid w:val="0"/>
                    <w:spacing w:line="520" w:lineRule="exact"/>
                    <w:ind w:firstLine="480" w:firstLineChars="200"/>
                    <w:rPr>
                      <w:rFonts w:ascii="宋体" w:hAnsi="宋体" w:cs="宋体"/>
                      <w:sz w:val="24"/>
                    </w:rPr>
                  </w:pPr>
                  <w:r>
                    <w:rPr>
                      <w:rFonts w:hint="eastAsia" w:ascii="宋体" w:hAnsi="宋体" w:cs="宋体"/>
                      <w:sz w:val="24"/>
                    </w:rPr>
                    <w:t>0.25%</w:t>
                  </w:r>
                </w:p>
              </w:tc>
              <w:tc>
                <w:tcPr>
                  <w:tcW w:w="1747" w:type="dxa"/>
                  <w:vAlign w:val="center"/>
                </w:tcPr>
                <w:p w14:paraId="0AE61FE7">
                  <w:pPr>
                    <w:tabs>
                      <w:tab w:val="left" w:pos="6660"/>
                    </w:tabs>
                    <w:snapToGrid w:val="0"/>
                    <w:spacing w:line="520" w:lineRule="exact"/>
                    <w:ind w:firstLine="480" w:firstLineChars="200"/>
                    <w:rPr>
                      <w:rFonts w:ascii="宋体" w:hAnsi="宋体" w:cs="宋体"/>
                      <w:sz w:val="24"/>
                    </w:rPr>
                  </w:pPr>
                  <w:r>
                    <w:rPr>
                      <w:rFonts w:hint="eastAsia" w:ascii="宋体" w:hAnsi="宋体" w:cs="宋体"/>
                      <w:sz w:val="24"/>
                    </w:rPr>
                    <w:t>0.35%</w:t>
                  </w:r>
                </w:p>
              </w:tc>
            </w:tr>
          </w:tbl>
          <w:p w14:paraId="3A36C9CA">
            <w:pPr>
              <w:tabs>
                <w:tab w:val="left" w:pos="6660"/>
              </w:tabs>
              <w:snapToGrid w:val="0"/>
              <w:spacing w:line="520" w:lineRule="exact"/>
              <w:rPr>
                <w:rFonts w:ascii="宋体" w:hAnsi="宋体" w:cs="宋体"/>
                <w:sz w:val="24"/>
              </w:rPr>
            </w:pPr>
            <w:r>
              <w:rPr>
                <w:rFonts w:hint="eastAsia" w:ascii="宋体" w:hAnsi="宋体" w:cs="宋体"/>
                <w:sz w:val="24"/>
              </w:rPr>
              <w:t>2、以上费用由中标人在领取中标通知书当时一次性支付给采购代理机构。</w:t>
            </w:r>
          </w:p>
          <w:p w14:paraId="35AFC8AF">
            <w:pPr>
              <w:tabs>
                <w:tab w:val="left" w:pos="6660"/>
              </w:tabs>
              <w:snapToGrid w:val="0"/>
              <w:spacing w:line="520" w:lineRule="exact"/>
              <w:rPr>
                <w:rFonts w:ascii="宋体" w:hAnsi="宋体" w:cs="宋体"/>
                <w:sz w:val="24"/>
              </w:rPr>
            </w:pPr>
            <w:r>
              <w:rPr>
                <w:rFonts w:hint="eastAsia" w:ascii="宋体" w:hAnsi="宋体" w:cs="宋体"/>
                <w:sz w:val="24"/>
              </w:rPr>
              <w:t>账号信息如下：</w:t>
            </w:r>
          </w:p>
          <w:p w14:paraId="2681DB8C">
            <w:pPr>
              <w:tabs>
                <w:tab w:val="left" w:pos="6660"/>
              </w:tabs>
              <w:snapToGrid w:val="0"/>
              <w:spacing w:line="520" w:lineRule="exact"/>
              <w:rPr>
                <w:rFonts w:ascii="宋体" w:hAnsi="宋体" w:cs="宋体"/>
                <w:sz w:val="24"/>
              </w:rPr>
            </w:pPr>
            <w:r>
              <w:rPr>
                <w:rFonts w:hint="eastAsia" w:ascii="宋体" w:hAnsi="宋体" w:cs="宋体"/>
                <w:sz w:val="24"/>
              </w:rPr>
              <w:t>收款单位（户名）：浙江天柯工程顾问有限公司</w:t>
            </w:r>
          </w:p>
          <w:p w14:paraId="366B3432">
            <w:pPr>
              <w:tabs>
                <w:tab w:val="left" w:pos="6660"/>
              </w:tabs>
              <w:snapToGrid w:val="0"/>
              <w:spacing w:line="520" w:lineRule="exact"/>
              <w:rPr>
                <w:rFonts w:ascii="宋体" w:hAnsi="宋体" w:cs="宋体"/>
                <w:sz w:val="24"/>
              </w:rPr>
            </w:pPr>
            <w:r>
              <w:rPr>
                <w:rFonts w:hint="eastAsia" w:ascii="宋体" w:hAnsi="宋体" w:cs="宋体"/>
                <w:sz w:val="24"/>
              </w:rPr>
              <w:t>开  户：建设银行衢州柯城支行</w:t>
            </w:r>
          </w:p>
          <w:p w14:paraId="00E35CDC">
            <w:pPr>
              <w:tabs>
                <w:tab w:val="left" w:pos="6660"/>
              </w:tabs>
              <w:snapToGrid w:val="0"/>
              <w:spacing w:line="520" w:lineRule="exact"/>
              <w:rPr>
                <w:rFonts w:ascii="宋体" w:hAnsi="宋体" w:cs="宋体"/>
                <w:sz w:val="24"/>
              </w:rPr>
            </w:pPr>
            <w:r>
              <w:rPr>
                <w:rFonts w:hint="eastAsia" w:ascii="宋体" w:hAnsi="宋体" w:cs="宋体"/>
                <w:sz w:val="24"/>
              </w:rPr>
              <w:t>账  号：33050168380000001283</w:t>
            </w:r>
          </w:p>
          <w:p w14:paraId="6ECBC797">
            <w:pPr>
              <w:tabs>
                <w:tab w:val="left" w:pos="6660"/>
              </w:tabs>
              <w:snapToGrid w:val="0"/>
              <w:spacing w:line="520" w:lineRule="exact"/>
              <w:rPr>
                <w:rFonts w:ascii="宋体" w:hAnsi="宋体" w:cs="宋体"/>
                <w:sz w:val="24"/>
              </w:rPr>
            </w:pPr>
            <w:r>
              <w:rPr>
                <w:rFonts w:hint="eastAsia" w:ascii="宋体" w:hAnsi="宋体" w:cs="宋体"/>
                <w:sz w:val="24"/>
              </w:rPr>
              <w:t>3、评委费按实收取。</w:t>
            </w:r>
          </w:p>
          <w:p w14:paraId="3CD60B38">
            <w:pPr>
              <w:tabs>
                <w:tab w:val="left" w:pos="6660"/>
              </w:tabs>
              <w:snapToGrid w:val="0"/>
              <w:spacing w:line="520" w:lineRule="exact"/>
              <w:rPr>
                <w:rFonts w:hint="default" w:ascii="宋体" w:hAnsi="宋体" w:eastAsia="宋体" w:cs="宋体"/>
                <w:sz w:val="24"/>
                <w:highlight w:val="none"/>
                <w:lang w:val="en-US" w:eastAsia="zh-CN"/>
              </w:rPr>
            </w:pPr>
            <w:r>
              <w:rPr>
                <w:rFonts w:hint="eastAsia" w:ascii="宋体" w:hAnsi="宋体" w:cs="宋体"/>
                <w:sz w:val="24"/>
              </w:rPr>
              <w:t>4、以上费用不在报价中单列，请供应商在报价中予以考虑。</w:t>
            </w:r>
          </w:p>
        </w:tc>
      </w:tr>
      <w:tr w14:paraId="09AFC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287E194F">
            <w:pPr>
              <w:snapToGrid w:val="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22</w:t>
            </w:r>
          </w:p>
        </w:tc>
        <w:tc>
          <w:tcPr>
            <w:tcW w:w="8592" w:type="dxa"/>
            <w:tcBorders>
              <w:top w:val="single" w:color="auto" w:sz="4" w:space="0"/>
              <w:left w:val="single" w:color="auto" w:sz="4" w:space="0"/>
              <w:bottom w:val="single" w:color="auto" w:sz="4" w:space="0"/>
              <w:right w:val="single" w:color="auto" w:sz="4" w:space="0"/>
            </w:tcBorders>
            <w:noWrap w:val="0"/>
            <w:vAlign w:val="center"/>
          </w:tcPr>
          <w:p w14:paraId="756E90EE">
            <w:pPr>
              <w:snapToGrid w:val="0"/>
              <w:rPr>
                <w:rFonts w:hint="default" w:ascii="宋体" w:hAnsi="宋体" w:eastAsia="宋体" w:cs="宋体"/>
                <w:sz w:val="24"/>
                <w:highlight w:val="none"/>
                <w:lang w:val="en-US" w:eastAsia="zh-CN"/>
              </w:rPr>
            </w:pPr>
            <w:r>
              <w:rPr>
                <w:rFonts w:hint="eastAsia" w:ascii="宋体" w:hAnsi="宋体" w:cs="宋体"/>
                <w:sz w:val="24"/>
                <w:highlight w:val="none"/>
              </w:rPr>
              <w:t>解释：本招标文件的解释权属于招标采购单位。</w:t>
            </w:r>
          </w:p>
        </w:tc>
      </w:tr>
    </w:tbl>
    <w:p w14:paraId="700C2EAD">
      <w:pPr>
        <w:keepNext w:val="0"/>
        <w:keepLines w:val="0"/>
        <w:pageBreakBefore w:val="0"/>
        <w:kinsoku/>
        <w:wordWrap/>
        <w:overflowPunct/>
        <w:topLinePunct w:val="0"/>
        <w:bidi w:val="0"/>
        <w:adjustRightInd w:val="0"/>
        <w:snapToGrid w:val="0"/>
        <w:spacing w:line="400" w:lineRule="exact"/>
        <w:jc w:val="both"/>
        <w:textAlignment w:val="auto"/>
        <w:outlineLvl w:val="1"/>
        <w:rPr>
          <w:rFonts w:hint="eastAsia" w:ascii="宋体" w:hAnsi="宋体" w:eastAsia="宋体" w:cs="宋体"/>
          <w:b/>
          <w:color w:val="auto"/>
          <w:sz w:val="32"/>
          <w:highlight w:val="none"/>
        </w:rPr>
      </w:pPr>
      <w:bookmarkStart w:id="102" w:name="_GoBack"/>
      <w:bookmarkEnd w:id="102"/>
    </w:p>
    <w:p w14:paraId="76D5A92D">
      <w:pPr>
        <w:pStyle w:val="35"/>
        <w:rPr>
          <w:rFonts w:hint="eastAsia" w:ascii="宋体" w:hAnsi="宋体" w:eastAsia="宋体" w:cs="宋体"/>
          <w:b/>
          <w:color w:val="auto"/>
          <w:sz w:val="32"/>
          <w:highlight w:val="none"/>
        </w:rPr>
      </w:pPr>
    </w:p>
    <w:p w14:paraId="71BFB4B4">
      <w:pPr>
        <w:pStyle w:val="36"/>
        <w:rPr>
          <w:rFonts w:hint="eastAsia" w:ascii="宋体" w:hAnsi="宋体" w:eastAsia="宋体" w:cs="宋体"/>
          <w:b/>
          <w:color w:val="auto"/>
          <w:sz w:val="32"/>
          <w:highlight w:val="none"/>
        </w:rPr>
      </w:pPr>
    </w:p>
    <w:p w14:paraId="41198999">
      <w:pPr>
        <w:rPr>
          <w:rFonts w:hint="eastAsia" w:ascii="宋体" w:hAnsi="宋体" w:eastAsia="宋体" w:cs="宋体"/>
          <w:b/>
          <w:color w:val="auto"/>
          <w:sz w:val="32"/>
          <w:highlight w:val="none"/>
        </w:rPr>
      </w:pPr>
    </w:p>
    <w:p w14:paraId="23FD8605">
      <w:pPr>
        <w:pStyle w:val="100"/>
        <w:rPr>
          <w:rFonts w:hint="eastAsia"/>
          <w:color w:val="auto"/>
          <w:highlight w:val="none"/>
        </w:rPr>
      </w:pPr>
    </w:p>
    <w:p w14:paraId="0EC30F1C">
      <w:pPr>
        <w:pStyle w:val="36"/>
        <w:rPr>
          <w:rFonts w:hint="eastAsia" w:ascii="宋体" w:hAnsi="宋体" w:eastAsia="宋体" w:cs="宋体"/>
          <w:b/>
          <w:color w:val="auto"/>
          <w:sz w:val="32"/>
          <w:highlight w:val="none"/>
        </w:rPr>
      </w:pPr>
    </w:p>
    <w:p w14:paraId="274991B6">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4F973884">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一、总 则</w:t>
      </w:r>
      <w:bookmarkEnd w:id="6"/>
      <w:bookmarkEnd w:id="7"/>
      <w:bookmarkEnd w:id="8"/>
    </w:p>
    <w:p w14:paraId="0014FF9D">
      <w:pPr>
        <w:pStyle w:val="47"/>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13" w:name="_Hlt74730295"/>
      <w:bookmarkEnd w:id="13"/>
      <w:bookmarkStart w:id="14" w:name="_Hlt74714665"/>
      <w:bookmarkEnd w:id="14"/>
      <w:bookmarkStart w:id="15" w:name="_Hlt74730112"/>
      <w:bookmarkStart w:id="16" w:name="_Hlt74730208"/>
      <w:r>
        <w:rPr>
          <w:rFonts w:hint="eastAsia" w:ascii="宋体" w:hAnsi="宋体" w:eastAsia="宋体" w:cs="宋体"/>
          <w:b/>
          <w:color w:val="auto"/>
          <w:sz w:val="24"/>
          <w:highlight w:val="none"/>
        </w:rPr>
        <w:t>（一）实施依据</w:t>
      </w:r>
    </w:p>
    <w:p w14:paraId="43C5692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本次招标工作按照《中华人民共和国政府采购法》等政府采购有关法律、法规、规章、文件的规定组织和实施。</w:t>
      </w:r>
    </w:p>
    <w:p w14:paraId="6E3C2588">
      <w:pPr>
        <w:pStyle w:val="47"/>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17" w:name="_Toc91899873"/>
      <w:r>
        <w:rPr>
          <w:rFonts w:hint="eastAsia" w:ascii="宋体" w:hAnsi="宋体" w:eastAsia="宋体" w:cs="宋体"/>
          <w:b/>
          <w:color w:val="auto"/>
          <w:sz w:val="24"/>
          <w:highlight w:val="none"/>
        </w:rPr>
        <w:t>（二）采购方式</w:t>
      </w:r>
      <w:bookmarkEnd w:id="17"/>
    </w:p>
    <w:p w14:paraId="3F9940F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公开招标。</w:t>
      </w:r>
      <w:bookmarkEnd w:id="15"/>
      <w:bookmarkEnd w:id="16"/>
      <w:bookmarkStart w:id="18" w:name="_Hlt68516771"/>
      <w:bookmarkEnd w:id="18"/>
      <w:bookmarkStart w:id="19" w:name="_Hlt74388212"/>
      <w:bookmarkEnd w:id="19"/>
    </w:p>
    <w:p w14:paraId="7CE7C064">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kern w:val="0"/>
          <w:sz w:val="24"/>
          <w:highlight w:val="none"/>
          <w:lang w:val="zh-CN"/>
        </w:rPr>
      </w:pPr>
      <w:bookmarkStart w:id="20" w:name="_Toc91899877"/>
      <w:bookmarkStart w:id="21" w:name="_Hlt74730303"/>
      <w:r>
        <w:rPr>
          <w:rFonts w:hint="eastAsia" w:ascii="宋体" w:hAnsi="宋体" w:eastAsia="宋体" w:cs="宋体"/>
          <w:b/>
          <w:color w:val="auto"/>
          <w:sz w:val="24"/>
          <w:highlight w:val="none"/>
        </w:rPr>
        <w:t>（三）</w:t>
      </w:r>
      <w:r>
        <w:rPr>
          <w:rFonts w:hint="eastAsia" w:ascii="宋体" w:hAnsi="宋体" w:eastAsia="宋体" w:cs="宋体"/>
          <w:b/>
          <w:color w:val="auto"/>
          <w:kern w:val="0"/>
          <w:sz w:val="24"/>
          <w:highlight w:val="none"/>
          <w:lang w:val="zh-CN"/>
        </w:rPr>
        <w:t>定义</w:t>
      </w:r>
    </w:p>
    <w:p w14:paraId="492091D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招标（采购）人：是指依法进行政府采购的国家机关、事业单位、团体组织，见本项目“招标公告”；</w:t>
      </w:r>
    </w:p>
    <w:p w14:paraId="08B66FE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招标（采购）代理机构：受招标人委托，在委托的范围内办理政府采购事宜并组织招标活动的机构，见本项目“招标公告”；</w:t>
      </w:r>
    </w:p>
    <w:p w14:paraId="6460522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投标人（投标人）：是指参加本政府采购项目投标的投标人；</w:t>
      </w:r>
    </w:p>
    <w:p w14:paraId="60809CE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中标人：是指经评审获得本项目最终合同签订资格的投标人。</w:t>
      </w:r>
    </w:p>
    <w:p w14:paraId="096A39F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买方（甲方）：是指合同签订的一方，一般与招标人、用户相同；</w:t>
      </w:r>
    </w:p>
    <w:p w14:paraId="2008017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卖方（乙方）：是指合同签订的另一方，一般与中标人相同；</w:t>
      </w:r>
    </w:p>
    <w:p w14:paraId="029845E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制造商：包括是指拥有投标产品自主知识产权的单位；</w:t>
      </w:r>
    </w:p>
    <w:p w14:paraId="4DF467A7">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政府采购监管部门：</w:t>
      </w:r>
      <w:r>
        <w:rPr>
          <w:rFonts w:hint="eastAsia" w:ascii="宋体" w:hAnsi="宋体" w:eastAsia="宋体" w:cs="宋体"/>
          <w:color w:val="auto"/>
          <w:sz w:val="24"/>
          <w:szCs w:val="22"/>
          <w:highlight w:val="none"/>
        </w:rPr>
        <w:t xml:space="preserve">衢州市柯城区财政局 </w:t>
      </w:r>
      <w:r>
        <w:rPr>
          <w:rFonts w:hint="eastAsia" w:ascii="宋体" w:hAnsi="宋体" w:eastAsia="宋体" w:cs="宋体"/>
          <w:color w:val="auto"/>
          <w:sz w:val="24"/>
          <w:highlight w:val="none"/>
        </w:rPr>
        <w:t>；</w:t>
      </w:r>
    </w:p>
    <w:p w14:paraId="2C6C47F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产品（货物）：系指按招标文件规定，须向招标人提供的一切设备及配套备品备件、工具、手册及其他有关技术资料和材料；</w:t>
      </w:r>
    </w:p>
    <w:p w14:paraId="1D9DC68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14:paraId="1DAF0235">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服务：</w:t>
      </w:r>
      <w:r>
        <w:rPr>
          <w:rFonts w:hint="eastAsia" w:ascii="宋体" w:hAnsi="宋体" w:eastAsia="宋体" w:cs="宋体"/>
          <w:color w:val="auto"/>
          <w:kern w:val="0"/>
          <w:sz w:val="24"/>
          <w:highlight w:val="none"/>
          <w:lang w:val="zh-CN"/>
        </w:rPr>
        <w:t>系指按招标文件规定，须向招标人提供</w:t>
      </w:r>
      <w:r>
        <w:rPr>
          <w:rFonts w:hint="eastAsia" w:ascii="宋体" w:hAnsi="宋体" w:eastAsia="宋体" w:cs="宋体"/>
          <w:color w:val="auto"/>
          <w:sz w:val="24"/>
          <w:highlight w:val="none"/>
          <w:lang w:val="zh-CN"/>
        </w:rPr>
        <w:t xml:space="preserve">的与供货有关的辅助服务，如运输、保险、培训安装、调试、验收、技术支持和交付使用后质保期内应履行的售后服务等义务； </w:t>
      </w:r>
    </w:p>
    <w:p w14:paraId="01A3F564">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培训：系指按招标文件规定，向招标人提供操作使用培训、系统管理培训和其他相关培训等。</w:t>
      </w:r>
    </w:p>
    <w:p w14:paraId="20E7450F">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书面形式：包括纸质文件、电子邮件、传真、信函、电报等。</w:t>
      </w:r>
    </w:p>
    <w:p w14:paraId="63FCEC4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实质性响应:系指投标文件符合招标文件规定的实质性内容、条件和规定。</w:t>
      </w:r>
    </w:p>
    <w:p w14:paraId="3CF63BD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14:paraId="190F4E2C">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细微偏离：系指投标文件对招标文件的非实质性内容存在不完全响应或不响应。</w:t>
      </w:r>
    </w:p>
    <w:p w14:paraId="15ECBB65">
      <w:pPr>
        <w:pStyle w:val="47"/>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（四）投标费用</w:t>
      </w:r>
    </w:p>
    <w:p w14:paraId="36F82254">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无论招投标过程中的做法和结果如何，投标人自行承担招投标活动中所发生的全部费用。</w:t>
      </w:r>
    </w:p>
    <w:p w14:paraId="4E6DC92C">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（五）语言文字</w:t>
      </w:r>
    </w:p>
    <w:bookmarkEnd w:id="20"/>
    <w:bookmarkEnd w:id="21"/>
    <w:p w14:paraId="16906E36">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bookmarkStart w:id="22" w:name="_Hlt68072990"/>
      <w:bookmarkEnd w:id="22"/>
      <w:bookmarkStart w:id="23" w:name="_Hlt74707468"/>
      <w:bookmarkEnd w:id="23"/>
      <w:bookmarkStart w:id="24" w:name="_Hlt68057669"/>
      <w:bookmarkEnd w:id="24"/>
      <w:bookmarkStart w:id="25" w:name="_Hlt74729768"/>
      <w:bookmarkEnd w:id="25"/>
      <w:bookmarkStart w:id="26" w:name="_Hlt75236290"/>
      <w:bookmarkEnd w:id="26"/>
      <w:bookmarkStart w:id="27" w:name="_Toc91899879"/>
      <w:r>
        <w:rPr>
          <w:rFonts w:hint="eastAsia" w:ascii="宋体" w:hAnsi="宋体" w:eastAsia="宋体" w:cs="宋体"/>
          <w:color w:val="auto"/>
          <w:sz w:val="24"/>
          <w:highlight w:val="none"/>
        </w:rPr>
        <w:t>1、招标投标有关的语言使用中文。</w:t>
      </w:r>
    </w:p>
    <w:p w14:paraId="12C0D3EF">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14:paraId="27CE9399">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（六）计量单位</w:t>
      </w:r>
    </w:p>
    <w:p w14:paraId="40CA3FE4">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招标文件有明确规定的，适用招标文件规定的计量单位；招标文件没有规定的，应采用中华人民共和国法定计量单位，否则视同未响应。</w:t>
      </w:r>
    </w:p>
    <w:p w14:paraId="7B4F4C28">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（七）转包与分包</w:t>
      </w:r>
    </w:p>
    <w:p w14:paraId="3CB83B1D">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本项目不允许转包。本须知“前附表”规定允许分包的，投标人应当在投标文件载明分包的具体情况，应符合招标人在本须知“前附表”规定的分包内容、分包金额和接受分包的第三人资质要求等限制条件。</w:t>
      </w:r>
    </w:p>
    <w:p w14:paraId="7184E5DB">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（八）踏勘现场</w:t>
      </w:r>
    </w:p>
    <w:p w14:paraId="7E89B99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1、若本须知“前附表”规定统一组织的，投标人应按规定的时间、地点准时出席，否则将不予单独安排；</w:t>
      </w:r>
    </w:p>
    <w:p w14:paraId="33BB538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2、投标人踏勘现场发生的费用自理。</w:t>
      </w:r>
    </w:p>
    <w:p w14:paraId="2C54989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3、除招标人的原因外，投标人自行负责在踏勘现场中可能发生的人员伤亡和财产损失。</w:t>
      </w:r>
    </w:p>
    <w:p w14:paraId="2D34254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4、招标人在踏勘现场中介绍的场地和相关的周边环境情况，投标人在编制投标文件时参考，招标人不对投标人据此作出的判断和决策负责。</w:t>
      </w:r>
    </w:p>
    <w:p w14:paraId="0C18F825">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（九）投标预备会（答疑会）</w:t>
      </w:r>
    </w:p>
    <w:p w14:paraId="17BA148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1、若本须知“前附表”规定召开答疑会的，招标人将按规定的时间、地点准时召开答疑会，澄清投标人提出的问题，投标人应按规定准时出席，否则将不予单独安排答疑。</w:t>
      </w:r>
    </w:p>
    <w:p w14:paraId="095125F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2、投标人应在答疑会时间的前一天，以书面形式将提出的问题送达招标人，以便招标人在会议期间澄清。</w:t>
      </w:r>
    </w:p>
    <w:p w14:paraId="1214956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3、答疑会后，招标人将按规定对投标人所提问题进行书面澄清答复。</w:t>
      </w:r>
    </w:p>
    <w:p w14:paraId="69D02A0B">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（十）对投标人的限制</w:t>
      </w:r>
    </w:p>
    <w:p w14:paraId="5302647F">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指法定代表人或者法律、行政法规规定代表单位行使职权的主要负责人）为同一人或者存在直接控股、管理关系的不同投标人不得分别参加同一合同项下的采购活动。违反本条规定的，相关投标均无效；</w:t>
      </w:r>
    </w:p>
    <w:p w14:paraId="343F0C52">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2、为本项目提供过整体设计、规范编制或者项目管理、监理、检测等服务的投标人，不得再参加该采购项目的其他采购活动（不包括为该项目提供整体设计、规范编制或者项目管理、监理、检测等服务）；</w:t>
      </w:r>
    </w:p>
    <w:p w14:paraId="5E00E024">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3、以联合体形式参加政府采购活动的，联合体各方不得再单独参加或者与其他投标人另外组成联合体参加同一合同项下的政府采购活动；</w:t>
      </w:r>
    </w:p>
    <w:p w14:paraId="7A7F0392">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4、为证明投标人拥有的业绩、荣誉、知识产权、项目案例等而在投标文件中提供的证明材料必须为投标人自身所有。不同法人、其他组织的资料与投标人无关。</w:t>
      </w:r>
    </w:p>
    <w:p w14:paraId="2E495BCA">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5、投标人之间的利害关系：</w:t>
      </w:r>
    </w:p>
    <w:p w14:paraId="1A327DC4">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（1）法定代表人或负责人或实际控制人是夫妻关系；</w:t>
      </w:r>
    </w:p>
    <w:p w14:paraId="4E6A99D7">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（2）法定代表人或负责人或实际控制人是直系血亲关系；</w:t>
      </w:r>
    </w:p>
    <w:p w14:paraId="303D2F93">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（3）法定代表人或负责人或实际控制人存在三代以内旁系血亲关系；</w:t>
      </w:r>
    </w:p>
    <w:p w14:paraId="3C26D7BF">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（4）法定代表人或负责人或实际控制人存在近姻亲关系；</w:t>
      </w:r>
    </w:p>
    <w:p w14:paraId="3310BDBD">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（5）法定代表人或负责人或实际控制人存在股份控制或实际控制关系；</w:t>
      </w:r>
    </w:p>
    <w:p w14:paraId="0C69B732">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（6）存在共同直接或间接投资设立子公司、联营企业和合营企业情况；</w:t>
      </w:r>
    </w:p>
    <w:p w14:paraId="0ABBC963">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（7）存在分级代理或代销关系、同一生产制造商关系、管理关系、重要业务（占主营业务收入 50%以上）或重要财务往来关系（如融资）等其他实质性控制关系； 如投标人之间存在以上利害关系并且存在影响政府采购公平竞争的行为的相关投标人的投标均无效。 </w:t>
      </w:r>
    </w:p>
    <w:p w14:paraId="459C8776">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6、采购人若有核心产品，请根据采购项目实际需求确定核心产品，并在采购文件第三部分“采购需求”中明确标注，若没有则不需要确定及注明。</w:t>
      </w:r>
    </w:p>
    <w:p w14:paraId="0D54E240">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采用最低评标价法的采购项目，提供相同品牌产品（含核心产品）的不同投标人参加同一合同项下投标的，以其中通过资格审查、符合性审查且报价最低的参加评标；报价相同的，随机抽取方式确定，其他投标无效。 </w:t>
      </w:r>
    </w:p>
    <w:p w14:paraId="473B1323">
      <w:pPr>
        <w:keepNext w:val="0"/>
        <w:keepLines w:val="0"/>
        <w:pageBreakBefore w:val="0"/>
        <w:kinsoku/>
        <w:wordWrap/>
        <w:overflowPunct/>
        <w:topLinePunct w:val="0"/>
        <w:bidi w:val="0"/>
        <w:spacing w:line="40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（2）使用综合评分法的采购项目，提供相同品牌产品（含核心产品）且通过资格审查、符合性审查的不同投标人参加同一合同项下投标的，按一家投标人计算，评审后得分最高的同品牌（含核心产品）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14:paraId="4F5C4519">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作出保证供货且保证产品质量和售后服务的承诺后授予其合同，招标人将在合同的验收、结算和违约责任中补充增加相应的制约性条款；</w:t>
      </w:r>
    </w:p>
    <w:p w14:paraId="6E8E34BB">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8、招标公告中明确专门面向中小微企业采购的项目，只能由中小企业或微型企业参加。</w:t>
      </w:r>
    </w:p>
    <w:p w14:paraId="1FF3CC4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9、投标截止前被“信用中国”网站(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www.creditchina.gov.cn</w:t>
      </w:r>
      <w:r>
        <w:rPr>
          <w:rFonts w:hint="eastAsia" w:ascii="宋体" w:hAnsi="宋体" w:eastAsia="宋体" w:cs="宋体"/>
          <w:color w:val="auto"/>
          <w:highlight w:val="none"/>
        </w:rPr>
        <w:fldChar w:fldCharType="end"/>
      </w:r>
      <w:r>
        <w:rPr>
          <w:rFonts w:hint="eastAsia" w:ascii="宋体" w:hAnsi="宋体" w:eastAsia="宋体" w:cs="宋体"/>
          <w:color w:val="auto"/>
          <w:sz w:val="24"/>
          <w:highlight w:val="none"/>
        </w:rPr>
        <w:t>)列入失信被执行人、重大税收违法案件当事人名单或被“中国政府采购网”(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www.ccgp.gov.cn</w:t>
      </w:r>
      <w:r>
        <w:rPr>
          <w:rFonts w:hint="eastAsia" w:ascii="宋体" w:hAnsi="宋体" w:eastAsia="宋体" w:cs="宋体"/>
          <w:color w:val="auto"/>
          <w:highlight w:val="none"/>
        </w:rPr>
        <w:fldChar w:fldCharType="end"/>
      </w:r>
      <w:r>
        <w:rPr>
          <w:rFonts w:hint="eastAsia" w:ascii="宋体" w:hAnsi="宋体" w:eastAsia="宋体" w:cs="宋体"/>
          <w:color w:val="auto"/>
          <w:sz w:val="24"/>
          <w:highlight w:val="none"/>
        </w:rPr>
        <w:t>)列入政府采购严重违法失信行为记录名单等存在不良信用记录的投标人将被拒绝参加本项目采购活动。具体以投标截止当日招标代理机构在上述两个网站上查询到的信息为准。</w:t>
      </w:r>
    </w:p>
    <w:p w14:paraId="0B1429C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14:paraId="1E962D37">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（十一）质疑与投诉</w:t>
      </w:r>
    </w:p>
    <w:p w14:paraId="549AD1A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招标人、招标代理机构提出质疑，逾期提出的，招标人与招标代理机构可以不予受理、答复。“知道或者应知其权益受到损害之日”是指：</w:t>
      </w:r>
    </w:p>
    <w:p w14:paraId="202AC02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（1）对招标文件提出质疑的，为招标公告期限届满之日（公告期限为公告发布后5个工作日，不含发布当日）；</w:t>
      </w:r>
    </w:p>
    <w:p w14:paraId="59A0B89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（2）对采购过程提出质疑的，为各招标程序环节结束之日；</w:t>
      </w:r>
    </w:p>
    <w:p w14:paraId="049ED97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（3）对评标结果提出质疑的，为中标结果公告期限届满之日（公告期限为公告发布后1个工作日，不含发布当日）。</w:t>
      </w:r>
    </w:p>
    <w:p w14:paraId="5E7FADE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其中质疑书、投诉书均应当明确阐述招标文件、招标过程或者中标结果中使自己合法权益受到损害的实质性内容，并提供相关事实、依据和证据及其来源或线索，便于有关单位调查、答复和处理。</w:t>
      </w:r>
    </w:p>
    <w:p w14:paraId="0EEFB6E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投诉）函应载明质疑（投诉）人全称、地址、邮编、传真、联系人、联系电话，电子邮箱；联系人必须为投标人的在职职工，须提供法定代表人授权文件、法定代表人及联系人的身份证复印件、以及投标人为该联系人缴纳的社保凭证，联系人为法定代表人的须提供法定代表人资格证明及身份证复印件；质疑（投诉）函必须有联系人署名且加盖公章，否则不予受理（一式三份）。</w:t>
      </w:r>
    </w:p>
    <w:p w14:paraId="3D4C4D6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4、质疑、投诉函以电子邮件或传真形式提交的，还须在提交后以邮寄的方式提交质疑书纸质原件，以实际收到原件之日作为收到质疑之日。</w:t>
      </w:r>
    </w:p>
    <w:p w14:paraId="29CB3D5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5、未按上述要求提供的质疑（投诉）函，采购组织机构有权不予受理。</w:t>
      </w:r>
    </w:p>
    <w:p w14:paraId="0BEE63A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6、质疑投标人对招标人、招标代理机构的答复不满意或者招标人、招标代理机构未在规定时间内作出答复的，可以在答复期满后十五个工作日内向同级采购监管部门投诉。</w:t>
      </w:r>
    </w:p>
    <w:p w14:paraId="4DF5A02B">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（十二）其他注意事项</w:t>
      </w:r>
    </w:p>
    <w:p w14:paraId="44269738">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见本须知“前附表”，同时还需注意以下事项：</w:t>
      </w:r>
    </w:p>
    <w:p w14:paraId="40092D33">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1、法定代表人授权代表须为投标人</w:t>
      </w:r>
      <w:r>
        <w:rPr>
          <w:rFonts w:hint="eastAsia" w:ascii="宋体" w:hAnsi="宋体" w:eastAsia="宋体" w:cs="宋体"/>
          <w:b/>
          <w:color w:val="auto"/>
          <w:sz w:val="24"/>
          <w:highlight w:val="none"/>
        </w:rPr>
        <w:t>在职职工</w:t>
      </w:r>
      <w:r>
        <w:rPr>
          <w:rFonts w:hint="eastAsia" w:ascii="宋体" w:hAnsi="宋体" w:eastAsia="宋体" w:cs="宋体"/>
          <w:color w:val="auto"/>
          <w:sz w:val="24"/>
          <w:highlight w:val="none"/>
        </w:rPr>
        <w:t>，投标人须在投标文件中提供附有该授权代表为投标人</w:t>
      </w:r>
      <w:r>
        <w:rPr>
          <w:rFonts w:hint="eastAsia" w:ascii="宋体" w:hAnsi="宋体" w:eastAsia="宋体" w:cs="宋体"/>
          <w:b/>
          <w:color w:val="auto"/>
          <w:sz w:val="24"/>
          <w:highlight w:val="none"/>
        </w:rPr>
        <w:t>在职员工相关证明文件（如投标人为该员工缴纳的社保记录或劳务合同等）</w:t>
      </w:r>
      <w:r>
        <w:rPr>
          <w:rFonts w:hint="eastAsia" w:ascii="宋体" w:hAnsi="宋体" w:eastAsia="宋体" w:cs="宋体"/>
          <w:color w:val="auto"/>
          <w:sz w:val="24"/>
          <w:highlight w:val="none"/>
        </w:rPr>
        <w:t>的《法定代表人授权书》。</w:t>
      </w:r>
    </w:p>
    <w:p w14:paraId="20972DBC">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6F71DDB7">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3、▲投标人对所的采购内容必须全部进行投标。</w:t>
      </w:r>
    </w:p>
    <w:p w14:paraId="74E83666">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4、不论招标人、招标代理机构向投标人发送的资料文件，还是投标人提出的问题，均采用书面形式，任何口头提问及答复一律无效。</w:t>
      </w:r>
    </w:p>
    <w:p w14:paraId="25DC3FB1">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若明确本项目为资格入围项目的，若出现有效投标人少于或等于入围需求家数时，将采用“末位淘汰制”，淘汰评审结果排名最后一名的投标人，其他有效投标人获得入围资格。只有二家及以下有效投标人的则重新组织招标。</w:t>
      </w:r>
    </w:p>
    <w:p w14:paraId="0266AB70">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14:paraId="40A828AF">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7、▲投标人应保证所投产品整体或其任一部分，均免受第三方提出的侵犯其专利权、商标权、著作权或其他知识产权的起诉。投标人应承担由此可能产生的一切法律责任和费用。</w:t>
      </w:r>
    </w:p>
    <w:p w14:paraId="42109E67">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若本须知“前附表”规定允许进口产品投标且该货物需从中华人民共和国境外提供的，货物的最终用户须为招标人，投标人应委托招标人指定机构或者经招标人同意后自行委托具有进出口代理权的机构办理相关进口事宜，并承担因此产生的所有费用。</w:t>
      </w:r>
    </w:p>
    <w:p w14:paraId="4A1106DA">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（十三）保密</w:t>
      </w:r>
    </w:p>
    <w:p w14:paraId="4EDD1FB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参与招标投标活动的各方应对招标文件和投标文件中的商业和技术等秘密保密，违者应对此造成的后果承担法律责任。</w:t>
      </w:r>
    </w:p>
    <w:bookmarkEnd w:id="27"/>
    <w:p w14:paraId="1F62B754">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28" w:name="_Toc9352"/>
      <w:bookmarkStart w:id="29" w:name="_Toc233618973"/>
      <w:bookmarkStart w:id="30" w:name="_Toc522530042"/>
    </w:p>
    <w:p w14:paraId="1B0E2559">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二、招标文件</w:t>
      </w:r>
      <w:bookmarkEnd w:id="28"/>
      <w:bookmarkEnd w:id="29"/>
      <w:bookmarkEnd w:id="30"/>
    </w:p>
    <w:p w14:paraId="22D881FD">
      <w:pPr>
        <w:pStyle w:val="47"/>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31" w:name="_Toc91899880"/>
      <w:bookmarkStart w:id="32" w:name="_Hlt74730307"/>
      <w:r>
        <w:rPr>
          <w:rFonts w:hint="eastAsia" w:ascii="宋体" w:hAnsi="宋体" w:eastAsia="宋体" w:cs="宋体"/>
          <w:b/>
          <w:color w:val="auto"/>
          <w:sz w:val="24"/>
          <w:highlight w:val="none"/>
        </w:rPr>
        <w:t>（一）招标文件的</w:t>
      </w:r>
      <w:bookmarkEnd w:id="31"/>
      <w:r>
        <w:rPr>
          <w:rFonts w:hint="eastAsia" w:ascii="宋体" w:hAnsi="宋体" w:eastAsia="宋体" w:cs="宋体"/>
          <w:b/>
          <w:color w:val="auto"/>
          <w:sz w:val="24"/>
          <w:highlight w:val="none"/>
        </w:rPr>
        <w:t>组成</w:t>
      </w:r>
    </w:p>
    <w:bookmarkEnd w:id="32"/>
    <w:p w14:paraId="6F6FAE5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招标文件包括下列文件及附件</w:t>
      </w:r>
    </w:p>
    <w:p w14:paraId="42AC388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第一部分  招标公告</w:t>
      </w:r>
    </w:p>
    <w:p w14:paraId="69A9469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第二部分  投标人须知</w:t>
      </w:r>
    </w:p>
    <w:p w14:paraId="083CCCC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第三部分  采购需求</w:t>
      </w:r>
    </w:p>
    <w:p w14:paraId="7071D57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第四部分  合同文本</w:t>
      </w:r>
    </w:p>
    <w:p w14:paraId="17D9980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第五部分  投标文件部分格式文件</w:t>
      </w:r>
    </w:p>
    <w:p w14:paraId="40EA07B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第六部分  评分办法</w:t>
      </w:r>
    </w:p>
    <w:p w14:paraId="4FB37AD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补充文件（如果有，包括相关的补充、更正、澄清公告和文件）</w:t>
      </w:r>
    </w:p>
    <w:p w14:paraId="5403CB6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其他附件（如果有，如图纸等）</w:t>
      </w:r>
    </w:p>
    <w:p w14:paraId="0FCB687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2、投标人应认真审阅上述招标文件组成中所有的内容。如果投标人编制的投标文件没有从实质上响应招标文件的要求，其投标文件将被拒绝。</w:t>
      </w:r>
    </w:p>
    <w:p w14:paraId="5FF7C335">
      <w:pPr>
        <w:pStyle w:val="47"/>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（二）招标文件的解释</w:t>
      </w:r>
    </w:p>
    <w:p w14:paraId="72C0606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1、投标人一旦参与本次招标活动，即被视为接受了本招标文件的所有内容，如有任何异议，均应在答疑截止时间前提出。</w:t>
      </w:r>
    </w:p>
    <w:p w14:paraId="43EE381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招标文件澄清、答复、修改、补充等书面内容均作为招标文件的补充文件，是招标文件的组成部分，将以传真、网上公告、电子邮件等形式书面告知所有购买招标文件的投标人，并对所有投标人均有约束力。当招标文件与补充文件就同一内容的表述不一致时，以最后发出的书面文件为准。</w:t>
      </w:r>
    </w:p>
    <w:p w14:paraId="1F514B3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3、招标文件的解释权归招标人、招标代理机构所有。</w:t>
      </w:r>
    </w:p>
    <w:p w14:paraId="1C038BF9">
      <w:pPr>
        <w:keepNext w:val="0"/>
        <w:keepLines w:val="0"/>
        <w:pageBreakBefore w:val="0"/>
        <w:tabs>
          <w:tab w:val="left" w:pos="378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（三）招标文件的澄清</w:t>
      </w:r>
    </w:p>
    <w:p w14:paraId="7829B55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对招标文件如有疑问要求澄清，或认为有必要与招标人、招标代理机构进行技术交流的，投标人需将书面资料（《（项目名称）询问函》）在招标公告规定的询问截止时间前（对补充文件如有疑问要求澄清的，应在 24 小时内）以书面形式送达至招标代理机构，并与招标代理机构进行确认。招标代理机构有权对逾期收到疑问将不予受理、答复。</w:t>
      </w:r>
    </w:p>
    <w:p w14:paraId="7397C7C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2、投标人要求澄清的资料应写明投标人全称、地址、邮编、传真、联系人、联系电话、电子邮箱、询疑日期并加盖投标人公章。</w:t>
      </w:r>
    </w:p>
    <w:p w14:paraId="2BAD7B5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3、如有必要，招标人和招标代理机构对投标人所有要求澄清的问题都予以书面解答，澄清答复的文件为招标补充文件，作为招标文件的组成部分。</w:t>
      </w:r>
    </w:p>
    <w:p w14:paraId="39CCFDF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4、投标人在招标文件规定的询疑截止时间前内未对招标文件提出疑问的，招标代理机构将视其对招标文件无异议。</w:t>
      </w:r>
    </w:p>
    <w:p w14:paraId="27D3427A">
      <w:pPr>
        <w:pStyle w:val="47"/>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（四）招标文件的修改</w:t>
      </w:r>
    </w:p>
    <w:p w14:paraId="376D830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1、由于各种原因招标人可能在投标截止时间前以澄清、答复、修改、补充文件的形式修改完善招标文件。</w:t>
      </w:r>
    </w:p>
    <w:p w14:paraId="44EC91B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澄清、答复、修改、补充文件发出后，原则上不改变招标文件规定的投标截止时间及开标时间。投标人如认为澄清、答复、修改、补充文件内容影响投标文件编制，须延长投标截止时间的，必须在收到澄清、答复、修改、补充文件后 24 小时内将意见和理由以书面形式向招标代理机构提出，否则，招标代理机构视投标人完全接受并有足够的时间编制投标文件且按规定时间进行投标。</w:t>
      </w:r>
    </w:p>
    <w:p w14:paraId="7A6B4E1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14:paraId="1F1FE701">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33" w:name="_Toc233618974"/>
      <w:bookmarkStart w:id="34" w:name="_Toc91899884"/>
      <w:bookmarkStart w:id="35" w:name="_Toc20674"/>
      <w:bookmarkStart w:id="36" w:name="_Toc522530043"/>
    </w:p>
    <w:p w14:paraId="0671D78B">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三、投标文件</w:t>
      </w:r>
      <w:bookmarkEnd w:id="33"/>
      <w:bookmarkEnd w:id="34"/>
      <w:bookmarkEnd w:id="35"/>
      <w:bookmarkEnd w:id="36"/>
    </w:p>
    <w:p w14:paraId="55C7ECE9">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lang w:val="zh-CN"/>
        </w:rPr>
      </w:pPr>
      <w:r>
        <w:rPr>
          <w:rFonts w:hint="eastAsia" w:ascii="宋体" w:hAnsi="宋体" w:eastAsia="宋体" w:cs="宋体"/>
          <w:b/>
          <w:bCs/>
          <w:color w:val="auto"/>
          <w:sz w:val="24"/>
          <w:szCs w:val="22"/>
          <w:highlight w:val="none"/>
        </w:rPr>
        <w:t>（一）投标文件的编制</w:t>
      </w:r>
    </w:p>
    <w:p w14:paraId="036A128B">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本项目通过“政府采购云平台（www.zcygov.cn）”实行在线投标响应（电子投标）。投标人应通过“政采云电子交易客户端”，并按照本招标文件和“政府采购云平台”的要求编制并加密投标文件并进行关联定位。</w:t>
      </w:r>
    </w:p>
    <w:p w14:paraId="4A87B558">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2、投标人应当按照本章节 “投标文件组成”规定的内容及顺序在“政采云电子交易客户端”编制投标文件。其中《资格文件》和《商务技术文件》中不得出现本项目投标报价，如因投标人原因提前泄露投标报价，是投标人的责任。</w:t>
      </w:r>
    </w:p>
    <w:p w14:paraId="219AA811">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3、本文件《第五部分  投标文件部分格式文件》中有提供格式的，投标人须参照格式进行编制（格式中要求提供相关证明材料的还需后附相关证明材料），并按格式要求在指定位置根据要求进行签章，否则视为未提供；本文件《第五部分  投标文件部分格式文件》未提供格式的，请各投标单位自行拟定格式，并加盖单位公章并由法定代表人或其授权代表签署（签字或盖章），否则视为未提供。</w:t>
      </w:r>
    </w:p>
    <w:p w14:paraId="01E3B05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4、《投标文件》内容不完整、编排混乱导致《投标文件》被误读、漏读或者查找不到相关内容的，是投标人的责任。</w:t>
      </w:r>
    </w:p>
    <w:p w14:paraId="1F23003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5、《投标文件》因字迹潦草或表达不清所引起的后果由投标人负责。</w:t>
      </w:r>
    </w:p>
    <w:p w14:paraId="09FAA6C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6、投标人没有按照本章节 “投标文件组成”要求提供全部资料，或者没有仔细阅读招标文件，或者没有对招标文件在各方面的要求作出实质性响应是投标人的风险，由此造成的一切后果由投标人自行承担。</w:t>
      </w:r>
    </w:p>
    <w:p w14:paraId="4D33937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7、投标文件必须按招标文件提供的格式签字或盖章。授权代表签字的，投标文件应附法定代表人签署的授权委托书。</w:t>
      </w:r>
    </w:p>
    <w:p w14:paraId="23882722">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（二）投标文件的签章</w:t>
      </w:r>
    </w:p>
    <w:p w14:paraId="0A6596C6">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1、《投标文件》的签章：见《前附表》；</w:t>
      </w:r>
    </w:p>
    <w:p w14:paraId="76073811">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2、《投标文件》应由投标人法定代表人或其授权代表签字（或盖章），并加盖投标人公章。</w:t>
      </w:r>
    </w:p>
    <w:p w14:paraId="5B100839">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3、电子签章操作指南详见采购公告附件《供应商项目采购-电子招投标操作指南》。</w:t>
      </w:r>
    </w:p>
    <w:p w14:paraId="39E65B74">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w:t>
      </w:r>
      <w:r>
        <w:rPr>
          <w:rFonts w:hint="eastAsia" w:ascii="宋体" w:hAnsi="宋体" w:eastAsia="宋体" w:cs="宋体"/>
          <w:b/>
          <w:color w:val="auto"/>
          <w:sz w:val="24"/>
          <w:highlight w:val="none"/>
        </w:rPr>
        <w:t>）投标文件</w:t>
      </w:r>
      <w:r>
        <w:rPr>
          <w:rFonts w:hint="eastAsia" w:ascii="宋体" w:hAnsi="宋体" w:eastAsia="宋体" w:cs="宋体"/>
          <w:b/>
          <w:bCs/>
          <w:color w:val="auto"/>
          <w:sz w:val="24"/>
          <w:szCs w:val="22"/>
          <w:highlight w:val="none"/>
        </w:rPr>
        <w:t>的组成</w:t>
      </w:r>
    </w:p>
    <w:p w14:paraId="1843A53A">
      <w:pPr>
        <w:pStyle w:val="47"/>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1、资格文件</w:t>
      </w:r>
    </w:p>
    <w:p w14:paraId="58809A0B">
      <w:pPr>
        <w:keepNext w:val="0"/>
        <w:keepLines w:val="0"/>
        <w:pageBreakBefore w:val="0"/>
        <w:widowControl/>
        <w:tabs>
          <w:tab w:val="left" w:pos="3780"/>
        </w:tabs>
        <w:kinsoku/>
        <w:wordWrap/>
        <w:overflowPunct/>
        <w:topLinePunct w:val="0"/>
        <w:bidi w:val="0"/>
        <w:spacing w:line="40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（1）资格审查材料（按第五部分格式一要求提供）；</w:t>
      </w:r>
    </w:p>
    <w:p w14:paraId="442E1110">
      <w:pPr>
        <w:pStyle w:val="47"/>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2、商务技术文件</w:t>
      </w:r>
    </w:p>
    <w:p w14:paraId="4741570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（1）投标声明函（格式见第五部分格式二）；</w:t>
      </w:r>
    </w:p>
    <w:p w14:paraId="6900880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（2）法定代表人身份证明或附有法定代表人身份证明及授权代表为投标人在职员工的证明文件（投标人为其缴纳的社保记录或劳务合同等）的授权委托书（格式见第五部分格式三）</w:t>
      </w:r>
    </w:p>
    <w:p w14:paraId="154E3D9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（3）商务评分中所需的材料（如有，详见评标办法）；</w:t>
      </w:r>
    </w:p>
    <w:p w14:paraId="4EC51E9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（4）以往业绩情况（如有，具体要求见评标办法，并按第五部分格式四要求编排）</w:t>
      </w:r>
      <w:r>
        <w:rPr>
          <w:rFonts w:hint="eastAsia" w:ascii="宋体" w:hAnsi="宋体" w:eastAsia="宋体" w:cs="宋体"/>
          <w:color w:val="auto"/>
          <w:sz w:val="24"/>
          <w:szCs w:val="22"/>
          <w:highlight w:val="none"/>
          <w:lang w:eastAsia="zh-CN"/>
        </w:rPr>
        <w:t>；</w:t>
      </w:r>
    </w:p>
    <w:p w14:paraId="5088866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（5）商务</w:t>
      </w:r>
      <w:r>
        <w:rPr>
          <w:rFonts w:hint="eastAsia" w:ascii="宋体" w:hAnsi="宋体" w:cs="宋体"/>
          <w:color w:val="auto"/>
          <w:kern w:val="2"/>
          <w:sz w:val="24"/>
          <w:szCs w:val="22"/>
          <w:highlight w:val="none"/>
          <w:lang w:val="en-US" w:eastAsia="zh-CN" w:bidi="ar-SA"/>
        </w:rPr>
        <w:t>/技术</w:t>
      </w:r>
      <w:r>
        <w:rPr>
          <w:rFonts w:hint="eastAsia" w:ascii="宋体" w:hAnsi="宋体" w:eastAsia="宋体" w:cs="宋体"/>
          <w:color w:val="auto"/>
          <w:kern w:val="2"/>
          <w:sz w:val="24"/>
          <w:szCs w:val="22"/>
          <w:highlight w:val="none"/>
          <w:lang w:val="en-US" w:eastAsia="zh-CN" w:bidi="ar-SA"/>
        </w:rPr>
        <w:t>偏离表（格式见第五部分格式五）；</w:t>
      </w:r>
    </w:p>
    <w:p w14:paraId="74CA9FC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）拟投入本项目的服务团队情况表（格式见第五部分格式</w:t>
      </w:r>
      <w:r>
        <w:rPr>
          <w:rFonts w:hint="eastAsia" w:ascii="宋体" w:hAnsi="宋体" w:eastAsia="宋体" w:cs="宋体"/>
          <w:color w:val="auto"/>
          <w:sz w:val="24"/>
          <w:szCs w:val="22"/>
          <w:highlight w:val="none"/>
          <w:lang w:eastAsia="zh-CN"/>
        </w:rPr>
        <w:t>六</w:t>
      </w:r>
      <w:r>
        <w:rPr>
          <w:rFonts w:hint="eastAsia" w:ascii="宋体" w:hAnsi="宋体" w:eastAsia="宋体" w:cs="宋体"/>
          <w:color w:val="auto"/>
          <w:sz w:val="24"/>
          <w:szCs w:val="22"/>
          <w:highlight w:val="none"/>
        </w:rPr>
        <w:t>）；</w:t>
      </w:r>
    </w:p>
    <w:p w14:paraId="65C9364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7</w:t>
      </w:r>
      <w:r>
        <w:rPr>
          <w:rFonts w:hint="eastAsia" w:ascii="宋体" w:hAnsi="宋体" w:eastAsia="宋体" w:cs="宋体"/>
          <w:color w:val="auto"/>
          <w:sz w:val="24"/>
          <w:szCs w:val="22"/>
          <w:highlight w:val="none"/>
        </w:rPr>
        <w:t>）技术评分中所需的材料（详见评标办法）；</w:t>
      </w:r>
    </w:p>
    <w:p w14:paraId="446DD5B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rPr>
        <w:t>）其他商务技术文件或说明（如有）。</w:t>
      </w:r>
    </w:p>
    <w:p w14:paraId="7E6E45CE">
      <w:pPr>
        <w:pStyle w:val="47"/>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3、报价文件</w:t>
      </w:r>
    </w:p>
    <w:p w14:paraId="1C75877F">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（1）开标一览表（格式见第五部分格式</w:t>
      </w:r>
      <w:r>
        <w:rPr>
          <w:rFonts w:hint="eastAsia" w:ascii="宋体" w:hAnsi="宋体" w:eastAsia="宋体" w:cs="宋体"/>
          <w:color w:val="auto"/>
          <w:sz w:val="24"/>
          <w:szCs w:val="22"/>
          <w:highlight w:val="none"/>
          <w:lang w:eastAsia="zh-CN"/>
        </w:rPr>
        <w:t>七</w:t>
      </w:r>
      <w:r>
        <w:rPr>
          <w:rFonts w:hint="eastAsia" w:ascii="宋体" w:hAnsi="宋体" w:eastAsia="宋体" w:cs="宋体"/>
          <w:color w:val="auto"/>
          <w:sz w:val="24"/>
          <w:szCs w:val="22"/>
          <w:highlight w:val="none"/>
        </w:rPr>
        <w:t>）；</w:t>
      </w:r>
    </w:p>
    <w:p w14:paraId="5E72D35E">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投标报价明细表（格式见第五部分格式</w:t>
      </w:r>
      <w:r>
        <w:rPr>
          <w:rFonts w:hint="eastAsia" w:ascii="宋体" w:hAnsi="宋体" w:cs="宋体"/>
          <w:color w:val="auto"/>
          <w:sz w:val="24"/>
          <w:szCs w:val="22"/>
          <w:highlight w:val="none"/>
          <w:lang w:eastAsia="zh-CN"/>
        </w:rPr>
        <w:t>八</w:t>
      </w:r>
      <w:r>
        <w:rPr>
          <w:rFonts w:hint="eastAsia" w:ascii="宋体" w:hAnsi="宋体" w:eastAsia="宋体" w:cs="宋体"/>
          <w:color w:val="auto"/>
          <w:sz w:val="24"/>
          <w:szCs w:val="22"/>
          <w:highlight w:val="none"/>
        </w:rPr>
        <w:t>）</w:t>
      </w:r>
      <w:r>
        <w:rPr>
          <w:rFonts w:hint="eastAsia" w:ascii="宋体" w:hAnsi="宋体" w:cs="宋体"/>
          <w:color w:val="auto"/>
          <w:sz w:val="24"/>
          <w:szCs w:val="22"/>
          <w:highlight w:val="none"/>
          <w:lang w:eastAsia="zh-CN"/>
        </w:rPr>
        <w:t>。</w:t>
      </w:r>
    </w:p>
    <w:p w14:paraId="71815250">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szCs w:val="22"/>
          <w:highlight w:val="none"/>
          <w:u w:val="single"/>
          <w:lang w:val="zh-CN"/>
        </w:rPr>
        <w:t>投标文件中所需的各种证书、证件、证明资料</w:t>
      </w:r>
      <w:r>
        <w:rPr>
          <w:rFonts w:hint="eastAsia" w:ascii="宋体" w:hAnsi="宋体" w:eastAsia="宋体" w:cs="宋体"/>
          <w:color w:val="auto"/>
          <w:sz w:val="24"/>
          <w:szCs w:val="22"/>
          <w:highlight w:val="none"/>
          <w:u w:val="single"/>
        </w:rPr>
        <w:t>等</w:t>
      </w:r>
      <w:r>
        <w:rPr>
          <w:rFonts w:hint="eastAsia" w:ascii="宋体" w:hAnsi="宋体" w:eastAsia="宋体" w:cs="宋体"/>
          <w:color w:val="auto"/>
          <w:sz w:val="24"/>
          <w:szCs w:val="22"/>
          <w:highlight w:val="none"/>
          <w:u w:val="single"/>
          <w:lang w:val="zh-CN"/>
        </w:rPr>
        <w:t>如是复印件，须在复印件上加盖有效公章。</w:t>
      </w:r>
    </w:p>
    <w:p w14:paraId="63F7340F">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（三）投标报价</w:t>
      </w:r>
    </w:p>
    <w:p w14:paraId="0FBF2F10">
      <w:pPr>
        <w:pStyle w:val="364"/>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1、▲本次投标最高限价为</w:t>
      </w:r>
      <w:r>
        <w:rPr>
          <w:rFonts w:hint="eastAsia" w:ascii="宋体" w:hAnsi="宋体" w:cs="宋体"/>
          <w:color w:val="auto"/>
          <w:kern w:val="2"/>
          <w:sz w:val="24"/>
          <w:szCs w:val="22"/>
          <w:highlight w:val="none"/>
          <w:lang w:val="en-US" w:eastAsia="zh-CN" w:bidi="ar-SA"/>
        </w:rPr>
        <w:t>428820</w:t>
      </w:r>
      <w:r>
        <w:rPr>
          <w:rFonts w:hint="eastAsia" w:ascii="宋体" w:hAnsi="宋体" w:eastAsia="宋体" w:cs="宋体"/>
          <w:color w:val="auto"/>
          <w:kern w:val="2"/>
          <w:sz w:val="24"/>
          <w:szCs w:val="22"/>
          <w:highlight w:val="none"/>
          <w:lang w:val="en-US" w:eastAsia="zh-CN" w:bidi="ar-SA"/>
        </w:rPr>
        <w:t>元</w:t>
      </w:r>
      <w:r>
        <w:rPr>
          <w:rFonts w:hint="eastAsia" w:ascii="宋体" w:hAnsi="宋体" w:eastAsia="宋体" w:cs="宋体"/>
          <w:color w:val="auto"/>
          <w:kern w:val="2"/>
          <w:sz w:val="24"/>
          <w:szCs w:val="22"/>
          <w:highlight w:val="none"/>
          <w:u w:val="none"/>
          <w:lang w:val="en-US" w:eastAsia="zh-CN" w:bidi="ar-SA"/>
        </w:rPr>
        <w:t>，</w:t>
      </w:r>
      <w:r>
        <w:rPr>
          <w:rFonts w:hint="eastAsia" w:ascii="宋体" w:hAnsi="宋体" w:eastAsia="宋体" w:cs="宋体"/>
          <w:color w:val="auto"/>
          <w:kern w:val="2"/>
          <w:sz w:val="24"/>
          <w:szCs w:val="22"/>
          <w:highlight w:val="none"/>
          <w:lang w:val="en-US" w:eastAsia="zh-CN" w:bidi="ar-SA"/>
        </w:rPr>
        <w:t>供应商报价高于最高限价的，为无效响应文件。</w:t>
      </w:r>
    </w:p>
    <w:p w14:paraId="7E484A8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2"/>
          <w:sz w:val="24"/>
          <w:szCs w:val="22"/>
          <w:highlight w:val="none"/>
          <w:lang w:val="en-US" w:eastAsia="zh-CN" w:bidi="ar-SA"/>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供应商的</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lang w:val="zh-CN"/>
        </w:rPr>
        <w:t>报价为履行合同的最终价格，投标人的报价包</w:t>
      </w:r>
      <w:r>
        <w:rPr>
          <w:rFonts w:hint="eastAsia" w:ascii="宋体" w:hAnsi="宋体" w:cs="宋体"/>
          <w:bCs/>
          <w:color w:val="auto"/>
          <w:sz w:val="24"/>
          <w:szCs w:val="24"/>
          <w:highlight w:val="none"/>
          <w:lang w:val="zh-CN"/>
        </w:rPr>
        <w:t>括</w:t>
      </w:r>
      <w:r>
        <w:rPr>
          <w:rFonts w:hint="eastAsia" w:ascii="宋体" w:hAnsi="宋体" w:eastAsia="宋体" w:cs="宋体"/>
          <w:bCs/>
          <w:color w:val="auto"/>
          <w:sz w:val="24"/>
          <w:szCs w:val="24"/>
          <w:highlight w:val="none"/>
          <w:lang w:val="zh-CN"/>
        </w:rPr>
        <w:t>本次</w:t>
      </w:r>
      <w:r>
        <w:rPr>
          <w:rFonts w:hint="eastAsia" w:ascii="宋体" w:hAnsi="宋体" w:cs="宋体"/>
          <w:bCs/>
          <w:color w:val="auto"/>
          <w:sz w:val="24"/>
          <w:szCs w:val="24"/>
          <w:highlight w:val="none"/>
          <w:lang w:val="zh-CN"/>
        </w:rPr>
        <w:t>的货物价款、人工费、材料费、运输保险费、安装调试费（含安装人工等相关人工费用）、售后服务、各项税金、验收费</w:t>
      </w:r>
      <w:r>
        <w:rPr>
          <w:rFonts w:hint="eastAsia" w:ascii="宋体" w:hAnsi="宋体" w:eastAsia="宋体" w:cs="宋体"/>
          <w:bCs/>
          <w:color w:val="auto"/>
          <w:sz w:val="24"/>
          <w:szCs w:val="24"/>
          <w:highlight w:val="none"/>
          <w:lang w:val="zh-CN"/>
        </w:rPr>
        <w:t>等所有费用。</w:t>
      </w:r>
    </w:p>
    <w:p w14:paraId="4B9B20D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rPr>
        <w:t>供应商应根据要求报价，报价单中不得漏填项目。</w:t>
      </w:r>
    </w:p>
    <w:p w14:paraId="4DE9D2AE">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4</w:t>
      </w:r>
      <w:r>
        <w:rPr>
          <w:rFonts w:hint="eastAsia" w:ascii="宋体" w:hAnsi="宋体" w:eastAsia="宋体" w:cs="宋体"/>
          <w:color w:val="auto"/>
          <w:sz w:val="24"/>
          <w:szCs w:val="22"/>
          <w:highlight w:val="none"/>
        </w:rPr>
        <w:t>、其它费用处理</w:t>
      </w:r>
    </w:p>
    <w:p w14:paraId="241A5A80">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招标文件未列明，而投标人认为必需的费用也需列入报价。投标人在投标报价中应充分考虑所有可能发生的费用，否则招标人将视投标总价中已包括所有费用。</w:t>
      </w:r>
    </w:p>
    <w:p w14:paraId="5BC47EDE">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、投标货币</w:t>
      </w:r>
    </w:p>
    <w:p w14:paraId="4821AB7C">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投标文件中价格全部采用人民币报价。</w:t>
      </w:r>
    </w:p>
    <w:p w14:paraId="3EA36ACF">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报价应是唯一的，不接受有选择的报价。</w:t>
      </w:r>
    </w:p>
    <w:p w14:paraId="4EBF6CFD">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、投标人对在合同执行中，除上述费用及招标文件规定的由中标人负责的工作范围以外需要招标人协调或提供便利的工作应当在投标文件中说明。</w:t>
      </w:r>
      <w:bookmarkStart w:id="37" w:name="_Hlt75236011"/>
      <w:bookmarkEnd w:id="37"/>
    </w:p>
    <w:p w14:paraId="60C5BAA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u w:val="single"/>
        </w:rPr>
        <w:t>报价是中标的一个重要因素，但最低报价不是中标的唯一依据。</w:t>
      </w:r>
    </w:p>
    <w:p w14:paraId="76719A8B">
      <w:pPr>
        <w:pStyle w:val="35"/>
        <w:keepNext w:val="0"/>
        <w:keepLines w:val="0"/>
        <w:pageBreakBefore w:val="0"/>
        <w:widowControl w:val="0"/>
        <w:kinsoku/>
        <w:wordWrap/>
        <w:overflowPunct/>
        <w:topLinePunct w:val="0"/>
        <w:autoSpaceDE/>
        <w:autoSpaceDN/>
        <w:bidi w:val="0"/>
        <w:adjustRightInd/>
        <w:snapToGrid/>
        <w:spacing w:after="120" w:line="400" w:lineRule="exact"/>
        <w:ind w:left="0" w:leftChars="0" w:right="0" w:rightChars="0" w:firstLine="482" w:firstLineChars="200"/>
        <w:jc w:val="left"/>
        <w:textAlignment w:val="auto"/>
        <w:outlineLvl w:val="9"/>
        <w:rPr>
          <w:rFonts w:hint="eastAsia"/>
          <w:b/>
          <w:bCs/>
          <w:color w:val="auto"/>
          <w:sz w:val="24"/>
          <w:szCs w:val="18"/>
          <w:highlight w:val="none"/>
        </w:rPr>
      </w:pPr>
      <w:r>
        <w:rPr>
          <w:rFonts w:hint="eastAsia"/>
          <w:b/>
          <w:bCs/>
          <w:color w:val="auto"/>
          <w:sz w:val="24"/>
          <w:szCs w:val="18"/>
          <w:highlight w:val="none"/>
          <w:lang w:eastAsia="zh-CN"/>
        </w:rPr>
        <w:t>注：</w:t>
      </w:r>
      <w:r>
        <w:rPr>
          <w:rFonts w:hint="eastAsia"/>
          <w:b/>
          <w:bCs/>
          <w:color w:val="auto"/>
          <w:sz w:val="24"/>
          <w:szCs w:val="18"/>
          <w:highlight w:val="none"/>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26E752D1">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bookmarkStart w:id="38" w:name="_Toc91899887"/>
      <w:r>
        <w:rPr>
          <w:rFonts w:hint="eastAsia" w:ascii="宋体" w:hAnsi="宋体" w:eastAsia="宋体" w:cs="宋体"/>
          <w:b/>
          <w:color w:val="auto"/>
          <w:highlight w:val="none"/>
        </w:rPr>
        <w:t>（四）投标有效期</w:t>
      </w:r>
    </w:p>
    <w:p w14:paraId="796FDDB4">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1、投标文件合格投递后，自投标截止日期起，至前附表规定的日期内有效。合同签订后，投标文件作为合同附件，投标文件有效期同合同有效期。</w:t>
      </w:r>
    </w:p>
    <w:p w14:paraId="29AB5655">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 招标人如因故推迟投标截止时间，将以书面形式通知所有投标人。在这种情况下，招标人与投标人以前在投标截止期方面的全部权利、责任和义务，将适用于延长至新的投标截止期。</w:t>
      </w:r>
    </w:p>
    <w:p w14:paraId="77B59D95">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3、投标人可拒绝接受延期要求。同意延长有效期的投标人不能修改投标文件。</w:t>
      </w:r>
    </w:p>
    <w:p w14:paraId="33884BC2">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4、投标截止后，在投标有效期内，投标人不能撤销投标文件。投标人强行撤销投标文件的，应按采购预算金额的2%赔偿对采购组织机构造成的损失。</w:t>
      </w:r>
    </w:p>
    <w:bookmarkEnd w:id="38"/>
    <w:p w14:paraId="2894251D">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39" w:name="_Toc522530044"/>
      <w:bookmarkStart w:id="40" w:name="_Toc19525"/>
      <w:bookmarkStart w:id="41" w:name="_Toc91899892"/>
    </w:p>
    <w:p w14:paraId="2EB1B531">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四、投 标</w:t>
      </w:r>
      <w:bookmarkEnd w:id="39"/>
      <w:bookmarkEnd w:id="40"/>
    </w:p>
    <w:p w14:paraId="60F67DD7">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（一）投标文件的上传和递交</w:t>
      </w:r>
    </w:p>
    <w:p w14:paraId="427B7A48">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1、“电子加密投标文件”的上传、递交：</w:t>
      </w:r>
    </w:p>
    <w:p w14:paraId="4F014239">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a.投标人应在投标截止时间前将“电子加密投标文件”成功上传递交至“政府采购云平台”，否则投标无效。</w:t>
      </w:r>
    </w:p>
    <w:p w14:paraId="725785CF">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b.“电子加密投标文件”成功上传递交后，投标人可自行打印投标文件接收回执。</w:t>
      </w:r>
    </w:p>
    <w:p w14:paraId="694C4806">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2、“备份投标文件”的密封包装、递交：</w:t>
      </w:r>
    </w:p>
    <w:p w14:paraId="7DED1DA7">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a.投标人在“政府采购云平台”完成“电子加密投标文件”的上传递交后，还可以（建议顺丰邮寄）在投标截止时间前递交以介质（U盘）存储的 “备份投标文件”（一份）；</w:t>
      </w:r>
    </w:p>
    <w:p w14:paraId="0F8E6039">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b.“备份投标文件”应当密封包装，并在包装上标注投标项目名称、投标单位名称并加盖公章。没有密封包装或者逾期邮寄送达至投标地点的“备份投标文件”将不予接收；</w:t>
      </w:r>
    </w:p>
    <w:p w14:paraId="1B659827">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14:paraId="369C9C8E">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d.电子备份投标文件，由投标人决定是否递交，并自行承担不递交电子备份投标文件的风险。</w:t>
      </w:r>
    </w:p>
    <w:p w14:paraId="5F159593">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cs="宋体"/>
          <w:b/>
          <w:bCs/>
          <w:color w:val="auto"/>
          <w:sz w:val="24"/>
          <w:szCs w:val="22"/>
          <w:highlight w:val="none"/>
          <w:lang w:val="en-US" w:eastAsia="zh-CN"/>
        </w:rPr>
        <w:t>3、</w:t>
      </w:r>
      <w:r>
        <w:rPr>
          <w:rFonts w:hint="eastAsia" w:ascii="宋体" w:hAnsi="宋体" w:eastAsia="宋体" w:cs="宋体"/>
          <w:b/>
          <w:bCs/>
          <w:color w:val="auto"/>
          <w:sz w:val="24"/>
          <w:szCs w:val="22"/>
          <w:highlight w:val="none"/>
        </w:rPr>
        <w:t>招标人如因故推迟投标截止时间，将以书面形式通知所有投标人。在这种情况下，招标人与投标人以前在投标截止期方面的全部权利、责任和义务，将适用于延长至新的投标截止期。</w:t>
      </w:r>
    </w:p>
    <w:p w14:paraId="5FE1182D">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（二）“电子加密投标文件”解密和异常情况处理</w:t>
      </w:r>
    </w:p>
    <w:p w14:paraId="037B3F95">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（1）开标后，采购组织机构将向各投标人发出“电子加密投标文件”的解密通知，各投标人代表应当在接到解密通知后30分钟内自行完成“电子加密投标文件”的在线解密。</w:t>
      </w:r>
    </w:p>
    <w:p w14:paraId="781C843B">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A5BCF2D">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（3）投标截止时间前，投标人仅递交了“备份投标文件”而未将电子加密投标文件上传至“政府采购云平台”的，投标无效。</w:t>
      </w:r>
    </w:p>
    <w:p w14:paraId="2D6976D8">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（三）投标文件的修改与撤回</w:t>
      </w:r>
    </w:p>
    <w:p w14:paraId="4F8A5F9A">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47F3193F">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2、投标截止时间后，投标人不得撤回、修改《投标文件》。</w:t>
      </w:r>
    </w:p>
    <w:bookmarkEnd w:id="41"/>
    <w:p w14:paraId="0D94A3AE">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2" w:name="_Toc91899897"/>
      <w:bookmarkStart w:id="43" w:name="_Toc233618976"/>
      <w:bookmarkStart w:id="44" w:name="_Toc522530045"/>
      <w:bookmarkStart w:id="45" w:name="_Toc6430"/>
      <w:r>
        <w:rPr>
          <w:rFonts w:hint="eastAsia" w:ascii="宋体" w:hAnsi="宋体" w:eastAsia="宋体" w:cs="宋体"/>
          <w:b/>
          <w:color w:val="auto"/>
          <w:sz w:val="32"/>
          <w:highlight w:val="none"/>
        </w:rPr>
        <w:t>五、开 标</w:t>
      </w:r>
      <w:bookmarkEnd w:id="42"/>
      <w:bookmarkEnd w:id="43"/>
      <w:bookmarkEnd w:id="44"/>
      <w:bookmarkEnd w:id="45"/>
    </w:p>
    <w:p w14:paraId="228E0A6C">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（一）开标形式</w:t>
      </w:r>
    </w:p>
    <w:p w14:paraId="211A953D">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1、采购组织机构将按照招标文件规定的时间通过“政府采购云平台”组织开标、开启投标文件，所有投标人均应当准时在线参加。</w:t>
      </w:r>
    </w:p>
    <w:p w14:paraId="30CF165D">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（二）开标准备</w:t>
      </w:r>
    </w:p>
    <w:p w14:paraId="15A11D1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1、开标的准备工作由采购组织机构负责落实；</w:t>
      </w:r>
    </w:p>
    <w:p w14:paraId="548B8BB5">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6AF403B">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（三）开标流程（两阶段）</w:t>
      </w:r>
    </w:p>
    <w:p w14:paraId="02C509D0">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1、开标第一阶段</w:t>
      </w:r>
    </w:p>
    <w:p w14:paraId="36BE0E2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558187B4">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（2）投标文件解密结束，通过邮件形式发送各投标人组织签署《政府采购活动现场确认声明书》；</w:t>
      </w:r>
    </w:p>
    <w:p w14:paraId="3356437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（3）开启投标文件，进入资格审查；</w:t>
      </w:r>
    </w:p>
    <w:p w14:paraId="65F5668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（4）开启资格审查通过的投标人的商务技术文件进入符合性审查、商务技术评审；</w:t>
      </w:r>
    </w:p>
    <w:p w14:paraId="42F62E3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（5）第一阶段开标结束。</w:t>
      </w:r>
    </w:p>
    <w:p w14:paraId="006F9298">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备注：开标大会的第一阶段结束后，采购人或采购代理机构将对依法对投标人的资格进行审查，资格审查结束后进入符合性审查和商务技术的评审工作，具体见本章节“投标人资格审查”相关规定。</w:t>
      </w:r>
    </w:p>
    <w:p w14:paraId="2970406C">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2、开标大会第二阶段</w:t>
      </w:r>
    </w:p>
    <w:p w14:paraId="3FA3E18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性审查、商务技术评审结束后，举行开标大会第二阶段会议。首先通过发送邮件形式公布符合性审查、商务技术评审无效投标人名称及理由；公布经商务技术评审后有效投标人的名单，同时公布其商务技术部分得分情况。</w:t>
      </w:r>
    </w:p>
    <w:p w14:paraId="4C52F7E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（2）开启符合性审查、商务技术评审有效投标人的《报价文件》，公布开标一览表有关内容，同时当场制作开标记录表，投标人</w:t>
      </w:r>
      <w:r>
        <w:rPr>
          <w:rFonts w:hint="eastAsia" w:ascii="宋体" w:hAnsi="宋体" w:eastAsia="宋体" w:cs="宋体"/>
          <w:color w:val="auto"/>
          <w:sz w:val="24"/>
          <w:szCs w:val="22"/>
          <w:highlight w:val="none"/>
          <w:lang w:eastAsia="zh-CN"/>
        </w:rPr>
        <w:t>在线</w:t>
      </w:r>
      <w:r>
        <w:rPr>
          <w:rFonts w:hint="eastAsia" w:ascii="宋体" w:hAnsi="宋体" w:eastAsia="宋体" w:cs="宋体"/>
          <w:color w:val="auto"/>
          <w:sz w:val="24"/>
          <w:szCs w:val="22"/>
          <w:highlight w:val="none"/>
        </w:rPr>
        <w:t>签字确认（不予确认的应说明理由，否则视为无异议）。唱标结束后，由评标委员会对报价的合理性、准确性等进行审查核实。</w:t>
      </w:r>
    </w:p>
    <w:p w14:paraId="6B475E0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w:t>
      </w:r>
      <w:r>
        <w:rPr>
          <w:rFonts w:hint="eastAsia" w:ascii="宋体" w:hAnsi="宋体" w:eastAsia="宋体" w:cs="宋体"/>
          <w:color w:val="auto"/>
          <w:sz w:val="24"/>
          <w:szCs w:val="22"/>
          <w:highlight w:val="none"/>
          <w:lang w:eastAsia="zh-CN"/>
        </w:rPr>
        <w:t>投标人可在</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rPr>
        <w:t>政府采购云平台</w:t>
      </w:r>
      <w:r>
        <w:rPr>
          <w:rFonts w:hint="eastAsia" w:ascii="宋体" w:hAnsi="宋体" w:eastAsia="宋体" w:cs="宋体"/>
          <w:b/>
          <w:bCs/>
          <w:color w:val="auto"/>
          <w:sz w:val="24"/>
          <w:szCs w:val="22"/>
          <w:highlight w:val="none"/>
          <w:lang w:eastAsia="zh-CN"/>
        </w:rPr>
        <w:t>”</w:t>
      </w:r>
      <w:r>
        <w:rPr>
          <w:rFonts w:hint="eastAsia" w:ascii="宋体" w:hAnsi="宋体" w:eastAsia="宋体" w:cs="宋体"/>
          <w:b w:val="0"/>
          <w:bCs w:val="0"/>
          <w:color w:val="auto"/>
          <w:sz w:val="24"/>
          <w:szCs w:val="22"/>
          <w:highlight w:val="none"/>
          <w:lang w:eastAsia="zh-CN"/>
        </w:rPr>
        <w:t>查看</w:t>
      </w:r>
      <w:r>
        <w:rPr>
          <w:rFonts w:hint="eastAsia" w:ascii="宋体" w:hAnsi="宋体" w:eastAsia="宋体" w:cs="宋体"/>
          <w:color w:val="auto"/>
          <w:sz w:val="24"/>
          <w:szCs w:val="22"/>
          <w:highlight w:val="none"/>
          <w:lang w:eastAsia="zh-CN"/>
        </w:rPr>
        <w:t>开标结果及</w:t>
      </w:r>
      <w:r>
        <w:rPr>
          <w:rFonts w:hint="eastAsia" w:ascii="宋体" w:hAnsi="宋体" w:eastAsia="宋体" w:cs="宋体"/>
          <w:color w:val="auto"/>
          <w:sz w:val="24"/>
          <w:szCs w:val="22"/>
          <w:highlight w:val="none"/>
        </w:rPr>
        <w:t>中标候选人名单，及采购人最终确定中标人名单的时间和公告方式等。</w:t>
      </w:r>
    </w:p>
    <w:p w14:paraId="2123D42E">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特别说明：如遇“政府采购云平台”电子化开标或评审程序调整的，按调整后程序执行。</w:t>
      </w:r>
    </w:p>
    <w:p w14:paraId="39E7FBF3">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bookmarkStart w:id="46" w:name="_Toc33194393"/>
      <w:bookmarkStart w:id="47" w:name="_Toc24550037"/>
      <w:r>
        <w:rPr>
          <w:rFonts w:hint="eastAsia" w:ascii="宋体" w:hAnsi="宋体" w:eastAsia="宋体" w:cs="宋体"/>
          <w:b/>
          <w:bCs/>
          <w:color w:val="auto"/>
          <w:sz w:val="24"/>
          <w:szCs w:val="22"/>
          <w:highlight w:val="none"/>
        </w:rPr>
        <w:t>（四）投标人资格审查</w:t>
      </w:r>
      <w:bookmarkEnd w:id="46"/>
      <w:bookmarkEnd w:id="47"/>
    </w:p>
    <w:p w14:paraId="430A9A84">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1、开标大会第一阶段结束后，采购人或采购代理机构首先依法对各投标人的资格进行审查，审查各投标人的资格是否满足招标文件的要求。</w:t>
      </w:r>
      <w:r>
        <w:rPr>
          <w:rFonts w:hint="eastAsia" w:ascii="宋体" w:hAnsi="宋体" w:eastAsia="宋体" w:cs="宋体"/>
          <w:color w:val="auto"/>
          <w:sz w:val="24"/>
          <w:szCs w:val="22"/>
          <w:highlight w:val="none"/>
        </w:rPr>
        <w:t>采购人或采购代理机构对投标人所提交的资格证明材料仅负审核的责任。如发现投标人所提交的资格证明材料不合法或与事实不符，采购人可取消其中标资格并追究投标人的法律责任。</w:t>
      </w:r>
    </w:p>
    <w:p w14:paraId="638005AB">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2、投标人提交的资格证明材料无法证明其符合招标文件规定的“投标人资格要求”的，采购人或采购代理机构将对其作资格审查不通过处理（无效投标），并不再将其投标提交评标委员会进行后续评审。</w:t>
      </w:r>
    </w:p>
    <w:p w14:paraId="39CF7A34">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bCs/>
          <w:color w:val="auto"/>
          <w:sz w:val="24"/>
          <w:szCs w:val="22"/>
          <w:highlight w:val="none"/>
        </w:rPr>
        <w:t>3、单位负责人为同一人或者存在直接控股、管理关系的不同投标人参加同一合同项下的政府采购活动的，相关投标人均作资格无效处理。</w:t>
      </w:r>
    </w:p>
    <w:p w14:paraId="4EBCD1F4">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8" w:name="_Hlt75236101"/>
      <w:bookmarkEnd w:id="48"/>
      <w:bookmarkStart w:id="49" w:name="_Toc233618977"/>
      <w:bookmarkStart w:id="50" w:name="_Toc522530046"/>
      <w:bookmarkStart w:id="51" w:name="_Toc91899902"/>
      <w:bookmarkStart w:id="52" w:name="_Toc29851"/>
    </w:p>
    <w:p w14:paraId="12C0F15A">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 标</w:t>
      </w:r>
      <w:bookmarkEnd w:id="49"/>
      <w:bookmarkEnd w:id="50"/>
      <w:bookmarkEnd w:id="51"/>
      <w:bookmarkEnd w:id="52"/>
    </w:p>
    <w:p w14:paraId="448BE614">
      <w:pPr>
        <w:pStyle w:val="47"/>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53" w:name="_Toc91899903"/>
      <w:r>
        <w:rPr>
          <w:rFonts w:hint="eastAsia" w:ascii="宋体" w:hAnsi="宋体" w:eastAsia="宋体" w:cs="宋体"/>
          <w:b/>
          <w:color w:val="auto"/>
          <w:sz w:val="24"/>
          <w:highlight w:val="none"/>
        </w:rPr>
        <w:t>（一）评标组织</w:t>
      </w:r>
    </w:p>
    <w:p w14:paraId="7822FB3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本项目评标委员会由5人(含)以上单数的人员组成，负责对投标文件进行审查、质询、评审和比较等。评标委员会由采购咨询专家和招标人代表组成，其中采购咨询专家人数不少于成员总数的三分之二。</w:t>
      </w:r>
      <w:r>
        <w:rPr>
          <w:rFonts w:hint="eastAsia" w:ascii="宋体" w:hAnsi="宋体" w:eastAsia="宋体" w:cs="宋体"/>
          <w:color w:val="auto"/>
          <w:kern w:val="0"/>
          <w:sz w:val="24"/>
          <w:highlight w:val="none"/>
        </w:rPr>
        <w:t>评标委员会成员名单在评审结果（采购结果）公告前保密。</w:t>
      </w:r>
    </w:p>
    <w:p w14:paraId="22CBAB86">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（二）评标原则</w:t>
      </w:r>
    </w:p>
    <w:p w14:paraId="02728407">
      <w:pPr>
        <w:pStyle w:val="47"/>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1、竞争优选；</w:t>
      </w:r>
    </w:p>
    <w:p w14:paraId="6EE6C5D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2、公平、公正、科学合理</w:t>
      </w:r>
      <w:r>
        <w:rPr>
          <w:rFonts w:hint="eastAsia" w:ascii="宋体" w:hAnsi="宋体" w:eastAsia="宋体" w:cs="宋体"/>
          <w:color w:val="auto"/>
          <w:sz w:val="24"/>
          <w:szCs w:val="22"/>
          <w:highlight w:val="none"/>
          <w:lang w:val="zh-CN"/>
        </w:rPr>
        <w:t>；</w:t>
      </w:r>
    </w:p>
    <w:p w14:paraId="5E53787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3、</w:t>
      </w:r>
      <w:r>
        <w:rPr>
          <w:rFonts w:hint="eastAsia" w:ascii="宋体" w:hAnsi="宋体" w:eastAsia="宋体" w:cs="宋体"/>
          <w:color w:val="auto"/>
          <w:sz w:val="24"/>
          <w:szCs w:val="22"/>
          <w:highlight w:val="none"/>
        </w:rPr>
        <w:t>价格合理，方案、产品先进可行；</w:t>
      </w:r>
    </w:p>
    <w:p w14:paraId="51FDC10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4、反对不正当竞争。</w:t>
      </w:r>
    </w:p>
    <w:p w14:paraId="6FBB11A4">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（三）评标纪律</w:t>
      </w:r>
    </w:p>
    <w:p w14:paraId="79F9458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评标委员会成员要严格遵守评标纪律、保密、回避等相关规定，依法独立履行评标职责，客观、公正、审慎参与评标工作；</w:t>
      </w:r>
    </w:p>
    <w:p w14:paraId="107C3F8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1、严格遵守评标时间，因突发情况确实不能按时参加评标的，应事先告知招标组织机构；</w:t>
      </w:r>
    </w:p>
    <w:p w14:paraId="5C5947F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2、服从招标组织机构的现场管理，主动出示身份证明，进入评标区域后应主动寄存移动通讯工具，按要求佩戴工作牌；</w:t>
      </w:r>
    </w:p>
    <w:p w14:paraId="173644D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3、与投标人或评标委员会其他成员存在利害关系的，要主动回避，自觉签订《政府采购评审人员廉洁自律承诺书》；</w:t>
      </w:r>
    </w:p>
    <w:p w14:paraId="2F35C05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14:paraId="458798C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5、自觉遵守职业道德，尊重招标人代表和投标人代表，配合招标组织机构回答投标人代表提出的有关异议；</w:t>
      </w:r>
    </w:p>
    <w:p w14:paraId="2804189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6、不得将评标过程、结果和投标人的商业秘密透露给任何单位和个人。未公告评标结果前不准泄露评标结果，不准将评标资料带出会场；</w:t>
      </w:r>
    </w:p>
    <w:p w14:paraId="6F72625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7、评标过程中，涉及到相关法律法规不清楚之处的，由招标人监管部门或请示权威部门作出法定解释，涉及到招标文件的由编制招标文件的机构和部门负责解释。</w:t>
      </w:r>
    </w:p>
    <w:p w14:paraId="110718E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8、如实行暗标评审的，其投标文件和产品样品的评审编号和编号保管，由监督人员负责；在评标委员评分完成后，再将投标人的投标文件和提供的产品样品编号交评委。</w:t>
      </w:r>
    </w:p>
    <w:p w14:paraId="3A713492">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 评标程序</w:t>
      </w:r>
    </w:p>
    <w:p w14:paraId="58C5BD3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1、在评标专家中推选评标委员会组长，优先推选资深专家为组长；</w:t>
      </w:r>
    </w:p>
    <w:p w14:paraId="455B8AE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14:paraId="0EEE634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
          <w:color w:val="auto"/>
          <w:sz w:val="24"/>
          <w:highlight w:val="none"/>
          <w:u w:val="single"/>
        </w:rPr>
        <w:t>资格审查</w:t>
      </w:r>
      <w:r>
        <w:rPr>
          <w:rFonts w:hint="eastAsia" w:ascii="宋体" w:hAnsi="宋体" w:eastAsia="宋体" w:cs="宋体"/>
          <w:color w:val="auto"/>
          <w:sz w:val="24"/>
          <w:highlight w:val="none"/>
        </w:rPr>
        <w:t>，经其书面授权的招标人代表或经其书面授权的招标代理机构代表采购代理机构按照招标文件要求对投标人逐一进行资格审查；</w:t>
      </w:r>
    </w:p>
    <w:p w14:paraId="0901B99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b/>
          <w:color w:val="auto"/>
          <w:sz w:val="24"/>
          <w:highlight w:val="none"/>
          <w:u w:val="single"/>
        </w:rPr>
        <w:t>商务技术文件的符合性审查</w:t>
      </w:r>
      <w:r>
        <w:rPr>
          <w:rFonts w:hint="eastAsia" w:ascii="宋体" w:hAnsi="宋体" w:eastAsia="宋体" w:cs="宋体"/>
          <w:color w:val="auto"/>
          <w:sz w:val="24"/>
          <w:highlight w:val="none"/>
        </w:rPr>
        <w:t>，评标人员对通过资格审查的各投标文件商务、技术部分的有效性、完整性和响应程度等进行审查，确定是否对招标文件作出实质性响应；</w:t>
      </w:r>
    </w:p>
    <w:p w14:paraId="146522A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b/>
          <w:color w:val="auto"/>
          <w:sz w:val="24"/>
          <w:highlight w:val="none"/>
          <w:u w:val="single"/>
        </w:rPr>
        <w:t>商务技术评分</w:t>
      </w:r>
      <w:r>
        <w:rPr>
          <w:rFonts w:hint="eastAsia" w:ascii="宋体" w:hAnsi="宋体" w:eastAsia="宋体" w:cs="宋体"/>
          <w:color w:val="auto"/>
          <w:sz w:val="24"/>
          <w:highlight w:val="none"/>
        </w:rPr>
        <w:t>，评标人员按招标文件规定的评标方法和评标标准，依法独立对投标文件商务、技术部分进行评估、比较，并给予评价或打分，不受任何单位和个人的干预；</w:t>
      </w:r>
    </w:p>
    <w:p w14:paraId="2E7BC55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评标人员对各投标文件非实质性内容有疑议或异议，或者审查发现明显的文字或计算错误等，及时向评标委员会组长提出。经评标委员会商议认为需要投标人作出必要澄清或说明的，应通知该投标人代表以书面</w:t>
      </w:r>
      <w:r>
        <w:rPr>
          <w:rFonts w:hint="eastAsia" w:ascii="宋体" w:hAnsi="宋体" w:eastAsia="宋体" w:cs="宋体"/>
          <w:color w:val="auto"/>
          <w:kern w:val="0"/>
          <w:sz w:val="24"/>
          <w:highlight w:val="none"/>
        </w:rPr>
        <w:t>（或通过“政府采购云平台”在线答复）</w:t>
      </w:r>
      <w:r>
        <w:rPr>
          <w:rFonts w:hint="eastAsia" w:ascii="宋体" w:hAnsi="宋体" w:eastAsia="宋体" w:cs="宋体"/>
          <w:color w:val="auto"/>
          <w:sz w:val="24"/>
          <w:highlight w:val="none"/>
        </w:rPr>
        <w:t>形式作出澄清或说明，</w:t>
      </w:r>
      <w:r>
        <w:rPr>
          <w:rFonts w:hint="eastAsia" w:ascii="宋体" w:hAnsi="宋体" w:eastAsia="宋体" w:cs="宋体"/>
          <w:color w:val="auto"/>
          <w:kern w:val="0"/>
          <w:sz w:val="24"/>
          <w:highlight w:val="none"/>
        </w:rPr>
        <w:t>投标人的澄清、说明或者补正不得超出投标文件的范围或者改变投标文件的实质性内容</w:t>
      </w:r>
      <w:r>
        <w:rPr>
          <w:rFonts w:hint="eastAsia" w:ascii="宋体" w:hAnsi="宋体" w:eastAsia="宋体" w:cs="宋体"/>
          <w:color w:val="auto"/>
          <w:sz w:val="24"/>
          <w:highlight w:val="none"/>
        </w:rPr>
        <w:t>；</w:t>
      </w:r>
    </w:p>
    <w:p w14:paraId="011E226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人员对商务、技术部分评审结果进行确认，现场监督员对评审结果签署监督意见。如发现分项评分超出评分标准范围、客观评分不一致以及存在评分畸高、畸低情形的，应由相关人员当场改正或作出说明；拒不改正又不作说明的，由现场监督员如实记载后存入项目档案资料；</w:t>
      </w:r>
    </w:p>
    <w:p w14:paraId="40271B1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b/>
          <w:color w:val="auto"/>
          <w:sz w:val="24"/>
          <w:highlight w:val="none"/>
          <w:u w:val="single"/>
        </w:rPr>
        <w:t>报价文件的符合性审查</w:t>
      </w:r>
      <w:r>
        <w:rPr>
          <w:rFonts w:hint="eastAsia" w:ascii="宋体" w:hAnsi="宋体" w:eastAsia="宋体" w:cs="宋体"/>
          <w:color w:val="auto"/>
          <w:sz w:val="24"/>
          <w:highlight w:val="none"/>
        </w:rPr>
        <w:t>，对开启的投标文件报价部分的进行有效性、完整性和响应程度等进行审查，确定是否对招标文件作出实质性响应；</w:t>
      </w:r>
    </w:p>
    <w:p w14:paraId="3E8D4E4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（五）</w:t>
      </w:r>
      <w:r>
        <w:rPr>
          <w:rFonts w:hint="eastAsia" w:ascii="宋体" w:hAnsi="宋体" w:eastAsia="宋体" w:cs="宋体"/>
          <w:b/>
          <w:color w:val="auto"/>
          <w:sz w:val="24"/>
          <w:highlight w:val="none"/>
          <w:lang w:val="zh-CN"/>
        </w:rPr>
        <w:t>投标文件的鉴定</w:t>
      </w:r>
    </w:p>
    <w:p w14:paraId="3B463D5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14:paraId="6E08EF34">
      <w:pPr>
        <w:pStyle w:val="47"/>
        <w:keepNext w:val="0"/>
        <w:keepLines w:val="0"/>
        <w:pageBreakBefore w:val="0"/>
        <w:kinsoku/>
        <w:wordWrap/>
        <w:overflowPunct/>
        <w:topLinePunct w:val="0"/>
        <w:bidi w:val="0"/>
        <w:adjustRightInd w:val="0"/>
        <w:snapToGrid w:val="0"/>
        <w:spacing w:line="400" w:lineRule="exact"/>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2、无效标情形</w:t>
      </w:r>
    </w:p>
    <w:p w14:paraId="6F6EA23D">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2"/>
          <w:highlight w:val="none"/>
        </w:rPr>
      </w:pPr>
      <w:bookmarkStart w:id="54" w:name="_Hlk33211013"/>
      <w:r>
        <w:rPr>
          <w:rFonts w:hint="eastAsia" w:ascii="宋体" w:hAnsi="宋体" w:eastAsia="宋体" w:cs="宋体"/>
          <w:color w:val="auto"/>
          <w:sz w:val="24"/>
          <w:szCs w:val="22"/>
          <w:highlight w:val="none"/>
        </w:rPr>
        <w:t>（一）商务、技术文件符合性审查中，存在下列情形之一的，经评标委员会按少数服从多数原则认定后作无效标处理：</w:t>
      </w:r>
    </w:p>
    <w:p w14:paraId="41533C0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bookmarkStart w:id="55" w:name="_Toc33194396"/>
      <w:r>
        <w:rPr>
          <w:rFonts w:hint="eastAsia" w:ascii="宋体" w:hAnsi="宋体" w:eastAsia="宋体" w:cs="宋体"/>
          <w:color w:val="auto"/>
          <w:sz w:val="24"/>
          <w:szCs w:val="22"/>
          <w:highlight w:val="none"/>
        </w:rPr>
        <w:t>（1）投标文件未有效授权，法定代表人授权委托书等填写不完整或有涂改的；</w:t>
      </w:r>
      <w:bookmarkEnd w:id="55"/>
    </w:p>
    <w:p w14:paraId="648C143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（2）投标文件没有对本招标文件作出实质性响应的，或不满足（不响应）本招标文件中标注“▲”的实质性要求条款的，或存在招标文件中明确规定的其他无效标情形的；</w:t>
      </w:r>
    </w:p>
    <w:p w14:paraId="4E8A431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（3）投标文件存在一个或一个以上备选（替代）投标方案的；</w:t>
      </w:r>
    </w:p>
    <w:p w14:paraId="6994DE5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（4）仅提交“备份投标文件”的；</w:t>
      </w:r>
    </w:p>
    <w:p w14:paraId="2E150B3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（5）文件组成内容不齐全，本招标文件规定必须提供而未提供的（属于资格审查范围的除外）；</w:t>
      </w:r>
    </w:p>
    <w:p w14:paraId="2624CA6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（6）投标文件标注的响应或偏离情况与事实不符，或提供了虚假材料的；</w:t>
      </w:r>
    </w:p>
    <w:p w14:paraId="035CF96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（7）不响应或擅自改变本招标文件要求或投标文件有采购人不能接受的附加条件的；</w:t>
      </w:r>
    </w:p>
    <w:p w14:paraId="660A99B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（8）参加同一合同项下政府采购活动的不同投标人之间存在利害关系并且存在影响政府采购公平竞争行为的；</w:t>
      </w:r>
    </w:p>
    <w:p w14:paraId="1AFBF59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bookmarkStart w:id="56" w:name="_Toc33194397"/>
      <w:r>
        <w:rPr>
          <w:rFonts w:hint="eastAsia" w:ascii="宋体" w:hAnsi="宋体" w:eastAsia="宋体" w:cs="宋体"/>
          <w:color w:val="auto"/>
          <w:sz w:val="24"/>
          <w:szCs w:val="22"/>
          <w:highlight w:val="none"/>
        </w:rPr>
        <w:t>（9）招标人拟采购的产品如属于品目清单范围内的强制采购品目的，投标人未</w:t>
      </w:r>
      <w:bookmarkEnd w:id="56"/>
      <w:bookmarkStart w:id="57" w:name="_Toc33194398"/>
      <w:r>
        <w:rPr>
          <w:rFonts w:hint="eastAsia" w:ascii="宋体" w:hAnsi="宋体" w:eastAsia="宋体" w:cs="宋体"/>
          <w:color w:val="auto"/>
          <w:sz w:val="24"/>
          <w:szCs w:val="22"/>
          <w:highlight w:val="none"/>
        </w:rPr>
        <w:t>能在响应文件中提供国家确定的认证机构出具的、处于有效期之内的该产品节能产品、环境标志产品认证证书；</w:t>
      </w:r>
      <w:bookmarkEnd w:id="57"/>
    </w:p>
    <w:p w14:paraId="4773C97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（10）违反国家或政府部门相关法律、法规、文件规定的。</w:t>
      </w:r>
      <w:bookmarkEnd w:id="54"/>
    </w:p>
    <w:p w14:paraId="504AE21A">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（二）报价文件符合性审查中，存在下列情形之一的，经评标委员会认定后作无效标处理：</w:t>
      </w:r>
    </w:p>
    <w:p w14:paraId="308F456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（1）投标文件没有对本招标文件作出实质性响应的，或不满足（不响应）本招标文件中标注“▲”的实质性要求条款的，或存在招标文件中明确规定的其他无效标情形的；</w:t>
      </w:r>
    </w:p>
    <w:p w14:paraId="6895777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（2）投标文件存在一个或一个以上备选（替代）投标方案的；</w:t>
      </w:r>
    </w:p>
    <w:p w14:paraId="1B404FF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（3）未按照招标文件标明的币种报价的，或者投标报价涵盖的内容不符合招标文件要求的；</w:t>
      </w:r>
    </w:p>
    <w:p w14:paraId="6121F5F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（4）《开标一览表》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与《投标报价明细表》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不一致且拒不接受修正的；</w:t>
      </w:r>
    </w:p>
    <w:p w14:paraId="2784DBE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（5）投标报价具有选择性，唱标价格与《投标文件》承诺的优惠（折扣）后价格不一致的；</w:t>
      </w:r>
    </w:p>
    <w:p w14:paraId="707C8BE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（6）投标报价超过采购预算（或最高限价）的；</w:t>
      </w:r>
    </w:p>
    <w:p w14:paraId="7553525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（7）仅提交“备份投标文件”的；</w:t>
      </w:r>
    </w:p>
    <w:p w14:paraId="4737C30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（8）投标文件组成内容不齐全，本招标文件规定必须提供而未提供的（属于资格审查范围的除外）；</w:t>
      </w:r>
    </w:p>
    <w:p w14:paraId="64EC1F8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（9）投标文件标注的响应或偏离情况与事实不符，或提供了虚假材料的；</w:t>
      </w:r>
    </w:p>
    <w:p w14:paraId="02A6CAC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（10）不响应或擅自改变本招标文件要求或投标文件有采购人不能接受的附加条件的；</w:t>
      </w:r>
    </w:p>
    <w:p w14:paraId="07F8BD1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11）评审委员会认为投标人报价明显低于其他合格投标人的报价，有可能影响产品质量或者不能诚信履约的，应当要求其在合理时间内提供书面说明，必要时提供相关证明材料；投标人不能证明其报价合理性的；</w:t>
      </w:r>
    </w:p>
    <w:p w14:paraId="06A0203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（12）违反国家或政府部门相关法律、法规、文件规定的。</w:t>
      </w:r>
    </w:p>
    <w:p w14:paraId="32C99403">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3、投标报价的错误修正</w:t>
      </w:r>
    </w:p>
    <w:p w14:paraId="2F37828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评标委员会将对确定为实质上响应招标文件要求的投标文件报价部分进行校核，看其在投标报价方面是否有计算、累计或表达上的错误，修正错误的原则及顺序如下：</w:t>
      </w:r>
    </w:p>
    <w:p w14:paraId="44C9322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（1）投标文件中开标一览表(报价表)内容与投标文件中明细表内容不一致的，以开标一览表为准；</w:t>
      </w:r>
    </w:p>
    <w:p w14:paraId="314B6C4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（2）投标文件的大写金额和小写金额不一致的，以大写金额为准；</w:t>
      </w:r>
    </w:p>
    <w:p w14:paraId="79115C2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（3）如分项价格或单价有遗报，应视作已含在投标总价中；其投标总价不予调整。其分项价或单价由评标委员会在投标总价不变的前提下根据合理的原则对其予以确定；</w:t>
      </w:r>
    </w:p>
    <w:p w14:paraId="13CEB88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（4）如有多报、重报，其投标总价在评标过程中不予调整。如其中标，其合同价按其投标单价予以调整；</w:t>
      </w:r>
    </w:p>
    <w:p w14:paraId="744D9AA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（5）单价金额小数点有明显错位的，应以总价为准，并修改单价。</w:t>
      </w:r>
    </w:p>
    <w:p w14:paraId="5113B1F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14:paraId="1A6F2D1D">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4、废标</w:t>
      </w:r>
    </w:p>
    <w:p w14:paraId="6E44B1F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在招标采购中，出现下列情形之一的，本项目废标：</w:t>
      </w:r>
    </w:p>
    <w:p w14:paraId="2DE42C8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（1）符合专业条件的投标人或者对招标文件作实质响应的投标人不足三家的；</w:t>
      </w:r>
    </w:p>
    <w:p w14:paraId="1EC0A30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（2）出现影响采购公正的违法、违规行为的；</w:t>
      </w:r>
    </w:p>
    <w:p w14:paraId="6DA39D8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（3）投标人的报价均超过了采购预算，采购人不能支付的；</w:t>
      </w:r>
    </w:p>
    <w:p w14:paraId="564F6C1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（4）因重大变故，采购任务取消的。</w:t>
      </w:r>
    </w:p>
    <w:p w14:paraId="70244DBB">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5、可中止电子交易活动的情形</w:t>
      </w:r>
    </w:p>
    <w:p w14:paraId="1174BD5F">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采购过程中出现以下情形，导致电子交易平台无法正常运行，或者无法保证电子交易的公平、公正和安全时，采购组织机构可中止电子交易活动：</w:t>
      </w:r>
    </w:p>
    <w:p w14:paraId="1C42D86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（1）电子交易平台发生故障而无法登录访问的；</w:t>
      </w:r>
    </w:p>
    <w:p w14:paraId="6C1C14A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（2）电子交易平台应用或数据库出现错误，不能进行正常操作的；</w:t>
      </w:r>
    </w:p>
    <w:p w14:paraId="205B802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（3）电子交易平台发现严重安全漏洞，有潜在泄密危险的；</w:t>
      </w:r>
    </w:p>
    <w:p w14:paraId="5698398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（4）病毒发作导致不能进行正常操作的；</w:t>
      </w:r>
    </w:p>
    <w:p w14:paraId="6DDEDDC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（5）其他无法保证电子交易的公平、公正和安全的情况。</w:t>
      </w:r>
    </w:p>
    <w:p w14:paraId="5C70D514">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2"/>
          <w:highlight w:val="none"/>
        </w:rPr>
        <w:t>出现前款规定情形，不影响采购公平、公正性的，采购组织机构可以待上述情形消除后继续组织电子交易活动；影响或可能影响采购公平、公正性的，应当重新采购。</w:t>
      </w:r>
    </w:p>
    <w:p w14:paraId="0FD7B275">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color w:val="auto"/>
          <w:szCs w:val="24"/>
          <w:highlight w:val="none"/>
        </w:rPr>
      </w:pPr>
      <w:r>
        <w:rPr>
          <w:rFonts w:hint="eastAsia" w:ascii="宋体" w:hAnsi="宋体" w:eastAsia="宋体" w:cs="宋体"/>
          <w:b/>
          <w:color w:val="auto"/>
          <w:highlight w:val="none"/>
        </w:rPr>
        <w:t>（六）投标文件的澄清、说明或补正</w:t>
      </w:r>
    </w:p>
    <w:p w14:paraId="7D2905A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14:paraId="28C2B4E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14:paraId="52599C4E">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（七）评标办法</w:t>
      </w:r>
    </w:p>
    <w:bookmarkEnd w:id="53"/>
    <w:p w14:paraId="25EC823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bookmarkStart w:id="58" w:name="_Toc86216994"/>
      <w:r>
        <w:rPr>
          <w:rFonts w:hint="eastAsia" w:ascii="宋体" w:hAnsi="宋体" w:eastAsia="宋体" w:cs="宋体"/>
          <w:color w:val="auto"/>
          <w:sz w:val="24"/>
          <w:highlight w:val="none"/>
        </w:rPr>
        <w:t>详见“第六部分  评标办法”。</w:t>
      </w:r>
    </w:p>
    <w:p w14:paraId="6CFEFE0D">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（八）评标内容的保密</w:t>
      </w:r>
    </w:p>
    <w:p w14:paraId="1D51D4C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1、公开开标后，直到公告中标单位止，凡属于审查、澄清、评价和比较投标的所有资料，都不向投标人或与评标无关的其他人泄露。</w:t>
      </w:r>
    </w:p>
    <w:p w14:paraId="25E8BFE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在投标文件的审查、澄清、评价和比较以及确定中标人过程中，投标人对招标人、招标代理机构和评标委员会施加影响的任何行为，都将导致取消资格。</w:t>
      </w:r>
    </w:p>
    <w:p w14:paraId="323DE64E">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59" w:name="_Toc522530047"/>
      <w:bookmarkStart w:id="60" w:name="_Toc23416"/>
      <w:bookmarkStart w:id="61" w:name="_Toc233618978"/>
    </w:p>
    <w:p w14:paraId="032FB3CD">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七、定 标</w:t>
      </w:r>
      <w:bookmarkEnd w:id="58"/>
      <w:bookmarkEnd w:id="59"/>
      <w:bookmarkEnd w:id="60"/>
      <w:bookmarkEnd w:id="61"/>
    </w:p>
    <w:p w14:paraId="4B654868">
      <w:pPr>
        <w:pStyle w:val="22"/>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（一）定标</w:t>
      </w:r>
      <w:r>
        <w:rPr>
          <w:rFonts w:hint="eastAsia" w:ascii="宋体" w:hAnsi="宋体" w:eastAsia="宋体" w:cs="宋体"/>
          <w:b/>
          <w:color w:val="auto"/>
          <w:sz w:val="24"/>
          <w:highlight w:val="none"/>
        </w:rPr>
        <w:tab/>
      </w:r>
    </w:p>
    <w:p w14:paraId="2928EE0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14:paraId="41FF9A5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1、评标委员会根据各投标人的综合得分（商务技术分与报价得分之和）从高到低依次进行排名排序。特殊情形按以下原则处理：</w:t>
      </w:r>
    </w:p>
    <w:p w14:paraId="08A614F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（1）综合得分相同的，按投标报价低的优先原则确定排名；</w:t>
      </w:r>
    </w:p>
    <w:p w14:paraId="18292EC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（2）综合得分和投标报价均相同的，按</w:t>
      </w:r>
      <w:r>
        <w:rPr>
          <w:rFonts w:hint="eastAsia" w:ascii="宋体" w:hAnsi="宋体" w:cs="宋体"/>
          <w:color w:val="auto"/>
          <w:sz w:val="24"/>
          <w:szCs w:val="22"/>
          <w:highlight w:val="none"/>
          <w:lang w:eastAsia="zh-CN"/>
        </w:rPr>
        <w:t>商务技术</w:t>
      </w:r>
      <w:r>
        <w:rPr>
          <w:rFonts w:hint="eastAsia" w:ascii="宋体" w:hAnsi="宋体" w:eastAsia="宋体" w:cs="宋体"/>
          <w:color w:val="auto"/>
          <w:sz w:val="24"/>
          <w:szCs w:val="22"/>
          <w:highlight w:val="none"/>
        </w:rPr>
        <w:t>得分从高到低确定排名；</w:t>
      </w:r>
    </w:p>
    <w:p w14:paraId="36D46CD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（3）综合得分、投标报价和</w:t>
      </w:r>
      <w:r>
        <w:rPr>
          <w:rFonts w:hint="eastAsia" w:ascii="宋体" w:hAnsi="宋体" w:cs="宋体"/>
          <w:color w:val="auto"/>
          <w:sz w:val="24"/>
          <w:szCs w:val="22"/>
          <w:highlight w:val="none"/>
          <w:lang w:eastAsia="zh-CN"/>
        </w:rPr>
        <w:t>商务技术</w:t>
      </w:r>
      <w:r>
        <w:rPr>
          <w:rFonts w:hint="eastAsia" w:ascii="宋体" w:hAnsi="宋体" w:eastAsia="宋体" w:cs="宋体"/>
          <w:color w:val="auto"/>
          <w:sz w:val="24"/>
          <w:szCs w:val="22"/>
          <w:highlight w:val="none"/>
        </w:rPr>
        <w:t>得分均相同的由评标委员会全体成员记名投票按少数服从多数的原则确定排名。</w:t>
      </w:r>
    </w:p>
    <w:p w14:paraId="18CF103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2、根据最终得分排序，通过书面评审报告的形式，向采购人推荐排名第一的投标人为中标候选人。</w:t>
      </w:r>
    </w:p>
    <w:p w14:paraId="25EF000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0FD55BC5">
      <w:pPr>
        <w:pStyle w:val="22"/>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（二）招标结果公告</w:t>
      </w:r>
    </w:p>
    <w:p w14:paraId="3C05C78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在招标人确认招标结果后招标代理机构按相关政府采购规定将招标结果发布在原招标公告发布媒体。公告有效期为1个工作日。招标人、招标代理机构及评标委员会对未中标的投标人不作落标原因解释。</w:t>
      </w:r>
    </w:p>
    <w:p w14:paraId="4CCED476">
      <w:pPr>
        <w:pStyle w:val="22"/>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bookmarkStart w:id="62" w:name="_Hlt75236103"/>
      <w:bookmarkEnd w:id="62"/>
      <w:bookmarkStart w:id="63" w:name="_Toc86216995"/>
      <w:bookmarkStart w:id="64" w:name="_Toc91899910"/>
      <w:r>
        <w:rPr>
          <w:rFonts w:hint="eastAsia" w:ascii="宋体" w:hAnsi="宋体" w:eastAsia="宋体" w:cs="宋体"/>
          <w:b/>
          <w:color w:val="auto"/>
          <w:sz w:val="24"/>
          <w:highlight w:val="none"/>
        </w:rPr>
        <w:t>（三）中标通知书</w:t>
      </w:r>
      <w:r>
        <w:rPr>
          <w:rFonts w:hint="eastAsia" w:ascii="宋体" w:hAnsi="宋体" w:eastAsia="宋体" w:cs="宋体"/>
          <w:b/>
          <w:color w:val="auto"/>
          <w:sz w:val="24"/>
          <w:highlight w:val="none"/>
        </w:rPr>
        <w:tab/>
      </w:r>
    </w:p>
    <w:p w14:paraId="555436E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在公告中标结果的同时，招标人或者招标代理机构应当向中标人发出中标通知书。</w:t>
      </w:r>
    </w:p>
    <w:p w14:paraId="07157261">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65" w:name="_Toc15506"/>
      <w:bookmarkStart w:id="66" w:name="_Toc522530048"/>
      <w:bookmarkStart w:id="67" w:name="_Toc233618979"/>
    </w:p>
    <w:p w14:paraId="33D27816">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八、</w:t>
      </w:r>
      <w:bookmarkEnd w:id="63"/>
      <w:r>
        <w:rPr>
          <w:rFonts w:hint="eastAsia" w:ascii="宋体" w:hAnsi="宋体" w:eastAsia="宋体" w:cs="宋体"/>
          <w:b/>
          <w:color w:val="auto"/>
          <w:sz w:val="32"/>
          <w:highlight w:val="none"/>
        </w:rPr>
        <w:t>合同签订及其他</w:t>
      </w:r>
      <w:bookmarkEnd w:id="65"/>
      <w:bookmarkEnd w:id="66"/>
      <w:bookmarkEnd w:id="67"/>
    </w:p>
    <w:bookmarkEnd w:id="64"/>
    <w:p w14:paraId="03B929D3">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（一）合同的签订</w:t>
      </w:r>
    </w:p>
    <w:p w14:paraId="41063C4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中标人接到中标通知书后按规定的日期、时间、地点，由法定代表人或其授权代表与招标人代表按照“第四部分 合同文本”内容签订《采购合同》。</w:t>
      </w:r>
    </w:p>
    <w:p w14:paraId="2B94945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所签订的合同不得对招标文件和中标人投标文件作实质性修改。招标人不得向中标投标人提出任何不合理的要求，作为签订合同的条件，不得与中标人私下订立背离合同实质性内容的协议。</w:t>
      </w:r>
    </w:p>
    <w:p w14:paraId="4696F88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招标文件及补充文件、中标人的投标文件及投标修改文件、评标过程中有关澄清文件和中标通知书均作为合同附件。</w:t>
      </w:r>
    </w:p>
    <w:p w14:paraId="106A7E7E">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中标后，投标人拒绝签订合同的，采购人可以按照评审报告推荐的中标或者成交候选人名单排序，确定下一候选人为中标或者成交投标人，也可以重新开展政府采购活动。投标人中标或者成交后拒绝签订合同的，应按采购预算金额的2%对采购人进行赔偿；赔偿金额不足以弥补采购人损失的，投标人应继续承担超过部分的损失。</w:t>
      </w:r>
    </w:p>
    <w:p w14:paraId="5B21ABB0">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存在下列行为的，采购代理机构将其失信行为上报政府采购主管部门，由主管部门按有关规定对其违法失信行为记录进行公开：</w:t>
      </w:r>
    </w:p>
    <w:p w14:paraId="797F5655">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（1）中标或者成交后，拒绝签订政府采购合同的；</w:t>
      </w:r>
    </w:p>
    <w:p w14:paraId="78B23D10">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（2）投标有效期内撤销投标文件的。</w:t>
      </w:r>
    </w:p>
    <w:p w14:paraId="56C69E5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如签订合同并生效后，投标人无故拒绝或延期合格交货的，除按照合同条款处罚外，列入不良行为记录一次，并给予通报。</w:t>
      </w:r>
    </w:p>
    <w:p w14:paraId="2BB993C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中标人因制造商原因无法供货导致无法签订合同的视为“中标后无正当理由不与招标人签订合同”。 </w:t>
      </w:r>
    </w:p>
    <w:p w14:paraId="01D0C4DE">
      <w:pPr>
        <w:keepNext w:val="0"/>
        <w:keepLines w:val="0"/>
        <w:pageBreakBefore w:val="0"/>
        <w:tabs>
          <w:tab w:val="left" w:pos="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（二）售后服务考核</w:t>
      </w:r>
    </w:p>
    <w:p w14:paraId="479E99D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将参照有关法律法规，对投标人进行考核，发现弄虚作假，偷工减料，以次充好，达不到国家、行业有关标准和技术文件规定的，一经查实，招标人将视情况终止合同。</w:t>
      </w:r>
    </w:p>
    <w:p w14:paraId="10FC4DF5">
      <w:pPr>
        <w:keepNext w:val="0"/>
        <w:keepLines w:val="0"/>
        <w:pageBreakBefore w:val="0"/>
        <w:tabs>
          <w:tab w:val="left" w:pos="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（三）招标代理服务费</w:t>
      </w:r>
    </w:p>
    <w:p w14:paraId="4242833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本次招标代理服务费按本须知“前附表”规定收取。</w:t>
      </w:r>
    </w:p>
    <w:p w14:paraId="41A2F2A5">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134" w:bottom="1440" w:left="1134" w:header="851" w:footer="850" w:gutter="0"/>
          <w:pgBorders>
            <w:top w:val="none" w:sz="0" w:space="0"/>
            <w:left w:val="none" w:sz="0" w:space="0"/>
            <w:bottom w:val="none" w:sz="0" w:space="0"/>
            <w:right w:val="none" w:sz="0" w:space="0"/>
          </w:pgBorders>
          <w:pgNumType w:start="1"/>
          <w:cols w:space="0" w:num="1"/>
          <w:titlePg/>
          <w:rtlGutter w:val="0"/>
          <w:docGrid w:linePitch="381" w:charSpace="0"/>
        </w:sectPr>
      </w:pPr>
    </w:p>
    <w:p w14:paraId="5FC7DC57">
      <w:pPr>
        <w:pStyle w:val="312"/>
        <w:numPr>
          <w:ilvl w:val="0"/>
          <w:numId w:val="3"/>
        </w:numPr>
        <w:kinsoku/>
        <w:overflowPunct/>
        <w:bidi w:val="0"/>
        <w:spacing w:before="0" w:line="400" w:lineRule="exact"/>
        <w:ind w:firstLine="0" w:firstLineChars="0"/>
        <w:jc w:val="center"/>
        <w:outlineLvl w:val="0"/>
        <w:rPr>
          <w:rFonts w:hint="eastAsia" w:ascii="宋体" w:hAnsi="宋体" w:eastAsia="宋体" w:cs="宋体"/>
          <w:b/>
          <w:color w:val="auto"/>
          <w:sz w:val="36"/>
          <w:highlight w:val="none"/>
        </w:rPr>
      </w:pPr>
      <w:r>
        <w:rPr>
          <w:rFonts w:hint="eastAsia" w:ascii="宋体" w:hAnsi="宋体" w:eastAsia="宋体" w:cs="宋体"/>
          <w:b/>
          <w:color w:val="auto"/>
          <w:sz w:val="36"/>
          <w:highlight w:val="none"/>
        </w:rPr>
        <w:t>采购需求</w:t>
      </w:r>
    </w:p>
    <w:p w14:paraId="313FC463">
      <w:pPr>
        <w:pStyle w:val="312"/>
        <w:numPr>
          <w:ilvl w:val="0"/>
          <w:numId w:val="0"/>
        </w:numPr>
        <w:kinsoku/>
        <w:overflowPunct/>
        <w:bidi w:val="0"/>
        <w:spacing w:before="0" w:line="400" w:lineRule="exact"/>
        <w:jc w:val="both"/>
        <w:outlineLvl w:val="0"/>
        <w:rPr>
          <w:rFonts w:hint="eastAsia" w:ascii="宋体" w:hAnsi="宋体" w:cs="宋体"/>
          <w:b/>
          <w:color w:val="auto"/>
          <w:sz w:val="24"/>
          <w:szCs w:val="18"/>
          <w:highlight w:val="none"/>
          <w:lang w:eastAsia="zh-CN"/>
        </w:rPr>
      </w:pPr>
      <w:r>
        <w:rPr>
          <w:rFonts w:hint="eastAsia" w:ascii="宋体" w:hAnsi="宋体" w:cs="宋体"/>
          <w:b/>
          <w:color w:val="auto"/>
          <w:sz w:val="24"/>
          <w:szCs w:val="18"/>
          <w:highlight w:val="none"/>
          <w:lang w:val="en-US" w:eastAsia="zh-CN"/>
        </w:rPr>
        <w:t>一、</w:t>
      </w:r>
      <w:r>
        <w:rPr>
          <w:rFonts w:hint="eastAsia" w:ascii="宋体" w:hAnsi="宋体" w:cs="宋体"/>
          <w:b/>
          <w:color w:val="auto"/>
          <w:sz w:val="24"/>
          <w:szCs w:val="18"/>
          <w:highlight w:val="none"/>
          <w:lang w:eastAsia="zh-CN"/>
        </w:rPr>
        <w:t>产品需求</w:t>
      </w:r>
    </w:p>
    <w:tbl>
      <w:tblPr>
        <w:tblStyle w:val="89"/>
        <w:tblW w:w="9638" w:type="dxa"/>
        <w:tblInd w:w="-7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127"/>
        <w:gridCol w:w="6489"/>
        <w:gridCol w:w="937"/>
      </w:tblGrid>
      <w:tr w14:paraId="185F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blHeader/>
        </w:trPr>
        <w:tc>
          <w:tcPr>
            <w:tcW w:w="1085" w:type="dxa"/>
            <w:vAlign w:val="center"/>
          </w:tcPr>
          <w:p w14:paraId="53B411D5">
            <w:pPr>
              <w:keepNext w:val="0"/>
              <w:keepLines w:val="0"/>
              <w:widowControl/>
              <w:suppressLineNumbers w:val="0"/>
              <w:jc w:val="center"/>
              <w:textAlignment w:val="center"/>
              <w:rPr>
                <w:rFonts w:hint="eastAsia" w:ascii="宋体" w:hAnsi="宋体" w:eastAsia="宋体" w:cs="宋体"/>
                <w:sz w:val="18"/>
                <w:szCs w:val="21"/>
                <w:highlight w:val="none"/>
                <w:vertAlign w:val="baseli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127" w:type="dxa"/>
            <w:vAlign w:val="center"/>
          </w:tcPr>
          <w:p w14:paraId="55AE780D">
            <w:pPr>
              <w:keepNext w:val="0"/>
              <w:keepLines w:val="0"/>
              <w:widowControl/>
              <w:suppressLineNumbers w:val="0"/>
              <w:jc w:val="center"/>
              <w:textAlignment w:val="center"/>
              <w:rPr>
                <w:rFonts w:hint="eastAsia" w:ascii="宋体" w:hAnsi="宋体" w:eastAsia="宋体" w:cs="宋体"/>
                <w:sz w:val="18"/>
                <w:szCs w:val="21"/>
                <w:highlight w:val="none"/>
                <w:vertAlign w:val="baseli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6489" w:type="dxa"/>
            <w:vAlign w:val="center"/>
          </w:tcPr>
          <w:p w14:paraId="652937E8">
            <w:pPr>
              <w:keepNext w:val="0"/>
              <w:keepLines w:val="0"/>
              <w:widowControl/>
              <w:suppressLineNumbers w:val="0"/>
              <w:jc w:val="center"/>
              <w:textAlignment w:val="center"/>
              <w:rPr>
                <w:rFonts w:hint="eastAsia" w:ascii="宋体" w:hAnsi="宋体" w:eastAsia="宋体" w:cs="宋体"/>
                <w:sz w:val="18"/>
                <w:szCs w:val="21"/>
                <w:highlight w:val="none"/>
                <w:vertAlign w:val="baseline"/>
              </w:rPr>
            </w:pPr>
            <w:r>
              <w:rPr>
                <w:rFonts w:hint="eastAsia" w:ascii="宋体" w:hAnsi="宋体" w:eastAsia="宋体" w:cs="宋体"/>
                <w:b/>
                <w:bCs/>
                <w:i w:val="0"/>
                <w:iCs w:val="0"/>
                <w:color w:val="000000"/>
                <w:kern w:val="0"/>
                <w:sz w:val="24"/>
                <w:szCs w:val="24"/>
                <w:highlight w:val="none"/>
                <w:u w:val="none"/>
                <w:lang w:val="en-US" w:eastAsia="zh-CN" w:bidi="ar"/>
              </w:rPr>
              <w:t>参数</w:t>
            </w:r>
          </w:p>
        </w:tc>
        <w:tc>
          <w:tcPr>
            <w:tcW w:w="937" w:type="dxa"/>
            <w:vAlign w:val="center"/>
          </w:tcPr>
          <w:p w14:paraId="6BD27A8B">
            <w:pPr>
              <w:keepNext w:val="0"/>
              <w:keepLines w:val="0"/>
              <w:widowControl/>
              <w:suppressLineNumbers w:val="0"/>
              <w:jc w:val="center"/>
              <w:textAlignment w:val="center"/>
              <w:rPr>
                <w:rFonts w:hint="eastAsia" w:ascii="宋体" w:hAnsi="宋体" w:eastAsia="宋体" w:cs="宋体"/>
                <w:sz w:val="18"/>
                <w:szCs w:val="21"/>
                <w:highlight w:val="none"/>
                <w:vertAlign w:val="baseline"/>
              </w:rPr>
            </w:pPr>
            <w:r>
              <w:rPr>
                <w:rFonts w:hint="eastAsia" w:ascii="宋体" w:hAnsi="宋体" w:eastAsia="宋体" w:cs="宋体"/>
                <w:b/>
                <w:bCs/>
                <w:i w:val="0"/>
                <w:iCs w:val="0"/>
                <w:color w:val="000000"/>
                <w:kern w:val="0"/>
                <w:sz w:val="24"/>
                <w:szCs w:val="24"/>
                <w:highlight w:val="none"/>
                <w:u w:val="none"/>
                <w:lang w:val="en-US" w:eastAsia="zh-CN" w:bidi="ar"/>
              </w:rPr>
              <w:t>数量</w:t>
            </w:r>
          </w:p>
        </w:tc>
      </w:tr>
      <w:tr w14:paraId="04ED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9" w:hRule="atLeast"/>
        </w:trPr>
        <w:tc>
          <w:tcPr>
            <w:tcW w:w="1085" w:type="dxa"/>
            <w:vAlign w:val="center"/>
          </w:tcPr>
          <w:p w14:paraId="4867EF8B">
            <w:pPr>
              <w:keepNext w:val="0"/>
              <w:keepLines w:val="0"/>
              <w:widowControl/>
              <w:suppressLineNumbers w:val="0"/>
              <w:jc w:val="center"/>
              <w:textAlignment w:val="center"/>
              <w:rPr>
                <w:sz w:val="16"/>
                <w:szCs w:val="20"/>
                <w:highlight w:val="none"/>
                <w:vertAlign w:val="baseline"/>
              </w:rPr>
            </w:pPr>
            <w:r>
              <w:rPr>
                <w:rFonts w:hint="default" w:ascii="仿宋_GB2312" w:hAnsi="宋体" w:eastAsia="仿宋_GB2312" w:cs="仿宋_GB2312"/>
                <w:i w:val="0"/>
                <w:iCs w:val="0"/>
                <w:color w:val="000000"/>
                <w:kern w:val="0"/>
                <w:sz w:val="22"/>
                <w:szCs w:val="22"/>
                <w:highlight w:val="none"/>
                <w:u w:val="none"/>
                <w:lang w:val="en-US" w:eastAsia="zh-CN" w:bidi="ar"/>
              </w:rPr>
              <w:t>1</w:t>
            </w:r>
          </w:p>
        </w:tc>
        <w:tc>
          <w:tcPr>
            <w:tcW w:w="1127" w:type="dxa"/>
            <w:vAlign w:val="center"/>
          </w:tcPr>
          <w:p w14:paraId="6F65408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双面打印机</w:t>
            </w:r>
          </w:p>
        </w:tc>
        <w:tc>
          <w:tcPr>
            <w:tcW w:w="6489" w:type="dxa"/>
            <w:vAlign w:val="center"/>
          </w:tcPr>
          <w:p w14:paraId="555FD38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sz w:val="40"/>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国产自主品牌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1.产品类型：A4黑白激光打印机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★2.打印速度：A4打印速度≥33ppm，A5打印速度≥58ppm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★3.最大月打印量：≥80000页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★4.首页打印时间：≤5.3s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★5.处理器：≥800MHz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6.内存：≥256MB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7.双面打印：自动双面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8.接口类型：高速USB2.0;有线网络：IEEE802.310/100Base-Tx</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9.耗材类型：鼓粉分离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10.纸张输入容量：自动纸盒：250页，手动进纸器：1页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★11.随机粉盒容量：≥6000页</w:t>
            </w:r>
          </w:p>
        </w:tc>
        <w:tc>
          <w:tcPr>
            <w:tcW w:w="937" w:type="dxa"/>
            <w:vAlign w:val="center"/>
          </w:tcPr>
          <w:p w14:paraId="7A5A5FF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r>
      <w:tr w14:paraId="612E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5" w:type="dxa"/>
            <w:vAlign w:val="center"/>
          </w:tcPr>
          <w:p w14:paraId="5C4E7FED">
            <w:pPr>
              <w:keepNext w:val="0"/>
              <w:keepLines w:val="0"/>
              <w:widowControl/>
              <w:suppressLineNumbers w:val="0"/>
              <w:jc w:val="center"/>
              <w:textAlignment w:val="center"/>
              <w:rPr>
                <w:sz w:val="16"/>
                <w:szCs w:val="20"/>
                <w:highlight w:val="none"/>
                <w:vertAlign w:val="baseline"/>
              </w:rPr>
            </w:pPr>
            <w:r>
              <w:rPr>
                <w:rFonts w:hint="default" w:ascii="仿宋_GB2312" w:hAnsi="宋体" w:eastAsia="仿宋_GB2312" w:cs="仿宋_GB2312"/>
                <w:i w:val="0"/>
                <w:iCs w:val="0"/>
                <w:color w:val="000000"/>
                <w:kern w:val="0"/>
                <w:sz w:val="22"/>
                <w:szCs w:val="22"/>
                <w:highlight w:val="none"/>
                <w:u w:val="none"/>
                <w:lang w:val="en-US" w:eastAsia="zh-CN" w:bidi="ar"/>
              </w:rPr>
              <w:t>2</w:t>
            </w:r>
          </w:p>
        </w:tc>
        <w:tc>
          <w:tcPr>
            <w:tcW w:w="1127" w:type="dxa"/>
            <w:vAlign w:val="center"/>
          </w:tcPr>
          <w:p w14:paraId="3299D45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条码腕带打印机</w:t>
            </w:r>
          </w:p>
        </w:tc>
        <w:tc>
          <w:tcPr>
            <w:tcW w:w="6489" w:type="dxa"/>
            <w:vAlign w:val="center"/>
          </w:tcPr>
          <w:p w14:paraId="6A88145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sz w:val="40"/>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1、开发要求：能够完全兼容医院LIS/HIS/MIS系统(无需调整)，指令打印（无需调用驱动），能够不用调试直接打印腕带，并根据客户需要提供二次开发包，协助客户进行二次开发，带专用智能助手调节软件（用于修改打印机参数、升级版本、试双向通讯数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2、撕纸方式：支持向上、向下两种撕纸方式。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3、打印分辨率：203dpi。</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4、打印方式：热敏/热转印。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5、碳带规格：长度74m，外径35mm，内径12.7mm。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6、进纸纸宽范围：25-120mm。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7、最大打印宽度：108mm。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8、打印厚度：0.06~0.254。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9、纸卷直径：最大外径：127mm 内径：25.4/38.1mm。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10、检测功能：标签检测、黑标检测、机构检测、碳带检测。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11、标配接口：USB接口、网口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12、选配接口：并口、串口、无线wifi、蓝牙。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13、条形码：一维码、二维码。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14、认证标准：3C认证、UL、FCC、CE、能源之星。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15、可选件：剥离器、回卷装置。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16、打印指令：ZPL、EPL、TSPL、ESC/POS指令。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17、打印介质：卷筒或折叠纸、标签纸、tag材料、收据纸和腕带。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18、质保要求：三年上门保修。</w:t>
            </w:r>
          </w:p>
        </w:tc>
        <w:tc>
          <w:tcPr>
            <w:tcW w:w="937" w:type="dxa"/>
            <w:vAlign w:val="center"/>
          </w:tcPr>
          <w:p w14:paraId="5E69C5F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14:paraId="0D2B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5" w:type="dxa"/>
            <w:vAlign w:val="center"/>
          </w:tcPr>
          <w:p w14:paraId="140D8719">
            <w:pPr>
              <w:keepNext w:val="0"/>
              <w:keepLines w:val="0"/>
              <w:widowControl/>
              <w:suppressLineNumbers w:val="0"/>
              <w:jc w:val="center"/>
              <w:textAlignment w:val="center"/>
              <w:rPr>
                <w:highlight w:val="none"/>
                <w:vertAlign w:val="baseline"/>
              </w:rPr>
            </w:pPr>
            <w:r>
              <w:rPr>
                <w:rFonts w:hint="default" w:ascii="仿宋_GB2312" w:hAnsi="宋体" w:eastAsia="仿宋_GB2312" w:cs="仿宋_GB2312"/>
                <w:i w:val="0"/>
                <w:iCs w:val="0"/>
                <w:color w:val="000000"/>
                <w:kern w:val="0"/>
                <w:sz w:val="32"/>
                <w:szCs w:val="32"/>
                <w:highlight w:val="none"/>
                <w:u w:val="none"/>
                <w:lang w:val="en-US" w:eastAsia="zh-CN" w:bidi="ar"/>
              </w:rPr>
              <w:t>3</w:t>
            </w:r>
          </w:p>
        </w:tc>
        <w:tc>
          <w:tcPr>
            <w:tcW w:w="1127" w:type="dxa"/>
            <w:vAlign w:val="center"/>
          </w:tcPr>
          <w:p w14:paraId="373AAB2F">
            <w:pPr>
              <w:keepNext w:val="0"/>
              <w:keepLines w:val="0"/>
              <w:widowControl/>
              <w:suppressLineNumbers w:val="0"/>
              <w:jc w:val="center"/>
              <w:textAlignment w:val="center"/>
              <w:rPr>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多功能自助机</w:t>
            </w:r>
          </w:p>
        </w:tc>
        <w:tc>
          <w:tcPr>
            <w:tcW w:w="6489" w:type="dxa"/>
            <w:vAlign w:val="center"/>
          </w:tcPr>
          <w:p w14:paraId="7496CC6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sz w:val="40"/>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1.★双屏、与原来his无缝对接不做另外开发、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2.★人体感应技术，在设备范围内感应到人体动作，设备自动切换到服务状态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3.无钥匙管理，采用电子门禁控制系统，设备更加安全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4.支持前维护，不用跑到机柜后面，不用在设备后面预留维护空间，提高空间利用率自助机专用工控主板，Intel双核,CPU3.0G以上；内存4GBDDR3，240G固态硬盘；不少于6个usb，不少于6个RS232。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显示触控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触显一体机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21”工业级液晶屏+21”电容屏触摸屏。21”液晶显示屏分辨率1280*1024,平均亮度600cd/㎡,黑白响应&lt;10ms+21电容触摸屏（分辨率为4096*4096），每点触摸寿命大于500万次，透明度高、折射低、耐划伤、耐磨、无飘移、防清洁剂腐蚀、防爆性好等特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输入模块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读卡器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动读卡器,ISO/IBM磁条标准（IC卡模块），兼容IC卡、FRID卡、磁条卡；市民卡、就诊卡、医保卡一个读卡口兼容。电动吸卡吐卡：自动吸卡，受控进、退、吞卡；多样化的卡传动：前后进卡，前后退卡，卡机内部走动，清理断卡；50万次以上使用寿命：各类部件均在50万次以上的操作寿命。人体感应技术，在设备范围内感应到人体动作，设备自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切换到服务状态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无钥匙管理，采用电子门禁控制系统，设备更加安全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支持前维护，不用跑到机柜后面，不用在设备后面预留维护空间，提高空间利用率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二代身份证读卡器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公安部认证模块，USB接口支持卡型：符合ISO/IEC14443TYPEB标准的非接触卡；工作频率：13.56MHz；通讯速率：106Kbps；校验：循环冗余校验（CRC）；感应面积：100*120mm；感应距离：大于50mm；传输速率：USB接口12MbpsRS232接口9.6-115.2Kbps；软件接口：支持VC、VB、DELPHI、PB等；电源：计算机供电（USB接口）；工作电流：220mA/DC；平均无故障工作时间：大于等于30000小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感应人体活动信息的新技术设计、研发而成的，专门用来检测和感应人体活动信息的产品。当人或有温度的物体进入模块感应范围内时，感应模块就会输出一个脉冲信号、输出的感应脉冲。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★人脸识别模块采用支付宝专业高清摄像头,人脸识别技术，模块主要实现人脸检测和人脸识别、刷脸支付功能。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银联卡输入模块电动读卡器银行卡读卡器，ISO/IBM磁条标准（IC卡模块），兼容IC卡、FRID卡、磁条卡。电动吸卡吐卡：自动吸卡，受控进、退、吞卡；多样化的卡传动：前后进卡，前后退卡，卡机内部走动，清理断卡；50万次使用寿命：各类部件均在50万次以上的操作寿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金属密码键盘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4*4键金属数字加密键盘，支持3DES等加密算法，通过银联认证标准；</w:t>
            </w:r>
          </w:p>
        </w:tc>
        <w:tc>
          <w:tcPr>
            <w:tcW w:w="937" w:type="dxa"/>
            <w:vAlign w:val="center"/>
          </w:tcPr>
          <w:p w14:paraId="241EA08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r>
      <w:tr w14:paraId="35F31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85" w:type="dxa"/>
            <w:vAlign w:val="center"/>
          </w:tcPr>
          <w:p w14:paraId="6C1D1E73">
            <w:pPr>
              <w:keepNext w:val="0"/>
              <w:keepLines w:val="0"/>
              <w:widowControl/>
              <w:suppressLineNumbers w:val="0"/>
              <w:jc w:val="center"/>
              <w:textAlignment w:val="center"/>
              <w:rPr>
                <w:highlight w:val="none"/>
                <w:vertAlign w:val="baseline"/>
              </w:rPr>
            </w:pPr>
            <w:r>
              <w:rPr>
                <w:rFonts w:hint="default" w:ascii="仿宋_GB2312" w:hAnsi="宋体" w:eastAsia="仿宋_GB2312" w:cs="仿宋_GB2312"/>
                <w:i w:val="0"/>
                <w:iCs w:val="0"/>
                <w:color w:val="000000"/>
                <w:kern w:val="0"/>
                <w:sz w:val="28"/>
                <w:szCs w:val="28"/>
                <w:highlight w:val="none"/>
                <w:u w:val="none"/>
                <w:lang w:val="en-US" w:eastAsia="zh-CN" w:bidi="ar"/>
              </w:rPr>
              <w:t>4</w:t>
            </w:r>
          </w:p>
        </w:tc>
        <w:tc>
          <w:tcPr>
            <w:tcW w:w="1127" w:type="dxa"/>
            <w:vAlign w:val="center"/>
          </w:tcPr>
          <w:p w14:paraId="3C2BDF4B">
            <w:pPr>
              <w:keepNext w:val="0"/>
              <w:keepLines w:val="0"/>
              <w:widowControl/>
              <w:suppressLineNumbers w:val="0"/>
              <w:jc w:val="center"/>
              <w:textAlignment w:val="center"/>
              <w:rPr>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投影仪</w:t>
            </w:r>
          </w:p>
        </w:tc>
        <w:tc>
          <w:tcPr>
            <w:tcW w:w="6489" w:type="dxa"/>
            <w:vAlign w:val="center"/>
          </w:tcPr>
          <w:p w14:paraId="0024CFE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sz w:val="40"/>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1、投影方式0.63英寸3LCD(显示宽高比4：3)</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2、分辨率*11024 ×768 像素 (XGA)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3、镜头手动变焦和手动聚焦、变焦比率=1.2、F=2.1-2.3、f=19.1-22.9毫米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4、投射比1.5-1.8</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5、灯泡225瓦，灯泡寿命（节能模式/标准模式）20000/10000小时，光亮度*2*33400流明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6、对比度(全白:全黑)16000:1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7、影像尺寸（对角线）30-300英寸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8、投射距离（最小值-最大值）0.88-10.89米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9、输入1个RGB/组合(D-Sub15针)，1个支持HDCP的A型10、HDMI(19针,HDMI终端），1个视频（RCA)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11、控制端口1个控制串口端口槽（D-Sub9针）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12、网络端口1个RJ-45端口槽(10BASE-T/100BASE-TX)</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13、USB端口槽1个Type-A,1个Type-B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14、色彩还原10位信号处理（10.7亿色）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15、水平分辨率540电视线:NTSC/PAL，</w:t>
            </w:r>
            <w:r>
              <w:rPr>
                <w:rStyle w:val="618"/>
                <w:rFonts w:eastAsia="宋体"/>
                <w:sz w:val="24"/>
                <w:szCs w:val="24"/>
                <w:highlight w:val="none"/>
                <w:lang w:val="en-US" w:eastAsia="zh-CN" w:bidi="ar"/>
              </w:rPr>
              <w:t>​</w:t>
            </w:r>
            <w:r>
              <w:rPr>
                <w:rStyle w:val="273"/>
                <w:sz w:val="24"/>
                <w:szCs w:val="24"/>
                <w:highlight w:val="none"/>
                <w:lang w:val="en-US" w:eastAsia="zh-CN" w:bidi="ar"/>
              </w:rPr>
              <w:t>300电视线:SECAM</w:t>
            </w:r>
            <w:r>
              <w:rPr>
                <w:rStyle w:val="273"/>
                <w:sz w:val="24"/>
                <w:szCs w:val="24"/>
                <w:highlight w:val="none"/>
                <w:lang w:val="en-US" w:eastAsia="zh-CN" w:bidi="ar"/>
              </w:rPr>
              <w:br w:type="textWrapping"/>
            </w:r>
            <w:r>
              <w:rPr>
                <w:rStyle w:val="273"/>
                <w:sz w:val="24"/>
                <w:szCs w:val="24"/>
                <w:highlight w:val="none"/>
                <w:lang w:val="en-US" w:eastAsia="zh-CN" w:bidi="ar"/>
              </w:rPr>
              <w:t>16、扫描率水平:15kHz至100kHz(RGB:24kHz或以上)，垂直:24Hz至85Hz</w:t>
            </w:r>
            <w:r>
              <w:rPr>
                <w:rStyle w:val="273"/>
                <w:sz w:val="24"/>
                <w:szCs w:val="24"/>
                <w:highlight w:val="none"/>
                <w:lang w:val="en-US" w:eastAsia="zh-CN" w:bidi="ar"/>
              </w:rPr>
              <w:br w:type="textWrapping"/>
            </w:r>
            <w:r>
              <w:rPr>
                <w:rStyle w:val="273"/>
                <w:sz w:val="24"/>
                <w:szCs w:val="24"/>
                <w:highlight w:val="none"/>
                <w:lang w:val="en-US" w:eastAsia="zh-CN" w:bidi="ar"/>
              </w:rPr>
              <w:t>17、内置扬声器</w:t>
            </w:r>
            <w:r>
              <w:rPr>
                <w:rStyle w:val="273"/>
                <w:sz w:val="24"/>
                <w:szCs w:val="24"/>
                <w:highlight w:val="none"/>
                <w:lang w:val="en-US" w:eastAsia="zh-CN" w:bidi="ar"/>
              </w:rPr>
              <w:br w:type="textWrapping"/>
            </w:r>
            <w:r>
              <w:rPr>
                <w:rStyle w:val="273"/>
                <w:sz w:val="24"/>
                <w:szCs w:val="24"/>
                <w:highlight w:val="none"/>
                <w:lang w:val="en-US" w:eastAsia="zh-CN" w:bidi="ar"/>
              </w:rPr>
              <w:t>18、电源要求AC:200-240V，50/60HZ，输入电流1.5A</w:t>
            </w:r>
            <w:r>
              <w:rPr>
                <w:rStyle w:val="273"/>
                <w:sz w:val="24"/>
                <w:szCs w:val="24"/>
                <w:highlight w:val="none"/>
                <w:lang w:val="en-US" w:eastAsia="zh-CN" w:bidi="ar"/>
              </w:rPr>
              <w:br w:type="textWrapping"/>
            </w:r>
            <w:r>
              <w:rPr>
                <w:rStyle w:val="273"/>
                <w:sz w:val="24"/>
                <w:szCs w:val="24"/>
                <w:highlight w:val="none"/>
                <w:lang w:val="en-US" w:eastAsia="zh-CN" w:bidi="ar"/>
              </w:rPr>
              <w:t>功率，标准模式275瓦，待机（省电）0.5瓦</w:t>
            </w:r>
            <w:r>
              <w:rPr>
                <w:rStyle w:val="273"/>
                <w:sz w:val="24"/>
                <w:szCs w:val="24"/>
                <w:highlight w:val="none"/>
                <w:lang w:val="en-US" w:eastAsia="zh-CN" w:bidi="ar"/>
              </w:rPr>
              <w:br w:type="textWrapping"/>
            </w:r>
            <w:r>
              <w:rPr>
                <w:rStyle w:val="273"/>
                <w:sz w:val="24"/>
                <w:szCs w:val="24"/>
                <w:highlight w:val="none"/>
                <w:lang w:val="en-US" w:eastAsia="zh-CN" w:bidi="ar"/>
              </w:rPr>
              <w:t>19、保存环境保存温度：-10°C至50°C，20%至80%湿度（无结露）</w:t>
            </w:r>
          </w:p>
        </w:tc>
        <w:tc>
          <w:tcPr>
            <w:tcW w:w="937" w:type="dxa"/>
            <w:vAlign w:val="center"/>
          </w:tcPr>
          <w:p w14:paraId="75BE8AA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14:paraId="40E7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1085" w:type="dxa"/>
            <w:vAlign w:val="center"/>
          </w:tcPr>
          <w:p w14:paraId="2202618D">
            <w:pPr>
              <w:keepNext w:val="0"/>
              <w:keepLines w:val="0"/>
              <w:widowControl/>
              <w:suppressLineNumbers w:val="0"/>
              <w:jc w:val="center"/>
              <w:textAlignment w:val="center"/>
              <w:rPr>
                <w:sz w:val="24"/>
                <w:szCs w:val="18"/>
                <w:highlight w:val="none"/>
                <w:vertAlign w:val="baseline"/>
              </w:rPr>
            </w:pPr>
            <w:r>
              <w:rPr>
                <w:rFonts w:hint="default" w:ascii="仿宋_GB2312" w:hAnsi="宋体" w:eastAsia="仿宋_GB2312" w:cs="仿宋_GB2312"/>
                <w:i w:val="0"/>
                <w:iCs w:val="0"/>
                <w:color w:val="000000"/>
                <w:kern w:val="0"/>
                <w:sz w:val="28"/>
                <w:szCs w:val="28"/>
                <w:highlight w:val="none"/>
                <w:u w:val="none"/>
                <w:lang w:val="en-US" w:eastAsia="zh-CN" w:bidi="ar"/>
              </w:rPr>
              <w:t>5</w:t>
            </w:r>
          </w:p>
        </w:tc>
        <w:tc>
          <w:tcPr>
            <w:tcW w:w="1127" w:type="dxa"/>
            <w:vAlign w:val="center"/>
          </w:tcPr>
          <w:p w14:paraId="66256512">
            <w:pPr>
              <w:keepNext w:val="0"/>
              <w:keepLines w:val="0"/>
              <w:widowControl/>
              <w:suppressLineNumbers w:val="0"/>
              <w:jc w:val="center"/>
              <w:textAlignment w:val="center"/>
              <w:rPr>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电视（病房）</w:t>
            </w:r>
          </w:p>
        </w:tc>
        <w:tc>
          <w:tcPr>
            <w:tcW w:w="6489" w:type="dxa"/>
            <w:vAlign w:val="center"/>
          </w:tcPr>
          <w:p w14:paraId="549EB64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sz w:val="40"/>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产品定位高清电视机屏幕尺寸43英寸分辨率1080P（1920*1080）屏幕显示图像技术G画质引擎音频参数输出功率12W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音效系统硬件配置CPU64位RAM1GBROM8GB无线智能人工智能语音远场语音多屏互动支持投屏网络功能WiFi机身接口DMI接口2*HDMIUSB接口1*USB2.0其他接口RF输入，音视频输入能效产品功耗74W尺寸重量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含底座尺寸955*233*613mm不含底座尺寸955*87*563mm包装尺寸1060*145*645mm含底座重量5.6kg不含底座重量5.5kg</w:t>
            </w:r>
          </w:p>
        </w:tc>
        <w:tc>
          <w:tcPr>
            <w:tcW w:w="937" w:type="dxa"/>
            <w:vAlign w:val="center"/>
          </w:tcPr>
          <w:p w14:paraId="6218F91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19</w:t>
            </w:r>
          </w:p>
        </w:tc>
      </w:tr>
      <w:tr w14:paraId="2D7E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8" w:hRule="atLeast"/>
        </w:trPr>
        <w:tc>
          <w:tcPr>
            <w:tcW w:w="1085" w:type="dxa"/>
            <w:vAlign w:val="center"/>
          </w:tcPr>
          <w:p w14:paraId="3DADA72D">
            <w:pPr>
              <w:keepNext w:val="0"/>
              <w:keepLines w:val="0"/>
              <w:widowControl/>
              <w:suppressLineNumbers w:val="0"/>
              <w:jc w:val="center"/>
              <w:textAlignment w:val="center"/>
              <w:rPr>
                <w:sz w:val="24"/>
                <w:szCs w:val="18"/>
                <w:highlight w:val="none"/>
                <w:vertAlign w:val="baseline"/>
              </w:rPr>
            </w:pPr>
            <w:r>
              <w:rPr>
                <w:rFonts w:hint="default" w:ascii="仿宋_GB2312" w:hAnsi="宋体" w:eastAsia="仿宋_GB2312" w:cs="仿宋_GB2312"/>
                <w:i w:val="0"/>
                <w:iCs w:val="0"/>
                <w:color w:val="000000"/>
                <w:kern w:val="0"/>
                <w:sz w:val="28"/>
                <w:szCs w:val="28"/>
                <w:highlight w:val="none"/>
                <w:u w:val="none"/>
                <w:lang w:val="en-US" w:eastAsia="zh-CN" w:bidi="ar"/>
              </w:rPr>
              <w:t>6</w:t>
            </w:r>
          </w:p>
        </w:tc>
        <w:tc>
          <w:tcPr>
            <w:tcW w:w="1127" w:type="dxa"/>
            <w:vAlign w:val="center"/>
          </w:tcPr>
          <w:p w14:paraId="61D404A3">
            <w:pPr>
              <w:keepNext w:val="0"/>
              <w:keepLines w:val="0"/>
              <w:widowControl/>
              <w:suppressLineNumbers w:val="0"/>
              <w:jc w:val="center"/>
              <w:textAlignment w:val="center"/>
              <w:rPr>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电视（候诊区）</w:t>
            </w:r>
          </w:p>
        </w:tc>
        <w:tc>
          <w:tcPr>
            <w:tcW w:w="6489" w:type="dxa"/>
            <w:vAlign w:val="center"/>
          </w:tcPr>
          <w:p w14:paraId="7148705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sz w:val="40"/>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产品定位高清电视机屏幕尺寸55英寸分辨率1080P（1920*1080）屏幕显示图像技术G画质引擎音频参数输出功率12W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音效系统硬件配置CPU64位RAM1GBROM8GB无线智能人工智能语音远场语音多屏互动支持投屏网络功能WiFi机身接口DMI接口2*HDMIUSB接口1*USB2.0其他接口RF输入，音视频输入能效产品功耗74W尺寸重量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含底座尺寸955*233*613mm不含底座尺寸955*87*563mm包装尺寸1060*145*645mm含底座重量5.6kg不含底座重量5.5kg</w:t>
            </w:r>
          </w:p>
        </w:tc>
        <w:tc>
          <w:tcPr>
            <w:tcW w:w="937" w:type="dxa"/>
            <w:vAlign w:val="center"/>
          </w:tcPr>
          <w:p w14:paraId="1A5A628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14:paraId="0A67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1085" w:type="dxa"/>
            <w:vAlign w:val="center"/>
          </w:tcPr>
          <w:p w14:paraId="78E12B7F">
            <w:pPr>
              <w:keepNext w:val="0"/>
              <w:keepLines w:val="0"/>
              <w:widowControl/>
              <w:suppressLineNumbers w:val="0"/>
              <w:jc w:val="center"/>
              <w:textAlignment w:val="center"/>
              <w:rPr>
                <w:sz w:val="24"/>
                <w:szCs w:val="18"/>
                <w:highlight w:val="none"/>
                <w:vertAlign w:val="baseline"/>
              </w:rPr>
            </w:pPr>
            <w:r>
              <w:rPr>
                <w:rFonts w:hint="default" w:ascii="仿宋_GB2312" w:hAnsi="宋体" w:eastAsia="仿宋_GB2312" w:cs="仿宋_GB2312"/>
                <w:i w:val="0"/>
                <w:iCs w:val="0"/>
                <w:color w:val="000000"/>
                <w:kern w:val="0"/>
                <w:sz w:val="28"/>
                <w:szCs w:val="28"/>
                <w:highlight w:val="none"/>
                <w:u w:val="none"/>
                <w:lang w:val="en-US" w:eastAsia="zh-CN" w:bidi="ar"/>
              </w:rPr>
              <w:t>7</w:t>
            </w:r>
          </w:p>
        </w:tc>
        <w:tc>
          <w:tcPr>
            <w:tcW w:w="1127" w:type="dxa"/>
            <w:vAlign w:val="center"/>
          </w:tcPr>
          <w:p w14:paraId="0B96CC3E">
            <w:pPr>
              <w:keepNext w:val="0"/>
              <w:keepLines w:val="0"/>
              <w:widowControl/>
              <w:suppressLineNumbers w:val="0"/>
              <w:jc w:val="center"/>
              <w:textAlignment w:val="center"/>
              <w:rPr>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小方凳(木头）</w:t>
            </w:r>
          </w:p>
        </w:tc>
        <w:tc>
          <w:tcPr>
            <w:tcW w:w="6489" w:type="dxa"/>
            <w:vAlign w:val="center"/>
          </w:tcPr>
          <w:p w14:paraId="0D56934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sz w:val="40"/>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选用优质原木，质地坚硬，不易变形不开裂，纹理清晰细腻，色调柔和温。采用先进油漆工艺“五底三面”底漆，色泽美观、手感光滑耐磨。</w:t>
            </w:r>
          </w:p>
        </w:tc>
        <w:tc>
          <w:tcPr>
            <w:tcW w:w="937" w:type="dxa"/>
            <w:vAlign w:val="center"/>
          </w:tcPr>
          <w:p w14:paraId="0968D8A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w:t>
            </w:r>
          </w:p>
        </w:tc>
      </w:tr>
      <w:tr w14:paraId="4E6E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8" w:hRule="atLeast"/>
        </w:trPr>
        <w:tc>
          <w:tcPr>
            <w:tcW w:w="1085" w:type="dxa"/>
            <w:vAlign w:val="center"/>
          </w:tcPr>
          <w:p w14:paraId="4C9E760C">
            <w:pPr>
              <w:keepNext w:val="0"/>
              <w:keepLines w:val="0"/>
              <w:widowControl/>
              <w:suppressLineNumbers w:val="0"/>
              <w:jc w:val="center"/>
              <w:textAlignment w:val="center"/>
              <w:rPr>
                <w:sz w:val="24"/>
                <w:szCs w:val="18"/>
                <w:highlight w:val="none"/>
                <w:vertAlign w:val="baseline"/>
              </w:rPr>
            </w:pPr>
            <w:r>
              <w:rPr>
                <w:rFonts w:hint="default" w:ascii="仿宋_GB2312" w:hAnsi="宋体" w:eastAsia="仿宋_GB2312" w:cs="仿宋_GB2312"/>
                <w:i w:val="0"/>
                <w:iCs w:val="0"/>
                <w:color w:val="000000"/>
                <w:kern w:val="0"/>
                <w:sz w:val="28"/>
                <w:szCs w:val="28"/>
                <w:highlight w:val="none"/>
                <w:u w:val="none"/>
                <w:lang w:val="en-US" w:eastAsia="zh-CN" w:bidi="ar"/>
              </w:rPr>
              <w:t>8</w:t>
            </w:r>
          </w:p>
        </w:tc>
        <w:tc>
          <w:tcPr>
            <w:tcW w:w="1127" w:type="dxa"/>
            <w:vAlign w:val="center"/>
          </w:tcPr>
          <w:p w14:paraId="595FADCC">
            <w:pPr>
              <w:keepNext w:val="0"/>
              <w:keepLines w:val="0"/>
              <w:widowControl/>
              <w:suppressLineNumbers w:val="0"/>
              <w:jc w:val="center"/>
              <w:textAlignment w:val="center"/>
              <w:rPr>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儿科诊查床及设施</w:t>
            </w:r>
          </w:p>
        </w:tc>
        <w:tc>
          <w:tcPr>
            <w:tcW w:w="6489" w:type="dxa"/>
            <w:vAlign w:val="center"/>
          </w:tcPr>
          <w:p w14:paraId="4E56036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sz w:val="40"/>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规格：W1600*D600*H650mm；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技术参数：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1.床架材质：床框为60*40*1.2mm矩形钢管,床脚为50*50*1.2方形钢管，加强连接管为30*30*1.2mm方形钢管；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2.床垫材质：采用优质医用皮革、内包厚度30mm优质高弹海绵、床板为12mm厚多层板，床垫与床架连接牢固；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3.结构：床腿上装有橡胶套、与地面接触防滑减震；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4.喷涂：钢制部件经酸洗、陶化等前处理除锈工艺后，采用医用抗菌粉末静电喷涂，防菌抗菌，抗酸碱腐蚀，耐裉色，有效延长使用寿命</w:t>
            </w:r>
          </w:p>
        </w:tc>
        <w:tc>
          <w:tcPr>
            <w:tcW w:w="937" w:type="dxa"/>
            <w:vAlign w:val="center"/>
          </w:tcPr>
          <w:p w14:paraId="066B59C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r>
      <w:tr w14:paraId="3EE5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9" w:hRule="atLeast"/>
        </w:trPr>
        <w:tc>
          <w:tcPr>
            <w:tcW w:w="1085" w:type="dxa"/>
            <w:vAlign w:val="center"/>
          </w:tcPr>
          <w:p w14:paraId="21D8FB4B">
            <w:pPr>
              <w:keepNext w:val="0"/>
              <w:keepLines w:val="0"/>
              <w:widowControl/>
              <w:suppressLineNumbers w:val="0"/>
              <w:jc w:val="center"/>
              <w:textAlignment w:val="center"/>
              <w:rPr>
                <w:sz w:val="24"/>
                <w:szCs w:val="18"/>
                <w:highlight w:val="none"/>
                <w:vertAlign w:val="baseline"/>
              </w:rPr>
            </w:pPr>
            <w:r>
              <w:rPr>
                <w:rFonts w:hint="default" w:ascii="仿宋_GB2312" w:hAnsi="宋体" w:eastAsia="仿宋_GB2312" w:cs="仿宋_GB2312"/>
                <w:i w:val="0"/>
                <w:iCs w:val="0"/>
                <w:color w:val="000000"/>
                <w:kern w:val="0"/>
                <w:sz w:val="28"/>
                <w:szCs w:val="28"/>
                <w:highlight w:val="none"/>
                <w:u w:val="none"/>
                <w:lang w:val="en-US" w:eastAsia="zh-CN" w:bidi="ar"/>
              </w:rPr>
              <w:t>9</w:t>
            </w:r>
          </w:p>
        </w:tc>
        <w:tc>
          <w:tcPr>
            <w:tcW w:w="1127" w:type="dxa"/>
            <w:vAlign w:val="center"/>
          </w:tcPr>
          <w:p w14:paraId="6A3B24C1">
            <w:pPr>
              <w:keepNext w:val="0"/>
              <w:keepLines w:val="0"/>
              <w:widowControl/>
              <w:suppressLineNumbers w:val="0"/>
              <w:jc w:val="center"/>
              <w:textAlignment w:val="center"/>
              <w:rPr>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诊疗床</w:t>
            </w:r>
          </w:p>
        </w:tc>
        <w:tc>
          <w:tcPr>
            <w:tcW w:w="6489" w:type="dxa"/>
            <w:vAlign w:val="center"/>
          </w:tcPr>
          <w:p w14:paraId="4494555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sz w:val="40"/>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规格：W1900*D600*H650mm；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技术参数：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1.床架材质：床框为60*40*1.2mm矩形钢管,床脚为50*50*1.2方形钢管，加强连接管为30*30*1.2mm方形钢管；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2.床垫材质：采用优质医用皮革、内包厚度30mm优质高弹海绵、床板为12mm厚多层板，床垫与床架连接牢固；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3.结构：床垫上设置有透气孔及两侧手臂下悬凹槽、透气孔下方设置有托板垫、可放置手臂、手机等、防止手臂长时间下悬不适，床腿上装有橡胶套、与地面接触防滑减震；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4.喷涂：钢制部件经酸洗、陶化等前处理除锈工艺后，采用医用抗菌粉末静电喷涂，防菌抗菌，抗酸碱腐蚀，耐裉色，有效延长使用寿命</w:t>
            </w:r>
          </w:p>
        </w:tc>
        <w:tc>
          <w:tcPr>
            <w:tcW w:w="937" w:type="dxa"/>
            <w:vAlign w:val="center"/>
          </w:tcPr>
          <w:p w14:paraId="239C9C2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r>
      <w:tr w14:paraId="0E9D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1" w:hRule="atLeast"/>
        </w:trPr>
        <w:tc>
          <w:tcPr>
            <w:tcW w:w="1085" w:type="dxa"/>
            <w:vAlign w:val="center"/>
          </w:tcPr>
          <w:p w14:paraId="7EA6679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8"/>
                <w:szCs w:val="28"/>
                <w:highlight w:val="none"/>
                <w:u w:val="none"/>
                <w:lang w:val="en-US" w:eastAsia="zh-CN" w:bidi="ar"/>
              </w:rPr>
            </w:pPr>
            <w:r>
              <w:rPr>
                <w:rFonts w:hint="default" w:ascii="仿宋_GB2312" w:hAnsi="宋体" w:eastAsia="仿宋_GB2312" w:cs="仿宋_GB2312"/>
                <w:i w:val="0"/>
                <w:iCs w:val="0"/>
                <w:color w:val="000000"/>
                <w:kern w:val="0"/>
                <w:sz w:val="28"/>
                <w:szCs w:val="28"/>
                <w:highlight w:val="none"/>
                <w:u w:val="none"/>
                <w:lang w:val="en-US" w:eastAsia="zh-CN" w:bidi="ar"/>
              </w:rPr>
              <w:t>10</w:t>
            </w:r>
          </w:p>
        </w:tc>
        <w:tc>
          <w:tcPr>
            <w:tcW w:w="1127" w:type="dxa"/>
            <w:vAlign w:val="center"/>
          </w:tcPr>
          <w:p w14:paraId="73625CD1">
            <w:pPr>
              <w:keepNext w:val="0"/>
              <w:keepLines w:val="0"/>
              <w:widowControl/>
              <w:suppressLineNumbers w:val="0"/>
              <w:jc w:val="center"/>
              <w:textAlignment w:val="center"/>
              <w:rPr>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中医理疗床</w:t>
            </w:r>
          </w:p>
        </w:tc>
        <w:tc>
          <w:tcPr>
            <w:tcW w:w="6489" w:type="dxa"/>
            <w:vAlign w:val="center"/>
          </w:tcPr>
          <w:p w14:paraId="655E99D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sz w:val="40"/>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规格：W1900*D600*H650mm；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技术参数：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1.床架材质：床框为60*40*1.2mm矩形钢管,床脚为50*50*1.2方形钢管，加强连接管为30*30*1.2mm方形钢管；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2.床垫材质：采用优质医用皮革、内包厚度30mm优质高弹海绵、床板为12mm厚多层板，床垫与床架连接牢固；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3.结构：床垫上设置有透气孔，床腿上装有橡胶套、与地面接触防滑减震；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4.喷涂：钢制部件经酸洗、陶化等前处理除锈工艺后，采用医用抗菌粉末静电喷涂，防菌抗菌，抗酸碱腐蚀，耐裉色，有效延长使用寿命</w:t>
            </w:r>
          </w:p>
        </w:tc>
        <w:tc>
          <w:tcPr>
            <w:tcW w:w="937" w:type="dxa"/>
            <w:vAlign w:val="center"/>
          </w:tcPr>
          <w:p w14:paraId="0BB7243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p>
        </w:tc>
      </w:tr>
      <w:tr w14:paraId="21FC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8" w:hRule="atLeast"/>
        </w:trPr>
        <w:tc>
          <w:tcPr>
            <w:tcW w:w="1085" w:type="dxa"/>
            <w:vAlign w:val="center"/>
          </w:tcPr>
          <w:p w14:paraId="2100731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8"/>
                <w:szCs w:val="28"/>
                <w:highlight w:val="none"/>
                <w:u w:val="none"/>
                <w:lang w:val="en-US" w:eastAsia="zh-CN" w:bidi="ar"/>
              </w:rPr>
            </w:pPr>
            <w:r>
              <w:rPr>
                <w:rFonts w:hint="default" w:ascii="仿宋_GB2312" w:hAnsi="宋体" w:eastAsia="仿宋_GB2312" w:cs="仿宋_GB2312"/>
                <w:i w:val="0"/>
                <w:iCs w:val="0"/>
                <w:color w:val="000000"/>
                <w:kern w:val="0"/>
                <w:sz w:val="28"/>
                <w:szCs w:val="28"/>
                <w:highlight w:val="none"/>
                <w:u w:val="none"/>
                <w:lang w:val="en-US" w:eastAsia="zh-CN" w:bidi="ar"/>
              </w:rPr>
              <w:t>11</w:t>
            </w:r>
          </w:p>
        </w:tc>
        <w:tc>
          <w:tcPr>
            <w:tcW w:w="1127" w:type="dxa"/>
            <w:vAlign w:val="center"/>
          </w:tcPr>
          <w:p w14:paraId="695D832C">
            <w:pPr>
              <w:keepNext w:val="0"/>
              <w:keepLines w:val="0"/>
              <w:widowControl/>
              <w:suppressLineNumbers w:val="0"/>
              <w:jc w:val="center"/>
              <w:textAlignment w:val="center"/>
              <w:rPr>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小儿推拿床</w:t>
            </w:r>
          </w:p>
        </w:tc>
        <w:tc>
          <w:tcPr>
            <w:tcW w:w="6489" w:type="dxa"/>
            <w:vAlign w:val="center"/>
          </w:tcPr>
          <w:p w14:paraId="715E914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sz w:val="40"/>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规格：W1600*D600*H650mm；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技术参数：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1.床架材质：床框为60*40*1.2mm矩形钢管,床脚为50*50*1.2方形钢管，加强连接管为30*30*1.2mm方形钢管；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2.床垫材质：采用优质医用皮革、内包厚度30mm优质高弹海绵、床板为12mm厚多层板，床垫与床架连接牢固；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3.结构：床垫上设置有透气孔，床腿上装有橡胶套、与地面接触防滑减震；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4.喷涂：钢制部件经酸洗、陶化等前处理除锈工艺后，采用医用抗菌粉末静电喷涂，防菌抗菌，抗酸碱腐蚀，耐裉色，有效延长使用寿命</w:t>
            </w:r>
          </w:p>
        </w:tc>
        <w:tc>
          <w:tcPr>
            <w:tcW w:w="937" w:type="dxa"/>
            <w:vAlign w:val="center"/>
          </w:tcPr>
          <w:p w14:paraId="47E8C5A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r>
      <w:tr w14:paraId="1B64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085" w:type="dxa"/>
            <w:vAlign w:val="center"/>
          </w:tcPr>
          <w:p w14:paraId="1DD4D5E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8"/>
                <w:szCs w:val="28"/>
                <w:highlight w:val="none"/>
                <w:u w:val="none"/>
                <w:lang w:val="en-US" w:eastAsia="zh-CN" w:bidi="ar"/>
              </w:rPr>
            </w:pPr>
            <w:r>
              <w:rPr>
                <w:rFonts w:hint="default" w:ascii="仿宋_GB2312" w:hAnsi="宋体" w:eastAsia="仿宋_GB2312" w:cs="仿宋_GB2312"/>
                <w:i w:val="0"/>
                <w:iCs w:val="0"/>
                <w:color w:val="000000"/>
                <w:kern w:val="0"/>
                <w:sz w:val="28"/>
                <w:szCs w:val="28"/>
                <w:highlight w:val="none"/>
                <w:u w:val="none"/>
                <w:lang w:val="en-US" w:eastAsia="zh-CN" w:bidi="ar"/>
              </w:rPr>
              <w:t>12</w:t>
            </w:r>
          </w:p>
        </w:tc>
        <w:tc>
          <w:tcPr>
            <w:tcW w:w="1127" w:type="dxa"/>
            <w:vAlign w:val="center"/>
          </w:tcPr>
          <w:p w14:paraId="625DC7E6">
            <w:pPr>
              <w:keepNext w:val="0"/>
              <w:keepLines w:val="0"/>
              <w:widowControl/>
              <w:suppressLineNumbers w:val="0"/>
              <w:jc w:val="center"/>
              <w:textAlignment w:val="center"/>
              <w:rPr>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会议桌（2人座）</w:t>
            </w:r>
          </w:p>
        </w:tc>
        <w:tc>
          <w:tcPr>
            <w:tcW w:w="6489" w:type="dxa"/>
            <w:vAlign w:val="center"/>
          </w:tcPr>
          <w:p w14:paraId="494E432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sz w:val="40"/>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1200*400*750选用E1级颗粒板，甲醛释放量小于0.2mg/L,所有材料经过防虫，防腐处理，不易变形，表面光滑，耐磨，各项指标达到目前适用国家环境保护标准。</w:t>
            </w:r>
          </w:p>
        </w:tc>
        <w:tc>
          <w:tcPr>
            <w:tcW w:w="937" w:type="dxa"/>
            <w:vAlign w:val="center"/>
          </w:tcPr>
          <w:p w14:paraId="2B04BE8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28</w:t>
            </w:r>
          </w:p>
        </w:tc>
      </w:tr>
      <w:tr w14:paraId="38EA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085" w:type="dxa"/>
            <w:vAlign w:val="center"/>
          </w:tcPr>
          <w:p w14:paraId="20906F8E">
            <w:pPr>
              <w:keepNext w:val="0"/>
              <w:keepLines w:val="0"/>
              <w:widowControl/>
              <w:suppressLineNumbers w:val="0"/>
              <w:jc w:val="center"/>
              <w:textAlignment w:val="center"/>
              <w:rPr>
                <w:sz w:val="24"/>
                <w:szCs w:val="18"/>
                <w:highlight w:val="none"/>
                <w:vertAlign w:val="baseline"/>
              </w:rPr>
            </w:pPr>
            <w:r>
              <w:rPr>
                <w:rFonts w:hint="default" w:ascii="仿宋_GB2312" w:hAnsi="宋体" w:eastAsia="仿宋_GB2312" w:cs="仿宋_GB2312"/>
                <w:i w:val="0"/>
                <w:iCs w:val="0"/>
                <w:color w:val="000000"/>
                <w:kern w:val="0"/>
                <w:sz w:val="28"/>
                <w:szCs w:val="28"/>
                <w:highlight w:val="none"/>
                <w:u w:val="none"/>
                <w:lang w:val="en-US" w:eastAsia="zh-CN" w:bidi="ar"/>
              </w:rPr>
              <w:t>13</w:t>
            </w:r>
          </w:p>
        </w:tc>
        <w:tc>
          <w:tcPr>
            <w:tcW w:w="1127" w:type="dxa"/>
            <w:vAlign w:val="center"/>
          </w:tcPr>
          <w:p w14:paraId="3E1A73B1">
            <w:pPr>
              <w:keepNext w:val="0"/>
              <w:keepLines w:val="0"/>
              <w:widowControl/>
              <w:suppressLineNumbers w:val="0"/>
              <w:jc w:val="center"/>
              <w:textAlignment w:val="center"/>
              <w:rPr>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会议桌（4人座）</w:t>
            </w:r>
          </w:p>
        </w:tc>
        <w:tc>
          <w:tcPr>
            <w:tcW w:w="6489" w:type="dxa"/>
            <w:vAlign w:val="center"/>
          </w:tcPr>
          <w:p w14:paraId="2F32868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sz w:val="40"/>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1800*850*750选用E1级颗粒板，甲醛释放量小于0.2mg/L,所有材料经过防虫，防腐处理，不易变形，表面光滑，耐磨，各项指标达到目前适用国家环境保护标准。</w:t>
            </w:r>
          </w:p>
        </w:tc>
        <w:tc>
          <w:tcPr>
            <w:tcW w:w="937" w:type="dxa"/>
            <w:vAlign w:val="center"/>
          </w:tcPr>
          <w:p w14:paraId="71D9388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14:paraId="30757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085" w:type="dxa"/>
            <w:vAlign w:val="center"/>
          </w:tcPr>
          <w:p w14:paraId="091A3BCE">
            <w:pPr>
              <w:keepNext w:val="0"/>
              <w:keepLines w:val="0"/>
              <w:widowControl/>
              <w:suppressLineNumbers w:val="0"/>
              <w:jc w:val="center"/>
              <w:textAlignment w:val="center"/>
              <w:rPr>
                <w:sz w:val="24"/>
                <w:szCs w:val="18"/>
                <w:highlight w:val="none"/>
                <w:vertAlign w:val="baseline"/>
              </w:rPr>
            </w:pPr>
            <w:r>
              <w:rPr>
                <w:rFonts w:hint="default" w:ascii="仿宋_GB2312" w:hAnsi="宋体" w:eastAsia="仿宋_GB2312" w:cs="仿宋_GB2312"/>
                <w:i w:val="0"/>
                <w:iCs w:val="0"/>
                <w:color w:val="000000"/>
                <w:kern w:val="0"/>
                <w:sz w:val="28"/>
                <w:szCs w:val="28"/>
                <w:highlight w:val="none"/>
                <w:u w:val="none"/>
                <w:lang w:val="en-US" w:eastAsia="zh-CN" w:bidi="ar"/>
              </w:rPr>
              <w:t>14</w:t>
            </w:r>
          </w:p>
        </w:tc>
        <w:tc>
          <w:tcPr>
            <w:tcW w:w="1127" w:type="dxa"/>
            <w:vAlign w:val="center"/>
          </w:tcPr>
          <w:p w14:paraId="2BD1E171">
            <w:pPr>
              <w:keepNext w:val="0"/>
              <w:keepLines w:val="0"/>
              <w:widowControl/>
              <w:suppressLineNumbers w:val="0"/>
              <w:jc w:val="center"/>
              <w:textAlignment w:val="center"/>
              <w:rPr>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会议椅</w:t>
            </w:r>
          </w:p>
        </w:tc>
        <w:tc>
          <w:tcPr>
            <w:tcW w:w="6489" w:type="dxa"/>
            <w:vAlign w:val="center"/>
          </w:tcPr>
          <w:p w14:paraId="769423C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sz w:val="40"/>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选用优质网面料,透气性强,柔软而富有韧性。海绵密度高，表面带有保护面，防氧化软硬适中，回弹好不变形的定型技术。</w:t>
            </w:r>
          </w:p>
        </w:tc>
        <w:tc>
          <w:tcPr>
            <w:tcW w:w="937" w:type="dxa"/>
            <w:vAlign w:val="center"/>
          </w:tcPr>
          <w:p w14:paraId="700CF7E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60</w:t>
            </w:r>
          </w:p>
        </w:tc>
      </w:tr>
      <w:tr w14:paraId="4CE0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6" w:hRule="atLeast"/>
        </w:trPr>
        <w:tc>
          <w:tcPr>
            <w:tcW w:w="1085" w:type="dxa"/>
            <w:vAlign w:val="center"/>
          </w:tcPr>
          <w:p w14:paraId="58A7AAE8">
            <w:pPr>
              <w:keepNext w:val="0"/>
              <w:keepLines w:val="0"/>
              <w:widowControl/>
              <w:suppressLineNumbers w:val="0"/>
              <w:jc w:val="center"/>
              <w:textAlignment w:val="center"/>
              <w:rPr>
                <w:sz w:val="24"/>
                <w:szCs w:val="18"/>
                <w:highlight w:val="none"/>
                <w:vertAlign w:val="baseline"/>
              </w:rPr>
            </w:pPr>
            <w:r>
              <w:rPr>
                <w:rFonts w:hint="default" w:ascii="仿宋_GB2312" w:hAnsi="宋体" w:eastAsia="仿宋_GB2312" w:cs="仿宋_GB2312"/>
                <w:i w:val="0"/>
                <w:iCs w:val="0"/>
                <w:color w:val="000000"/>
                <w:kern w:val="0"/>
                <w:sz w:val="28"/>
                <w:szCs w:val="28"/>
                <w:highlight w:val="none"/>
                <w:u w:val="none"/>
                <w:lang w:val="en-US" w:eastAsia="zh-CN" w:bidi="ar"/>
              </w:rPr>
              <w:t>15</w:t>
            </w:r>
          </w:p>
        </w:tc>
        <w:tc>
          <w:tcPr>
            <w:tcW w:w="1127" w:type="dxa"/>
            <w:vAlign w:val="center"/>
          </w:tcPr>
          <w:p w14:paraId="40BC0366">
            <w:pPr>
              <w:keepNext w:val="0"/>
              <w:keepLines w:val="0"/>
              <w:widowControl/>
              <w:suppressLineNumbers w:val="0"/>
              <w:jc w:val="center"/>
              <w:textAlignment w:val="center"/>
              <w:rPr>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候诊椅3人位</w:t>
            </w:r>
          </w:p>
        </w:tc>
        <w:tc>
          <w:tcPr>
            <w:tcW w:w="6489" w:type="dxa"/>
            <w:vAlign w:val="center"/>
          </w:tcPr>
          <w:p w14:paraId="23DDA32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sz w:val="40"/>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尺寸：1750*650*760mm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网板：.采用1.4MM加厚不锈钢经大型机器全自动高速冲孔，压力机冷压，OTC焊接成型。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椅托：采用1.5mm优质冷轧钢板经大型机器冲压剪裁和4.5mm厚的钢板焊接而成，喷黑色专用金属漆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横梁：采用40*80*1.5mm优质冷轧钢焊接成型，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椅托：采用1.5mm优质冷轧钢板经大型机器冲压剪裁和4.5mm厚的钢板焊接而成，喷黑色专用金属漆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扶手：采用加厚铝合金经模具压铸成型一体铝合金扶手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脚：采用加厚铝合金经模具压铸成型一体铝合金脚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脚垫：采用可调节可拆卸静音防滑式不锈钢脚垫，更好的质量保证，防腐蚀性更强，耐酸性更好，防刮，。内含防滑塑料胶垫，即可调节地面水平也人性化避免因移动因素造成地板磨损和杜绝摩擦产生噪音</w:t>
            </w:r>
          </w:p>
        </w:tc>
        <w:tc>
          <w:tcPr>
            <w:tcW w:w="937" w:type="dxa"/>
            <w:vAlign w:val="center"/>
          </w:tcPr>
          <w:p w14:paraId="009EBC3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r>
      <w:tr w14:paraId="0309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3" w:hRule="atLeast"/>
        </w:trPr>
        <w:tc>
          <w:tcPr>
            <w:tcW w:w="1085" w:type="dxa"/>
            <w:vAlign w:val="center"/>
          </w:tcPr>
          <w:p w14:paraId="4CC62FEA">
            <w:pPr>
              <w:keepNext w:val="0"/>
              <w:keepLines w:val="0"/>
              <w:widowControl/>
              <w:suppressLineNumbers w:val="0"/>
              <w:jc w:val="center"/>
              <w:textAlignment w:val="center"/>
              <w:rPr>
                <w:sz w:val="24"/>
                <w:szCs w:val="18"/>
                <w:highlight w:val="none"/>
                <w:vertAlign w:val="baseline"/>
              </w:rPr>
            </w:pPr>
            <w:r>
              <w:rPr>
                <w:rFonts w:hint="default" w:ascii="仿宋_GB2312" w:hAnsi="宋体" w:eastAsia="仿宋_GB2312" w:cs="仿宋_GB2312"/>
                <w:i w:val="0"/>
                <w:iCs w:val="0"/>
                <w:color w:val="000000"/>
                <w:kern w:val="0"/>
                <w:sz w:val="28"/>
                <w:szCs w:val="28"/>
                <w:highlight w:val="none"/>
                <w:u w:val="none"/>
                <w:lang w:val="en-US" w:eastAsia="zh-CN" w:bidi="ar"/>
              </w:rPr>
              <w:t>16</w:t>
            </w:r>
          </w:p>
        </w:tc>
        <w:tc>
          <w:tcPr>
            <w:tcW w:w="1127" w:type="dxa"/>
            <w:vAlign w:val="center"/>
          </w:tcPr>
          <w:p w14:paraId="441283F5">
            <w:pPr>
              <w:keepNext w:val="0"/>
              <w:keepLines w:val="0"/>
              <w:widowControl/>
              <w:suppressLineNumbers w:val="0"/>
              <w:jc w:val="center"/>
              <w:textAlignment w:val="center"/>
              <w:rPr>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候诊椅4人位</w:t>
            </w:r>
          </w:p>
        </w:tc>
        <w:tc>
          <w:tcPr>
            <w:tcW w:w="6489" w:type="dxa"/>
            <w:vAlign w:val="center"/>
          </w:tcPr>
          <w:p w14:paraId="48A0A10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sz w:val="40"/>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尺寸：2300*650*760mm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网板：.采用1.4MM加厚不锈钢经大型机器全自动高速冲孔，压力机冷压，OTC焊接成型。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椅托：采用1.5mm优质冷轧钢板经大型机器冲压剪裁和4.5mm厚的钢板焊接而成，喷黑色专用金属漆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横梁：采用40*80*1.5mm优质冷轧钢焊接成型，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椅托：采用1.5mm优质冷轧钢板经大型机器冲压剪裁和4.5mm厚的钢板焊接而成，喷黑色专用金属漆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扶手：采用加厚铝合金经模具压铸成型一体铝合金扶手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脚：采用加厚铝合金经模具压铸成型一体铝合金脚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脚垫：采用可调节可拆卸静音防滑式不锈钢脚垫，更好的质量保证，防腐蚀性更强，耐酸性更好，防刮，。内含防滑塑料胶垫，即可调节地面水平也人性化避免因移动因素造成地板磨损和杜绝摩擦产生噪音</w:t>
            </w:r>
          </w:p>
        </w:tc>
        <w:tc>
          <w:tcPr>
            <w:tcW w:w="937" w:type="dxa"/>
            <w:vAlign w:val="center"/>
          </w:tcPr>
          <w:p w14:paraId="7CB302F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r>
      <w:tr w14:paraId="4245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1085" w:type="dxa"/>
            <w:vAlign w:val="center"/>
          </w:tcPr>
          <w:p w14:paraId="59E0EA72">
            <w:pPr>
              <w:keepNext w:val="0"/>
              <w:keepLines w:val="0"/>
              <w:widowControl/>
              <w:suppressLineNumbers w:val="0"/>
              <w:jc w:val="center"/>
              <w:textAlignment w:val="center"/>
              <w:rPr>
                <w:sz w:val="24"/>
                <w:szCs w:val="18"/>
                <w:highlight w:val="none"/>
                <w:vertAlign w:val="baseline"/>
              </w:rPr>
            </w:pPr>
            <w:r>
              <w:rPr>
                <w:rFonts w:hint="default" w:ascii="仿宋_GB2312" w:hAnsi="宋体" w:eastAsia="仿宋_GB2312" w:cs="仿宋_GB2312"/>
                <w:i w:val="0"/>
                <w:iCs w:val="0"/>
                <w:color w:val="000000"/>
                <w:kern w:val="0"/>
                <w:sz w:val="28"/>
                <w:szCs w:val="28"/>
                <w:highlight w:val="none"/>
                <w:u w:val="none"/>
                <w:lang w:val="en-US" w:eastAsia="zh-CN" w:bidi="ar"/>
              </w:rPr>
              <w:t>17</w:t>
            </w:r>
          </w:p>
        </w:tc>
        <w:tc>
          <w:tcPr>
            <w:tcW w:w="1127" w:type="dxa"/>
            <w:vAlign w:val="center"/>
          </w:tcPr>
          <w:p w14:paraId="292196AC">
            <w:pPr>
              <w:keepNext w:val="0"/>
              <w:keepLines w:val="0"/>
              <w:widowControl/>
              <w:suppressLineNumbers w:val="0"/>
              <w:jc w:val="center"/>
              <w:textAlignment w:val="center"/>
              <w:rPr>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档案室配套设施</w:t>
            </w:r>
          </w:p>
        </w:tc>
        <w:tc>
          <w:tcPr>
            <w:tcW w:w="6489" w:type="dxa"/>
            <w:vAlign w:val="center"/>
          </w:tcPr>
          <w:p w14:paraId="1185D8A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sz w:val="40"/>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采用0.6mm冷轧钢板，经过制模、落料、成型、焊接加工，高温固化，并经过酸洗、磷化来清洁表面，防止表面生锈的工艺加工而成，坚固、耐用。钢板厚度0.8mm，表面静电粉末喷塑，环保无毒害，无气味，通过ISO14001环保认证。配套设置按按用户场地需求</w:t>
            </w:r>
          </w:p>
        </w:tc>
        <w:tc>
          <w:tcPr>
            <w:tcW w:w="937" w:type="dxa"/>
            <w:vAlign w:val="center"/>
          </w:tcPr>
          <w:p w14:paraId="12B92A4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14:paraId="402C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85" w:type="dxa"/>
            <w:vAlign w:val="center"/>
          </w:tcPr>
          <w:p w14:paraId="291ABD77">
            <w:pPr>
              <w:keepNext w:val="0"/>
              <w:keepLines w:val="0"/>
              <w:widowControl/>
              <w:suppressLineNumbers w:val="0"/>
              <w:jc w:val="center"/>
              <w:textAlignment w:val="center"/>
              <w:rPr>
                <w:sz w:val="24"/>
                <w:szCs w:val="18"/>
                <w:highlight w:val="none"/>
                <w:vertAlign w:val="baseline"/>
              </w:rPr>
            </w:pPr>
            <w:r>
              <w:rPr>
                <w:rFonts w:hint="default" w:ascii="仿宋_GB2312" w:hAnsi="宋体" w:eastAsia="仿宋_GB2312" w:cs="仿宋_GB2312"/>
                <w:i w:val="0"/>
                <w:iCs w:val="0"/>
                <w:color w:val="000000"/>
                <w:kern w:val="0"/>
                <w:sz w:val="28"/>
                <w:szCs w:val="28"/>
                <w:highlight w:val="none"/>
                <w:u w:val="none"/>
                <w:lang w:val="en-US" w:eastAsia="zh-CN" w:bidi="ar"/>
              </w:rPr>
              <w:t>18</w:t>
            </w:r>
          </w:p>
        </w:tc>
        <w:tc>
          <w:tcPr>
            <w:tcW w:w="1127" w:type="dxa"/>
            <w:vAlign w:val="center"/>
          </w:tcPr>
          <w:p w14:paraId="3218A357">
            <w:pPr>
              <w:keepNext w:val="0"/>
              <w:keepLines w:val="0"/>
              <w:widowControl/>
              <w:suppressLineNumbers w:val="0"/>
              <w:jc w:val="center"/>
              <w:textAlignment w:val="center"/>
              <w:rPr>
                <w:highlight w:val="none"/>
                <w:vertAlign w:val="baseline"/>
              </w:rPr>
            </w:pPr>
            <w:r>
              <w:rPr>
                <w:rFonts w:hint="default" w:ascii="宋体" w:hAnsi="宋体" w:eastAsia="宋体" w:cs="宋体"/>
                <w:i w:val="0"/>
                <w:iCs w:val="0"/>
                <w:color w:val="000000"/>
                <w:kern w:val="0"/>
                <w:sz w:val="24"/>
                <w:szCs w:val="24"/>
                <w:highlight w:val="none"/>
                <w:u w:val="none"/>
                <w:lang w:val="en-US" w:eastAsia="zh-CN" w:bidi="ar"/>
              </w:rPr>
              <w:t>高低铺（木制）</w:t>
            </w:r>
          </w:p>
        </w:tc>
        <w:tc>
          <w:tcPr>
            <w:tcW w:w="6489" w:type="dxa"/>
            <w:vAlign w:val="center"/>
          </w:tcPr>
          <w:p w14:paraId="65208E8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sz w:val="40"/>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床架（规格：长2000*宽900*高1850mm）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立柱:采用规格70*50mm优质的松木原木方料制成，甲醛释放量合格，木材均需经防霉菌性能测定防霉等级1级、并且符合；特定元素的迁移、并且符合；甲醛释放量各项指标符合国家强制性标准GB/T35607-2017的要求。材料无裂缝，结构连接处和主受力连接部位无死节，无腐朽经特殊工艺处理，防腐、防潮、防虫无异味。床铺至少要有五根横梁，采用≥50mm*50mm实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2.油漆：表面采用环保油漆底漆、油漆面漆，三底两面制作,光洁自然，健康环保，原木色。</w:t>
            </w:r>
          </w:p>
        </w:tc>
        <w:tc>
          <w:tcPr>
            <w:tcW w:w="937" w:type="dxa"/>
            <w:vAlign w:val="center"/>
          </w:tcPr>
          <w:p w14:paraId="0C8BEAD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3</w:t>
            </w:r>
          </w:p>
        </w:tc>
      </w:tr>
      <w:tr w14:paraId="3DDD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trPr>
        <w:tc>
          <w:tcPr>
            <w:tcW w:w="1085" w:type="dxa"/>
            <w:vAlign w:val="center"/>
          </w:tcPr>
          <w:p w14:paraId="0B0CDE23">
            <w:pPr>
              <w:keepNext w:val="0"/>
              <w:keepLines w:val="0"/>
              <w:widowControl/>
              <w:suppressLineNumbers w:val="0"/>
              <w:jc w:val="center"/>
              <w:textAlignment w:val="center"/>
              <w:rPr>
                <w:sz w:val="24"/>
                <w:szCs w:val="18"/>
                <w:highlight w:val="none"/>
                <w:vertAlign w:val="baseline"/>
              </w:rPr>
            </w:pPr>
            <w:r>
              <w:rPr>
                <w:rFonts w:hint="default" w:ascii="仿宋_GB2312" w:hAnsi="宋体" w:eastAsia="仿宋_GB2312" w:cs="仿宋_GB2312"/>
                <w:i w:val="0"/>
                <w:iCs w:val="0"/>
                <w:color w:val="000000"/>
                <w:kern w:val="0"/>
                <w:sz w:val="28"/>
                <w:szCs w:val="28"/>
                <w:highlight w:val="none"/>
                <w:u w:val="none"/>
                <w:lang w:val="en-US" w:eastAsia="zh-CN" w:bidi="ar"/>
              </w:rPr>
              <w:t>19</w:t>
            </w:r>
          </w:p>
        </w:tc>
        <w:tc>
          <w:tcPr>
            <w:tcW w:w="1127" w:type="dxa"/>
            <w:vAlign w:val="center"/>
          </w:tcPr>
          <w:p w14:paraId="5C085D3F">
            <w:pPr>
              <w:keepNext w:val="0"/>
              <w:keepLines w:val="0"/>
              <w:widowControl/>
              <w:suppressLineNumbers w:val="0"/>
              <w:jc w:val="center"/>
              <w:textAlignment w:val="center"/>
              <w:rPr>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办公桌1.2*1.4</w:t>
            </w:r>
          </w:p>
        </w:tc>
        <w:tc>
          <w:tcPr>
            <w:tcW w:w="6489" w:type="dxa"/>
            <w:vAlign w:val="center"/>
          </w:tcPr>
          <w:p w14:paraId="37CABBB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sz w:val="40"/>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（1）材料：桌面板采用25mm厚E0级实木多层板；其余采用18mm厚E0级实木多层板；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（2）封边：门板、台面板采用激光封边，ABS封边条，无胶；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（3）五金配件：阻尼铰链、导轨、拉手、锁；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（4）配置：主机柜+抽屉柜+键盘架+开放柜；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附多层板检测报告，检测内容至少包含，规格尺寸及偏差、外观质量、理化性能（含水率、胶合强度、浸渍剥离、静曲强度、弹性模量）检测合格、甲醛释放量≤0.025mg/m³（气候箱法），苯≦10μg/㎥、（甲苯、二甲苯）≦20μg/㎥；TVOC≤100μ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（7）颜色由业主自定，桌柜朝向根据现场实际情况制定</w:t>
            </w:r>
          </w:p>
        </w:tc>
        <w:tc>
          <w:tcPr>
            <w:tcW w:w="937" w:type="dxa"/>
            <w:vAlign w:val="center"/>
          </w:tcPr>
          <w:p w14:paraId="624B29B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w:t>
            </w:r>
          </w:p>
        </w:tc>
      </w:tr>
      <w:tr w14:paraId="0CDB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6" w:hRule="atLeast"/>
        </w:trPr>
        <w:tc>
          <w:tcPr>
            <w:tcW w:w="1085" w:type="dxa"/>
            <w:vAlign w:val="center"/>
          </w:tcPr>
          <w:p w14:paraId="6E06C659">
            <w:pPr>
              <w:keepNext w:val="0"/>
              <w:keepLines w:val="0"/>
              <w:widowControl/>
              <w:suppressLineNumbers w:val="0"/>
              <w:jc w:val="center"/>
              <w:textAlignment w:val="center"/>
              <w:rPr>
                <w:sz w:val="24"/>
                <w:szCs w:val="18"/>
                <w:highlight w:val="none"/>
                <w:vertAlign w:val="baseline"/>
              </w:rPr>
            </w:pPr>
            <w:r>
              <w:rPr>
                <w:rFonts w:hint="default" w:ascii="仿宋_GB2312" w:hAnsi="宋体" w:eastAsia="仿宋_GB2312" w:cs="仿宋_GB2312"/>
                <w:i w:val="0"/>
                <w:iCs w:val="0"/>
                <w:color w:val="000000"/>
                <w:kern w:val="0"/>
                <w:sz w:val="28"/>
                <w:szCs w:val="28"/>
                <w:highlight w:val="none"/>
                <w:u w:val="none"/>
                <w:lang w:val="en-US" w:eastAsia="zh-CN" w:bidi="ar"/>
              </w:rPr>
              <w:t>20</w:t>
            </w:r>
          </w:p>
        </w:tc>
        <w:tc>
          <w:tcPr>
            <w:tcW w:w="1127" w:type="dxa"/>
            <w:vAlign w:val="center"/>
          </w:tcPr>
          <w:p w14:paraId="0869099B">
            <w:pPr>
              <w:keepNext w:val="0"/>
              <w:keepLines w:val="0"/>
              <w:widowControl/>
              <w:suppressLineNumbers w:val="0"/>
              <w:jc w:val="center"/>
              <w:textAlignment w:val="center"/>
              <w:rPr>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办公椅</w:t>
            </w:r>
          </w:p>
        </w:tc>
        <w:tc>
          <w:tcPr>
            <w:tcW w:w="6489" w:type="dxa"/>
            <w:vAlign w:val="center"/>
          </w:tcPr>
          <w:p w14:paraId="46D7A3D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sz w:val="40"/>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1、材料和工艺要求：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（1）靠背面料：优质高弹网布；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双层网布：符合GB18401-2010《国家纺织产品基本安全技术规范》标准，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甲醛含量B类：≤20mg/kg；PH值B类：4.0-8.5；染色牢度(级)B类：耐水(变色、沾色)≥3，耐酸汗渍(变色、沾色)≥3，耐碱汗渍(变色、沾色)≥3，耐干摩擦≥3；</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（2）座面：内衬高弹力高密度PU发泡棉，长时间使用不变形；面覆优质透气布艺；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（3）背框、座框：尼龙注塑成型，抗冲击、防老化；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（4）扶手：PP+GF材质；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（5）椅背带腰靠，PP+GF材质，设计符合人体工程学；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（4）其他：配电镀脚架</w:t>
            </w:r>
          </w:p>
        </w:tc>
        <w:tc>
          <w:tcPr>
            <w:tcW w:w="937" w:type="dxa"/>
            <w:vAlign w:val="center"/>
          </w:tcPr>
          <w:p w14:paraId="38268F0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w:t>
            </w:r>
          </w:p>
        </w:tc>
      </w:tr>
      <w:tr w14:paraId="4741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5" w:type="dxa"/>
            <w:vAlign w:val="center"/>
          </w:tcPr>
          <w:p w14:paraId="476AAEDF">
            <w:pPr>
              <w:keepNext w:val="0"/>
              <w:keepLines w:val="0"/>
              <w:widowControl/>
              <w:suppressLineNumbers w:val="0"/>
              <w:jc w:val="center"/>
              <w:textAlignment w:val="center"/>
              <w:rPr>
                <w:sz w:val="22"/>
                <w:szCs w:val="16"/>
                <w:highlight w:val="none"/>
                <w:vertAlign w:val="baseline"/>
              </w:rPr>
            </w:pPr>
            <w:r>
              <w:rPr>
                <w:rFonts w:hint="default" w:ascii="仿宋_GB2312" w:hAnsi="宋体" w:eastAsia="仿宋_GB2312" w:cs="仿宋_GB2312"/>
                <w:i w:val="0"/>
                <w:iCs w:val="0"/>
                <w:color w:val="000000"/>
                <w:kern w:val="0"/>
                <w:sz w:val="24"/>
                <w:szCs w:val="24"/>
                <w:highlight w:val="none"/>
                <w:u w:val="none"/>
                <w:lang w:val="en-US" w:eastAsia="zh-CN" w:bidi="ar"/>
              </w:rPr>
              <w:t>21</w:t>
            </w:r>
          </w:p>
        </w:tc>
        <w:tc>
          <w:tcPr>
            <w:tcW w:w="1127" w:type="dxa"/>
            <w:vAlign w:val="center"/>
          </w:tcPr>
          <w:p w14:paraId="41302705">
            <w:pPr>
              <w:keepNext w:val="0"/>
              <w:keepLines w:val="0"/>
              <w:widowControl/>
              <w:suppressLineNumbers w:val="0"/>
              <w:jc w:val="center"/>
              <w:textAlignment w:val="center"/>
              <w:rPr>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吧椅</w:t>
            </w:r>
          </w:p>
        </w:tc>
        <w:tc>
          <w:tcPr>
            <w:tcW w:w="6489" w:type="dxa"/>
            <w:vAlign w:val="center"/>
          </w:tcPr>
          <w:p w14:paraId="29550B5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sz w:val="40"/>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1、360度旋转，上下升降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2、强硬防爆，耐刮耐麿，加厚防爆发托盘；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3、SGS气杆，使用寿命长，加厚管壁，高密度海绵座包，不塌陷不变形</w:t>
            </w:r>
          </w:p>
        </w:tc>
        <w:tc>
          <w:tcPr>
            <w:tcW w:w="937" w:type="dxa"/>
            <w:vAlign w:val="center"/>
          </w:tcPr>
          <w:p w14:paraId="2AD3C86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r>
      <w:tr w14:paraId="560C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1085" w:type="dxa"/>
            <w:vAlign w:val="center"/>
          </w:tcPr>
          <w:p w14:paraId="1680E7DD">
            <w:pPr>
              <w:keepNext w:val="0"/>
              <w:keepLines w:val="0"/>
              <w:widowControl/>
              <w:suppressLineNumbers w:val="0"/>
              <w:jc w:val="center"/>
              <w:textAlignment w:val="center"/>
              <w:rPr>
                <w:sz w:val="24"/>
                <w:szCs w:val="18"/>
                <w:highlight w:val="none"/>
                <w:vertAlign w:val="baseline"/>
              </w:rPr>
            </w:pPr>
            <w:r>
              <w:rPr>
                <w:rFonts w:hint="default" w:ascii="仿宋_GB2312" w:hAnsi="宋体" w:eastAsia="仿宋_GB2312" w:cs="仿宋_GB2312"/>
                <w:i w:val="0"/>
                <w:iCs w:val="0"/>
                <w:color w:val="000000"/>
                <w:kern w:val="0"/>
                <w:sz w:val="28"/>
                <w:szCs w:val="28"/>
                <w:highlight w:val="none"/>
                <w:u w:val="none"/>
                <w:lang w:val="en-US" w:eastAsia="zh-CN" w:bidi="ar"/>
              </w:rPr>
              <w:t>22</w:t>
            </w:r>
          </w:p>
        </w:tc>
        <w:tc>
          <w:tcPr>
            <w:tcW w:w="1127" w:type="dxa"/>
            <w:vAlign w:val="center"/>
          </w:tcPr>
          <w:p w14:paraId="3D71AC3F">
            <w:pPr>
              <w:keepNext w:val="0"/>
              <w:keepLines w:val="0"/>
              <w:widowControl/>
              <w:suppressLineNumbers w:val="0"/>
              <w:jc w:val="center"/>
              <w:textAlignment w:val="center"/>
              <w:rPr>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输液椅（三人座）</w:t>
            </w:r>
          </w:p>
        </w:tc>
        <w:tc>
          <w:tcPr>
            <w:tcW w:w="6489" w:type="dxa"/>
            <w:vAlign w:val="center"/>
          </w:tcPr>
          <w:p w14:paraId="1009D0C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1、座面：采用优质冷轧钢和背部整体一次成型，表面用定型海绵加优质西皮经踩线缝合工艺细制而成，有良好的弹性，材料结合紧密，频繁使用不会引起变形、起皱、断裂、破碎；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扶手支架：扶手采用优质冷轧钢加海绵外包皮革避免冰冷感；扶手安装不分左右，安装扶手不影响座椅的宽度空间；延伸长度不短于座椅面深度的70%，离地高度605MM，单个扶手高度290mm,宽度大于43MM，长度385MM，可根据要求中间加装扶手不受限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3、横梁，采用大于68*78*1.5mm的六角形冷拉管，表面做静电喷粉喷涂处理或高分子纳米处理，涂层厚度≥70μm，表面光滑、色泽饱满，不易磨损掉漆，横梁两头配有塑料胶塞。</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4、其他外观：产品的零部件无破损现象；固定部位的结合牢固无松动，无少件，漏钉、透钉；产品的所有外角和接触人体的部位进行磨纯处理，无毛刺、刃口或棱角；产品所有外表部位没有脱色现象；</w:t>
            </w:r>
          </w:p>
        </w:tc>
        <w:tc>
          <w:tcPr>
            <w:tcW w:w="937" w:type="dxa"/>
            <w:vAlign w:val="center"/>
          </w:tcPr>
          <w:p w14:paraId="41D3849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r>
      <w:tr w14:paraId="3471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5" w:hRule="atLeast"/>
        </w:trPr>
        <w:tc>
          <w:tcPr>
            <w:tcW w:w="1085" w:type="dxa"/>
            <w:vAlign w:val="center"/>
          </w:tcPr>
          <w:p w14:paraId="7F5492C9">
            <w:pPr>
              <w:keepNext w:val="0"/>
              <w:keepLines w:val="0"/>
              <w:widowControl/>
              <w:suppressLineNumbers w:val="0"/>
              <w:jc w:val="center"/>
              <w:textAlignment w:val="center"/>
              <w:rPr>
                <w:rFonts w:hint="default" w:ascii="仿宋_GB2312" w:hAnsi="宋体" w:eastAsia="仿宋_GB2312" w:cs="仿宋_GB2312"/>
                <w:i w:val="0"/>
                <w:iCs w:val="0"/>
                <w:color w:val="000000"/>
                <w:kern w:val="0"/>
                <w:sz w:val="32"/>
                <w:szCs w:val="32"/>
                <w:highlight w:val="none"/>
                <w:u w:val="none"/>
                <w:lang w:val="en-US" w:eastAsia="zh-CN" w:bidi="ar"/>
              </w:rPr>
            </w:pPr>
            <w:r>
              <w:rPr>
                <w:rFonts w:hint="default" w:ascii="仿宋_GB2312" w:hAnsi="宋体" w:eastAsia="仿宋_GB2312" w:cs="仿宋_GB2312"/>
                <w:i w:val="0"/>
                <w:iCs w:val="0"/>
                <w:color w:val="000000"/>
                <w:kern w:val="0"/>
                <w:sz w:val="28"/>
                <w:szCs w:val="28"/>
                <w:highlight w:val="none"/>
                <w:u w:val="none"/>
                <w:lang w:val="en-US" w:eastAsia="zh-CN" w:bidi="ar"/>
              </w:rPr>
              <w:t>23</w:t>
            </w:r>
          </w:p>
        </w:tc>
        <w:tc>
          <w:tcPr>
            <w:tcW w:w="1127" w:type="dxa"/>
            <w:vAlign w:val="center"/>
          </w:tcPr>
          <w:p w14:paraId="44FBF67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不间断电源</w:t>
            </w:r>
          </w:p>
        </w:tc>
        <w:tc>
          <w:tcPr>
            <w:tcW w:w="6489" w:type="dxa"/>
            <w:vAlign w:val="center"/>
          </w:tcPr>
          <w:p w14:paraId="500FDB8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★40KVA，三进三出工频UPS，智能双变换纯在线式，采用全数字DSP控制技术，标配内置输出隔离变压器，变压器采用DZn型绕制，提高UPS系统不平衡带载能力。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具有直流冷启动功能，在没有市电输入的情况下，可以直接用电池组启动UPS给负载应急供电。UPS主机标配EPO紧急关机组件，在紧急情况下实行一键式切断UPS的输出。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1.1、输入指标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1.1.1额定电压：380VAC（主输入为三相三线，旁路输入为三相四线）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1.1.2额定频率：50Hz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1.1.3电压允许变动范围：-20%~+25%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1.1.4频率允许变动范围：±10％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1.1.5输入功率因数：≥0.91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1.1.6功率软启动：10~15s内爬升到额定功率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1.1.7短路容量：承受大于In×150%短路电流200毫秒以上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1.1.8直流输入额定电压：DC384V（电池只数29~32只，通过UPS主机面板可以设置）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1.2、输出指标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1.2.1额定电压：380V（三相四线）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1.2.2电压可调范围：±10%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1.2.3额定频率：50Hz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1.2.4稳压精度：稳态≤±1%；瞬态≤±2%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1.2.5瞬态电压恢复时间:≤50ms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1.2.6频率精度：±0.02%（内同步）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1.2.7频率同步范围：±2Hz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1.2.8频率调节速度：0.5~1Hz/秒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1.2.9电压波型失真度：线性负载≤3%；非线性负载≤5%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1.2.10三相输出电压不平衡度：&lt;±1%(平衡负载)；&lt;±3%(50%不平衡负载)；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1.2.11三相输出电压相位偏移：±1度(平衡负载)；±1度(100％不平衡负载)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1.2.12过载能力:10min(125%额定电流)；60s(150%额定电流)；待负载恢复正常后自行转逆变工作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1.2.13输出功率因数：≥0.8</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智能的人机界面，LCD+LED面板，配置不小于7寸彩色触摸大屏，显示输入电压、频率，输出电压、频率，负载大小，电池可待机时间、当前状态、历史记录、故障告警等UPS运行指标，界面友好，方便客户使用。（提供投标机型操作面板彩色图片，并加盖厂家公章予以佐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1.4★UPS主机内置操作开关：UPS在主机内应配置市电输入、旁路输入、UPS输出和手动维护旁路开关。（需提供UPS主机图片并加盖厂家公章予以佐证）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1.5★UPS具有温度采样控制风机转速设计功能。（需提供第三方证明文件并加盖制造厂家公章）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1.6★UPS具有变压器固定装置设计。（需提供第三方证明文件并加盖制造厂家公章）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1.7★UPS基于触摸屏的反馈振动显示装置设计。（需提供第三方证明文件并加盖制造厂家公章）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1.8效率要求：正常模式时效率不低于91%，经济模式效率不低于97%。</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1.9静态开关指标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1.9.1过载能力：5分钟（1.5倍额定电流以下）,20ms（2倍额定电流）；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1.9.2切换时间：0ms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1.10UPS应具有遥控、遥信、遥测功能，具有电池监测及保护系统。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1.10.1遥信内容包括：输入电源故障、整流器故障、逆变器故障、工作方式（整流器、逆变器、旁路）、同步方式（内同步、外同步）、直流电压低、直流电压高。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1.10.2UPS主机标配RS232\RS485\USB\干接点（不少于5路）等通信接口，以便进行设备集中监控与管理。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1.11设备运行条件：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1.11.1环境温度：0-40℃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1.11.2相对湿度：95﹪（25℃，无凝露）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2、相关证书及其它要求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2.1★投标UPS电源品牌产品必须通过TLC泰尔认证、CQC节能认证、抗震认证，需提供第三方证明文件复印件并加盖厂家公章予以佐证。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2.2★制造厂家具有省级“高新技术企业证书”，企业信用等级AAA证书，不间断电源系统（UPS）相关国家标准制定单位证书。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2.3★投标产品制造企业需提供“UPS十强企业品牌”证书、“中国电源学会会员单位”证书、并提供有效的ISO9001、ISO45001、ISO14001管理体系认证证书，需提供复印件并加盖厂家公章予以佐证；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2.4★要求蓄电池与UPS主机同品牌，须提供厂家供货证明文件，且在证明函里注明厂家联系电话，以便确认产品的真伪。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2.5★UPS主机及蓄电池质保时间不得少于三年，在质保期内每年需免费提供3次上门巡检服务。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1、蓄电池时间1H，要求与UPS主机为同一品牌。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2、★设备供应商所提供的蓄电池必须包含：电池、电池连接线、电池箱及其它电池所需的内部连接材料且每组蓄电池必须配备1个直流空开。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3、★超长的使用寿命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采用板栅和合金设计，有效抵抗极板腐蚀；卓越的大电流放电特性，可靠的快速充电性能，优越的深度放电恢复能力，确保电池的使用寿命，浮充设计寿命≥6年（25℃）。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4、免维护的专业设计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采用高可靠的专业阀控密封式设计，确保电池不漏（渗）液、无酸雾、不腐蚀，并在充电时产生的气体基本被吸收还原成电解液，在使用时无需加水、补液和测量电解液比重。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5、容量保存率：</w:t>
            </w:r>
            <w:r>
              <w:rPr>
                <w:rFonts w:hint="eastAsia" w:ascii="宋体" w:hAnsi="宋体" w:eastAsia="宋体" w:cs="宋体"/>
                <w:i w:val="0"/>
                <w:iCs w:val="0"/>
                <w:color w:val="000000"/>
                <w:kern w:val="0"/>
                <w:sz w:val="36"/>
                <w:szCs w:val="36"/>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用优质高纯度材料设计，自放电电流极小，自放电所造成的容量损失每月小于3％，蓄电池在静置90天后，其容量保存率≥80%，减轻电池存储时的维护工作。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蓄电池容量是以10小时率放电容量C10为100%作为额定容量。10小时率容量第一次循环放出容量应≥95%C10；第三次循环放出容量应≥100%C10。3小时率1小时率的容量应分别在第四次和第五次以前达到。放电终止电压：10小时率为10.80V；3小时率为10.80V；1小时率为10.5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7、气密性：蓄电池应能承受50kPa的正压或负压而不破裂、不开胶，压力释放后壳体无残余变形。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8、合理的安装和结构设计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最新国际化的极柱设计和紧凑的整体结构设计，方便安装和拆卸，易于维护，大大节省用户成本。</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9、单体浮充电压:13.5-13.8V(25℃)单体均充电压:2.30V均充24小时;2.35V均充12小时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10、大电流放电：电池以30I10A放电3分钟，极柱不应熔断，其外观不得出现异常。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11、防酸雾性能：电池在正常工作中应无酸雾溢出。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12、安全阀要求：安全阀应有自动开启和自动关闭的性能，其开阀压应是40-49kPa，闭阀压应是10-15kPa。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蓄电池充电性能：蓄电池在使用前一般应进行补充充电，在25℃±5℃时单体以14.1V进行充电。蓄电池浮充电单体电压为13.38-13.62V；蓄电池均衡充电单体电压为13.80-14.1V。蓄电池最大充电电流≤2.5I10A，各项指标应正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14、蓄电池端电压的均衡性：由若干个单体组成一体的蓄电池，其各单体间的开路电压最高与最低差值≤20mV。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15、防爆性能：蓄电池在充电过程中遇有明火时内部不应被引爆。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16、电池间连接压降：蓄电池按1小时率电流放电时，两只电池之间的连接电压降，在电池极柱根部测量△U≤0.01V。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17、蓄电池在环境温度-20℃~+50℃条件下应能正常工作。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18、蓄电池环境工作性能：蓄电池在45℃的环境下，能释放额定容量（C10）的100%；蓄电池在-10℃的环境下，能释放额定容量（C10）的70%。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19、蓄电池恒压限流充电值：蓄电池在恒压条件下，最大充电电流可达2.5I10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20、蓄电池容量恢复功能：蓄电池经受短路循环5次后放电容量不低于额定容量（C10）的90%。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21、蓄电池寿命：在YD/T1436-2006的9.8.6的实验条件下，蓄电池循环寿命应不低于300次。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22、外观与结构：镀层牢固，漆面匀称，无剥落、锈蚀用裂痕等现象；电池表面平整，所有标牌、标记、文字符号应清晰、正确、整齐、牢固。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23、★投标蓄电池产品需具有泰尔认证证书以及对应的有效检验报告；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24、★提供厂家针对本项目的原厂项目授权和售后三年质保服务承诺书原件；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25、★投标蓄电池品牌产品需具有抗震认证证书以及有效的试验报告；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26、★蓄电池与UPS电源主机必须为同一品牌的原厂产品。为保证产品质量的可靠性，须提供厂家供货证明文件，且在证明函里注明厂商联系电话，以便确认产品真伪。电池箱现场组装，标配直流空开，内装32节12V100AH蓄电池，含25方电池连接线，加厚角钢制作，表面经防锈漆处理过，尺寸（长*宽*高）mm：780*880*1230，含主机到电池箱连接线及电池箱并线，国标BVR25平方，颜色：Black黑</w:t>
            </w:r>
          </w:p>
        </w:tc>
        <w:tc>
          <w:tcPr>
            <w:tcW w:w="937" w:type="dxa"/>
            <w:vAlign w:val="center"/>
          </w:tcPr>
          <w:p w14:paraId="6AE4451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w:t>
            </w:r>
          </w:p>
        </w:tc>
      </w:tr>
      <w:tr w14:paraId="71D8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9" w:hRule="atLeast"/>
        </w:trPr>
        <w:tc>
          <w:tcPr>
            <w:tcW w:w="1085" w:type="dxa"/>
            <w:vAlign w:val="center"/>
          </w:tcPr>
          <w:p w14:paraId="62426EE1">
            <w:pPr>
              <w:keepNext w:val="0"/>
              <w:keepLines w:val="0"/>
              <w:widowControl/>
              <w:suppressLineNumbers w:val="0"/>
              <w:jc w:val="center"/>
              <w:textAlignment w:val="center"/>
              <w:rPr>
                <w:rFonts w:hint="default" w:ascii="仿宋_GB2312" w:hAnsi="宋体" w:eastAsia="仿宋_GB2312" w:cs="仿宋_GB2312"/>
                <w:i w:val="0"/>
                <w:iCs w:val="0"/>
                <w:color w:val="000000"/>
                <w:kern w:val="0"/>
                <w:sz w:val="32"/>
                <w:szCs w:val="32"/>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24</w:t>
            </w:r>
          </w:p>
        </w:tc>
        <w:tc>
          <w:tcPr>
            <w:tcW w:w="1127" w:type="dxa"/>
            <w:vAlign w:val="center"/>
          </w:tcPr>
          <w:p w14:paraId="23937318">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4人餐桌（带餐椅）</w:t>
            </w:r>
          </w:p>
        </w:tc>
        <w:tc>
          <w:tcPr>
            <w:tcW w:w="6489" w:type="dxa"/>
            <w:vAlign w:val="center"/>
          </w:tcPr>
          <w:p w14:paraId="392218BC">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主要尺寸：桌面单人位宽度多边形、矩形≥600，圆形直径≥680，桌面深度T≥600，椅(凳)面宽度B2≥280，椅面深度T2≥260，椅凳面高度H400~460，圆凳面直径D≥280，椅面与桌面高度差280~340，椅(凳)前缘与桌面边缘距离L70~120，桌面板翘曲度对角线长度≥1400≤3.0，700≤对角线长度&lt;1400≤2.0，对角线长度&lt;700≤1.0，平整度桌面板≤0.2，桌面版、框架邻边垂直度，对角线长度≥1000≤3，对角线长度&lt;1000≤2，对边长度≥1000≤3，对边长度&lt;1000≤2底脚平稳性≤2.0桌面水平偏差≤7，圆管弯曲处圆度半径&lt;25≤2.0半径≥25≤2.5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多层板规格：1.斜边处理：周边斜角工艺；采用多层板合成，板25mm厚度，单面贴防火板，防水、阻燃，；桌面周边上油漆，国标E1级标准油漆；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2.面材：餐桌台面采用单面贴防火板，防火阻燃；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3.工艺：台面周边斜边处理：周边斜角工艺；桌面周边采用油漆封边处理；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4.桌面下方支撑框架采用40*30*1.5mm矩管钢架；斜连接杆(交叉架）40*50*2.0mm；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5.钢架结构：钢架结构采用折装结构设计；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座板：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1.椅坐\背：采用全新进口PP料+纤，一体成型，厚度10mm，过BIFMA测试，附证书。椅面可用开水直接消毒，不褪色、不变形，可回收利用，颜色多选；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2.椅脚架：采用≥50*50*1.2mm方管钢架制作，椅脚连接杆≥50*50*1.8mm；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3.椅脚套：采用全新PP料制作，可回收利用，规格为上Φ80mm\上Φ156mm脚套设计，具有防撞、防水、易清洁特点；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4.五金件：组装螺丝采用≥8级加硬处理，更加牢固。塑料脚垫，防滑处理。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5.桌椅钢件表面工艺：多次除油－酸洗—中和－表调－上膜－结晶－静电喷涂，钢架表面采用环保乳白色锤纹漆喷涂处理，200℃高温烘烤，表面平整光洁、喷塑均匀，防止漆面剥落现像；</w:t>
            </w:r>
          </w:p>
        </w:tc>
        <w:tc>
          <w:tcPr>
            <w:tcW w:w="937" w:type="dxa"/>
            <w:vAlign w:val="center"/>
          </w:tcPr>
          <w:p w14:paraId="4C36CC9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r>
      <w:tr w14:paraId="5BA7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5" w:hRule="atLeast"/>
        </w:trPr>
        <w:tc>
          <w:tcPr>
            <w:tcW w:w="1085" w:type="dxa"/>
            <w:vAlign w:val="center"/>
          </w:tcPr>
          <w:p w14:paraId="103F71C9">
            <w:pPr>
              <w:keepNext w:val="0"/>
              <w:keepLines w:val="0"/>
              <w:widowControl/>
              <w:suppressLineNumbers w:val="0"/>
              <w:jc w:val="center"/>
              <w:textAlignment w:val="center"/>
              <w:rPr>
                <w:rFonts w:hint="default" w:ascii="仿宋_GB2312" w:hAnsi="宋体" w:eastAsia="仿宋_GB2312" w:cs="仿宋_GB2312"/>
                <w:i w:val="0"/>
                <w:iCs w:val="0"/>
                <w:color w:val="000000"/>
                <w:kern w:val="0"/>
                <w:sz w:val="32"/>
                <w:szCs w:val="32"/>
                <w:highlight w:val="none"/>
                <w:u w:val="none"/>
                <w:lang w:val="en-US" w:eastAsia="zh-CN" w:bidi="ar"/>
              </w:rPr>
            </w:pPr>
            <w:r>
              <w:rPr>
                <w:rFonts w:hint="default" w:ascii="仿宋_GB2312" w:hAnsi="宋体" w:eastAsia="仿宋_GB2312" w:cs="仿宋_GB2312"/>
                <w:i w:val="0"/>
                <w:iCs w:val="0"/>
                <w:color w:val="000000"/>
                <w:kern w:val="0"/>
                <w:sz w:val="32"/>
                <w:szCs w:val="32"/>
                <w:highlight w:val="none"/>
                <w:u w:val="none"/>
                <w:lang w:val="en-US" w:eastAsia="zh-CN" w:bidi="ar"/>
              </w:rPr>
              <w:t>25</w:t>
            </w:r>
          </w:p>
        </w:tc>
        <w:tc>
          <w:tcPr>
            <w:tcW w:w="1127" w:type="dxa"/>
            <w:vAlign w:val="center"/>
          </w:tcPr>
          <w:p w14:paraId="2D7BFEA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圆桌（配套15张椅子）</w:t>
            </w:r>
          </w:p>
        </w:tc>
        <w:tc>
          <w:tcPr>
            <w:tcW w:w="6489" w:type="dxa"/>
            <w:vAlign w:val="center"/>
          </w:tcPr>
          <w:p w14:paraId="3E153B6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（1）材质：表面贴0.6mm胡桃木皮，基材选用中纤板；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（2）油漆：所有木制部分表面采用环保油漆；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（3）工艺：油漆工艺五底三面，符合工艺要求；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（4）台面：台面使用岩板；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（5）配置：桌面配置+玻璃转盘；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椅子（1）面料：采用医用抗菌超纤皮，（医用抗菌超纤皮厚度不低于1.2mm厚），防磨防污性好；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（2）海绵：采用高密度一体成型泡绵，再衬丝绵，密度不低于45，回弹力不低于35，拉伸强度不小于90KPA，环保型；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（3）油漆：所有木制部分表面采用环保油漆；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（4）脚架：实木油漆脚架，含水量严格控制在国家最高标准10%以内，南北温差变化率≤2%，需无卷翘、变形、开裂，并经防腐、防蛀处理；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（5）颜色由业主自定。</w:t>
            </w:r>
          </w:p>
        </w:tc>
        <w:tc>
          <w:tcPr>
            <w:tcW w:w="937" w:type="dxa"/>
            <w:vAlign w:val="center"/>
          </w:tcPr>
          <w:p w14:paraId="2E0779C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bl>
    <w:p w14:paraId="6588DADD">
      <w:pPr>
        <w:spacing w:line="440" w:lineRule="exact"/>
        <w:rPr>
          <w:rFonts w:hint="eastAsia" w:ascii="宋体" w:hAnsi="宋体"/>
          <w:b/>
          <w:color w:val="auto"/>
          <w:sz w:val="24"/>
          <w:highlight w:val="none"/>
        </w:rPr>
      </w:pPr>
      <w:bookmarkStart w:id="68" w:name="_Toc492733886"/>
      <w:bookmarkStart w:id="69" w:name="_Toc1203"/>
      <w:bookmarkStart w:id="70" w:name="_Toc86217003"/>
      <w:bookmarkStart w:id="71" w:name="_Toc233618986"/>
      <w:r>
        <w:rPr>
          <w:rFonts w:hint="eastAsia" w:hAnsi="宋体" w:cs="宋体"/>
          <w:b/>
          <w:color w:val="auto"/>
          <w:sz w:val="24"/>
          <w:szCs w:val="18"/>
          <w:highlight w:val="none"/>
          <w:lang w:eastAsia="zh-CN"/>
        </w:rPr>
        <w:t>二、</w:t>
      </w:r>
      <w:r>
        <w:rPr>
          <w:rFonts w:hint="eastAsia" w:ascii="宋体" w:hAnsi="宋体"/>
          <w:b/>
          <w:color w:val="auto"/>
          <w:sz w:val="24"/>
          <w:highlight w:val="none"/>
        </w:rPr>
        <w:t xml:space="preserve">服务要求： </w:t>
      </w:r>
    </w:p>
    <w:p w14:paraId="0DA825E4">
      <w:pPr>
        <w:autoSpaceDE w:val="0"/>
        <w:autoSpaceDN w:val="0"/>
        <w:adjustRightInd w:val="0"/>
        <w:snapToGrid w:val="0"/>
        <w:spacing w:line="440" w:lineRule="exact"/>
        <w:ind w:firstLine="240" w:firstLineChars="100"/>
        <w:textAlignment w:val="bottom"/>
        <w:rPr>
          <w:rFonts w:hint="eastAsia" w:ascii="宋体" w:hAnsi="宋体"/>
          <w:color w:val="auto"/>
          <w:sz w:val="24"/>
          <w:highlight w:val="none"/>
        </w:rPr>
      </w:pPr>
      <w:r>
        <w:rPr>
          <w:rFonts w:hint="eastAsia" w:ascii="宋体" w:hAnsi="宋体" w:cs="宋体"/>
          <w:bCs/>
          <w:color w:val="auto"/>
          <w:sz w:val="24"/>
          <w:highlight w:val="none"/>
        </w:rPr>
        <w:t>　1、投标人所报的产品的主要参数必须满足招标人的要求。</w:t>
      </w:r>
      <w:r>
        <w:rPr>
          <w:rFonts w:hint="eastAsia" w:ascii="宋体" w:hAnsi="宋体"/>
          <w:color w:val="auto"/>
          <w:sz w:val="24"/>
          <w:highlight w:val="none"/>
        </w:rPr>
        <w:t>中标人提供的</w:t>
      </w:r>
      <w:r>
        <w:rPr>
          <w:rFonts w:hint="eastAsia" w:ascii="宋体" w:hAnsi="宋体" w:cs="宋体"/>
          <w:bCs/>
          <w:color w:val="auto"/>
          <w:sz w:val="24"/>
          <w:highlight w:val="none"/>
        </w:rPr>
        <w:t>设备必须是原厂生产的全新产品，</w:t>
      </w:r>
      <w:r>
        <w:rPr>
          <w:rFonts w:hint="eastAsia" w:ascii="宋体" w:hAnsi="宋体"/>
          <w:color w:val="auto"/>
          <w:sz w:val="24"/>
          <w:highlight w:val="none"/>
        </w:rPr>
        <w:t>必须有厂名、生产地址、商标、合格证、</w:t>
      </w:r>
      <w:r>
        <w:rPr>
          <w:rFonts w:hint="eastAsia" w:ascii="宋体" w:hAnsi="宋体" w:cs="宋体"/>
          <w:bCs/>
          <w:color w:val="auto"/>
          <w:sz w:val="24"/>
          <w:highlight w:val="none"/>
        </w:rPr>
        <w:t>说明书，保修卡等整套</w:t>
      </w:r>
      <w:r>
        <w:rPr>
          <w:rFonts w:hint="eastAsia" w:ascii="宋体" w:hAnsi="宋体"/>
          <w:color w:val="auto"/>
          <w:sz w:val="24"/>
          <w:highlight w:val="none"/>
        </w:rPr>
        <w:t>出厂资料，符合国家及行业标准。</w:t>
      </w:r>
    </w:p>
    <w:p w14:paraId="2FC4D8CF">
      <w:pPr>
        <w:autoSpaceDE w:val="0"/>
        <w:autoSpaceDN w:val="0"/>
        <w:adjustRightInd w:val="0"/>
        <w:snapToGrid w:val="0"/>
        <w:spacing w:line="440" w:lineRule="exact"/>
        <w:textAlignment w:val="bottom"/>
        <w:rPr>
          <w:rFonts w:hint="eastAsia" w:ascii="宋体" w:hAnsi="宋体"/>
          <w:b/>
          <w:bCs/>
          <w:color w:val="auto"/>
          <w:sz w:val="24"/>
          <w:highlight w:val="none"/>
        </w:rPr>
      </w:pPr>
      <w:r>
        <w:rPr>
          <w:rFonts w:hint="eastAsia" w:ascii="宋体" w:hAnsi="宋体"/>
          <w:b/>
          <w:bCs/>
          <w:color w:val="auto"/>
          <w:sz w:val="24"/>
          <w:highlight w:val="none"/>
          <w:lang w:eastAsia="zh-CN"/>
        </w:rPr>
        <w:t>三</w:t>
      </w:r>
      <w:r>
        <w:rPr>
          <w:rFonts w:hint="eastAsia" w:ascii="宋体" w:hAnsi="宋体"/>
          <w:b/>
          <w:bCs/>
          <w:color w:val="auto"/>
          <w:sz w:val="24"/>
          <w:highlight w:val="none"/>
        </w:rPr>
        <w:t>、质量保证</w:t>
      </w:r>
    </w:p>
    <w:p w14:paraId="5C0E6B4E">
      <w:pPr>
        <w:autoSpaceDE w:val="0"/>
        <w:autoSpaceDN w:val="0"/>
        <w:adjustRightInd w:val="0"/>
        <w:snapToGrid w:val="0"/>
        <w:spacing w:line="440" w:lineRule="exact"/>
        <w:ind w:firstLine="240" w:firstLineChars="100"/>
        <w:textAlignment w:val="bottom"/>
        <w:rPr>
          <w:rFonts w:hint="eastAsia" w:ascii="宋体" w:hAnsi="宋体"/>
          <w:color w:val="auto"/>
          <w:sz w:val="24"/>
          <w:highlight w:val="none"/>
          <w:lang w:val="zh-CN" w:eastAsia="zh-CN"/>
        </w:rPr>
      </w:pPr>
      <w:r>
        <w:rPr>
          <w:rFonts w:hint="eastAsia" w:ascii="宋体" w:hAnsi="宋体"/>
          <w:color w:val="auto"/>
          <w:sz w:val="24"/>
          <w:highlight w:val="none"/>
          <w:lang w:val="en-US" w:eastAsia="zh-CN"/>
        </w:rPr>
        <w:t>1、</w:t>
      </w:r>
      <w:r>
        <w:rPr>
          <w:rFonts w:hint="eastAsia" w:ascii="宋体" w:hAnsi="宋体"/>
          <w:color w:val="auto"/>
          <w:sz w:val="24"/>
          <w:highlight w:val="none"/>
          <w:lang w:val="zh-CN" w:eastAsia="zh-CN"/>
        </w:rPr>
        <w:t>投标人</w:t>
      </w:r>
      <w:r>
        <w:rPr>
          <w:rFonts w:hint="eastAsia" w:ascii="宋体" w:hAnsi="宋体"/>
          <w:color w:val="auto"/>
          <w:sz w:val="24"/>
          <w:highlight w:val="none"/>
          <w:lang w:val="en-US" w:eastAsia="zh-CN"/>
        </w:rPr>
        <w:t>承诺</w:t>
      </w:r>
      <w:r>
        <w:rPr>
          <w:rFonts w:hint="eastAsia" w:ascii="宋体" w:hAnsi="宋体"/>
          <w:color w:val="auto"/>
          <w:sz w:val="24"/>
          <w:highlight w:val="none"/>
          <w:lang w:val="zh-CN" w:eastAsia="zh-CN"/>
        </w:rPr>
        <w:t>须对合同中规定的货物提供至少两年的质保期及免费维修和保养（必须响应或优于，否则作为无效标处理），时间从项目整体验收通过之日算起。在此期间，因产品制造质量不良而产生损坏或不能正常工作，中标人应免费维修和正常保养。</w:t>
      </w:r>
    </w:p>
    <w:p w14:paraId="4A5AAB0D">
      <w:pPr>
        <w:pStyle w:val="37"/>
        <w:ind w:left="0" w:leftChars="0" w:firstLine="0" w:firstLineChars="0"/>
        <w:rPr>
          <w:rFonts w:hint="eastAsia" w:ascii="宋体" w:hAnsi="宋体"/>
          <w:color w:val="auto"/>
          <w:sz w:val="24"/>
          <w:highlight w:val="none"/>
        </w:rPr>
      </w:pPr>
    </w:p>
    <w:p w14:paraId="57C3A84D">
      <w:pPr>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p w14:paraId="5CCF221C">
      <w:pPr>
        <w:pStyle w:val="47"/>
        <w:kinsoku/>
        <w:overflowPunct/>
        <w:bidi w:val="0"/>
        <w:snapToGrid w:val="0"/>
        <w:spacing w:line="400" w:lineRule="exac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第四部分  合同文本</w:t>
      </w:r>
      <w:bookmarkEnd w:id="68"/>
      <w:bookmarkEnd w:id="69"/>
    </w:p>
    <w:bookmarkEnd w:id="70"/>
    <w:bookmarkEnd w:id="71"/>
    <w:p w14:paraId="32D56C77">
      <w:pPr>
        <w:pStyle w:val="47"/>
        <w:kinsoku/>
        <w:overflowPunct/>
        <w:bidi w:val="0"/>
        <w:snapToGrid w:val="0"/>
        <w:spacing w:line="360" w:lineRule="auto"/>
        <w:jc w:val="center"/>
        <w:rPr>
          <w:rFonts w:hint="eastAsia" w:ascii="宋体" w:hAnsi="宋体" w:eastAsia="宋体" w:cs="宋体"/>
          <w:bCs/>
          <w:color w:val="auto"/>
          <w:sz w:val="24"/>
          <w:szCs w:val="24"/>
          <w:highlight w:val="none"/>
        </w:rPr>
      </w:pPr>
      <w:bookmarkStart w:id="72" w:name="_Toc2553"/>
      <w:bookmarkStart w:id="73" w:name="_Toc519670202"/>
      <w:bookmarkStart w:id="74" w:name="_Toc522530052"/>
      <w:bookmarkStart w:id="75" w:name="_Toc233618990"/>
      <w:bookmarkStart w:id="76" w:name="_Toc233618989"/>
      <w:r>
        <w:rPr>
          <w:rFonts w:hint="eastAsia" w:ascii="宋体" w:hAnsi="宋体" w:eastAsia="宋体" w:cs="宋体"/>
          <w:bCs/>
          <w:color w:val="auto"/>
          <w:sz w:val="24"/>
          <w:szCs w:val="24"/>
          <w:highlight w:val="none"/>
        </w:rPr>
        <w:t>（最终以双方实际签订合同条款为准）</w:t>
      </w:r>
    </w:p>
    <w:p w14:paraId="08514D8E">
      <w:pPr>
        <w:keepNext w:val="0"/>
        <w:keepLines w:val="0"/>
        <w:pageBreakBefore w:val="0"/>
        <w:kinsoku/>
        <w:wordWrap/>
        <w:overflowPunct/>
        <w:topLinePunct w:val="0"/>
        <w:bidi w:val="0"/>
        <w:snapToGrid/>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合同编号：</w:t>
      </w:r>
    </w:p>
    <w:p w14:paraId="6A27400D">
      <w:pPr>
        <w:keepNext w:val="0"/>
        <w:keepLines w:val="0"/>
        <w:pageBreakBefore w:val="0"/>
        <w:kinsoku/>
        <w:wordWrap/>
        <w:overflowPunct/>
        <w:topLinePunct w:val="0"/>
        <w:bidi w:val="0"/>
        <w:snapToGrid/>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甲  方： </w:t>
      </w:r>
    </w:p>
    <w:p w14:paraId="56E13377">
      <w:pPr>
        <w:keepNext w:val="0"/>
        <w:keepLines w:val="0"/>
        <w:pageBreakBefore w:val="0"/>
        <w:kinsoku/>
        <w:wordWrap/>
        <w:overflowPunct/>
        <w:topLinePunct w:val="0"/>
        <w:bidi w:val="0"/>
        <w:snapToGrid/>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乙  方： </w:t>
      </w:r>
    </w:p>
    <w:p w14:paraId="352B5416">
      <w:pPr>
        <w:keepNext w:val="0"/>
        <w:keepLines w:val="0"/>
        <w:pageBreakBefore w:val="0"/>
        <w:kinsoku/>
        <w:wordWrap/>
        <w:overflowPunct/>
        <w:topLinePunct w:val="0"/>
        <w:bidi w:val="0"/>
        <w:snapToGrid/>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合同签订地： </w:t>
      </w:r>
    </w:p>
    <w:p w14:paraId="4464A271">
      <w:pPr>
        <w:keepNext w:val="0"/>
        <w:keepLines w:val="0"/>
        <w:pageBreakBefore w:val="0"/>
        <w:kinsoku/>
        <w:wordWrap/>
        <w:overflowPunct/>
        <w:topLinePunct w:val="0"/>
        <w:bidi w:val="0"/>
        <w:snapToGrid/>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签约时间：   年    月   日                                          </w:t>
      </w:r>
    </w:p>
    <w:p w14:paraId="6C75161E">
      <w:pPr>
        <w:keepNext w:val="0"/>
        <w:keepLines w:val="0"/>
        <w:pageBreakBefore w:val="0"/>
        <w:kinsoku/>
        <w:wordWrap/>
        <w:overflowPunct/>
        <w:topLinePunct w:val="0"/>
        <w:bidi w:val="0"/>
        <w:snapToGrid/>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bookmarkStart w:id="77" w:name="_Toc213148696"/>
      <w:bookmarkStart w:id="78" w:name="_Toc215121745"/>
      <w:bookmarkStart w:id="79" w:name="_Toc212953362"/>
      <w:bookmarkStart w:id="80" w:name="_Toc212909821"/>
      <w:r>
        <w:rPr>
          <w:rFonts w:hint="eastAsia" w:ascii="宋体" w:hAnsi="宋体" w:eastAsia="宋体" w:cs="宋体"/>
          <w:color w:val="auto"/>
          <w:kern w:val="2"/>
          <w:sz w:val="24"/>
          <w:szCs w:val="24"/>
          <w:highlight w:val="none"/>
          <w:shd w:val="clear" w:color="auto" w:fill="auto"/>
          <w:lang w:val="en-US" w:eastAsia="zh-CN" w:bidi="ar-SA"/>
        </w:rPr>
        <w:t>甲、乙双方根据</w:t>
      </w:r>
      <w:r>
        <w:rPr>
          <w:rFonts w:hint="eastAsia" w:ascii="宋体" w:hAnsi="宋体" w:eastAsia="宋体" w:cs="宋体"/>
          <w:color w:val="auto"/>
          <w:kern w:val="2"/>
          <w:sz w:val="24"/>
          <w:szCs w:val="24"/>
          <w:highlight w:val="none"/>
          <w:u w:val="single"/>
          <w:shd w:val="clear" w:color="auto" w:fill="auto"/>
          <w:lang w:val="en-US" w:eastAsia="zh-CN" w:bidi="ar-SA"/>
        </w:rPr>
        <w:t xml:space="preserve">      （项目名称）     </w:t>
      </w:r>
      <w:r>
        <w:rPr>
          <w:rFonts w:hint="eastAsia" w:ascii="宋体" w:hAnsi="宋体" w:eastAsia="宋体" w:cs="宋体"/>
          <w:color w:val="auto"/>
          <w:kern w:val="2"/>
          <w:sz w:val="24"/>
          <w:szCs w:val="24"/>
          <w:highlight w:val="none"/>
          <w:shd w:val="clear" w:color="auto" w:fill="auto"/>
          <w:lang w:val="en-US" w:eastAsia="zh-CN" w:bidi="ar-SA"/>
        </w:rPr>
        <w:t>采购结果及其他有关法律、行政法规，遵循平等、自愿、公平和诚实信用的原则，双方就本项目实施事项协商一致，订立本合同，共同遵守。</w:t>
      </w:r>
      <w:bookmarkEnd w:id="77"/>
      <w:bookmarkEnd w:id="78"/>
      <w:bookmarkEnd w:id="79"/>
      <w:bookmarkEnd w:id="80"/>
    </w:p>
    <w:p w14:paraId="699F4C7D">
      <w:pPr>
        <w:pStyle w:val="47"/>
        <w:keepNext w:val="0"/>
        <w:keepLines w:val="0"/>
        <w:pageBreakBefore w:val="0"/>
        <w:numPr>
          <w:ilvl w:val="0"/>
          <w:numId w:val="0"/>
        </w:numPr>
        <w:kinsoku/>
        <w:wordWrap/>
        <w:overflowPunct/>
        <w:topLinePunct w:val="0"/>
        <w:bidi w:val="0"/>
        <w:snapToGrid/>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一、合同金额及清单:</w:t>
      </w:r>
    </w:p>
    <w:p w14:paraId="25AB3E33">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1.合同总价为：</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元（大写：人民币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w:t>
      </w:r>
    </w:p>
    <w:p w14:paraId="42E796D4">
      <w:pPr>
        <w:pStyle w:val="47"/>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（按实结算，最终结算价=投标报价*实际完成量) </w:t>
      </w:r>
    </w:p>
    <w:tbl>
      <w:tblPr>
        <w:tblStyle w:val="88"/>
        <w:tblpPr w:leftFromText="180" w:rightFromText="180" w:vertAnchor="text" w:horzAnchor="page" w:tblpX="1474" w:tblpY="437"/>
        <w:tblW w:w="9176" w:type="dxa"/>
        <w:jc w:val="right"/>
        <w:tblLayout w:type="fixed"/>
        <w:tblCellMar>
          <w:top w:w="0" w:type="dxa"/>
          <w:left w:w="108" w:type="dxa"/>
          <w:bottom w:w="0" w:type="dxa"/>
          <w:right w:w="108" w:type="dxa"/>
        </w:tblCellMar>
      </w:tblPr>
      <w:tblGrid>
        <w:gridCol w:w="840"/>
        <w:gridCol w:w="2208"/>
        <w:gridCol w:w="1332"/>
        <w:gridCol w:w="1050"/>
        <w:gridCol w:w="945"/>
        <w:gridCol w:w="1380"/>
        <w:gridCol w:w="1421"/>
      </w:tblGrid>
      <w:tr w14:paraId="504CCF4A">
        <w:tblPrEx>
          <w:tblCellMar>
            <w:top w:w="0" w:type="dxa"/>
            <w:left w:w="108" w:type="dxa"/>
            <w:bottom w:w="0" w:type="dxa"/>
            <w:right w:w="108" w:type="dxa"/>
          </w:tblCellMar>
        </w:tblPrEx>
        <w:trPr>
          <w:cantSplit/>
          <w:trHeight w:val="57" w:hRule="atLeast"/>
          <w:jc w:val="right"/>
        </w:trPr>
        <w:tc>
          <w:tcPr>
            <w:tcW w:w="840" w:type="dxa"/>
            <w:tcBorders>
              <w:top w:val="single" w:color="000000" w:sz="4" w:space="0"/>
              <w:left w:val="single" w:color="000000" w:sz="4" w:space="0"/>
              <w:bottom w:val="single" w:color="000000" w:sz="4" w:space="0"/>
              <w:right w:val="single" w:color="000000" w:sz="4" w:space="0"/>
            </w:tcBorders>
            <w:vAlign w:val="center"/>
          </w:tcPr>
          <w:p w14:paraId="06A6241E">
            <w:pPr>
              <w:keepNext w:val="0"/>
              <w:keepLines w:val="0"/>
              <w:pageBreakBefore w:val="0"/>
              <w:widowControl/>
              <w:kinsoku/>
              <w:wordWrap/>
              <w:overflowPunct/>
              <w:topLinePunct w:val="0"/>
              <w:bidi w:val="0"/>
              <w:snapToGrid/>
              <w:spacing w:line="360" w:lineRule="auto"/>
              <w:ind w:firstLine="0" w:firstLineChars="0"/>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序号</w:t>
            </w:r>
          </w:p>
        </w:tc>
        <w:tc>
          <w:tcPr>
            <w:tcW w:w="2208" w:type="dxa"/>
            <w:tcBorders>
              <w:top w:val="single" w:color="000000" w:sz="4" w:space="0"/>
              <w:left w:val="single" w:color="000000" w:sz="4" w:space="0"/>
              <w:bottom w:val="single" w:color="000000" w:sz="4" w:space="0"/>
              <w:right w:val="single" w:color="000000" w:sz="4" w:space="0"/>
            </w:tcBorders>
            <w:vAlign w:val="center"/>
          </w:tcPr>
          <w:p w14:paraId="3D90357D">
            <w:pPr>
              <w:keepNext w:val="0"/>
              <w:keepLines w:val="0"/>
              <w:pageBreakBefore w:val="0"/>
              <w:widowControl/>
              <w:kinsoku/>
              <w:wordWrap/>
              <w:overflowPunct/>
              <w:topLinePunct w:val="0"/>
              <w:bidi w:val="0"/>
              <w:snapToGrid/>
              <w:spacing w:line="360" w:lineRule="auto"/>
              <w:ind w:firstLine="0" w:firstLineChars="0"/>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名称</w:t>
            </w:r>
          </w:p>
        </w:tc>
        <w:tc>
          <w:tcPr>
            <w:tcW w:w="1332" w:type="dxa"/>
            <w:tcBorders>
              <w:top w:val="single" w:color="000000" w:sz="4" w:space="0"/>
              <w:left w:val="single" w:color="000000" w:sz="4" w:space="0"/>
              <w:bottom w:val="single" w:color="000000" w:sz="4" w:space="0"/>
              <w:right w:val="single" w:color="000000" w:sz="4" w:space="0"/>
            </w:tcBorders>
            <w:vAlign w:val="center"/>
          </w:tcPr>
          <w:p w14:paraId="219157D2">
            <w:pPr>
              <w:keepNext w:val="0"/>
              <w:keepLines w:val="0"/>
              <w:pageBreakBefore w:val="0"/>
              <w:widowControl/>
              <w:kinsoku/>
              <w:wordWrap/>
              <w:overflowPunct/>
              <w:topLinePunct w:val="0"/>
              <w:bidi w:val="0"/>
              <w:snapToGrid/>
              <w:spacing w:line="360" w:lineRule="auto"/>
              <w:ind w:firstLine="0" w:firstLineChars="0"/>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配置参数</w:t>
            </w:r>
          </w:p>
        </w:tc>
        <w:tc>
          <w:tcPr>
            <w:tcW w:w="1050" w:type="dxa"/>
            <w:tcBorders>
              <w:top w:val="single" w:color="000000" w:sz="4" w:space="0"/>
              <w:left w:val="single" w:color="000000" w:sz="4" w:space="0"/>
              <w:bottom w:val="single" w:color="000000" w:sz="4" w:space="0"/>
              <w:right w:val="single" w:color="000000" w:sz="4" w:space="0"/>
            </w:tcBorders>
            <w:vAlign w:val="center"/>
          </w:tcPr>
          <w:p w14:paraId="1CB2C71E">
            <w:pPr>
              <w:keepNext w:val="0"/>
              <w:keepLines w:val="0"/>
              <w:pageBreakBefore w:val="0"/>
              <w:widowControl/>
              <w:kinsoku/>
              <w:wordWrap/>
              <w:overflowPunct/>
              <w:topLinePunct w:val="0"/>
              <w:bidi w:val="0"/>
              <w:snapToGrid/>
              <w:spacing w:line="360" w:lineRule="auto"/>
              <w:ind w:firstLine="0" w:firstLineChars="0"/>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单位</w:t>
            </w:r>
          </w:p>
        </w:tc>
        <w:tc>
          <w:tcPr>
            <w:tcW w:w="945" w:type="dxa"/>
            <w:tcBorders>
              <w:top w:val="single" w:color="000000" w:sz="4" w:space="0"/>
              <w:left w:val="single" w:color="000000" w:sz="4" w:space="0"/>
              <w:bottom w:val="single" w:color="000000" w:sz="4" w:space="0"/>
              <w:right w:val="single" w:color="000000" w:sz="4" w:space="0"/>
            </w:tcBorders>
            <w:vAlign w:val="center"/>
          </w:tcPr>
          <w:p w14:paraId="4D58351A">
            <w:pPr>
              <w:keepNext w:val="0"/>
              <w:keepLines w:val="0"/>
              <w:pageBreakBefore w:val="0"/>
              <w:widowControl/>
              <w:kinsoku/>
              <w:wordWrap/>
              <w:overflowPunct/>
              <w:topLinePunct w:val="0"/>
              <w:bidi w:val="0"/>
              <w:snapToGrid/>
              <w:spacing w:line="360" w:lineRule="auto"/>
              <w:ind w:firstLine="0" w:firstLineChars="0"/>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数量</w:t>
            </w:r>
          </w:p>
        </w:tc>
        <w:tc>
          <w:tcPr>
            <w:tcW w:w="1380" w:type="dxa"/>
            <w:tcBorders>
              <w:top w:val="single" w:color="000000" w:sz="4" w:space="0"/>
              <w:left w:val="single" w:color="000000" w:sz="4" w:space="0"/>
              <w:bottom w:val="single" w:color="000000" w:sz="4" w:space="0"/>
              <w:right w:val="single" w:color="000000" w:sz="4" w:space="0"/>
            </w:tcBorders>
            <w:vAlign w:val="center"/>
          </w:tcPr>
          <w:p w14:paraId="30051589">
            <w:pPr>
              <w:keepNext w:val="0"/>
              <w:keepLines w:val="0"/>
              <w:pageBreakBefore w:val="0"/>
              <w:kinsoku/>
              <w:wordWrap/>
              <w:overflowPunct/>
              <w:topLinePunct w:val="0"/>
              <w:autoSpaceDE w:val="0"/>
              <w:autoSpaceDN w:val="0"/>
              <w:bidi w:val="0"/>
              <w:adjustRightInd w:val="0"/>
              <w:snapToGrid/>
              <w:spacing w:line="360" w:lineRule="auto"/>
              <w:ind w:firstLine="0" w:firstLineChars="0"/>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单价（元）</w:t>
            </w:r>
          </w:p>
        </w:tc>
        <w:tc>
          <w:tcPr>
            <w:tcW w:w="1421" w:type="dxa"/>
            <w:tcBorders>
              <w:top w:val="single" w:color="000000" w:sz="4" w:space="0"/>
              <w:left w:val="single" w:color="000000" w:sz="4" w:space="0"/>
              <w:bottom w:val="single" w:color="000000" w:sz="4" w:space="0"/>
              <w:right w:val="single" w:color="000000" w:sz="4" w:space="0"/>
            </w:tcBorders>
            <w:vAlign w:val="center"/>
          </w:tcPr>
          <w:p w14:paraId="59D5488F">
            <w:pPr>
              <w:keepNext w:val="0"/>
              <w:keepLines w:val="0"/>
              <w:pageBreakBefore w:val="0"/>
              <w:kinsoku/>
              <w:wordWrap/>
              <w:overflowPunct/>
              <w:topLinePunct w:val="0"/>
              <w:autoSpaceDE w:val="0"/>
              <w:autoSpaceDN w:val="0"/>
              <w:bidi w:val="0"/>
              <w:adjustRightInd w:val="0"/>
              <w:snapToGrid/>
              <w:spacing w:line="360" w:lineRule="auto"/>
              <w:ind w:firstLine="0" w:firstLineChars="0"/>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合计（元）</w:t>
            </w:r>
          </w:p>
        </w:tc>
      </w:tr>
      <w:tr w14:paraId="043CC48C">
        <w:tblPrEx>
          <w:tblCellMar>
            <w:top w:w="0" w:type="dxa"/>
            <w:left w:w="108" w:type="dxa"/>
            <w:bottom w:w="0" w:type="dxa"/>
            <w:right w:w="108" w:type="dxa"/>
          </w:tblCellMar>
        </w:tblPrEx>
        <w:trPr>
          <w:cantSplit/>
          <w:trHeight w:val="57" w:hRule="atLeast"/>
          <w:jc w:val="right"/>
        </w:trPr>
        <w:tc>
          <w:tcPr>
            <w:tcW w:w="840" w:type="dxa"/>
            <w:tcBorders>
              <w:top w:val="single" w:color="000000" w:sz="4" w:space="0"/>
              <w:left w:val="single" w:color="000000" w:sz="4" w:space="0"/>
              <w:bottom w:val="single" w:color="000000" w:sz="4" w:space="0"/>
              <w:right w:val="single" w:color="000000" w:sz="4" w:space="0"/>
            </w:tcBorders>
            <w:vAlign w:val="top"/>
          </w:tcPr>
          <w:p w14:paraId="4107858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2208" w:type="dxa"/>
            <w:tcBorders>
              <w:top w:val="single" w:color="000000" w:sz="4" w:space="0"/>
              <w:left w:val="single" w:color="000000" w:sz="4" w:space="0"/>
              <w:bottom w:val="single" w:color="000000" w:sz="4" w:space="0"/>
              <w:right w:val="single" w:color="000000" w:sz="4" w:space="0"/>
            </w:tcBorders>
            <w:vAlign w:val="top"/>
          </w:tcPr>
          <w:p w14:paraId="53D2ACD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4"/>
                <w:szCs w:val="24"/>
                <w:highlight w:val="none"/>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vAlign w:val="top"/>
          </w:tcPr>
          <w:p w14:paraId="614C1BE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top"/>
          </w:tcPr>
          <w:p w14:paraId="5BDEB4C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top"/>
          </w:tcPr>
          <w:p w14:paraId="3DA5A00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5A112024">
            <w:pPr>
              <w:pStyle w:val="47"/>
              <w:keepNext w:val="0"/>
              <w:keepLines w:val="0"/>
              <w:pageBreakBefore w:val="0"/>
              <w:tabs>
                <w:tab w:val="left" w:pos="180"/>
              </w:tabs>
              <w:kinsoku/>
              <w:wordWrap/>
              <w:overflowPunct/>
              <w:topLinePunct w:val="0"/>
              <w:bidi w:val="0"/>
              <w:snapToGrid/>
              <w:spacing w:line="360" w:lineRule="auto"/>
              <w:ind w:firstLine="0" w:firstLineChars="0"/>
              <w:rPr>
                <w:rFonts w:hint="eastAsia" w:ascii="宋体" w:hAnsi="宋体" w:eastAsia="宋体" w:cs="宋体"/>
                <w:color w:val="auto"/>
                <w:kern w:val="2"/>
                <w:sz w:val="24"/>
                <w:szCs w:val="24"/>
                <w:highlight w:val="none"/>
                <w:shd w:val="clear" w:color="auto" w:fill="auto"/>
                <w:lang w:val="en-US" w:eastAsia="zh-CN" w:bidi="ar-SA"/>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412F18A6">
            <w:pPr>
              <w:pStyle w:val="47"/>
              <w:keepNext w:val="0"/>
              <w:keepLines w:val="0"/>
              <w:pageBreakBefore w:val="0"/>
              <w:tabs>
                <w:tab w:val="left" w:pos="180"/>
              </w:tabs>
              <w:kinsoku/>
              <w:wordWrap/>
              <w:overflowPunct/>
              <w:topLinePunct w:val="0"/>
              <w:bidi w:val="0"/>
              <w:snapToGrid/>
              <w:spacing w:line="360" w:lineRule="auto"/>
              <w:ind w:firstLine="0" w:firstLineChars="0"/>
              <w:rPr>
                <w:rFonts w:hint="eastAsia" w:ascii="宋体" w:hAnsi="宋体" w:eastAsia="宋体" w:cs="宋体"/>
                <w:color w:val="auto"/>
                <w:kern w:val="2"/>
                <w:sz w:val="24"/>
                <w:szCs w:val="24"/>
                <w:highlight w:val="none"/>
                <w:shd w:val="clear" w:color="auto" w:fill="auto"/>
                <w:lang w:val="en-US" w:eastAsia="zh-CN" w:bidi="ar-SA"/>
              </w:rPr>
            </w:pPr>
          </w:p>
        </w:tc>
      </w:tr>
      <w:tr w14:paraId="2B244157">
        <w:tblPrEx>
          <w:tblCellMar>
            <w:top w:w="0" w:type="dxa"/>
            <w:left w:w="108" w:type="dxa"/>
            <w:bottom w:w="0" w:type="dxa"/>
            <w:right w:w="108" w:type="dxa"/>
          </w:tblCellMar>
        </w:tblPrEx>
        <w:trPr>
          <w:cantSplit/>
          <w:trHeight w:val="57" w:hRule="atLeast"/>
          <w:jc w:val="right"/>
        </w:trPr>
        <w:tc>
          <w:tcPr>
            <w:tcW w:w="840" w:type="dxa"/>
            <w:tcBorders>
              <w:top w:val="single" w:color="000000" w:sz="4" w:space="0"/>
              <w:left w:val="single" w:color="000000" w:sz="4" w:space="0"/>
              <w:bottom w:val="single" w:color="000000" w:sz="4" w:space="0"/>
              <w:right w:val="single" w:color="000000" w:sz="4" w:space="0"/>
            </w:tcBorders>
            <w:vAlign w:val="top"/>
          </w:tcPr>
          <w:p w14:paraId="31C879E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2208" w:type="dxa"/>
            <w:tcBorders>
              <w:top w:val="single" w:color="000000" w:sz="4" w:space="0"/>
              <w:left w:val="single" w:color="000000" w:sz="4" w:space="0"/>
              <w:bottom w:val="single" w:color="000000" w:sz="4" w:space="0"/>
              <w:right w:val="single" w:color="000000" w:sz="4" w:space="0"/>
            </w:tcBorders>
            <w:vAlign w:val="top"/>
          </w:tcPr>
          <w:p w14:paraId="1CAC33E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4"/>
                <w:szCs w:val="24"/>
                <w:highlight w:val="none"/>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vAlign w:val="top"/>
          </w:tcPr>
          <w:p w14:paraId="09C97F3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top"/>
          </w:tcPr>
          <w:p w14:paraId="48A19E4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top"/>
          </w:tcPr>
          <w:p w14:paraId="5FC448C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18887511">
            <w:pPr>
              <w:pStyle w:val="47"/>
              <w:keepNext w:val="0"/>
              <w:keepLines w:val="0"/>
              <w:pageBreakBefore w:val="0"/>
              <w:tabs>
                <w:tab w:val="left" w:pos="180"/>
              </w:tabs>
              <w:kinsoku/>
              <w:wordWrap/>
              <w:overflowPunct/>
              <w:topLinePunct w:val="0"/>
              <w:bidi w:val="0"/>
              <w:snapToGrid/>
              <w:spacing w:line="360" w:lineRule="auto"/>
              <w:ind w:firstLine="0" w:firstLineChars="0"/>
              <w:rPr>
                <w:rFonts w:hint="eastAsia" w:ascii="宋体" w:hAnsi="宋体" w:eastAsia="宋体" w:cs="宋体"/>
                <w:color w:val="auto"/>
                <w:kern w:val="2"/>
                <w:sz w:val="24"/>
                <w:szCs w:val="24"/>
                <w:highlight w:val="none"/>
                <w:shd w:val="clear" w:color="auto" w:fill="auto"/>
                <w:lang w:val="en-US" w:eastAsia="zh-CN" w:bidi="ar-SA"/>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3743B692">
            <w:pPr>
              <w:pStyle w:val="47"/>
              <w:keepNext w:val="0"/>
              <w:keepLines w:val="0"/>
              <w:pageBreakBefore w:val="0"/>
              <w:tabs>
                <w:tab w:val="left" w:pos="180"/>
              </w:tabs>
              <w:kinsoku/>
              <w:wordWrap/>
              <w:overflowPunct/>
              <w:topLinePunct w:val="0"/>
              <w:bidi w:val="0"/>
              <w:snapToGrid/>
              <w:spacing w:line="360" w:lineRule="auto"/>
              <w:ind w:firstLine="0" w:firstLineChars="0"/>
              <w:rPr>
                <w:rFonts w:hint="eastAsia" w:ascii="宋体" w:hAnsi="宋体" w:eastAsia="宋体" w:cs="宋体"/>
                <w:color w:val="auto"/>
                <w:kern w:val="2"/>
                <w:sz w:val="24"/>
                <w:szCs w:val="24"/>
                <w:highlight w:val="none"/>
                <w:shd w:val="clear" w:color="auto" w:fill="auto"/>
                <w:lang w:val="en-US" w:eastAsia="zh-CN" w:bidi="ar-SA"/>
              </w:rPr>
            </w:pPr>
          </w:p>
        </w:tc>
      </w:tr>
      <w:tr w14:paraId="283080B7">
        <w:tblPrEx>
          <w:tblCellMar>
            <w:top w:w="0" w:type="dxa"/>
            <w:left w:w="108" w:type="dxa"/>
            <w:bottom w:w="0" w:type="dxa"/>
            <w:right w:w="108" w:type="dxa"/>
          </w:tblCellMar>
        </w:tblPrEx>
        <w:trPr>
          <w:cantSplit/>
          <w:trHeight w:val="57" w:hRule="atLeast"/>
          <w:jc w:val="right"/>
        </w:trPr>
        <w:tc>
          <w:tcPr>
            <w:tcW w:w="840" w:type="dxa"/>
            <w:tcBorders>
              <w:top w:val="single" w:color="000000" w:sz="4" w:space="0"/>
              <w:left w:val="single" w:color="000000" w:sz="4" w:space="0"/>
              <w:bottom w:val="single" w:color="000000" w:sz="4" w:space="0"/>
              <w:right w:val="single" w:color="000000" w:sz="4" w:space="0"/>
            </w:tcBorders>
            <w:vAlign w:val="top"/>
          </w:tcPr>
          <w:p w14:paraId="22C4AE7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2208" w:type="dxa"/>
            <w:tcBorders>
              <w:top w:val="single" w:color="000000" w:sz="4" w:space="0"/>
              <w:left w:val="single" w:color="000000" w:sz="4" w:space="0"/>
              <w:bottom w:val="single" w:color="000000" w:sz="4" w:space="0"/>
              <w:right w:val="single" w:color="000000" w:sz="4" w:space="0"/>
            </w:tcBorders>
            <w:vAlign w:val="top"/>
          </w:tcPr>
          <w:p w14:paraId="5A04EF8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4"/>
                <w:szCs w:val="24"/>
                <w:highlight w:val="none"/>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vAlign w:val="top"/>
          </w:tcPr>
          <w:p w14:paraId="2B794CC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top"/>
          </w:tcPr>
          <w:p w14:paraId="0671C9B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top"/>
          </w:tcPr>
          <w:p w14:paraId="79B0649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16A6FCD9">
            <w:pPr>
              <w:pStyle w:val="47"/>
              <w:keepNext w:val="0"/>
              <w:keepLines w:val="0"/>
              <w:pageBreakBefore w:val="0"/>
              <w:tabs>
                <w:tab w:val="left" w:pos="180"/>
              </w:tabs>
              <w:kinsoku/>
              <w:wordWrap/>
              <w:overflowPunct/>
              <w:topLinePunct w:val="0"/>
              <w:bidi w:val="0"/>
              <w:snapToGrid/>
              <w:spacing w:line="360" w:lineRule="auto"/>
              <w:ind w:firstLine="0" w:firstLineChars="0"/>
              <w:rPr>
                <w:rFonts w:hint="eastAsia" w:ascii="宋体" w:hAnsi="宋体" w:eastAsia="宋体" w:cs="宋体"/>
                <w:color w:val="auto"/>
                <w:kern w:val="2"/>
                <w:sz w:val="24"/>
                <w:szCs w:val="24"/>
                <w:highlight w:val="none"/>
                <w:shd w:val="clear" w:color="auto" w:fill="auto"/>
                <w:lang w:val="en-US" w:eastAsia="zh-CN" w:bidi="ar-SA"/>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12A87DC2">
            <w:pPr>
              <w:pStyle w:val="47"/>
              <w:keepNext w:val="0"/>
              <w:keepLines w:val="0"/>
              <w:pageBreakBefore w:val="0"/>
              <w:tabs>
                <w:tab w:val="left" w:pos="180"/>
              </w:tabs>
              <w:kinsoku/>
              <w:wordWrap/>
              <w:overflowPunct/>
              <w:topLinePunct w:val="0"/>
              <w:bidi w:val="0"/>
              <w:snapToGrid/>
              <w:spacing w:line="360" w:lineRule="auto"/>
              <w:ind w:firstLine="0" w:firstLineChars="0"/>
              <w:rPr>
                <w:rFonts w:hint="eastAsia" w:ascii="宋体" w:hAnsi="宋体" w:eastAsia="宋体" w:cs="宋体"/>
                <w:color w:val="auto"/>
                <w:kern w:val="2"/>
                <w:sz w:val="24"/>
                <w:szCs w:val="24"/>
                <w:highlight w:val="none"/>
                <w:shd w:val="clear" w:color="auto" w:fill="auto"/>
                <w:lang w:val="en-US" w:eastAsia="zh-CN" w:bidi="ar-SA"/>
              </w:rPr>
            </w:pPr>
          </w:p>
        </w:tc>
      </w:tr>
      <w:tr w14:paraId="02E3659C">
        <w:tblPrEx>
          <w:tblCellMar>
            <w:top w:w="0" w:type="dxa"/>
            <w:left w:w="108" w:type="dxa"/>
            <w:bottom w:w="0" w:type="dxa"/>
            <w:right w:w="108" w:type="dxa"/>
          </w:tblCellMar>
        </w:tblPrEx>
        <w:trPr>
          <w:cantSplit/>
          <w:trHeight w:val="57" w:hRule="atLeast"/>
          <w:jc w:val="right"/>
        </w:trPr>
        <w:tc>
          <w:tcPr>
            <w:tcW w:w="840" w:type="dxa"/>
            <w:tcBorders>
              <w:top w:val="single" w:color="000000" w:sz="4" w:space="0"/>
              <w:left w:val="single" w:color="000000" w:sz="4" w:space="0"/>
              <w:bottom w:val="single" w:color="000000" w:sz="4" w:space="0"/>
              <w:right w:val="single" w:color="000000" w:sz="4" w:space="0"/>
            </w:tcBorders>
            <w:vAlign w:val="top"/>
          </w:tcPr>
          <w:p w14:paraId="27D6047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2208" w:type="dxa"/>
            <w:tcBorders>
              <w:top w:val="single" w:color="000000" w:sz="4" w:space="0"/>
              <w:left w:val="single" w:color="000000" w:sz="4" w:space="0"/>
              <w:bottom w:val="single" w:color="000000" w:sz="4" w:space="0"/>
              <w:right w:val="single" w:color="000000" w:sz="4" w:space="0"/>
            </w:tcBorders>
            <w:vAlign w:val="top"/>
          </w:tcPr>
          <w:p w14:paraId="655333D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vAlign w:val="top"/>
          </w:tcPr>
          <w:p w14:paraId="5951F36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top"/>
          </w:tcPr>
          <w:p w14:paraId="44FB0B6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top"/>
          </w:tcPr>
          <w:p w14:paraId="53DE90B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78C5DD74">
            <w:pPr>
              <w:pStyle w:val="47"/>
              <w:keepNext w:val="0"/>
              <w:keepLines w:val="0"/>
              <w:pageBreakBefore w:val="0"/>
              <w:tabs>
                <w:tab w:val="left" w:pos="180"/>
              </w:tabs>
              <w:kinsoku/>
              <w:wordWrap/>
              <w:overflowPunct/>
              <w:topLinePunct w:val="0"/>
              <w:bidi w:val="0"/>
              <w:snapToGrid/>
              <w:spacing w:line="360" w:lineRule="auto"/>
              <w:ind w:firstLine="0" w:firstLineChars="0"/>
              <w:rPr>
                <w:rFonts w:hint="eastAsia" w:ascii="宋体" w:hAnsi="宋体" w:eastAsia="宋体" w:cs="宋体"/>
                <w:color w:val="auto"/>
                <w:kern w:val="2"/>
                <w:sz w:val="24"/>
                <w:szCs w:val="24"/>
                <w:highlight w:val="none"/>
                <w:shd w:val="clear" w:color="auto" w:fill="auto"/>
                <w:lang w:val="en-US" w:eastAsia="zh-CN" w:bidi="ar-SA"/>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6CAAE6AA">
            <w:pPr>
              <w:pStyle w:val="47"/>
              <w:keepNext w:val="0"/>
              <w:keepLines w:val="0"/>
              <w:pageBreakBefore w:val="0"/>
              <w:tabs>
                <w:tab w:val="left" w:pos="180"/>
              </w:tabs>
              <w:kinsoku/>
              <w:wordWrap/>
              <w:overflowPunct/>
              <w:topLinePunct w:val="0"/>
              <w:bidi w:val="0"/>
              <w:snapToGrid/>
              <w:spacing w:line="360" w:lineRule="auto"/>
              <w:ind w:firstLine="0" w:firstLineChars="0"/>
              <w:rPr>
                <w:rFonts w:hint="eastAsia" w:ascii="宋体" w:hAnsi="宋体" w:eastAsia="宋体" w:cs="宋体"/>
                <w:color w:val="auto"/>
                <w:kern w:val="2"/>
                <w:sz w:val="24"/>
                <w:szCs w:val="24"/>
                <w:highlight w:val="none"/>
                <w:shd w:val="clear" w:color="auto" w:fill="auto"/>
                <w:lang w:val="en-US" w:eastAsia="zh-CN" w:bidi="ar-SA"/>
              </w:rPr>
            </w:pPr>
          </w:p>
        </w:tc>
      </w:tr>
      <w:tr w14:paraId="1272D5B8">
        <w:tblPrEx>
          <w:tblCellMar>
            <w:top w:w="0" w:type="dxa"/>
            <w:left w:w="108" w:type="dxa"/>
            <w:bottom w:w="0" w:type="dxa"/>
            <w:right w:w="108" w:type="dxa"/>
          </w:tblCellMar>
        </w:tblPrEx>
        <w:trPr>
          <w:cantSplit/>
          <w:trHeight w:val="57" w:hRule="atLeast"/>
          <w:jc w:val="right"/>
        </w:trPr>
        <w:tc>
          <w:tcPr>
            <w:tcW w:w="840" w:type="dxa"/>
            <w:tcBorders>
              <w:top w:val="single" w:color="000000" w:sz="4" w:space="0"/>
              <w:left w:val="single" w:color="000000" w:sz="4" w:space="0"/>
              <w:bottom w:val="single" w:color="000000" w:sz="4" w:space="0"/>
              <w:right w:val="single" w:color="000000" w:sz="4" w:space="0"/>
            </w:tcBorders>
            <w:vAlign w:val="top"/>
          </w:tcPr>
          <w:p w14:paraId="2381C1E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2208" w:type="dxa"/>
            <w:tcBorders>
              <w:top w:val="single" w:color="000000" w:sz="4" w:space="0"/>
              <w:left w:val="single" w:color="000000" w:sz="4" w:space="0"/>
              <w:bottom w:val="single" w:color="000000" w:sz="4" w:space="0"/>
              <w:right w:val="single" w:color="000000" w:sz="4" w:space="0"/>
            </w:tcBorders>
            <w:vAlign w:val="top"/>
          </w:tcPr>
          <w:p w14:paraId="227885B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vAlign w:val="top"/>
          </w:tcPr>
          <w:p w14:paraId="45CC434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top"/>
          </w:tcPr>
          <w:p w14:paraId="6797D13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top"/>
          </w:tcPr>
          <w:p w14:paraId="245C3F6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24A332E5">
            <w:pPr>
              <w:pStyle w:val="47"/>
              <w:keepNext w:val="0"/>
              <w:keepLines w:val="0"/>
              <w:pageBreakBefore w:val="0"/>
              <w:tabs>
                <w:tab w:val="left" w:pos="180"/>
              </w:tabs>
              <w:kinsoku/>
              <w:wordWrap/>
              <w:overflowPunct/>
              <w:topLinePunct w:val="0"/>
              <w:bidi w:val="0"/>
              <w:snapToGrid/>
              <w:spacing w:line="360" w:lineRule="auto"/>
              <w:ind w:firstLine="0" w:firstLineChars="0"/>
              <w:rPr>
                <w:rFonts w:hint="eastAsia" w:ascii="宋体" w:hAnsi="宋体" w:eastAsia="宋体" w:cs="宋体"/>
                <w:color w:val="auto"/>
                <w:kern w:val="2"/>
                <w:sz w:val="24"/>
                <w:szCs w:val="24"/>
                <w:highlight w:val="none"/>
                <w:shd w:val="clear" w:color="auto" w:fill="auto"/>
                <w:lang w:val="en-US" w:eastAsia="zh-CN" w:bidi="ar-SA"/>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0D5A8884">
            <w:pPr>
              <w:pStyle w:val="47"/>
              <w:keepNext w:val="0"/>
              <w:keepLines w:val="0"/>
              <w:pageBreakBefore w:val="0"/>
              <w:tabs>
                <w:tab w:val="left" w:pos="180"/>
              </w:tabs>
              <w:kinsoku/>
              <w:wordWrap/>
              <w:overflowPunct/>
              <w:topLinePunct w:val="0"/>
              <w:bidi w:val="0"/>
              <w:snapToGrid/>
              <w:spacing w:line="360" w:lineRule="auto"/>
              <w:ind w:firstLine="0" w:firstLineChars="0"/>
              <w:rPr>
                <w:rFonts w:hint="eastAsia" w:ascii="宋体" w:hAnsi="宋体" w:eastAsia="宋体" w:cs="宋体"/>
                <w:color w:val="auto"/>
                <w:kern w:val="2"/>
                <w:sz w:val="24"/>
                <w:szCs w:val="24"/>
                <w:highlight w:val="none"/>
                <w:shd w:val="clear" w:color="auto" w:fill="auto"/>
                <w:lang w:val="en-US" w:eastAsia="zh-CN" w:bidi="ar-SA"/>
              </w:rPr>
            </w:pPr>
          </w:p>
        </w:tc>
      </w:tr>
      <w:tr w14:paraId="16CED70A">
        <w:tblPrEx>
          <w:tblCellMar>
            <w:top w:w="0" w:type="dxa"/>
            <w:left w:w="108" w:type="dxa"/>
            <w:bottom w:w="0" w:type="dxa"/>
            <w:right w:w="108" w:type="dxa"/>
          </w:tblCellMar>
        </w:tblPrEx>
        <w:trPr>
          <w:cantSplit/>
          <w:trHeight w:val="57" w:hRule="atLeast"/>
          <w:jc w:val="right"/>
        </w:trPr>
        <w:tc>
          <w:tcPr>
            <w:tcW w:w="840" w:type="dxa"/>
            <w:tcBorders>
              <w:top w:val="single" w:color="000000" w:sz="4" w:space="0"/>
              <w:left w:val="single" w:color="000000" w:sz="4" w:space="0"/>
              <w:bottom w:val="single" w:color="000000" w:sz="4" w:space="0"/>
              <w:right w:val="single" w:color="000000" w:sz="4" w:space="0"/>
            </w:tcBorders>
            <w:vAlign w:val="top"/>
          </w:tcPr>
          <w:p w14:paraId="5D04302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c>
          <w:tcPr>
            <w:tcW w:w="2208" w:type="dxa"/>
            <w:tcBorders>
              <w:top w:val="single" w:color="000000" w:sz="4" w:space="0"/>
              <w:left w:val="single" w:color="000000" w:sz="4" w:space="0"/>
              <w:bottom w:val="single" w:color="000000" w:sz="4" w:space="0"/>
              <w:right w:val="single" w:color="000000" w:sz="4" w:space="0"/>
            </w:tcBorders>
            <w:vAlign w:val="top"/>
          </w:tcPr>
          <w:p w14:paraId="0FEA485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p>
        </w:tc>
        <w:tc>
          <w:tcPr>
            <w:tcW w:w="1332" w:type="dxa"/>
            <w:tcBorders>
              <w:top w:val="single" w:color="000000" w:sz="4" w:space="0"/>
              <w:left w:val="single" w:color="000000" w:sz="4" w:space="0"/>
              <w:bottom w:val="single" w:color="000000" w:sz="4" w:space="0"/>
              <w:right w:val="single" w:color="000000" w:sz="4" w:space="0"/>
            </w:tcBorders>
            <w:vAlign w:val="top"/>
          </w:tcPr>
          <w:p w14:paraId="3AA812C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top"/>
          </w:tcPr>
          <w:p w14:paraId="3468684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945" w:type="dxa"/>
            <w:tcBorders>
              <w:top w:val="single" w:color="000000" w:sz="4" w:space="0"/>
              <w:left w:val="single" w:color="000000" w:sz="4" w:space="0"/>
              <w:bottom w:val="single" w:color="000000" w:sz="4" w:space="0"/>
              <w:right w:val="single" w:color="000000" w:sz="4" w:space="0"/>
            </w:tcBorders>
            <w:vAlign w:val="top"/>
          </w:tcPr>
          <w:p w14:paraId="35AE79D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51AC1E18">
            <w:pPr>
              <w:pStyle w:val="47"/>
              <w:keepNext w:val="0"/>
              <w:keepLines w:val="0"/>
              <w:pageBreakBefore w:val="0"/>
              <w:tabs>
                <w:tab w:val="left" w:pos="180"/>
              </w:tabs>
              <w:kinsoku/>
              <w:wordWrap/>
              <w:overflowPunct/>
              <w:topLinePunct w:val="0"/>
              <w:bidi w:val="0"/>
              <w:snapToGrid/>
              <w:spacing w:line="360" w:lineRule="auto"/>
              <w:ind w:firstLine="0" w:firstLineChars="0"/>
              <w:rPr>
                <w:rFonts w:hint="eastAsia" w:ascii="宋体" w:hAnsi="宋体" w:eastAsia="宋体" w:cs="宋体"/>
                <w:color w:val="auto"/>
                <w:kern w:val="2"/>
                <w:sz w:val="24"/>
                <w:szCs w:val="24"/>
                <w:highlight w:val="none"/>
                <w:shd w:val="clear" w:color="auto" w:fill="auto"/>
                <w:lang w:val="en-US" w:eastAsia="zh-CN" w:bidi="ar-SA"/>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46720AF0">
            <w:pPr>
              <w:pStyle w:val="47"/>
              <w:keepNext w:val="0"/>
              <w:keepLines w:val="0"/>
              <w:pageBreakBefore w:val="0"/>
              <w:tabs>
                <w:tab w:val="left" w:pos="180"/>
              </w:tabs>
              <w:kinsoku/>
              <w:wordWrap/>
              <w:overflowPunct/>
              <w:topLinePunct w:val="0"/>
              <w:bidi w:val="0"/>
              <w:snapToGrid/>
              <w:spacing w:line="360" w:lineRule="auto"/>
              <w:ind w:firstLine="0" w:firstLineChars="0"/>
              <w:rPr>
                <w:rFonts w:hint="eastAsia" w:ascii="宋体" w:hAnsi="宋体" w:eastAsia="宋体" w:cs="宋体"/>
                <w:color w:val="auto"/>
                <w:kern w:val="2"/>
                <w:sz w:val="24"/>
                <w:szCs w:val="24"/>
                <w:highlight w:val="none"/>
                <w:shd w:val="clear" w:color="auto" w:fill="auto"/>
                <w:lang w:val="en-US" w:eastAsia="zh-CN" w:bidi="ar-SA"/>
              </w:rPr>
            </w:pPr>
          </w:p>
        </w:tc>
      </w:tr>
    </w:tbl>
    <w:p w14:paraId="667F81D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注：1、实际供货数量根据项目实际需求，以采购人的书面通知或传真为准</w:t>
      </w:r>
    </w:p>
    <w:p w14:paraId="5006001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2、本项目采用固定综合单价合同，按实结算。合同期间综合单价不予调整。</w:t>
      </w:r>
    </w:p>
    <w:p w14:paraId="205271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2"/>
          <w:sz w:val="24"/>
          <w:szCs w:val="24"/>
          <w:highlight w:val="none"/>
          <w:shd w:val="clear" w:color="auto" w:fill="auto"/>
          <w:lang w:val="en-US" w:eastAsia="zh-CN" w:bidi="ar-SA"/>
        </w:rPr>
        <w:t>以上综合单价</w:t>
      </w:r>
      <w:r>
        <w:rPr>
          <w:rFonts w:hint="eastAsia" w:ascii="宋体" w:hAnsi="宋体" w:eastAsia="宋体" w:cs="宋体"/>
          <w:bCs/>
          <w:color w:val="auto"/>
          <w:sz w:val="24"/>
          <w:szCs w:val="24"/>
          <w:highlight w:val="none"/>
          <w:lang w:val="zh-CN"/>
        </w:rPr>
        <w:t>包括本次的货物价款、人工费、材料费、运输保险费、安装调试费（含安装人工等相关人工费用）、售后服务、各项税金、验收费等所有费用。</w:t>
      </w:r>
    </w:p>
    <w:p w14:paraId="24E55D2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二、组成合同的文件</w:t>
      </w:r>
    </w:p>
    <w:p w14:paraId="37464E9C">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 组成本合同的文件包括：</w:t>
      </w:r>
    </w:p>
    <w:p w14:paraId="647E06BE">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1.1本合同条款</w:t>
      </w:r>
    </w:p>
    <w:p w14:paraId="62A45397">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1.2成交通知书</w:t>
      </w:r>
    </w:p>
    <w:p w14:paraId="3872B150">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1.3采购文件</w:t>
      </w:r>
    </w:p>
    <w:p w14:paraId="20B95BC8">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1.4标准、规范及有关技术文件</w:t>
      </w:r>
    </w:p>
    <w:p w14:paraId="2ACAAAD3">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1.5投标响应文件</w:t>
      </w:r>
    </w:p>
    <w:p w14:paraId="5824BE4D">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双方有关本项目的洽商、变更、调整等书面协议或文件视为本合同的组成部分。</w:t>
      </w:r>
    </w:p>
    <w:p w14:paraId="2187B985">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2.本合同文件解释</w:t>
      </w:r>
    </w:p>
    <w:p w14:paraId="5A33B851">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解释合同文件的优先顺序按第3.1款顺序，当合同文件出现含糊不清或不一致时，由双方协商解决。</w:t>
      </w:r>
    </w:p>
    <w:p w14:paraId="42104029">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3.适用的法律、法规和规章</w:t>
      </w:r>
    </w:p>
    <w:p w14:paraId="6A460D71">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适用于本合同的法律、法规和规章是中华人民共和国法律、行政法规以及国务院有关部门的规章和地方法规和规章。</w:t>
      </w:r>
    </w:p>
    <w:p w14:paraId="1412B8D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三、质量保证</w:t>
      </w:r>
    </w:p>
    <w:p w14:paraId="0B5D9B52">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乙方保证本合同中所供应的货物符合国家技术规格和质量标准的出厂合格产品；如发生所供商品与合同不符，甲方有权拒收或退货，由此产生的一切责任和后果由乙方承担。</w:t>
      </w:r>
    </w:p>
    <w:p w14:paraId="5F68023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四、交货地点、时间及要求</w:t>
      </w:r>
    </w:p>
    <w:p w14:paraId="0019E005">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交货地点：甲方指定地点</w:t>
      </w:r>
    </w:p>
    <w:p w14:paraId="468D8D0F">
      <w:pPr>
        <w:keepNext w:val="0"/>
        <w:keepLines w:val="0"/>
        <w:pageBreakBefore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履约保证金</w:t>
      </w:r>
    </w:p>
    <w:p w14:paraId="443CD7C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trike w:val="0"/>
          <w:dstrike w:val="0"/>
          <w:color w:val="auto"/>
          <w:kern w:val="2"/>
          <w:sz w:val="24"/>
          <w:szCs w:val="24"/>
          <w:highlight w:val="none"/>
          <w:shd w:val="clear" w:color="auto" w:fill="auto"/>
          <w:lang w:val="en-US" w:eastAsia="zh-CN" w:bidi="ar-SA"/>
        </w:rPr>
      </w:pPr>
      <w:r>
        <w:rPr>
          <w:rFonts w:hint="eastAsia" w:ascii="宋体" w:hAnsi="宋体" w:eastAsia="宋体" w:cs="宋体"/>
          <w:strike w:val="0"/>
          <w:dstrike w:val="0"/>
          <w:color w:val="auto"/>
          <w:kern w:val="2"/>
          <w:sz w:val="24"/>
          <w:szCs w:val="24"/>
          <w:highlight w:val="none"/>
          <w:shd w:val="clear" w:color="auto" w:fill="auto"/>
          <w:lang w:val="en-US" w:eastAsia="zh-CN" w:bidi="ar-SA"/>
        </w:rPr>
        <w:t>本项目不收取履约保证金。</w:t>
      </w:r>
    </w:p>
    <w:p w14:paraId="648CD216">
      <w:pPr>
        <w:keepNext w:val="0"/>
        <w:keepLines w:val="0"/>
        <w:pageBreakBefore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付款方式：</w:t>
      </w:r>
    </w:p>
    <w:p w14:paraId="608CD40E">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合同签订后</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个工作日内，乙方提供预付款担保（签约合同价</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%），担保形式采用银行保函或保险保函(保险保函须由衢州设有分支机构出具)</w:t>
      </w:r>
      <w:r>
        <w:rPr>
          <w:rFonts w:hint="eastAsia" w:ascii="宋体" w:hAnsi="宋体" w:eastAsia="宋体" w:cs="宋体"/>
          <w:color w:val="auto"/>
          <w:sz w:val="24"/>
          <w:szCs w:val="24"/>
          <w:highlight w:val="none"/>
          <w:lang w:eastAsia="zh-CN"/>
        </w:rPr>
        <w:t>，</w:t>
      </w:r>
    </w:p>
    <w:p w14:paraId="6A676394">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甲方在合同生效</w:t>
      </w:r>
      <w:r>
        <w:rPr>
          <w:rFonts w:hint="eastAsia" w:ascii="宋体" w:hAnsi="宋体" w:eastAsia="宋体" w:cs="宋体"/>
          <w:color w:val="auto"/>
          <w:sz w:val="24"/>
          <w:szCs w:val="24"/>
          <w:highlight w:val="none"/>
          <w:lang w:val="en-US" w:eastAsia="zh-CN"/>
        </w:rPr>
        <w:t>以及具备实施条件</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rPr>
        <w:t>个工作日内</w:t>
      </w:r>
      <w:r>
        <w:rPr>
          <w:rFonts w:hint="eastAsia" w:ascii="宋体" w:hAnsi="宋体" w:eastAsia="宋体" w:cs="宋体"/>
          <w:color w:val="auto"/>
          <w:kern w:val="2"/>
          <w:sz w:val="24"/>
          <w:szCs w:val="24"/>
          <w:highlight w:val="none"/>
          <w:shd w:val="clear" w:color="auto" w:fill="auto"/>
          <w:lang w:val="en-US" w:eastAsia="zh-CN" w:bidi="ar-SA"/>
        </w:rPr>
        <w:t>支付至合同总价的50%作为预付款，货物安装完成初验后支付至合同总价的80%，资料收集完成并验收合格后支付至合同总价的100%。</w:t>
      </w:r>
    </w:p>
    <w:p w14:paraId="701CEC9A">
      <w:pPr>
        <w:pStyle w:val="35"/>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七、质保期</w:t>
      </w:r>
    </w:p>
    <w:p w14:paraId="66DE30B6">
      <w:pPr>
        <w:pStyle w:val="35"/>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验收合格之日起提供</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b/>
          <w:bCs/>
          <w:color w:val="auto"/>
          <w:kern w:val="2"/>
          <w:sz w:val="24"/>
          <w:szCs w:val="24"/>
          <w:highlight w:val="none"/>
          <w:u w:val="single"/>
          <w:shd w:val="clear" w:color="auto" w:fill="auto"/>
          <w:lang w:val="en-US" w:eastAsia="zh-CN" w:bidi="ar-SA"/>
        </w:rPr>
        <w:t xml:space="preserve">  </w:t>
      </w:r>
      <w:r>
        <w:rPr>
          <w:rFonts w:hint="eastAsia" w:ascii="宋体" w:hAnsi="宋体" w:eastAsia="宋体" w:cs="宋体"/>
          <w:b w:val="0"/>
          <w:bCs w:val="0"/>
          <w:color w:val="auto"/>
          <w:kern w:val="2"/>
          <w:sz w:val="24"/>
          <w:szCs w:val="24"/>
          <w:highlight w:val="none"/>
          <w:u w:val="single"/>
          <w:shd w:val="clear" w:color="auto" w:fill="auto"/>
          <w:lang w:val="en-US" w:eastAsia="zh-CN" w:bidi="ar-SA"/>
        </w:rPr>
        <w:t xml:space="preserve"> </w:t>
      </w:r>
      <w:r>
        <w:rPr>
          <w:rFonts w:hint="eastAsia" w:ascii="宋体" w:hAnsi="宋体" w:eastAsia="宋体" w:cs="宋体"/>
          <w:b w:val="0"/>
          <w:bCs w:val="0"/>
          <w:color w:val="auto"/>
          <w:kern w:val="2"/>
          <w:sz w:val="24"/>
          <w:szCs w:val="24"/>
          <w:highlight w:val="none"/>
          <w:shd w:val="clear" w:color="auto" w:fill="auto"/>
          <w:lang w:val="en-US" w:eastAsia="zh-CN" w:bidi="ar-SA"/>
        </w:rPr>
        <w:t>年免费质保。</w:t>
      </w:r>
    </w:p>
    <w:p w14:paraId="4C11C118">
      <w:pPr>
        <w:pStyle w:val="35"/>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八、验收</w:t>
      </w:r>
    </w:p>
    <w:p w14:paraId="20A67084">
      <w:pPr>
        <w:pStyle w:val="35"/>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1、验收由甲方按规定组织相关人员进行验收。</w:t>
      </w:r>
    </w:p>
    <w:p w14:paraId="786FA993">
      <w:pPr>
        <w:pStyle w:val="35"/>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2、甲方依据采购文件上的技术规格要求和国家有关质量标准进行现场验收。验收合格后由甲方在验收单上签字并加盖单位公章。</w:t>
      </w:r>
    </w:p>
    <w:p w14:paraId="2B0CED96">
      <w:pPr>
        <w:pStyle w:val="35"/>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3、验收时乙方必须在现场，验收费用由乙方负责。</w:t>
      </w:r>
    </w:p>
    <w:p w14:paraId="5EA72030">
      <w:pPr>
        <w:pStyle w:val="35"/>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九、质量保证及后续服务</w:t>
      </w:r>
    </w:p>
    <w:p w14:paraId="4A02695C">
      <w:pPr>
        <w:pStyle w:val="35"/>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1、乙方应按采购文件规定的货物性能、技术要求、质量标准向甲方提供未经使用的全新产品。</w:t>
      </w:r>
    </w:p>
    <w:p w14:paraId="1D5288E4">
      <w:pPr>
        <w:pStyle w:val="35"/>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2、乙方提供的货物在质保期内因货物本身的质量问题发生故障，乙方应负责免费更换。对达不到技术要求者，根据实际情况，经双方协商，可按按以下办法处理：</w:t>
      </w:r>
    </w:p>
    <w:p w14:paraId="6FBFC3ED">
      <w:pPr>
        <w:pStyle w:val="35"/>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（1）更换：由乙方承担所发生的全部费用。</w:t>
      </w:r>
    </w:p>
    <w:p w14:paraId="098E1A56">
      <w:pPr>
        <w:pStyle w:val="35"/>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（2）贬值处理：由甲乙双方合议定价。</w:t>
      </w:r>
    </w:p>
    <w:p w14:paraId="37AAAECD">
      <w:pPr>
        <w:pStyle w:val="35"/>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（3）退货处理：乙方应退还甲方支付的合同款，同日时应承担该货物的直接费用（运输、保险、检验、货款利息及银行手续费等）。</w:t>
      </w:r>
    </w:p>
    <w:p w14:paraId="1D99EDF7">
      <w:pPr>
        <w:pStyle w:val="35"/>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十、违约责任</w:t>
      </w:r>
    </w:p>
    <w:p w14:paraId="28246E36">
      <w:pPr>
        <w:pStyle w:val="35"/>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1、甲方逾期验收和办理货款支付手续的，甲方应按逾期付款该批次货款总额每日百分之一向乙方支付违约金。</w:t>
      </w:r>
    </w:p>
    <w:p w14:paraId="17337B30">
      <w:pPr>
        <w:pStyle w:val="35"/>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2、乙方逾期交付货物的，全额没收履约保证金，甲方可解除本合同。</w:t>
      </w:r>
    </w:p>
    <w:p w14:paraId="6A9FB039">
      <w:pPr>
        <w:pStyle w:val="35"/>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3、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259D6D80">
      <w:pPr>
        <w:pStyle w:val="35"/>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4、乙方对甲方下达的任何一项任务必须无条件接受，不得推托，如果无故推托一次，则在合同价中扣除5000元，推托三次以上，甲方可单方面解除合同。</w:t>
      </w:r>
    </w:p>
    <w:p w14:paraId="474AF89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十一、安全责任</w:t>
      </w:r>
    </w:p>
    <w:p w14:paraId="7B63228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项目实施过程中的各种意外，其责任由乙方承担，甲方不承担任何责任。</w:t>
      </w:r>
    </w:p>
    <w:p w14:paraId="0F9B8D0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十二、不可抗力事件处理</w:t>
      </w:r>
    </w:p>
    <w:p w14:paraId="4B8B49D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1、在合同有效期内，任何一方因不可抗力事件导致不能履行合同，则合同履行期可延长其延长期与不可抗力影响期相同</w:t>
      </w:r>
    </w:p>
    <w:p w14:paraId="388B0CE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2、不可抗力事件发生后，应立即通知对方，并寄送有关权威机构出具的证明。</w:t>
      </w:r>
    </w:p>
    <w:p w14:paraId="21770D7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    3、不可抗力事件延续120天以上，双方应通过友好协商，确定是否继续履行合同。 </w:t>
      </w:r>
    </w:p>
    <w:p w14:paraId="1149110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十三、诉讼</w:t>
      </w:r>
    </w:p>
    <w:p w14:paraId="58DF261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双方在执行合同中所发生的一切争议，应通过协商解决。如协商不成，可向甲方所在地法院起诉。</w:t>
      </w:r>
    </w:p>
    <w:p w14:paraId="42426B9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十四、合同生效及其它</w:t>
      </w:r>
    </w:p>
    <w:p w14:paraId="1DDF4237">
      <w:pPr>
        <w:pStyle w:val="4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 合同经双方法定代表人或授权代表签字并加盖单位公章后生效。</w:t>
      </w:r>
    </w:p>
    <w:p w14:paraId="2C6FD2ED">
      <w:pPr>
        <w:pStyle w:val="4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2、乙方必须在开工前办理所有保险并提供复印件一份由甲方保管。</w:t>
      </w:r>
    </w:p>
    <w:p w14:paraId="356B30C6">
      <w:pPr>
        <w:pStyle w:val="4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3、本合同未尽事宜，遵照《中华人民共和国民法典》有关条文执行。</w:t>
      </w:r>
    </w:p>
    <w:p w14:paraId="1C15BBFD">
      <w:pPr>
        <w:pStyle w:val="4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4、本本合同一式四份，甲、乙双方各执二份。</w:t>
      </w:r>
    </w:p>
    <w:p w14:paraId="4C441CC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甲方（盖章）：                             乙方（盖章）：       </w:t>
      </w:r>
    </w:p>
    <w:p w14:paraId="094CBFD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法定代表人                                法定代表人</w:t>
      </w:r>
    </w:p>
    <w:p w14:paraId="60C44C9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或受委托人（签字）：                       或受委托人（签字）：  </w:t>
      </w:r>
    </w:p>
    <w:p w14:paraId="1A618F9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联系人：                                  联系人： </w:t>
      </w:r>
    </w:p>
    <w:p w14:paraId="3D79C93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地址：                                    地址：  </w:t>
      </w:r>
    </w:p>
    <w:p w14:paraId="1C47591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电话：                                    电话： </w:t>
      </w:r>
    </w:p>
    <w:p w14:paraId="470368B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传真：                                    传真： </w:t>
      </w:r>
    </w:p>
    <w:p w14:paraId="56A0974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开户银行：                                开户银行：  </w:t>
      </w:r>
    </w:p>
    <w:p w14:paraId="68908EC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帐号：                                    帐号：</w:t>
      </w:r>
    </w:p>
    <w:p w14:paraId="5FBAE218">
      <w:pPr>
        <w:pStyle w:val="47"/>
        <w:kinsoku/>
        <w:overflowPunct/>
        <w:bidi w:val="0"/>
        <w:snapToGrid w:val="0"/>
        <w:spacing w:line="360" w:lineRule="auto"/>
        <w:ind w:firstLine="480" w:firstLineChars="200"/>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br w:type="page"/>
      </w:r>
    </w:p>
    <w:p w14:paraId="64AE103D">
      <w:pPr>
        <w:pStyle w:val="47"/>
        <w:kinsoku/>
        <w:overflowPunct/>
        <w:bidi w:val="0"/>
        <w:snapToGrid w:val="0"/>
        <w:spacing w:line="400" w:lineRule="exact"/>
        <w:ind w:firstLine="723"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36"/>
          <w:highlight w:val="none"/>
        </w:rPr>
        <w:t>第五部分 投标文件部分格式文件</w:t>
      </w:r>
    </w:p>
    <w:p w14:paraId="1D805B18">
      <w:pPr>
        <w:pStyle w:val="47"/>
        <w:kinsoku/>
        <w:overflowPunct/>
        <w:bidi w:val="0"/>
        <w:adjustRightInd w:val="0"/>
        <w:snapToGrid w:val="0"/>
        <w:spacing w:line="400" w:lineRule="exact"/>
        <w:jc w:val="center"/>
        <w:outlineLvl w:val="1"/>
        <w:rPr>
          <w:rFonts w:hint="eastAsia" w:ascii="宋体" w:hAnsi="宋体" w:eastAsia="宋体" w:cs="宋体"/>
          <w:b/>
          <w:color w:val="auto"/>
          <w:sz w:val="28"/>
          <w:highlight w:val="none"/>
        </w:rPr>
      </w:pPr>
      <w:r>
        <w:rPr>
          <w:rFonts w:hint="eastAsia" w:ascii="宋体" w:hAnsi="宋体" w:eastAsia="宋体" w:cs="宋体"/>
          <w:b/>
          <w:color w:val="auto"/>
          <w:sz w:val="28"/>
          <w:highlight w:val="none"/>
          <w:lang w:val="zh-CN"/>
        </w:rPr>
        <w:t>格式</w:t>
      </w:r>
      <w:r>
        <w:rPr>
          <w:rFonts w:hint="eastAsia" w:ascii="宋体" w:hAnsi="宋体" w:eastAsia="宋体" w:cs="宋体"/>
          <w:b/>
          <w:color w:val="auto"/>
          <w:sz w:val="28"/>
          <w:highlight w:val="none"/>
        </w:rPr>
        <w:t>一：资格审查资料</w:t>
      </w:r>
      <w:bookmarkEnd w:id="72"/>
    </w:p>
    <w:p w14:paraId="7E3265EF">
      <w:pPr>
        <w:kinsoku/>
        <w:overflowPunct/>
        <w:bidi w:val="0"/>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资格审查资料</w:t>
      </w:r>
    </w:p>
    <w:p w14:paraId="1BD5BF97">
      <w:pPr>
        <w:keepNext w:val="0"/>
        <w:keepLines w:val="0"/>
        <w:pageBreakBefore w:val="0"/>
        <w:widowControl w:val="0"/>
        <w:kinsoku/>
        <w:wordWrap/>
        <w:overflowPunct/>
        <w:topLinePunct w:val="0"/>
        <w:autoSpaceDE w:val="0"/>
        <w:autoSpaceDN w:val="0"/>
        <w:bidi w:val="0"/>
        <w:adjustRightInd w:val="0"/>
        <w:snapToGrid w:val="0"/>
        <w:spacing w:line="480" w:lineRule="exact"/>
        <w:ind w:firstLine="560" w:firstLineChars="200"/>
        <w:jc w:val="left"/>
        <w:textAlignment w:val="auto"/>
        <w:rPr>
          <w:rFonts w:hint="eastAsia" w:ascii="宋体" w:hAnsi="宋体" w:eastAsia="宋体" w:cs="宋体"/>
          <w:color w:val="auto"/>
          <w:kern w:val="0"/>
          <w:szCs w:val="21"/>
          <w:highlight w:val="none"/>
        </w:rPr>
      </w:pPr>
    </w:p>
    <w:p w14:paraId="6B8AF5FF">
      <w:pPr>
        <w:pStyle w:val="47"/>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（一）资格审查须知</w:t>
      </w:r>
    </w:p>
    <w:p w14:paraId="6B603ACC">
      <w:pPr>
        <w:pStyle w:val="47"/>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1、投标人必须认真填写招标文件规定的所有表格，并对其真实性负责，采购人有权对其进行调查核实和要求澄清。</w:t>
      </w:r>
    </w:p>
    <w:p w14:paraId="159E1F76">
      <w:pPr>
        <w:pStyle w:val="47"/>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14:paraId="242FFBEF">
      <w:pPr>
        <w:pStyle w:val="47"/>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（二）资格审查资料格式</w:t>
      </w:r>
    </w:p>
    <w:bookmarkEnd w:id="73"/>
    <w:p w14:paraId="3E47993C">
      <w:pPr>
        <w:pStyle w:val="47"/>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表1 强制性资格条件 </w:t>
      </w:r>
    </w:p>
    <w:p w14:paraId="65E0451F">
      <w:pPr>
        <w:pStyle w:val="47"/>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14:paraId="1F7FEEE5">
      <w:pPr>
        <w:pStyle w:val="47"/>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表</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14:paraId="0114F399">
      <w:pPr>
        <w:pStyle w:val="47"/>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14:paraId="0983DA54">
      <w:pPr>
        <w:pStyle w:val="47"/>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14:paraId="2651B2FE">
      <w:pPr>
        <w:pStyle w:val="47"/>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：无违法失信的声明函</w:t>
      </w:r>
    </w:p>
    <w:p w14:paraId="29CDF066">
      <w:pPr>
        <w:pStyle w:val="47"/>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：《中小企业声明函》或《残疾人福利性单位声明函》或《监狱企业声明函》</w:t>
      </w:r>
    </w:p>
    <w:p w14:paraId="559127D5">
      <w:pPr>
        <w:pStyle w:val="47"/>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：与其他供应商无利害关系的声明函</w:t>
      </w:r>
    </w:p>
    <w:p w14:paraId="03F71010">
      <w:pPr>
        <w:pStyle w:val="47"/>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rPr>
        <w:t>：非联合体的声明函</w:t>
      </w:r>
    </w:p>
    <w:p w14:paraId="69662F47">
      <w:pPr>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outlineLvl w:val="9"/>
        <w:rPr>
          <w:rFonts w:hint="eastAsia" w:ascii="宋体" w:hAnsi="宋体" w:eastAsia="宋体" w:cs="宋体"/>
          <w:b/>
          <w:color w:val="auto"/>
          <w:sz w:val="24"/>
          <w:szCs w:val="24"/>
          <w:highlight w:val="none"/>
        </w:rPr>
      </w:pPr>
    </w:p>
    <w:p w14:paraId="75298FC9">
      <w:pPr>
        <w:pStyle w:val="35"/>
        <w:keepNext w:val="0"/>
        <w:keepLines w:val="0"/>
        <w:pageBreakBefore w:val="0"/>
        <w:widowControl w:val="0"/>
        <w:kinsoku/>
        <w:wordWrap/>
        <w:overflowPunct/>
        <w:topLinePunct w:val="0"/>
        <w:autoSpaceDE/>
        <w:autoSpaceDN/>
        <w:bidi w:val="0"/>
        <w:adjustRightInd/>
        <w:spacing w:after="0" w:line="400" w:lineRule="exact"/>
        <w:ind w:right="0" w:rightChars="0"/>
        <w:jc w:val="both"/>
        <w:textAlignment w:val="auto"/>
        <w:outlineLvl w:val="9"/>
        <w:rPr>
          <w:rFonts w:hint="eastAsia" w:ascii="宋体" w:hAnsi="宋体" w:eastAsia="宋体" w:cs="宋体"/>
          <w:b/>
          <w:color w:val="auto"/>
          <w:sz w:val="24"/>
          <w:szCs w:val="24"/>
          <w:highlight w:val="none"/>
        </w:rPr>
      </w:pPr>
    </w:p>
    <w:p w14:paraId="5B460521">
      <w:pPr>
        <w:pStyle w:val="35"/>
        <w:kinsoku/>
        <w:overflowPunct/>
        <w:bidi w:val="0"/>
        <w:spacing w:after="0" w:line="400" w:lineRule="exact"/>
        <w:rPr>
          <w:rFonts w:hint="eastAsia" w:ascii="宋体" w:hAnsi="宋体" w:eastAsia="宋体" w:cs="宋体"/>
          <w:b/>
          <w:color w:val="auto"/>
          <w:sz w:val="30"/>
          <w:szCs w:val="30"/>
          <w:highlight w:val="none"/>
        </w:rPr>
      </w:pPr>
    </w:p>
    <w:p w14:paraId="3E20AF2C">
      <w:pPr>
        <w:kinsoku/>
        <w:overflowPunct/>
        <w:bidi w:val="0"/>
        <w:spacing w:line="400" w:lineRule="exact"/>
        <w:rPr>
          <w:rFonts w:hint="eastAsia" w:ascii="宋体" w:hAnsi="宋体" w:eastAsia="宋体" w:cs="宋体"/>
          <w:b/>
          <w:color w:val="auto"/>
          <w:sz w:val="30"/>
          <w:szCs w:val="30"/>
          <w:highlight w:val="none"/>
        </w:rPr>
      </w:pPr>
    </w:p>
    <w:p w14:paraId="42CF6B3F">
      <w:pPr>
        <w:kinsoku/>
        <w:overflowPunct/>
        <w:bidi w:val="0"/>
        <w:spacing w:line="400" w:lineRule="exact"/>
        <w:rPr>
          <w:rFonts w:hint="eastAsia" w:ascii="宋体" w:hAnsi="宋体" w:eastAsia="宋体" w:cs="宋体"/>
          <w:b/>
          <w:color w:val="auto"/>
          <w:sz w:val="30"/>
          <w:szCs w:val="30"/>
          <w:highlight w:val="none"/>
        </w:rPr>
      </w:pPr>
    </w:p>
    <w:p w14:paraId="6DFA2FDE">
      <w:pPr>
        <w:pStyle w:val="47"/>
        <w:kinsoku/>
        <w:overflowPunct/>
        <w:bidi w:val="0"/>
        <w:spacing w:line="400" w:lineRule="exact"/>
        <w:rPr>
          <w:rFonts w:hint="eastAsia" w:ascii="宋体" w:hAnsi="宋体" w:eastAsia="宋体" w:cs="宋体"/>
          <w:b/>
          <w:color w:val="auto"/>
          <w:sz w:val="30"/>
          <w:szCs w:val="30"/>
          <w:highlight w:val="none"/>
        </w:rPr>
      </w:pPr>
    </w:p>
    <w:p w14:paraId="4989CDD9">
      <w:pPr>
        <w:kinsoku/>
        <w:overflowPunct/>
        <w:bidi w:val="0"/>
        <w:spacing w:line="400" w:lineRule="exact"/>
        <w:rPr>
          <w:rFonts w:hint="eastAsia" w:ascii="宋体" w:hAnsi="宋体" w:eastAsia="宋体" w:cs="宋体"/>
          <w:b/>
          <w:color w:val="auto"/>
          <w:sz w:val="30"/>
          <w:szCs w:val="30"/>
          <w:highlight w:val="none"/>
        </w:rPr>
      </w:pPr>
    </w:p>
    <w:p w14:paraId="70F8DC39">
      <w:pPr>
        <w:pStyle w:val="35"/>
        <w:rPr>
          <w:rFonts w:hint="eastAsia"/>
          <w:color w:val="auto"/>
          <w:highlight w:val="none"/>
        </w:rPr>
      </w:pPr>
    </w:p>
    <w:p w14:paraId="362A6E79">
      <w:pPr>
        <w:pStyle w:val="47"/>
        <w:kinsoku/>
        <w:overflowPunct/>
        <w:bidi w:val="0"/>
        <w:spacing w:line="400" w:lineRule="exact"/>
        <w:rPr>
          <w:rFonts w:hint="eastAsia" w:ascii="宋体" w:hAnsi="宋体" w:eastAsia="宋体" w:cs="宋体"/>
          <w:b/>
          <w:color w:val="auto"/>
          <w:sz w:val="30"/>
          <w:szCs w:val="30"/>
          <w:highlight w:val="none"/>
        </w:rPr>
      </w:pPr>
    </w:p>
    <w:p w14:paraId="3A2C0543">
      <w:pPr>
        <w:kinsoku/>
        <w:overflowPunct/>
        <w:bidi w:val="0"/>
        <w:spacing w:line="400" w:lineRule="exact"/>
        <w:rPr>
          <w:rFonts w:hint="eastAsia"/>
          <w:color w:val="auto"/>
          <w:highlight w:val="none"/>
        </w:rPr>
      </w:pPr>
    </w:p>
    <w:p w14:paraId="2223143A">
      <w:pPr>
        <w:pStyle w:val="35"/>
        <w:kinsoku/>
        <w:overflowPunct/>
        <w:bidi w:val="0"/>
        <w:spacing w:after="0" w:line="400" w:lineRule="exact"/>
        <w:rPr>
          <w:rFonts w:hint="eastAsia" w:ascii="宋体" w:hAnsi="宋体" w:eastAsia="宋体" w:cs="宋体"/>
          <w:b/>
          <w:color w:val="auto"/>
          <w:sz w:val="30"/>
          <w:szCs w:val="30"/>
          <w:highlight w:val="none"/>
        </w:rPr>
      </w:pPr>
    </w:p>
    <w:p w14:paraId="4BABC694">
      <w:pPr>
        <w:kinsoku/>
        <w:overflowPunct/>
        <w:bidi w:val="0"/>
        <w:spacing w:line="400" w:lineRule="exact"/>
        <w:rPr>
          <w:rFonts w:hint="eastAsia" w:ascii="宋体" w:hAnsi="宋体" w:eastAsia="宋体" w:cs="宋体"/>
          <w:b/>
          <w:color w:val="auto"/>
          <w:sz w:val="30"/>
          <w:szCs w:val="30"/>
          <w:highlight w:val="none"/>
        </w:rPr>
      </w:pPr>
    </w:p>
    <w:p w14:paraId="4E747A5C">
      <w:pPr>
        <w:kinsoku/>
        <w:overflowPunct/>
        <w:bidi w:val="0"/>
        <w:spacing w:line="400" w:lineRule="exact"/>
        <w:rPr>
          <w:rFonts w:hint="eastAsia" w:ascii="宋体" w:hAnsi="宋体" w:eastAsia="宋体" w:cs="宋体"/>
          <w:color w:val="auto"/>
          <w:highlight w:val="none"/>
        </w:rPr>
      </w:pPr>
      <w:r>
        <w:rPr>
          <w:rFonts w:hint="eastAsia" w:ascii="宋体" w:hAnsi="宋体" w:eastAsia="宋体" w:cs="宋体"/>
          <w:b/>
          <w:color w:val="auto"/>
          <w:sz w:val="30"/>
          <w:szCs w:val="30"/>
          <w:highlight w:val="none"/>
        </w:rPr>
        <w:t>表1：强制性资格条件</w:t>
      </w:r>
    </w:p>
    <w:p w14:paraId="62A6259D">
      <w:pPr>
        <w:kinsoku/>
        <w:overflowPunct/>
        <w:bidi w:val="0"/>
        <w:spacing w:line="400" w:lineRule="exact"/>
        <w:jc w:val="center"/>
        <w:rPr>
          <w:rFonts w:hint="eastAsia" w:ascii="宋体" w:hAnsi="宋体" w:eastAsia="宋体" w:cs="宋体"/>
          <w:color w:val="auto"/>
          <w:kern w:val="0"/>
          <w:highlight w:val="none"/>
        </w:rPr>
      </w:pPr>
      <w:r>
        <w:rPr>
          <w:rFonts w:hint="eastAsia" w:ascii="宋体" w:hAnsi="宋体" w:eastAsia="宋体" w:cs="宋体"/>
          <w:b/>
          <w:color w:val="auto"/>
          <w:sz w:val="30"/>
          <w:szCs w:val="30"/>
          <w:highlight w:val="none"/>
        </w:rPr>
        <w:t>强制性资格条件表</w:t>
      </w:r>
    </w:p>
    <w:tbl>
      <w:tblPr>
        <w:tblStyle w:val="88"/>
        <w:tblW w:w="9999" w:type="dxa"/>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736"/>
        <w:gridCol w:w="4776"/>
        <w:gridCol w:w="4487"/>
      </w:tblGrid>
      <w:tr w14:paraId="2C4F5852">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736" w:type="dxa"/>
            <w:vAlign w:val="center"/>
          </w:tcPr>
          <w:p w14:paraId="3CABB7CF">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序号</w:t>
            </w:r>
          </w:p>
        </w:tc>
        <w:tc>
          <w:tcPr>
            <w:tcW w:w="4776" w:type="dxa"/>
            <w:vAlign w:val="center"/>
          </w:tcPr>
          <w:p w14:paraId="6409B800">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资格条件要求</w:t>
            </w:r>
          </w:p>
        </w:tc>
        <w:tc>
          <w:tcPr>
            <w:tcW w:w="4487" w:type="dxa"/>
            <w:vAlign w:val="center"/>
          </w:tcPr>
          <w:p w14:paraId="79523DA9">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要求提供的证明材料</w:t>
            </w:r>
          </w:p>
        </w:tc>
      </w:tr>
      <w:tr w14:paraId="1730BF09">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422" w:hRule="atLeast"/>
        </w:trPr>
        <w:tc>
          <w:tcPr>
            <w:tcW w:w="736" w:type="dxa"/>
            <w:vAlign w:val="center"/>
          </w:tcPr>
          <w:p w14:paraId="2A99774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p>
        </w:tc>
        <w:tc>
          <w:tcPr>
            <w:tcW w:w="4776" w:type="dxa"/>
            <w:vAlign w:val="center"/>
          </w:tcPr>
          <w:p w14:paraId="25AAF2F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基本资格要求：</w:t>
            </w:r>
          </w:p>
        </w:tc>
        <w:tc>
          <w:tcPr>
            <w:tcW w:w="4487" w:type="dxa"/>
            <w:vAlign w:val="center"/>
          </w:tcPr>
          <w:p w14:paraId="7470242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color w:val="auto"/>
                <w:sz w:val="24"/>
                <w:szCs w:val="24"/>
                <w:highlight w:val="none"/>
                <w:shd w:val="clear" w:color="auto" w:fill="auto"/>
              </w:rPr>
            </w:pPr>
          </w:p>
        </w:tc>
      </w:tr>
      <w:tr w14:paraId="38847AB5">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2155" w:hRule="atLeast"/>
        </w:trPr>
        <w:tc>
          <w:tcPr>
            <w:tcW w:w="736" w:type="dxa"/>
            <w:vAlign w:val="center"/>
          </w:tcPr>
          <w:p w14:paraId="7CE3256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w:t>
            </w:r>
          </w:p>
        </w:tc>
        <w:tc>
          <w:tcPr>
            <w:tcW w:w="4776" w:type="dxa"/>
            <w:vAlign w:val="center"/>
          </w:tcPr>
          <w:p w14:paraId="4D22500E">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zh-CN"/>
              </w:rPr>
              <w:t>具有独立承担民事责任的能力</w:t>
            </w:r>
          </w:p>
        </w:tc>
        <w:tc>
          <w:tcPr>
            <w:tcW w:w="4487" w:type="dxa"/>
            <w:vAlign w:val="center"/>
          </w:tcPr>
          <w:p w14:paraId="07A47F6E">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lang w:val="zh-CN"/>
              </w:rPr>
            </w:pPr>
            <w:r>
              <w:rPr>
                <w:rFonts w:hint="eastAsia" w:ascii="宋体" w:hAnsi="宋体"/>
                <w:color w:val="auto"/>
                <w:sz w:val="24"/>
                <w:szCs w:val="24"/>
                <w:highlight w:val="none"/>
                <w:shd w:val="clear" w:color="auto" w:fill="auto"/>
                <w:lang w:val="zh-CN"/>
              </w:rPr>
              <w:t>营业执照(或事业法人登记证书或其它工商等登记证明材料；自然人参与政府采购，提供身份证)复印件、实施“五证合一、一照一码”登记制度改革的，只需提供改革后取得的营业执照复印件</w:t>
            </w:r>
          </w:p>
        </w:tc>
      </w:tr>
      <w:tr w14:paraId="087F0104">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116" w:hRule="atLeast"/>
        </w:trPr>
        <w:tc>
          <w:tcPr>
            <w:tcW w:w="736" w:type="dxa"/>
            <w:vAlign w:val="center"/>
          </w:tcPr>
          <w:p w14:paraId="51575A1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1.2</w:t>
            </w:r>
          </w:p>
        </w:tc>
        <w:tc>
          <w:tcPr>
            <w:tcW w:w="4776" w:type="dxa"/>
            <w:vAlign w:val="center"/>
          </w:tcPr>
          <w:p w14:paraId="2A31C4DD">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zh-CN"/>
              </w:rPr>
              <w:t>具有良好的商业信誉和健全的财务会计制度</w:t>
            </w:r>
          </w:p>
        </w:tc>
        <w:tc>
          <w:tcPr>
            <w:tcW w:w="4487" w:type="dxa"/>
            <w:vAlign w:val="center"/>
          </w:tcPr>
          <w:p w14:paraId="63848367">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color w:val="auto"/>
                <w:sz w:val="24"/>
                <w:szCs w:val="24"/>
                <w:highlight w:val="none"/>
                <w:shd w:val="clear" w:color="auto" w:fill="auto"/>
                <w:lang w:val="zh-CN"/>
              </w:rPr>
              <w:t>具有良好的商业信誉和健全的财务会计制度声明函，</w:t>
            </w:r>
            <w:r>
              <w:rPr>
                <w:rFonts w:hint="eastAsia" w:ascii="宋体" w:hAnsi="宋体"/>
                <w:color w:val="auto"/>
                <w:sz w:val="24"/>
                <w:szCs w:val="24"/>
                <w:highlight w:val="none"/>
                <w:shd w:val="clear" w:color="auto" w:fill="auto"/>
              </w:rPr>
              <w:t>详见表2。</w:t>
            </w:r>
          </w:p>
        </w:tc>
      </w:tr>
      <w:tr w14:paraId="02EC005F">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915" w:hRule="atLeast"/>
        </w:trPr>
        <w:tc>
          <w:tcPr>
            <w:tcW w:w="736" w:type="dxa"/>
            <w:vAlign w:val="center"/>
          </w:tcPr>
          <w:p w14:paraId="2B09930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1.3</w:t>
            </w:r>
          </w:p>
        </w:tc>
        <w:tc>
          <w:tcPr>
            <w:tcW w:w="4776" w:type="dxa"/>
            <w:vAlign w:val="center"/>
          </w:tcPr>
          <w:p w14:paraId="17DB8716">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zh-CN"/>
              </w:rPr>
              <w:t>具有履行合同所必需的设备和专业技术能力</w:t>
            </w:r>
          </w:p>
        </w:tc>
        <w:tc>
          <w:tcPr>
            <w:tcW w:w="4487" w:type="dxa"/>
            <w:vAlign w:val="center"/>
          </w:tcPr>
          <w:p w14:paraId="2900F49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lang w:val="zh-CN"/>
              </w:rPr>
            </w:pPr>
            <w:r>
              <w:rPr>
                <w:rFonts w:hint="eastAsia" w:ascii="宋体" w:hAnsi="宋体"/>
                <w:color w:val="auto"/>
                <w:sz w:val="24"/>
                <w:szCs w:val="24"/>
                <w:highlight w:val="none"/>
                <w:shd w:val="clear" w:color="auto" w:fill="auto"/>
                <w:lang w:val="zh-CN"/>
              </w:rPr>
              <w:t>具有履行合同所必需的设备和专业技术能力的声明函，</w:t>
            </w:r>
            <w:r>
              <w:rPr>
                <w:rFonts w:hint="eastAsia" w:ascii="宋体" w:hAnsi="宋体"/>
                <w:color w:val="auto"/>
                <w:sz w:val="24"/>
                <w:szCs w:val="24"/>
                <w:highlight w:val="none"/>
                <w:shd w:val="clear" w:color="auto" w:fill="auto"/>
              </w:rPr>
              <w:t>详见表</w:t>
            </w:r>
            <w:r>
              <w:rPr>
                <w:rFonts w:hint="eastAsia" w:ascii="宋体" w:hAnsi="宋体"/>
                <w:color w:val="auto"/>
                <w:sz w:val="24"/>
                <w:szCs w:val="24"/>
                <w:highlight w:val="none"/>
                <w:shd w:val="clear" w:color="auto" w:fill="auto"/>
                <w:lang w:val="en-US" w:eastAsia="zh-CN"/>
              </w:rPr>
              <w:t>3</w:t>
            </w:r>
            <w:r>
              <w:rPr>
                <w:rFonts w:hint="eastAsia" w:ascii="宋体" w:hAnsi="宋体"/>
                <w:color w:val="auto"/>
                <w:sz w:val="24"/>
                <w:szCs w:val="24"/>
                <w:highlight w:val="none"/>
                <w:shd w:val="clear" w:color="auto" w:fill="auto"/>
              </w:rPr>
              <w:t>。</w:t>
            </w:r>
          </w:p>
        </w:tc>
      </w:tr>
      <w:tr w14:paraId="72755316">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913" w:hRule="atLeast"/>
        </w:trPr>
        <w:tc>
          <w:tcPr>
            <w:tcW w:w="736" w:type="dxa"/>
            <w:vAlign w:val="center"/>
          </w:tcPr>
          <w:p w14:paraId="5D4141A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1.4</w:t>
            </w:r>
          </w:p>
        </w:tc>
        <w:tc>
          <w:tcPr>
            <w:tcW w:w="4776" w:type="dxa"/>
            <w:vAlign w:val="center"/>
          </w:tcPr>
          <w:p w14:paraId="7CDBFA22">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有依法缴纳税收和社会保障资金的良好记录</w:t>
            </w:r>
          </w:p>
        </w:tc>
        <w:tc>
          <w:tcPr>
            <w:tcW w:w="4487" w:type="dxa"/>
            <w:vAlign w:val="center"/>
          </w:tcPr>
          <w:p w14:paraId="1934CBFB">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lang w:val="zh-CN"/>
              </w:rPr>
            </w:pPr>
            <w:r>
              <w:rPr>
                <w:rFonts w:hint="eastAsia" w:ascii="宋体" w:hAnsi="宋体"/>
                <w:color w:val="auto"/>
                <w:sz w:val="24"/>
                <w:szCs w:val="24"/>
                <w:highlight w:val="none"/>
                <w:shd w:val="clear" w:color="auto" w:fill="auto"/>
                <w:lang w:val="zh-CN"/>
              </w:rPr>
              <w:t>依法缴纳税收和社会保障资金的声明</w:t>
            </w:r>
            <w:r>
              <w:rPr>
                <w:rFonts w:hint="eastAsia" w:ascii="宋体" w:hAnsi="宋体"/>
                <w:color w:val="auto"/>
                <w:sz w:val="24"/>
                <w:szCs w:val="24"/>
                <w:highlight w:val="none"/>
                <w:shd w:val="clear" w:color="auto" w:fill="auto"/>
                <w:lang w:val="en-US" w:eastAsia="zh-CN"/>
              </w:rPr>
              <w:t>函</w:t>
            </w:r>
            <w:r>
              <w:rPr>
                <w:rFonts w:hint="eastAsia" w:ascii="宋体" w:hAnsi="宋体"/>
                <w:color w:val="auto"/>
                <w:sz w:val="24"/>
                <w:szCs w:val="24"/>
                <w:highlight w:val="none"/>
                <w:shd w:val="clear" w:color="auto" w:fill="auto"/>
                <w:lang w:val="zh-CN"/>
              </w:rPr>
              <w:t>，</w:t>
            </w:r>
            <w:r>
              <w:rPr>
                <w:rFonts w:hint="eastAsia" w:ascii="宋体" w:hAnsi="宋体"/>
                <w:color w:val="auto"/>
                <w:sz w:val="24"/>
                <w:szCs w:val="24"/>
                <w:highlight w:val="none"/>
                <w:shd w:val="clear" w:color="auto" w:fill="auto"/>
              </w:rPr>
              <w:t>详见表</w:t>
            </w:r>
            <w:r>
              <w:rPr>
                <w:rFonts w:hint="eastAsia" w:ascii="宋体" w:hAnsi="宋体"/>
                <w:color w:val="auto"/>
                <w:sz w:val="24"/>
                <w:szCs w:val="24"/>
                <w:highlight w:val="none"/>
                <w:shd w:val="clear" w:color="auto" w:fill="auto"/>
                <w:lang w:val="en-US" w:eastAsia="zh-CN"/>
              </w:rPr>
              <w:t>4</w:t>
            </w:r>
            <w:r>
              <w:rPr>
                <w:rFonts w:hint="eastAsia" w:ascii="宋体" w:hAnsi="宋体"/>
                <w:color w:val="auto"/>
                <w:sz w:val="24"/>
                <w:szCs w:val="24"/>
                <w:highlight w:val="none"/>
                <w:shd w:val="clear" w:color="auto" w:fill="auto"/>
              </w:rPr>
              <w:t>。</w:t>
            </w:r>
          </w:p>
        </w:tc>
      </w:tr>
      <w:tr w14:paraId="6BE31EAD">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840" w:hRule="atLeast"/>
        </w:trPr>
        <w:tc>
          <w:tcPr>
            <w:tcW w:w="736" w:type="dxa"/>
            <w:vAlign w:val="center"/>
          </w:tcPr>
          <w:p w14:paraId="6079B6C0">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1.5</w:t>
            </w:r>
          </w:p>
        </w:tc>
        <w:tc>
          <w:tcPr>
            <w:tcW w:w="4776" w:type="dxa"/>
            <w:vAlign w:val="center"/>
          </w:tcPr>
          <w:p w14:paraId="0C0435BC">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zh-CN"/>
              </w:rPr>
              <w:t>参加政府采购活动前三年内（新成立不满三年的公司自成立之日起算）在经营活动中没有重大违法记录</w:t>
            </w:r>
          </w:p>
        </w:tc>
        <w:tc>
          <w:tcPr>
            <w:tcW w:w="4487" w:type="dxa"/>
            <w:vAlign w:val="center"/>
          </w:tcPr>
          <w:p w14:paraId="28AE490F">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没有重大违法记录承诺函，详见表</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w:t>
            </w:r>
          </w:p>
        </w:tc>
      </w:tr>
      <w:tr w14:paraId="72D19134">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2092" w:hRule="atLeast"/>
        </w:trPr>
        <w:tc>
          <w:tcPr>
            <w:tcW w:w="736" w:type="dxa"/>
            <w:vAlign w:val="center"/>
          </w:tcPr>
          <w:p w14:paraId="1D40DB18">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1.6</w:t>
            </w:r>
          </w:p>
        </w:tc>
        <w:tc>
          <w:tcPr>
            <w:tcW w:w="4776" w:type="dxa"/>
            <w:vAlign w:val="center"/>
          </w:tcPr>
          <w:p w14:paraId="4972C888">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截止前未被“信用中国”网站(www.creditchina.gov.cn)列入失信被执行人、重大税收违法案件当事人名单、政府采购不良行为记录名单；未被“中国政府采购网”(www.ccgp.gov.cn)列入政府采购严重违法失信行为记录名单。</w:t>
            </w:r>
          </w:p>
        </w:tc>
        <w:tc>
          <w:tcPr>
            <w:tcW w:w="4487" w:type="dxa"/>
            <w:vAlign w:val="center"/>
          </w:tcPr>
          <w:p w14:paraId="25CB3E3A">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bidi="ar"/>
              </w:rPr>
              <w:t>无违法失信的声明函，</w:t>
            </w:r>
            <w:r>
              <w:rPr>
                <w:rFonts w:hint="eastAsia" w:ascii="宋体" w:hAnsi="宋体" w:eastAsia="宋体" w:cs="宋体"/>
                <w:color w:val="auto"/>
                <w:sz w:val="24"/>
                <w:szCs w:val="24"/>
                <w:highlight w:val="none"/>
                <w:shd w:val="clear" w:color="auto" w:fill="auto"/>
              </w:rPr>
              <w:t>详见表</w:t>
            </w:r>
            <w:r>
              <w:rPr>
                <w:rFonts w:hint="eastAsia" w:ascii="宋体" w:hAnsi="宋体" w:cs="宋体"/>
                <w:color w:val="auto"/>
                <w:sz w:val="24"/>
                <w:szCs w:val="24"/>
                <w:highlight w:val="none"/>
                <w:shd w:val="clear" w:color="auto" w:fill="auto"/>
                <w:lang w:val="en-US" w:eastAsia="zh-CN"/>
              </w:rPr>
              <w:t>6。</w:t>
            </w:r>
          </w:p>
          <w:p w14:paraId="45ACC639">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4"/>
                <w:szCs w:val="24"/>
                <w:highlight w:val="none"/>
                <w:shd w:val="clear" w:color="auto" w:fill="auto"/>
              </w:rPr>
            </w:pPr>
          </w:p>
        </w:tc>
      </w:tr>
      <w:tr w14:paraId="761B2FA3">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52" w:hRule="atLeast"/>
        </w:trPr>
        <w:tc>
          <w:tcPr>
            <w:tcW w:w="736" w:type="dxa"/>
            <w:vAlign w:val="center"/>
          </w:tcPr>
          <w:p w14:paraId="512A25CC">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4776" w:type="dxa"/>
            <w:vAlign w:val="center"/>
          </w:tcPr>
          <w:p w14:paraId="1826EA02">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zh-CN"/>
              </w:rPr>
              <w:t>特定资格要求：</w:t>
            </w:r>
          </w:p>
        </w:tc>
        <w:tc>
          <w:tcPr>
            <w:tcW w:w="4487" w:type="dxa"/>
            <w:vAlign w:val="center"/>
          </w:tcPr>
          <w:p w14:paraId="3EE0562E">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4"/>
                <w:szCs w:val="24"/>
                <w:highlight w:val="none"/>
                <w:shd w:val="clear" w:color="auto" w:fill="auto"/>
              </w:rPr>
            </w:pPr>
          </w:p>
        </w:tc>
      </w:tr>
      <w:tr w14:paraId="37A98B0A">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840" w:hRule="atLeast"/>
        </w:trPr>
        <w:tc>
          <w:tcPr>
            <w:tcW w:w="736" w:type="dxa"/>
            <w:vAlign w:val="center"/>
          </w:tcPr>
          <w:p w14:paraId="3ED1A75F">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2.1</w:t>
            </w:r>
          </w:p>
        </w:tc>
        <w:tc>
          <w:tcPr>
            <w:tcW w:w="4776" w:type="dxa"/>
            <w:vAlign w:val="center"/>
          </w:tcPr>
          <w:p w14:paraId="6E35EA7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32"/>
                <w:highlight w:val="none"/>
                <w:lang w:val="zh-CN"/>
              </w:rPr>
              <w:t>本项目属于专门面向中小微企业采购的项目,供应商应为中小微企业或监狱企业或残疾人福利性单位</w:t>
            </w:r>
          </w:p>
        </w:tc>
        <w:tc>
          <w:tcPr>
            <w:tcW w:w="4487" w:type="dxa"/>
            <w:vAlign w:val="center"/>
          </w:tcPr>
          <w:p w14:paraId="216620F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《中小企业声明函》</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《残疾人福利性单位声明函》</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《监狱企业声明函》</w:t>
            </w:r>
            <w:r>
              <w:rPr>
                <w:rFonts w:hint="eastAsia" w:ascii="宋体" w:hAnsi="宋体" w:eastAsia="宋体" w:cs="宋体"/>
                <w:color w:val="auto"/>
                <w:sz w:val="24"/>
                <w:szCs w:val="24"/>
                <w:highlight w:val="none"/>
                <w:lang w:eastAsia="zh-CN"/>
              </w:rPr>
              <w:t>。详见表</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p>
        </w:tc>
      </w:tr>
      <w:tr w14:paraId="44962F9A">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840" w:hRule="atLeast"/>
        </w:trPr>
        <w:tc>
          <w:tcPr>
            <w:tcW w:w="736" w:type="dxa"/>
            <w:vAlign w:val="center"/>
          </w:tcPr>
          <w:p w14:paraId="49786DB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lang w:val="en-US" w:eastAsia="zh-CN"/>
              </w:rPr>
              <w:t>.2</w:t>
            </w:r>
          </w:p>
        </w:tc>
        <w:tc>
          <w:tcPr>
            <w:tcW w:w="4776" w:type="dxa"/>
            <w:vAlign w:val="center"/>
          </w:tcPr>
          <w:p w14:paraId="64980829">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sz w:val="24"/>
                <w:szCs w:val="24"/>
                <w:highlight w:val="none"/>
                <w:shd w:val="clear" w:color="auto" w:fill="auto"/>
                <w:lang w:val="zh-CN"/>
              </w:rPr>
              <w:t>单位负责人为同一人或者存在直接控股、管理关系的不同投标人，不得参加同一合同项下的政府采购活动</w:t>
            </w:r>
          </w:p>
        </w:tc>
        <w:tc>
          <w:tcPr>
            <w:tcW w:w="4487" w:type="dxa"/>
            <w:vAlign w:val="center"/>
          </w:tcPr>
          <w:p w14:paraId="396FF400">
            <w:pPr>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sz w:val="24"/>
                <w:szCs w:val="24"/>
                <w:highlight w:val="none"/>
                <w:shd w:val="clear" w:color="auto" w:fill="auto"/>
              </w:rPr>
              <w:t>与其他供应商无利害关系的声明函，详见表</w:t>
            </w:r>
            <w:r>
              <w:rPr>
                <w:rFonts w:hint="eastAsia" w:ascii="宋体" w:hAnsi="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w:t>
            </w:r>
          </w:p>
        </w:tc>
      </w:tr>
      <w:tr w14:paraId="4FF519E0">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469" w:hRule="atLeast"/>
        </w:trPr>
        <w:tc>
          <w:tcPr>
            <w:tcW w:w="736" w:type="dxa"/>
            <w:vAlign w:val="center"/>
          </w:tcPr>
          <w:p w14:paraId="1966713A">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lang w:val="en-US" w:eastAsia="zh-CN"/>
              </w:rPr>
              <w:t>3</w:t>
            </w:r>
          </w:p>
        </w:tc>
        <w:tc>
          <w:tcPr>
            <w:tcW w:w="4776" w:type="dxa"/>
            <w:vAlign w:val="center"/>
          </w:tcPr>
          <w:p w14:paraId="667995F8">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非联合体。</w:t>
            </w:r>
          </w:p>
        </w:tc>
        <w:tc>
          <w:tcPr>
            <w:tcW w:w="4487" w:type="dxa"/>
            <w:vAlign w:val="center"/>
          </w:tcPr>
          <w:p w14:paraId="7F738038">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非联合体的声明函，</w:t>
            </w:r>
            <w:r>
              <w:rPr>
                <w:rFonts w:hint="eastAsia" w:ascii="宋体" w:hAnsi="宋体" w:eastAsia="宋体" w:cs="宋体"/>
                <w:color w:val="auto"/>
                <w:sz w:val="24"/>
                <w:szCs w:val="24"/>
                <w:highlight w:val="none"/>
                <w:shd w:val="clear" w:color="auto" w:fill="auto"/>
              </w:rPr>
              <w:t>详见表</w:t>
            </w:r>
            <w:r>
              <w:rPr>
                <w:rFonts w:hint="eastAsia" w:ascii="宋体" w:hAnsi="宋体" w:cs="宋体"/>
                <w:color w:val="auto"/>
                <w:sz w:val="24"/>
                <w:szCs w:val="24"/>
                <w:highlight w:val="none"/>
                <w:shd w:val="clear" w:color="auto" w:fill="auto"/>
                <w:lang w:val="en-US" w:eastAsia="zh-CN"/>
              </w:rPr>
              <w:t>9</w:t>
            </w:r>
            <w:r>
              <w:rPr>
                <w:rFonts w:hint="eastAsia" w:ascii="宋体" w:hAnsi="宋体" w:eastAsia="宋体" w:cs="宋体"/>
                <w:color w:val="auto"/>
                <w:kern w:val="0"/>
                <w:sz w:val="24"/>
                <w:szCs w:val="24"/>
                <w:highlight w:val="none"/>
                <w:shd w:val="clear" w:color="auto" w:fill="auto"/>
              </w:rPr>
              <w:t>。</w:t>
            </w:r>
          </w:p>
        </w:tc>
      </w:tr>
    </w:tbl>
    <w:p w14:paraId="0E1A17FF">
      <w:pPr>
        <w:pStyle w:val="35"/>
        <w:spacing w:before="66"/>
        <w:rPr>
          <w:rFonts w:hint="eastAsia" w:ascii="宋体" w:hAnsi="宋体" w:eastAsia="宋体" w:cs="宋体"/>
          <w:color w:val="auto"/>
          <w:sz w:val="24"/>
          <w:highlight w:val="none"/>
          <w:shd w:val="clear" w:color="auto" w:fill="auto"/>
        </w:rPr>
      </w:pPr>
    </w:p>
    <w:p w14:paraId="60049BF9">
      <w:pPr>
        <w:pStyle w:val="35"/>
        <w:spacing w:before="6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14:paraId="53F497B4">
      <w:pPr>
        <w:pStyle w:val="36"/>
        <w:rPr>
          <w:rFonts w:hint="eastAsia"/>
          <w:color w:val="auto"/>
          <w:highlight w:val="none"/>
          <w:shd w:val="clear" w:color="auto" w:fill="auto"/>
        </w:rPr>
      </w:pPr>
    </w:p>
    <w:p w14:paraId="7EA6C0D4">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具有良好的商业信誉和健全的财务会计制度声明函</w:t>
      </w:r>
    </w:p>
    <w:p w14:paraId="6EDA942B">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auto"/>
        <w:outlineLvl w:val="9"/>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u w:val="single"/>
          <w:shd w:val="clear" w:color="auto" w:fill="auto"/>
        </w:rPr>
        <w:t xml:space="preserve">（采购人）                   </w:t>
      </w:r>
      <w:r>
        <w:rPr>
          <w:rFonts w:hint="eastAsia" w:ascii="宋体" w:hAnsi="宋体" w:cs="宋体"/>
          <w:color w:val="auto"/>
          <w:kern w:val="0"/>
          <w:sz w:val="24"/>
          <w:highlight w:val="none"/>
          <w:shd w:val="clear" w:color="auto" w:fill="auto"/>
        </w:rPr>
        <w:t>：</w:t>
      </w:r>
    </w:p>
    <w:p w14:paraId="153F0AA3">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80" w:firstLineChars="200"/>
        <w:jc w:val="left"/>
        <w:textAlignment w:val="auto"/>
        <w:outlineLvl w:val="9"/>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我方</w:t>
      </w:r>
      <w:r>
        <w:rPr>
          <w:rFonts w:hint="eastAsia" w:ascii="宋体" w:hAnsi="宋体" w:cs="宋体"/>
          <w:color w:val="auto"/>
          <w:kern w:val="0"/>
          <w:sz w:val="24"/>
          <w:highlight w:val="none"/>
          <w:u w:val="single"/>
          <w:shd w:val="clear" w:color="auto" w:fill="auto"/>
        </w:rPr>
        <w:t xml:space="preserve"> （供应商）          </w:t>
      </w:r>
      <w:r>
        <w:rPr>
          <w:rFonts w:hint="eastAsia" w:ascii="宋体" w:hAnsi="宋体" w:eastAsia="宋体" w:cs="宋体"/>
          <w:color w:val="auto"/>
          <w:spacing w:val="-4"/>
          <w:sz w:val="24"/>
          <w:szCs w:val="24"/>
          <w:highlight w:val="none"/>
          <w:shd w:val="clear" w:color="auto" w:fill="auto"/>
        </w:rPr>
        <w:t>具有良好的商业</w:t>
      </w:r>
      <w:r>
        <w:rPr>
          <w:rFonts w:hint="eastAsia" w:ascii="宋体" w:hAnsi="宋体" w:eastAsia="宋体" w:cs="宋体"/>
          <w:color w:val="auto"/>
          <w:spacing w:val="-7"/>
          <w:sz w:val="24"/>
          <w:szCs w:val="24"/>
          <w:highlight w:val="none"/>
          <w:shd w:val="clear" w:color="auto" w:fill="auto"/>
        </w:rPr>
        <w:t>信誉和健全的财务会计制度，我方对上述声明的真实性负责。如有虚假，采购人可取消我方任何资格（投标/中标/签订合同），我方对此无任何异议</w:t>
      </w:r>
      <w:r>
        <w:rPr>
          <w:rFonts w:hint="eastAsia" w:ascii="宋体" w:hAnsi="宋体" w:cs="宋体"/>
          <w:color w:val="auto"/>
          <w:kern w:val="0"/>
          <w:sz w:val="24"/>
          <w:highlight w:val="none"/>
          <w:shd w:val="clear" w:color="auto" w:fill="auto"/>
        </w:rPr>
        <w:t>。</w:t>
      </w:r>
    </w:p>
    <w:p w14:paraId="6D9BC526">
      <w:pPr>
        <w:widowControl/>
        <w:adjustRightInd w:val="0"/>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特此承诺！</w:t>
      </w:r>
    </w:p>
    <w:p w14:paraId="30F33DBA">
      <w:pPr>
        <w:pStyle w:val="87"/>
        <w:rPr>
          <w:rFonts w:hint="eastAsia" w:ascii="宋体" w:hAnsi="宋体" w:cs="宋体"/>
          <w:color w:val="auto"/>
          <w:kern w:val="0"/>
          <w:sz w:val="24"/>
          <w:highlight w:val="none"/>
          <w:shd w:val="clear" w:color="auto" w:fill="auto"/>
        </w:rPr>
      </w:pPr>
    </w:p>
    <w:p w14:paraId="1261F5A6">
      <w:pPr>
        <w:adjustRightInd w:val="0"/>
        <w:snapToGrid w:val="0"/>
        <w:spacing w:line="360" w:lineRule="auto"/>
        <w:rPr>
          <w:rFonts w:hint="eastAsia" w:ascii="宋体" w:hAnsi="宋体" w:cs="宋体"/>
          <w:color w:val="auto"/>
          <w:kern w:val="0"/>
          <w:sz w:val="24"/>
          <w:highlight w:val="none"/>
          <w:shd w:val="clear" w:color="auto" w:fill="auto"/>
          <w:lang w:val="zh-CN"/>
        </w:rPr>
      </w:pPr>
    </w:p>
    <w:p w14:paraId="121D67D5">
      <w:pPr>
        <w:adjustRightInd w:val="0"/>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法定/授权代表：</w:t>
      </w:r>
      <w:r>
        <w:rPr>
          <w:rFonts w:hint="eastAsia" w:ascii="宋体" w:hAnsi="宋体" w:cs="宋体"/>
          <w:color w:val="auto"/>
          <w:kern w:val="0"/>
          <w:sz w:val="24"/>
          <w:highlight w:val="none"/>
          <w:u w:val="single"/>
          <w:shd w:val="clear" w:color="auto" w:fill="auto"/>
          <w:lang w:val="zh-CN"/>
        </w:rPr>
        <w:t xml:space="preserve">（签字或盖章） </w:t>
      </w:r>
    </w:p>
    <w:p w14:paraId="5EB96A55">
      <w:pPr>
        <w:adjustRightInd w:val="0"/>
        <w:snapToGrid w:val="0"/>
        <w:spacing w:line="360" w:lineRule="auto"/>
        <w:rPr>
          <w:rFonts w:ascii="宋体" w:hAnsi="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磋商响应供应商：</w:t>
      </w:r>
      <w:r>
        <w:rPr>
          <w:rFonts w:hint="eastAsia" w:ascii="宋体" w:hAnsi="宋体" w:cs="宋体"/>
          <w:color w:val="auto"/>
          <w:kern w:val="0"/>
          <w:sz w:val="24"/>
          <w:highlight w:val="none"/>
          <w:u w:val="single"/>
          <w:shd w:val="clear" w:color="auto" w:fill="auto"/>
          <w:lang w:val="zh-CN"/>
        </w:rPr>
        <w:t xml:space="preserve">（全称加盖公章）       </w:t>
      </w:r>
    </w:p>
    <w:p w14:paraId="7E23FBBB">
      <w:pPr>
        <w:adjustRightInd w:val="0"/>
        <w:snapToGrid w:val="0"/>
        <w:spacing w:line="360" w:lineRule="auto"/>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日期</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年</w:t>
      </w:r>
      <w:r>
        <w:rPr>
          <w:rFonts w:ascii="宋体" w:cs="宋体"/>
          <w:color w:val="auto"/>
          <w:kern w:val="0"/>
          <w:sz w:val="24"/>
          <w:highlight w:val="none"/>
          <w:u w:val="single"/>
          <w:shd w:val="clear" w:color="auto" w:fill="auto"/>
        </w:rPr>
        <w:tab/>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日</w:t>
      </w:r>
    </w:p>
    <w:p w14:paraId="3CDF8092">
      <w:pPr>
        <w:kinsoku/>
        <w:overflowPunct/>
        <w:bidi w:val="0"/>
        <w:spacing w:line="400" w:lineRule="exact"/>
        <w:rPr>
          <w:rFonts w:hint="eastAsia" w:ascii="宋体" w:hAnsi="宋体" w:cs="宋体"/>
          <w:color w:val="auto"/>
          <w:sz w:val="24"/>
          <w:highlight w:val="none"/>
          <w:shd w:val="clear" w:color="auto" w:fill="auto"/>
          <w:lang w:eastAsia="zh-CN"/>
        </w:rPr>
      </w:pPr>
    </w:p>
    <w:p w14:paraId="7686ADE4">
      <w:pPr>
        <w:pStyle w:val="87"/>
        <w:rPr>
          <w:rFonts w:hint="eastAsia" w:ascii="宋体" w:hAnsi="宋体" w:cs="宋体"/>
          <w:color w:val="auto"/>
          <w:sz w:val="24"/>
          <w:highlight w:val="none"/>
          <w:shd w:val="clear" w:color="auto" w:fill="auto"/>
          <w:lang w:eastAsia="zh-CN"/>
        </w:rPr>
      </w:pPr>
    </w:p>
    <w:p w14:paraId="62167BC2">
      <w:pPr>
        <w:pStyle w:val="87"/>
        <w:ind w:left="0" w:leftChars="0" w:firstLine="0" w:firstLineChars="0"/>
        <w:rPr>
          <w:rFonts w:hint="eastAsia"/>
          <w:color w:val="auto"/>
          <w:highlight w:val="none"/>
          <w:shd w:val="clear" w:color="auto" w:fill="auto"/>
          <w:lang w:eastAsia="zh-CN"/>
        </w:rPr>
      </w:pPr>
    </w:p>
    <w:p w14:paraId="2E182CC8">
      <w:pPr>
        <w:kinsoku/>
        <w:overflowPunct/>
        <w:bidi w:val="0"/>
        <w:spacing w:line="400" w:lineRule="exact"/>
        <w:rPr>
          <w:rFonts w:hint="eastAsia" w:ascii="宋体" w:hAnsi="宋体" w:cs="宋体"/>
          <w:color w:val="auto"/>
          <w:sz w:val="24"/>
          <w:highlight w:val="none"/>
          <w:shd w:val="clear" w:color="auto" w:fill="auto"/>
          <w:lang w:eastAsia="zh-CN"/>
        </w:rPr>
      </w:pPr>
    </w:p>
    <w:p w14:paraId="67C3FB45">
      <w:pPr>
        <w:kinsoku/>
        <w:overflowPunct/>
        <w:bidi w:val="0"/>
        <w:spacing w:line="400" w:lineRule="exact"/>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表</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14:paraId="23466686">
      <w:pPr>
        <w:kinsoku/>
        <w:overflowPunct/>
        <w:bidi w:val="0"/>
        <w:adjustRightInd w:val="0"/>
        <w:snapToGrid w:val="0"/>
        <w:spacing w:line="400" w:lineRule="exact"/>
        <w:rPr>
          <w:rFonts w:hint="eastAsia" w:ascii="宋体" w:hAnsi="宋体" w:eastAsia="宋体" w:cs="宋体"/>
          <w:b/>
          <w:bCs/>
          <w:color w:val="auto"/>
          <w:sz w:val="24"/>
          <w:szCs w:val="24"/>
          <w:highlight w:val="none"/>
          <w:shd w:val="clear" w:color="auto" w:fill="auto"/>
        </w:rPr>
      </w:pPr>
    </w:p>
    <w:p w14:paraId="41C7716C">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具有履行合同所必需的专业服务（技术）能力的承诺函</w:t>
      </w:r>
    </w:p>
    <w:p w14:paraId="70115259">
      <w:pPr>
        <w:kinsoku/>
        <w:overflowPunct/>
        <w:bidi w:val="0"/>
        <w:spacing w:line="400" w:lineRule="exact"/>
        <w:rPr>
          <w:rFonts w:hint="eastAsia" w:ascii="宋体" w:hAnsi="宋体" w:eastAsia="宋体" w:cs="宋体"/>
          <w:color w:val="auto"/>
          <w:highlight w:val="none"/>
          <w:shd w:val="clear" w:color="auto" w:fill="auto"/>
        </w:rPr>
      </w:pPr>
    </w:p>
    <w:p w14:paraId="2752C672">
      <w:pPr>
        <w:widowControl/>
        <w:kinsoku/>
        <w:overflowPunct/>
        <w:bidi w:val="0"/>
        <w:adjustRightInd w:val="0"/>
        <w:snapToGrid w:val="0"/>
        <w:spacing w:line="400" w:lineRule="exact"/>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（采购人）                   </w:t>
      </w:r>
      <w:r>
        <w:rPr>
          <w:rFonts w:hint="eastAsia" w:ascii="宋体" w:hAnsi="宋体" w:eastAsia="宋体" w:cs="宋体"/>
          <w:color w:val="auto"/>
          <w:kern w:val="0"/>
          <w:sz w:val="24"/>
          <w:highlight w:val="none"/>
          <w:shd w:val="clear" w:color="auto" w:fill="auto"/>
        </w:rPr>
        <w:t>：</w:t>
      </w:r>
    </w:p>
    <w:p w14:paraId="65357295">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（投标人）          </w:t>
      </w:r>
      <w:r>
        <w:rPr>
          <w:rFonts w:hint="eastAsia" w:ascii="宋体" w:hAnsi="宋体" w:eastAsia="宋体" w:cs="宋体"/>
          <w:color w:val="auto"/>
          <w:kern w:val="0"/>
          <w:sz w:val="24"/>
          <w:highlight w:val="none"/>
          <w:shd w:val="clear" w:color="auto" w:fill="auto"/>
        </w:rPr>
        <w:t>承诺具有履行合同所必需的专业服务（技术）能力。如有虚假，采购人可取消我方任何资格（投标/中标/签订合同），我方对此无任何异议。</w:t>
      </w:r>
    </w:p>
    <w:p w14:paraId="3F84E333">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14:paraId="75A60920">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p>
    <w:p w14:paraId="6F0AD562">
      <w:pPr>
        <w:kinsoku/>
        <w:overflowPunct/>
        <w:bidi w:val="0"/>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14:paraId="328B7C42">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14:paraId="564A28AC">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年  月  日</w:t>
      </w:r>
    </w:p>
    <w:p w14:paraId="5DEC9479">
      <w:pPr>
        <w:kinsoku/>
        <w:overflowPunct/>
        <w:bidi w:val="0"/>
        <w:spacing w:line="400" w:lineRule="exact"/>
        <w:rPr>
          <w:rFonts w:hint="eastAsia" w:ascii="宋体" w:hAnsi="宋体" w:eastAsia="宋体" w:cs="宋体"/>
          <w:color w:val="auto"/>
          <w:sz w:val="24"/>
          <w:highlight w:val="none"/>
          <w:shd w:val="clear" w:color="auto" w:fill="auto"/>
        </w:rPr>
      </w:pPr>
    </w:p>
    <w:p w14:paraId="264307B1">
      <w:pPr>
        <w:pStyle w:val="36"/>
        <w:rPr>
          <w:rFonts w:hint="eastAsia"/>
          <w:color w:val="auto"/>
          <w:highlight w:val="none"/>
        </w:rPr>
      </w:pPr>
    </w:p>
    <w:p w14:paraId="195F82D3">
      <w:pPr>
        <w:pStyle w:val="35"/>
        <w:spacing w:before="66"/>
        <w:rPr>
          <w:rFonts w:hint="eastAsia" w:ascii="宋体" w:hAnsi="宋体" w:eastAsia="宋体" w:cs="宋体"/>
          <w:color w:val="auto"/>
          <w:sz w:val="24"/>
          <w:highlight w:val="none"/>
          <w:shd w:val="clear" w:color="auto" w:fill="auto"/>
        </w:rPr>
      </w:pPr>
    </w:p>
    <w:p w14:paraId="6134BABD">
      <w:pPr>
        <w:pStyle w:val="36"/>
        <w:rPr>
          <w:rFonts w:hint="eastAsia"/>
          <w:color w:val="auto"/>
          <w:highlight w:val="none"/>
        </w:rPr>
      </w:pPr>
    </w:p>
    <w:p w14:paraId="08BEE134">
      <w:pPr>
        <w:pStyle w:val="35"/>
        <w:spacing w:before="66"/>
        <w:rPr>
          <w:rFonts w:hint="eastAsia" w:ascii="宋体" w:hAnsi="宋体" w:eastAsia="宋体" w:cs="宋体"/>
          <w:b/>
          <w:color w:val="auto"/>
          <w:kern w:val="2"/>
          <w:sz w:val="32"/>
          <w:highlight w:val="none"/>
          <w:shd w:val="clear" w:color="auto" w:fill="auto"/>
          <w:lang w:val="en-US" w:eastAsia="zh-CN" w:bidi="ar-SA"/>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14:paraId="61F18BEB">
      <w:pPr>
        <w:pStyle w:val="4"/>
        <w:numPr>
          <w:ilvl w:val="0"/>
          <w:numId w:val="0"/>
        </w:numPr>
        <w:tabs>
          <w:tab w:val="clear" w:pos="1110"/>
        </w:tabs>
        <w:spacing w:before="164"/>
        <w:ind w:left="456" w:leftChars="0" w:right="37" w:rightChars="0"/>
        <w:jc w:val="center"/>
        <w:rPr>
          <w:rFonts w:hint="eastAsia" w:ascii="宋体" w:hAnsi="宋体" w:eastAsia="宋体" w:cs="宋体"/>
          <w:b/>
          <w:color w:val="auto"/>
          <w:kern w:val="2"/>
          <w:sz w:val="32"/>
          <w:highlight w:val="none"/>
          <w:shd w:val="clear" w:color="auto" w:fill="auto"/>
          <w:lang w:val="en-US" w:eastAsia="zh-CN" w:bidi="ar-SA"/>
        </w:rPr>
      </w:pPr>
      <w:r>
        <w:rPr>
          <w:rFonts w:hint="eastAsia" w:ascii="宋体" w:hAnsi="宋体" w:eastAsia="宋体" w:cs="宋体"/>
          <w:b/>
          <w:color w:val="auto"/>
          <w:kern w:val="2"/>
          <w:sz w:val="32"/>
          <w:highlight w:val="none"/>
          <w:shd w:val="clear" w:color="auto" w:fill="auto"/>
          <w:lang w:val="en-US" w:eastAsia="zh-CN" w:bidi="ar-SA"/>
        </w:rPr>
        <w:t>依法缴纳税收和社会保障资金的声明函</w:t>
      </w:r>
    </w:p>
    <w:p w14:paraId="711345DB">
      <w:pPr>
        <w:ind w:firstLine="720" w:firstLineChars="300"/>
        <w:rPr>
          <w:rFonts w:hint="eastAsia" w:ascii="宋体" w:hAnsi="宋体"/>
          <w:color w:val="auto"/>
          <w:sz w:val="24"/>
          <w:highlight w:val="none"/>
          <w:shd w:val="clear" w:color="auto" w:fill="auto"/>
        </w:rPr>
      </w:pPr>
    </w:p>
    <w:p w14:paraId="0A84A3B8">
      <w:pPr>
        <w:widowControl/>
        <w:adjustRightInd w:val="0"/>
        <w:snapToGrid w:val="0"/>
        <w:spacing w:line="360" w:lineRule="auto"/>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u w:val="single"/>
          <w:shd w:val="clear" w:color="auto" w:fill="auto"/>
        </w:rPr>
        <w:t xml:space="preserve">（采购人）                   </w:t>
      </w:r>
      <w:r>
        <w:rPr>
          <w:rFonts w:hint="eastAsia" w:ascii="宋体" w:hAnsi="宋体" w:cs="宋体"/>
          <w:color w:val="auto"/>
          <w:kern w:val="0"/>
          <w:sz w:val="24"/>
          <w:highlight w:val="none"/>
          <w:shd w:val="clear" w:color="auto" w:fill="auto"/>
        </w:rPr>
        <w:t>：</w:t>
      </w:r>
    </w:p>
    <w:p w14:paraId="56862227">
      <w:pPr>
        <w:widowControl/>
        <w:adjustRightInd w:val="0"/>
        <w:snapToGrid w:val="0"/>
        <w:spacing w:line="360" w:lineRule="auto"/>
        <w:ind w:firstLine="480" w:firstLineChars="200"/>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我方</w:t>
      </w:r>
      <w:r>
        <w:rPr>
          <w:rFonts w:hint="eastAsia" w:ascii="宋体" w:hAnsi="宋体" w:cs="宋体"/>
          <w:color w:val="auto"/>
          <w:kern w:val="0"/>
          <w:sz w:val="24"/>
          <w:highlight w:val="none"/>
          <w:u w:val="single"/>
          <w:shd w:val="clear" w:color="auto" w:fill="auto"/>
        </w:rPr>
        <w:t xml:space="preserve"> （供应商）          </w:t>
      </w:r>
      <w:r>
        <w:rPr>
          <w:rFonts w:hint="eastAsia" w:ascii="宋体" w:hAnsi="宋体" w:eastAsia="宋体" w:cs="宋体"/>
          <w:color w:val="auto"/>
          <w:spacing w:val="-4"/>
          <w:sz w:val="24"/>
          <w:szCs w:val="24"/>
          <w:highlight w:val="none"/>
          <w:shd w:val="clear" w:color="auto" w:fill="auto"/>
        </w:rPr>
        <w:t>严格依法缴纳税</w:t>
      </w:r>
      <w:r>
        <w:rPr>
          <w:rFonts w:hint="eastAsia" w:ascii="宋体" w:hAnsi="宋体" w:eastAsia="宋体" w:cs="宋体"/>
          <w:color w:val="auto"/>
          <w:spacing w:val="-8"/>
          <w:sz w:val="24"/>
          <w:szCs w:val="24"/>
          <w:highlight w:val="none"/>
          <w:shd w:val="clear" w:color="auto" w:fill="auto"/>
        </w:rPr>
        <w:t>收和社会保障资金，我方对上述声明的真实性负责。</w:t>
      </w:r>
      <w:r>
        <w:rPr>
          <w:rFonts w:hint="eastAsia" w:ascii="宋体" w:hAnsi="宋体" w:eastAsia="宋体" w:cs="宋体"/>
          <w:color w:val="auto"/>
          <w:spacing w:val="-7"/>
          <w:sz w:val="24"/>
          <w:szCs w:val="24"/>
          <w:highlight w:val="none"/>
          <w:shd w:val="clear" w:color="auto" w:fill="auto"/>
        </w:rPr>
        <w:t>如有虚假，采购人可取消我方任何资格（投标/中标/签订合同），我方对此无任何异议</w:t>
      </w:r>
      <w:r>
        <w:rPr>
          <w:rFonts w:hint="eastAsia" w:ascii="宋体" w:hAnsi="宋体" w:cs="宋体"/>
          <w:color w:val="auto"/>
          <w:kern w:val="0"/>
          <w:sz w:val="24"/>
          <w:highlight w:val="none"/>
          <w:shd w:val="clear" w:color="auto" w:fill="auto"/>
        </w:rPr>
        <w:t>。</w:t>
      </w:r>
    </w:p>
    <w:p w14:paraId="0926525F">
      <w:pPr>
        <w:widowControl/>
        <w:adjustRightInd w:val="0"/>
        <w:snapToGrid w:val="0"/>
        <w:spacing w:line="360" w:lineRule="auto"/>
        <w:ind w:firstLine="480" w:firstLineChars="200"/>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特此承诺！</w:t>
      </w:r>
    </w:p>
    <w:p w14:paraId="7C31BD2D">
      <w:pPr>
        <w:adjustRightInd w:val="0"/>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法定/授权代表：</w:t>
      </w:r>
      <w:r>
        <w:rPr>
          <w:rFonts w:hint="eastAsia" w:ascii="宋体" w:hAnsi="宋体" w:cs="宋体"/>
          <w:color w:val="auto"/>
          <w:kern w:val="0"/>
          <w:sz w:val="24"/>
          <w:highlight w:val="none"/>
          <w:u w:val="single"/>
          <w:shd w:val="clear" w:color="auto" w:fill="auto"/>
          <w:lang w:val="zh-CN"/>
        </w:rPr>
        <w:t xml:space="preserve">（签字或盖章） </w:t>
      </w:r>
    </w:p>
    <w:p w14:paraId="3C266605">
      <w:pPr>
        <w:adjustRightInd w:val="0"/>
        <w:snapToGrid w:val="0"/>
        <w:spacing w:line="360" w:lineRule="auto"/>
        <w:rPr>
          <w:rFonts w:ascii="宋体" w:hAnsi="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磋商响应供应商：</w:t>
      </w:r>
      <w:r>
        <w:rPr>
          <w:rFonts w:hint="eastAsia" w:ascii="宋体" w:hAnsi="宋体" w:cs="宋体"/>
          <w:color w:val="auto"/>
          <w:kern w:val="0"/>
          <w:sz w:val="24"/>
          <w:highlight w:val="none"/>
          <w:u w:val="single"/>
          <w:shd w:val="clear" w:color="auto" w:fill="auto"/>
          <w:lang w:val="zh-CN"/>
        </w:rPr>
        <w:t>（全称加盖公章）</w:t>
      </w:r>
    </w:p>
    <w:p w14:paraId="45A3D8D6">
      <w:pPr>
        <w:adjustRightInd w:val="0"/>
        <w:snapToGrid w:val="0"/>
        <w:spacing w:line="360" w:lineRule="auto"/>
        <w:rPr>
          <w:rFonts w:ascii="宋体" w:hAnsi="宋体" w:cs="宋体"/>
          <w:color w:val="auto"/>
          <w:kern w:val="0"/>
          <w:sz w:val="24"/>
          <w:highlight w:val="none"/>
          <w:u w:val="single"/>
          <w:shd w:val="clear" w:color="auto" w:fill="auto"/>
        </w:rPr>
      </w:pPr>
      <w:r>
        <w:rPr>
          <w:rFonts w:hint="eastAsia" w:ascii="宋体" w:hAnsi="宋体" w:cs="宋体"/>
          <w:color w:val="auto"/>
          <w:kern w:val="0"/>
          <w:sz w:val="24"/>
          <w:highlight w:val="none"/>
          <w:shd w:val="clear" w:color="auto" w:fill="auto"/>
          <w:lang w:val="zh-CN"/>
        </w:rPr>
        <w:t>日期</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年</w:t>
      </w:r>
      <w:r>
        <w:rPr>
          <w:rFonts w:hint="eastAsia" w:ascii="宋体" w:hAnsi="宋体" w:cs="宋体"/>
          <w:color w:val="auto"/>
          <w:kern w:val="0"/>
          <w:sz w:val="24"/>
          <w:highlight w:val="none"/>
          <w:shd w:val="clear" w:color="auto" w:fill="auto"/>
          <w:lang w:val="en-US" w:eastAsia="zh-CN"/>
        </w:rPr>
        <w:t xml:space="preserve">  </w:t>
      </w:r>
      <w:r>
        <w:rPr>
          <w:rFonts w:ascii="宋体" w:cs="宋体"/>
          <w:color w:val="auto"/>
          <w:kern w:val="0"/>
          <w:sz w:val="24"/>
          <w:highlight w:val="none"/>
          <w:u w:val="single"/>
          <w:shd w:val="clear" w:color="auto" w:fill="auto"/>
        </w:rPr>
        <w:tab/>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日</w:t>
      </w:r>
    </w:p>
    <w:p w14:paraId="1F094856">
      <w:pPr>
        <w:rPr>
          <w:rFonts w:hint="eastAsia" w:ascii="宋体" w:hAnsi="宋体" w:eastAsia="宋体" w:cs="宋体"/>
          <w:color w:val="auto"/>
          <w:highlight w:val="none"/>
          <w:shd w:val="clear" w:color="auto" w:fill="auto"/>
        </w:rPr>
      </w:pPr>
    </w:p>
    <w:p w14:paraId="3C691F8F">
      <w:pPr>
        <w:pStyle w:val="87"/>
        <w:ind w:left="0" w:leftChars="0" w:firstLine="0" w:firstLineChars="0"/>
        <w:rPr>
          <w:rFonts w:hint="eastAsia"/>
          <w:color w:val="auto"/>
          <w:highlight w:val="none"/>
          <w:shd w:val="clear" w:color="auto" w:fill="auto"/>
        </w:rPr>
      </w:pPr>
    </w:p>
    <w:p w14:paraId="7748B2EF">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14:paraId="503C054B">
      <w:pPr>
        <w:jc w:val="center"/>
        <w:rPr>
          <w:rFonts w:hint="eastAsia" w:ascii="宋体" w:hAnsi="宋体" w:eastAsia="宋体" w:cs="宋体"/>
          <w:b/>
          <w:color w:val="auto"/>
          <w:sz w:val="32"/>
          <w:highlight w:val="none"/>
          <w:shd w:val="clear" w:color="auto" w:fill="auto"/>
        </w:rPr>
      </w:pPr>
    </w:p>
    <w:p w14:paraId="0CEC4AA5">
      <w:pPr>
        <w:jc w:val="center"/>
        <w:rPr>
          <w:rFonts w:hint="eastAsia" w:ascii="宋体" w:hAnsi="宋体" w:eastAsia="宋体" w:cs="宋体"/>
          <w:b/>
          <w:color w:val="auto"/>
          <w:sz w:val="32"/>
          <w:highlight w:val="none"/>
          <w:shd w:val="clear" w:color="auto" w:fill="auto"/>
        </w:rPr>
      </w:pPr>
    </w:p>
    <w:p w14:paraId="298E7693">
      <w:pPr>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没有重大违法记录承诺函</w:t>
      </w:r>
    </w:p>
    <w:p w14:paraId="715C855D">
      <w:pPr>
        <w:spacing w:line="360" w:lineRule="auto"/>
        <w:rPr>
          <w:rFonts w:hint="eastAsia" w:ascii="宋体" w:hAnsi="宋体" w:eastAsia="宋体" w:cs="宋体"/>
          <w:color w:val="auto"/>
          <w:sz w:val="24"/>
          <w:szCs w:val="24"/>
          <w:highlight w:val="none"/>
          <w:u w:val="single"/>
          <w:shd w:val="clear" w:color="auto" w:fill="auto"/>
        </w:rPr>
      </w:pPr>
    </w:p>
    <w:p w14:paraId="7E595D85">
      <w:pPr>
        <w:spacing w:line="360" w:lineRule="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14:paraId="11C3F51B">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（投标人）            </w:t>
      </w:r>
      <w:r>
        <w:rPr>
          <w:rFonts w:hint="eastAsia" w:ascii="宋体" w:hAnsi="宋体" w:eastAsia="宋体" w:cs="宋体"/>
          <w:color w:val="auto"/>
          <w:sz w:val="24"/>
          <w:szCs w:val="24"/>
          <w:highlight w:val="none"/>
          <w:shd w:val="clear" w:color="auto" w:fill="auto"/>
        </w:rPr>
        <w:t xml:space="preserve">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 </w:t>
      </w:r>
    </w:p>
    <w:p w14:paraId="2BFF87CA">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特此承诺！ </w:t>
      </w:r>
    </w:p>
    <w:p w14:paraId="02DE9FA7">
      <w:pPr>
        <w:spacing w:line="360" w:lineRule="auto"/>
        <w:rPr>
          <w:rFonts w:hint="eastAsia" w:ascii="宋体" w:hAnsi="宋体" w:eastAsia="宋体" w:cs="宋体"/>
          <w:color w:val="auto"/>
          <w:sz w:val="24"/>
          <w:szCs w:val="24"/>
          <w:highlight w:val="none"/>
          <w:shd w:val="clear" w:color="auto" w:fill="auto"/>
        </w:rPr>
      </w:pPr>
    </w:p>
    <w:p w14:paraId="2CA6CB38">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14:paraId="030CC364">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14:paraId="431573DB">
      <w:pPr>
        <w:adjustRightInd w:val="0"/>
        <w:snapToGrid w:val="0"/>
        <w:spacing w:line="360" w:lineRule="auto"/>
        <w:rPr>
          <w:rFonts w:hint="eastAsia" w:ascii="宋体" w:hAnsi="宋体" w:eastAsia="宋体" w:cs="宋体"/>
          <w:b/>
          <w:color w:val="auto"/>
          <w:sz w:val="30"/>
          <w:szCs w:val="30"/>
          <w:highlight w:val="non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 xml:space="preserve">： </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年  月  日</w:t>
      </w:r>
    </w:p>
    <w:p w14:paraId="648A1A65">
      <w:pPr>
        <w:widowControl/>
        <w:spacing w:line="312" w:lineRule="auto"/>
        <w:jc w:val="left"/>
        <w:rPr>
          <w:rFonts w:hint="eastAsia" w:ascii="宋体" w:hAnsi="宋体" w:eastAsia="宋体" w:cs="宋体"/>
          <w:color w:val="auto"/>
          <w:sz w:val="24"/>
          <w:highlight w:val="none"/>
          <w:shd w:val="clear" w:color="auto" w:fill="auto"/>
        </w:rPr>
      </w:pPr>
    </w:p>
    <w:p w14:paraId="0D965E08">
      <w:pPr>
        <w:widowControl/>
        <w:spacing w:line="312" w:lineRule="auto"/>
        <w:jc w:val="left"/>
        <w:rPr>
          <w:rFonts w:hint="eastAsia" w:ascii="宋体" w:hAnsi="宋体" w:eastAsia="宋体" w:cs="宋体"/>
          <w:color w:val="auto"/>
          <w:sz w:val="24"/>
          <w:highlight w:val="none"/>
          <w:shd w:val="clear" w:color="auto" w:fill="auto"/>
        </w:rPr>
      </w:pPr>
    </w:p>
    <w:p w14:paraId="4F34D6F3">
      <w:pPr>
        <w:widowControl/>
        <w:spacing w:line="312"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2"/>
          <w:highlight w:val="none"/>
          <w:shd w:val="clear" w:color="auto" w:fill="auto"/>
        </w:rPr>
        <w:t>无违法失信的声明函</w:t>
      </w:r>
    </w:p>
    <w:p w14:paraId="709D66B2">
      <w:pPr>
        <w:spacing w:line="312" w:lineRule="auto"/>
        <w:jc w:val="center"/>
        <w:rPr>
          <w:rFonts w:hint="eastAsia" w:ascii="宋体" w:hAnsi="宋体" w:eastAsia="宋体" w:cs="宋体"/>
          <w:b/>
          <w:color w:val="auto"/>
          <w:sz w:val="32"/>
          <w:szCs w:val="22"/>
          <w:highlight w:val="none"/>
          <w:shd w:val="clear" w:color="auto" w:fill="auto"/>
        </w:rPr>
      </w:pPr>
    </w:p>
    <w:p w14:paraId="09F138C6">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无违法失信的声明函 </w:t>
      </w:r>
    </w:p>
    <w:p w14:paraId="18AD8CEF">
      <w:pPr>
        <w:pStyle w:val="35"/>
        <w:rPr>
          <w:rFonts w:hint="eastAsia"/>
          <w:color w:val="auto"/>
          <w:highlight w:val="none"/>
        </w:rPr>
      </w:pPr>
    </w:p>
    <w:p w14:paraId="39F1D39A">
      <w:pPr>
        <w:spacing w:line="312" w:lineRule="auto"/>
        <w:rPr>
          <w:rFonts w:hint="eastAsia" w:ascii="宋体" w:hAnsi="宋体" w:eastAsia="宋体" w:cs="宋体"/>
          <w:color w:val="auto"/>
          <w:highlight w:val="non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14:paraId="3A7CED50">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截至</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cs="宋体"/>
          <w:color w:val="auto"/>
          <w:sz w:val="24"/>
          <w:szCs w:val="24"/>
          <w:highlight w:val="none"/>
          <w:u w:val="single"/>
          <w:shd w:val="clear" w:color="auto" w:fill="auto"/>
          <w:lang w:eastAsia="zh-CN"/>
        </w:rPr>
        <w:t>项目名称</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的</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 xml:space="preserve">文件提交截止时间，往前追溯三年，期间未被信用中国”网站(www.creditchina.gov.cn)列入失信被执行人名单、重大税收违法案件当事人名单、政府采购不良行为记录名单;未被“中国政府采购网”(www.ccgp.gov.cn)列入政府采购严重违法失信行为记录名单。 </w:t>
      </w:r>
    </w:p>
    <w:p w14:paraId="4A45F7FC">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本公司对上述声明的真实性负责。如有虚假，愿意承担相应责任，对此无任何异议。 </w:t>
      </w:r>
    </w:p>
    <w:p w14:paraId="42083336">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14:paraId="3A17639A">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供应商全称： </w:t>
      </w:r>
    </w:p>
    <w:p w14:paraId="4CDA8A3E">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（盖单位公章） </w:t>
      </w:r>
    </w:p>
    <w:p w14:paraId="1F0FD92A">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年  月  日</w:t>
      </w:r>
    </w:p>
    <w:p w14:paraId="660ED63F">
      <w:pPr>
        <w:widowControl/>
        <w:spacing w:line="312" w:lineRule="auto"/>
        <w:jc w:val="left"/>
        <w:rPr>
          <w:rFonts w:hint="eastAsia" w:ascii="宋体" w:hAnsi="宋体" w:eastAsia="宋体" w:cs="宋体"/>
          <w:color w:val="auto"/>
          <w:sz w:val="24"/>
          <w:highlight w:val="none"/>
          <w:shd w:val="clear" w:color="auto" w:fill="auto"/>
        </w:rPr>
      </w:pPr>
    </w:p>
    <w:p w14:paraId="7A8AE341">
      <w:pPr>
        <w:pStyle w:val="523"/>
        <w:adjustRightInd w:val="0"/>
        <w:snapToGrid w:val="0"/>
        <w:spacing w:line="360" w:lineRule="auto"/>
        <w:ind w:firstLine="480" w:firstLineChars="200"/>
        <w:jc w:val="left"/>
        <w:outlineLvl w:val="1"/>
        <w:rPr>
          <w:rFonts w:hint="eastAsia" w:ascii="宋体" w:hAnsi="宋体" w:eastAsia="宋体" w:cs="宋体"/>
          <w:color w:val="auto"/>
          <w:sz w:val="24"/>
          <w:szCs w:val="22"/>
          <w:highlight w:val="none"/>
          <w:shd w:val="clear" w:color="auto" w:fill="auto"/>
        </w:rPr>
      </w:pPr>
    </w:p>
    <w:p w14:paraId="05B449C6">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bookmarkStart w:id="81" w:name="_Toc8165"/>
    </w:p>
    <w:p w14:paraId="2FEEC8FD">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546D25E9">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21804856">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46C6A6D2">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26742C68">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2EA1427F">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110E370C">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61FAB5C9">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1962DB62">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7666BE91">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389ADB59">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61DE820A">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17B9A54D">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6CF24D7E">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167EA20C">
      <w:pPr>
        <w:pStyle w:val="523"/>
        <w:kinsoku/>
        <w:overflowPunct/>
        <w:bidi w:val="0"/>
        <w:adjustRightInd w:val="0"/>
        <w:snapToGrid w:val="0"/>
        <w:spacing w:line="400" w:lineRule="exact"/>
        <w:jc w:val="left"/>
        <w:outlineLvl w:val="1"/>
        <w:rPr>
          <w:rFonts w:hint="eastAsia" w:ascii="宋体" w:hAnsi="宋体" w:eastAsia="宋体" w:cs="宋体"/>
          <w:color w:val="auto"/>
          <w:sz w:val="24"/>
          <w:szCs w:val="22"/>
          <w:highlight w:val="none"/>
        </w:rPr>
      </w:pPr>
    </w:p>
    <w:p w14:paraId="28B44751">
      <w:pPr>
        <w:pStyle w:val="523"/>
        <w:kinsoku/>
        <w:overflowPunct/>
        <w:bidi w:val="0"/>
        <w:adjustRightInd w:val="0"/>
        <w:snapToGrid w:val="0"/>
        <w:spacing w:line="400" w:lineRule="exact"/>
        <w:jc w:val="left"/>
        <w:outlineLvl w:val="1"/>
        <w:rPr>
          <w:rFonts w:hint="eastAsia" w:ascii="宋体" w:hAnsi="宋体" w:eastAsia="宋体" w:cs="宋体"/>
          <w:color w:val="auto"/>
          <w:sz w:val="24"/>
          <w:szCs w:val="22"/>
          <w:highlight w:val="none"/>
        </w:rPr>
      </w:pPr>
    </w:p>
    <w:p w14:paraId="6EFD16E1">
      <w:pPr>
        <w:pStyle w:val="523"/>
        <w:kinsoku/>
        <w:overflowPunct/>
        <w:bidi w:val="0"/>
        <w:adjustRightInd w:val="0"/>
        <w:snapToGrid w:val="0"/>
        <w:spacing w:line="400" w:lineRule="exact"/>
        <w:jc w:val="left"/>
        <w:outlineLvl w:val="1"/>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2"/>
          <w:highlight w:val="none"/>
        </w:rPr>
        <w:t>表</w:t>
      </w:r>
      <w:r>
        <w:rPr>
          <w:rFonts w:hint="eastAsia" w:hAnsi="宋体" w:cs="宋体"/>
          <w:color w:val="auto"/>
          <w:sz w:val="24"/>
          <w:szCs w:val="22"/>
          <w:highlight w:val="none"/>
          <w:lang w:val="en-US" w:eastAsia="zh-CN"/>
        </w:rPr>
        <w:t>7</w:t>
      </w:r>
      <w:r>
        <w:rPr>
          <w:rFonts w:hint="eastAsia" w:ascii="宋体" w:hAnsi="宋体" w:eastAsia="宋体" w:cs="宋体"/>
          <w:color w:val="auto"/>
          <w:sz w:val="24"/>
          <w:szCs w:val="22"/>
          <w:highlight w:val="none"/>
        </w:rPr>
        <w:t>：</w:t>
      </w:r>
      <w:bookmarkStart w:id="82" w:name="_Toc6494396"/>
      <w:r>
        <w:rPr>
          <w:rFonts w:hint="eastAsia" w:ascii="宋体" w:hAnsi="宋体" w:eastAsia="宋体" w:cs="宋体"/>
          <w:color w:val="auto"/>
          <w:kern w:val="2"/>
          <w:sz w:val="24"/>
          <w:szCs w:val="22"/>
          <w:highlight w:val="none"/>
          <w:lang w:val="en-US" w:eastAsia="zh-CN" w:bidi="ar-SA"/>
        </w:rPr>
        <w:t>小微企业/监狱企业声明函/残疾人福利性单位声明函</w:t>
      </w:r>
      <w:bookmarkEnd w:id="82"/>
    </w:p>
    <w:p w14:paraId="2A2D21FB">
      <w:pPr>
        <w:pStyle w:val="586"/>
        <w:kinsoku/>
        <w:overflowPunct/>
        <w:bidi w:val="0"/>
        <w:spacing w:line="360" w:lineRule="auto"/>
        <w:jc w:val="center"/>
        <w:rPr>
          <w:rStyle w:val="608"/>
          <w:rFonts w:hint="eastAsia" w:ascii="宋体" w:hAnsi="宋体" w:eastAsia="宋体" w:cs="宋体"/>
          <w:b/>
          <w:bCs/>
          <w:color w:val="auto"/>
          <w:sz w:val="28"/>
          <w:szCs w:val="28"/>
          <w:highlight w:val="none"/>
        </w:rPr>
      </w:pPr>
    </w:p>
    <w:p w14:paraId="14C24AB8">
      <w:pPr>
        <w:pStyle w:val="586"/>
        <w:kinsoku/>
        <w:overflowPunct/>
        <w:bidi w:val="0"/>
        <w:spacing w:line="360" w:lineRule="auto"/>
        <w:jc w:val="center"/>
        <w:rPr>
          <w:rStyle w:val="608"/>
          <w:rFonts w:hint="eastAsia" w:ascii="宋体" w:hAnsi="宋体" w:eastAsia="宋体" w:cs="宋体"/>
          <w:b/>
          <w:bCs/>
          <w:color w:val="auto"/>
          <w:sz w:val="28"/>
          <w:szCs w:val="28"/>
          <w:highlight w:val="none"/>
          <w:lang w:val="zh-TW" w:eastAsia="zh-TW"/>
        </w:rPr>
      </w:pPr>
      <w:r>
        <w:rPr>
          <w:rStyle w:val="608"/>
          <w:rFonts w:hint="eastAsia" w:ascii="宋体" w:hAnsi="宋体" w:eastAsia="宋体" w:cs="宋体"/>
          <w:b/>
          <w:bCs/>
          <w:color w:val="auto"/>
          <w:sz w:val="28"/>
          <w:szCs w:val="28"/>
          <w:highlight w:val="none"/>
        </w:rPr>
        <w:t>1、</w:t>
      </w:r>
      <w:r>
        <w:rPr>
          <w:rStyle w:val="608"/>
          <w:rFonts w:hint="eastAsia" w:ascii="宋体" w:hAnsi="宋体" w:eastAsia="宋体" w:cs="宋体"/>
          <w:b/>
          <w:bCs/>
          <w:color w:val="auto"/>
          <w:sz w:val="28"/>
          <w:szCs w:val="28"/>
          <w:highlight w:val="none"/>
          <w:lang w:val="zh-TW" w:eastAsia="zh-TW"/>
        </w:rPr>
        <w:t>中小企业声明函</w:t>
      </w:r>
      <w:r>
        <w:rPr>
          <w:rStyle w:val="608"/>
          <w:rFonts w:hint="eastAsia" w:ascii="宋体" w:hAnsi="宋体" w:eastAsia="宋体" w:cs="宋体"/>
          <w:b/>
          <w:bCs/>
          <w:color w:val="auto"/>
          <w:sz w:val="28"/>
          <w:szCs w:val="28"/>
          <w:highlight w:val="none"/>
          <w:lang w:val="zh-TW" w:eastAsia="zh-CN"/>
        </w:rPr>
        <w:t>（货物）</w:t>
      </w:r>
    </w:p>
    <w:p w14:paraId="6D139BF3">
      <w:pPr>
        <w:pStyle w:val="586"/>
        <w:kinsoku/>
        <w:overflowPunct/>
        <w:bidi w:val="0"/>
        <w:spacing w:line="360" w:lineRule="auto"/>
        <w:rPr>
          <w:rStyle w:val="608"/>
          <w:rFonts w:hint="eastAsia" w:ascii="宋体" w:hAnsi="宋体" w:eastAsia="宋体" w:cs="宋体"/>
          <w:b/>
          <w:bCs/>
          <w:color w:val="auto"/>
          <w:sz w:val="24"/>
          <w:szCs w:val="24"/>
          <w:highlight w:val="none"/>
        </w:rPr>
      </w:pPr>
    </w:p>
    <w:p w14:paraId="137BE126">
      <w:pPr>
        <w:pStyle w:val="612"/>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i/>
          <w:iCs/>
          <w:color w:val="auto"/>
          <w:spacing w:val="0"/>
          <w:w w:val="100"/>
          <w:position w:val="0"/>
          <w:sz w:val="24"/>
          <w:szCs w:val="24"/>
          <w:highlight w:val="none"/>
          <w:u w:val="single"/>
        </w:rPr>
        <w:t>（单位名称）</w:t>
      </w:r>
      <w:r>
        <w:rPr>
          <w:rFonts w:hint="eastAsia" w:ascii="宋体" w:hAnsi="宋体" w:eastAsia="宋体" w:cs="宋体"/>
          <w:color w:val="auto"/>
          <w:spacing w:val="0"/>
          <w:w w:val="100"/>
          <w:position w:val="0"/>
          <w:sz w:val="24"/>
          <w:szCs w:val="24"/>
          <w:highlight w:val="none"/>
        </w:rPr>
        <w:t>的</w:t>
      </w:r>
      <w:r>
        <w:rPr>
          <w:rFonts w:hint="eastAsia" w:ascii="宋体" w:hAnsi="宋体" w:eastAsia="宋体" w:cs="宋体"/>
          <w:i/>
          <w:iCs/>
          <w:color w:val="auto"/>
          <w:spacing w:val="0"/>
          <w:w w:val="100"/>
          <w:position w:val="0"/>
          <w:sz w:val="24"/>
          <w:szCs w:val="24"/>
          <w:highlight w:val="none"/>
          <w:u w:val="single"/>
        </w:rPr>
        <w:t>（项目名称）</w:t>
      </w:r>
      <w:r>
        <w:rPr>
          <w:rFonts w:hint="eastAsia" w:ascii="宋体" w:hAnsi="宋体" w:eastAsia="宋体" w:cs="宋体"/>
          <w:color w:val="auto"/>
          <w:spacing w:val="0"/>
          <w:w w:val="100"/>
          <w:position w:val="0"/>
          <w:sz w:val="24"/>
          <w:szCs w:val="24"/>
          <w:highlight w:val="none"/>
        </w:rPr>
        <w:t>采购活动,提供的货物全部由符合政策要求的中小企业制造。相关企业（含联合体中的中小企业、签订分包意向协议的中小企业）的具体情况如下：</w:t>
      </w:r>
    </w:p>
    <w:p w14:paraId="10619049">
      <w:pPr>
        <w:pStyle w:val="612"/>
        <w:keepNext w:val="0"/>
        <w:keepLines w:val="0"/>
        <w:widowControl w:val="0"/>
        <w:numPr>
          <w:ilvl w:val="0"/>
          <w:numId w:val="5"/>
        </w:numPr>
        <w:shd w:val="clear" w:color="auto" w:fill="auto"/>
        <w:tabs>
          <w:tab w:val="left" w:pos="1238"/>
          <w:tab w:val="left" w:pos="4435"/>
          <w:tab w:val="left" w:pos="6672"/>
        </w:tabs>
        <w:bidi w:val="0"/>
        <w:spacing w:before="0" w:after="0" w:line="360" w:lineRule="auto"/>
        <w:ind w:left="0" w:right="0" w:firstLine="660"/>
        <w:jc w:val="both"/>
        <w:rPr>
          <w:rFonts w:hint="eastAsia" w:ascii="宋体" w:hAnsi="宋体" w:eastAsia="宋体" w:cs="宋体"/>
          <w:i w:val="0"/>
          <w:iCs w:val="0"/>
          <w:color w:val="auto"/>
          <w:sz w:val="24"/>
          <w:szCs w:val="24"/>
          <w:highlight w:val="none"/>
        </w:rPr>
      </w:pPr>
      <w:bookmarkStart w:id="83" w:name="bookmark30"/>
      <w:bookmarkEnd w:id="83"/>
      <w:r>
        <w:rPr>
          <w:rFonts w:hint="eastAsia" w:ascii="宋体" w:hAnsi="宋体" w:eastAsia="宋体" w:cs="宋体"/>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（采购文件中明确的所属行业丿行业</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ascii="宋体" w:hAnsi="宋体" w:eastAsia="宋体" w:cs="宋体"/>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（中型企业、小 型企业、微型企业）</w:t>
      </w:r>
      <w:r>
        <w:rPr>
          <w:rFonts w:hint="eastAsia" w:ascii="宋体" w:hAnsi="宋体" w:eastAsia="宋体" w:cs="宋体"/>
          <w:i w:val="0"/>
          <w:iCs w:val="0"/>
          <w:color w:val="auto"/>
          <w:spacing w:val="0"/>
          <w:w w:val="100"/>
          <w:position w:val="0"/>
          <w:sz w:val="24"/>
          <w:szCs w:val="24"/>
          <w:highlight w:val="none"/>
        </w:rPr>
        <w:t>,</w:t>
      </w:r>
    </w:p>
    <w:p w14:paraId="12307BBB">
      <w:pPr>
        <w:pStyle w:val="612"/>
        <w:keepNext w:val="0"/>
        <w:keepLines w:val="0"/>
        <w:widowControl w:val="0"/>
        <w:numPr>
          <w:ilvl w:val="0"/>
          <w:numId w:val="5"/>
        </w:numPr>
        <w:shd w:val="clear" w:color="auto" w:fill="auto"/>
        <w:tabs>
          <w:tab w:val="left" w:pos="1238"/>
          <w:tab w:val="left" w:pos="6331"/>
        </w:tabs>
        <w:bidi w:val="0"/>
        <w:spacing w:before="0" w:after="0" w:line="360" w:lineRule="auto"/>
        <w:ind w:left="0" w:right="0" w:firstLine="660"/>
        <w:jc w:val="both"/>
        <w:rPr>
          <w:rFonts w:hint="eastAsia" w:ascii="宋体" w:hAnsi="宋体" w:eastAsia="宋体" w:cs="宋体"/>
          <w:i w:val="0"/>
          <w:iCs w:val="0"/>
          <w:color w:val="auto"/>
          <w:sz w:val="24"/>
          <w:szCs w:val="24"/>
          <w:highlight w:val="none"/>
        </w:rPr>
      </w:pPr>
      <w:bookmarkStart w:id="84" w:name="bookmark31"/>
      <w:bookmarkEnd w:id="84"/>
      <w:r>
        <w:rPr>
          <w:rFonts w:hint="eastAsia" w:ascii="宋体" w:hAnsi="宋体" w:eastAsia="宋体" w:cs="宋体"/>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（采购文件中明确的所属行业丿行业</w:t>
      </w:r>
      <w:r>
        <w:rPr>
          <w:rFonts w:hint="eastAsia" w:cs="宋体"/>
          <w:i w:val="0"/>
          <w:iCs w:val="0"/>
          <w:color w:val="auto"/>
          <w:spacing w:val="0"/>
          <w:w w:val="100"/>
          <w:position w:val="0"/>
          <w:sz w:val="24"/>
          <w:szCs w:val="24"/>
          <w:highlight w:val="none"/>
          <w:lang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ascii="宋体" w:hAnsi="宋体" w:eastAsia="宋体" w:cs="宋体"/>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（中型企业、小 型企业、微型企业）</w:t>
      </w:r>
      <w:r>
        <w:rPr>
          <w:rFonts w:hint="eastAsia" w:ascii="宋体" w:hAnsi="宋体" w:eastAsia="宋体" w:cs="宋体"/>
          <w:i w:val="0"/>
          <w:iCs w:val="0"/>
          <w:color w:val="auto"/>
          <w:spacing w:val="0"/>
          <w:w w:val="100"/>
          <w:position w:val="0"/>
          <w:sz w:val="24"/>
          <w:szCs w:val="24"/>
          <w:highlight w:val="none"/>
          <w:lang w:val="zh-CN" w:eastAsia="zh-CN" w:bidi="zh-CN"/>
        </w:rPr>
        <w:t>,</w:t>
      </w:r>
      <w:r>
        <w:rPr>
          <w:rFonts w:hint="eastAsia" w:ascii="宋体" w:hAnsi="宋体" w:eastAsia="宋体" w:cs="宋体"/>
          <w:i w:val="0"/>
          <w:iCs w:val="0"/>
          <w:color w:val="auto"/>
          <w:spacing w:val="0"/>
          <w:w w:val="100"/>
          <w:position w:val="0"/>
          <w:sz w:val="24"/>
          <w:szCs w:val="24"/>
          <w:highlight w:val="none"/>
          <w:lang w:val="en-US" w:eastAsia="en-US" w:bidi="en-US"/>
        </w:rPr>
        <w:tab/>
      </w:r>
    </w:p>
    <w:p w14:paraId="5888FE1C">
      <w:pPr>
        <w:pStyle w:val="612"/>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以上企业，不属于大企业的分支机构，不存在控股股东为大企业的情形</w:t>
      </w:r>
      <w:r>
        <w:rPr>
          <w:rFonts w:hint="eastAsia" w:ascii="宋体" w:hAnsi="宋体" w:eastAsia="宋体" w:cs="宋体"/>
          <w:color w:val="auto"/>
          <w:spacing w:val="0"/>
          <w:w w:val="100"/>
          <w:position w:val="0"/>
          <w:sz w:val="24"/>
          <w:szCs w:val="24"/>
          <w:highlight w:val="none"/>
          <w:lang w:val="en-US" w:eastAsia="zh-CN"/>
        </w:rPr>
        <w:t>,</w:t>
      </w:r>
      <w:r>
        <w:rPr>
          <w:rFonts w:hint="eastAsia" w:ascii="宋体" w:hAnsi="宋体" w:eastAsia="宋体" w:cs="宋体"/>
          <w:color w:val="auto"/>
          <w:spacing w:val="0"/>
          <w:w w:val="100"/>
          <w:position w:val="0"/>
          <w:sz w:val="24"/>
          <w:szCs w:val="24"/>
          <w:highlight w:val="none"/>
        </w:rPr>
        <w:t>也不存在与大企业的负责人为同一人的情形。</w:t>
      </w:r>
    </w:p>
    <w:p w14:paraId="3A334E0D">
      <w:pPr>
        <w:pStyle w:val="612"/>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本企业对上述声明内容的真实性负责。如有虚假，将依法承担相应责任。</w:t>
      </w:r>
    </w:p>
    <w:p w14:paraId="4B80B7B1">
      <w:pPr>
        <w:pStyle w:val="612"/>
        <w:keepNext w:val="0"/>
        <w:keepLines w:val="0"/>
        <w:widowControl w:val="0"/>
        <w:shd w:val="clear" w:color="auto" w:fill="auto"/>
        <w:bidi w:val="0"/>
        <w:spacing w:before="0" w:after="0" w:line="360" w:lineRule="auto"/>
        <w:ind w:left="386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企业名称（盖章）:</w:t>
      </w:r>
    </w:p>
    <w:p w14:paraId="78A99A44">
      <w:pPr>
        <w:pStyle w:val="612"/>
        <w:keepNext w:val="0"/>
        <w:keepLines w:val="0"/>
        <w:widowControl w:val="0"/>
        <w:shd w:val="clear" w:color="auto" w:fill="auto"/>
        <w:bidi w:val="0"/>
        <w:spacing w:before="0" w:after="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日期：</w:t>
      </w:r>
    </w:p>
    <w:p w14:paraId="46C8E1E3">
      <w:pPr>
        <w:pStyle w:val="612"/>
        <w:kinsoku/>
        <w:overflowPunct/>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注：从业人员、营业收入、资产总额填报上一年度数据，无上一年度数据的新成立企业可不填报。</w:t>
      </w:r>
    </w:p>
    <w:p w14:paraId="39AADAA5">
      <w:pPr>
        <w:pStyle w:val="605"/>
        <w:pBdr>
          <w:top w:val="none" w:color="auto" w:sz="0" w:space="0"/>
          <w:left w:val="none" w:color="auto" w:sz="0" w:space="0"/>
          <w:bottom w:val="none" w:color="auto" w:sz="0" w:space="0"/>
          <w:right w:val="none" w:color="auto" w:sz="0" w:space="0"/>
        </w:pBdr>
        <w:kinsoku/>
        <w:wordWrap w:val="0"/>
        <w:overflowPunct/>
        <w:bidi w:val="0"/>
        <w:spacing w:line="360" w:lineRule="auto"/>
        <w:ind w:firstLine="570"/>
        <w:rPr>
          <w:rFonts w:hint="eastAsia" w:ascii="宋体" w:hAnsi="宋体" w:eastAsia="宋体" w:cs="宋体"/>
          <w:b/>
          <w:bCs/>
          <w:color w:val="auto"/>
          <w:sz w:val="24"/>
          <w:szCs w:val="24"/>
          <w:highlight w:val="none"/>
        </w:rPr>
      </w:pPr>
    </w:p>
    <w:p w14:paraId="3F6F9385">
      <w:pPr>
        <w:pStyle w:val="612"/>
        <w:kinsoku/>
        <w:overflowPunct/>
        <w:bidi w:val="0"/>
        <w:spacing w:line="400" w:lineRule="exact"/>
        <w:rPr>
          <w:rFonts w:hint="eastAsia" w:ascii="宋体" w:hAnsi="宋体" w:eastAsia="宋体" w:cs="宋体"/>
          <w:b/>
          <w:bCs/>
          <w:color w:val="auto"/>
          <w:sz w:val="24"/>
          <w:szCs w:val="24"/>
          <w:highlight w:val="none"/>
          <w:lang w:val="en-US" w:eastAsia="zh-CN"/>
        </w:rPr>
      </w:pPr>
    </w:p>
    <w:p w14:paraId="69C23C61">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14:paraId="3D7ECB39">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14:paraId="303DA935">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14:paraId="06D21853">
      <w:pPr>
        <w:pStyle w:val="35"/>
        <w:rPr>
          <w:rFonts w:hint="eastAsia"/>
          <w:color w:val="auto"/>
          <w:highlight w:val="none"/>
          <w:lang w:val="zh-CN"/>
        </w:rPr>
      </w:pPr>
    </w:p>
    <w:p w14:paraId="5D4D3009">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14:paraId="374FB009">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14:paraId="769BEA2A">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14:paraId="692946CE">
      <w:pPr>
        <w:numPr>
          <w:ilvl w:val="0"/>
          <w:numId w:val="0"/>
        </w:numPr>
        <w:kinsoku/>
        <w:overflowPunct/>
        <w:bidi w:val="0"/>
        <w:spacing w:line="400" w:lineRule="exact"/>
        <w:jc w:val="both"/>
        <w:rPr>
          <w:rFonts w:hint="eastAsia" w:ascii="宋体" w:hAnsi="宋体" w:eastAsia="宋体" w:cs="宋体"/>
          <w:b/>
          <w:color w:val="auto"/>
          <w:spacing w:val="6"/>
          <w:sz w:val="24"/>
          <w:szCs w:val="24"/>
          <w:highlight w:val="none"/>
        </w:rPr>
      </w:pPr>
      <w:r>
        <w:rPr>
          <w:rFonts w:hint="eastAsia" w:ascii="宋体" w:hAnsi="宋体" w:cs="宋体"/>
          <w:b/>
          <w:color w:val="auto"/>
          <w:kern w:val="0"/>
          <w:sz w:val="24"/>
          <w:highlight w:val="none"/>
          <w:lang w:val="en-US" w:eastAsia="zh-CN"/>
        </w:rPr>
        <w:t xml:space="preserve">                      2.</w:t>
      </w:r>
      <w:r>
        <w:rPr>
          <w:rFonts w:hint="eastAsia" w:ascii="宋体" w:hAnsi="宋体" w:eastAsia="宋体" w:cs="宋体"/>
          <w:b/>
          <w:color w:val="auto"/>
          <w:spacing w:val="6"/>
          <w:sz w:val="28"/>
          <w:szCs w:val="28"/>
          <w:highlight w:val="none"/>
        </w:rPr>
        <w:t>监狱和戒毒企业证明材料</w:t>
      </w:r>
    </w:p>
    <w:p w14:paraId="4B943B1B">
      <w:pPr>
        <w:pStyle w:val="35"/>
        <w:rPr>
          <w:rFonts w:hint="eastAsia"/>
          <w:color w:val="auto"/>
          <w:highlight w:val="none"/>
        </w:rPr>
      </w:pPr>
    </w:p>
    <w:p w14:paraId="1386A466">
      <w:pPr>
        <w:pStyle w:val="35"/>
        <w:numPr>
          <w:ilvl w:val="0"/>
          <w:numId w:val="0"/>
        </w:numPr>
        <w:rPr>
          <w:rFonts w:hint="eastAsia"/>
          <w:color w:val="auto"/>
          <w:highlight w:val="none"/>
        </w:rPr>
      </w:pPr>
    </w:p>
    <w:p w14:paraId="7BBA47D9">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监狱和戒毒企业参加投标时应提供由省级以上监狱管理局、戒毒管理局（含新疆生产建设兵团）出具的属于监狱企业的证明文件。</w:t>
      </w:r>
    </w:p>
    <w:p w14:paraId="48050241">
      <w:pPr>
        <w:kinsoku/>
        <w:overflowPunct/>
        <w:bidi w:val="0"/>
        <w:spacing w:line="400" w:lineRule="exact"/>
        <w:rPr>
          <w:rFonts w:hint="eastAsia" w:ascii="宋体" w:hAnsi="宋体" w:eastAsia="宋体" w:cs="宋体"/>
          <w:color w:val="auto"/>
          <w:sz w:val="24"/>
          <w:szCs w:val="24"/>
          <w:highlight w:val="none"/>
        </w:rPr>
      </w:pPr>
    </w:p>
    <w:p w14:paraId="40A6FE0E">
      <w:pPr>
        <w:pStyle w:val="609"/>
        <w:kinsoku/>
        <w:overflowPunct/>
        <w:bidi w:val="0"/>
        <w:spacing w:line="400" w:lineRule="exact"/>
        <w:jc w:val="center"/>
        <w:rPr>
          <w:rFonts w:hint="eastAsia" w:ascii="宋体" w:hAnsi="宋体" w:eastAsia="宋体" w:cs="宋体"/>
          <w:b/>
          <w:color w:val="auto"/>
          <w:spacing w:val="6"/>
          <w:sz w:val="24"/>
          <w:highlight w:val="none"/>
        </w:rPr>
      </w:pPr>
    </w:p>
    <w:p w14:paraId="4EA3D35B">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14:paraId="6943C633">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14:paraId="3D90EE6A">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14:paraId="715A7159">
      <w:pPr>
        <w:pStyle w:val="609"/>
        <w:kinsoku/>
        <w:overflowPunct/>
        <w:bidi w:val="0"/>
        <w:spacing w:line="400" w:lineRule="exact"/>
        <w:jc w:val="center"/>
        <w:rPr>
          <w:rFonts w:hint="eastAsia" w:ascii="宋体" w:hAnsi="宋体" w:eastAsia="宋体" w:cs="宋体"/>
          <w:b/>
          <w:color w:val="auto"/>
          <w:spacing w:val="6"/>
          <w:sz w:val="24"/>
          <w:highlight w:val="none"/>
        </w:rPr>
      </w:pPr>
    </w:p>
    <w:p w14:paraId="10E1DB9B">
      <w:pPr>
        <w:pStyle w:val="609"/>
        <w:kinsoku/>
        <w:overflowPunct/>
        <w:bidi w:val="0"/>
        <w:spacing w:line="400" w:lineRule="exact"/>
        <w:jc w:val="center"/>
        <w:rPr>
          <w:rFonts w:hint="eastAsia" w:ascii="宋体" w:hAnsi="宋体" w:eastAsia="宋体" w:cs="宋体"/>
          <w:b/>
          <w:color w:val="auto"/>
          <w:spacing w:val="6"/>
          <w:sz w:val="24"/>
          <w:highlight w:val="none"/>
        </w:rPr>
      </w:pPr>
    </w:p>
    <w:p w14:paraId="751B003E">
      <w:pPr>
        <w:pStyle w:val="609"/>
        <w:kinsoku/>
        <w:overflowPunct/>
        <w:bidi w:val="0"/>
        <w:spacing w:line="400" w:lineRule="exact"/>
        <w:jc w:val="center"/>
        <w:rPr>
          <w:rFonts w:hint="eastAsia" w:ascii="宋体" w:hAnsi="宋体" w:eastAsia="宋体" w:cs="宋体"/>
          <w:b/>
          <w:color w:val="auto"/>
          <w:spacing w:val="6"/>
          <w:sz w:val="24"/>
          <w:highlight w:val="none"/>
        </w:rPr>
      </w:pPr>
    </w:p>
    <w:p w14:paraId="1035BE8E">
      <w:pPr>
        <w:pStyle w:val="609"/>
        <w:kinsoku/>
        <w:overflowPunct/>
        <w:bidi w:val="0"/>
        <w:spacing w:line="400" w:lineRule="exact"/>
        <w:jc w:val="center"/>
        <w:rPr>
          <w:rFonts w:hint="eastAsia" w:ascii="宋体" w:hAnsi="宋体" w:eastAsia="宋体" w:cs="宋体"/>
          <w:b/>
          <w:color w:val="auto"/>
          <w:spacing w:val="6"/>
          <w:sz w:val="24"/>
          <w:highlight w:val="none"/>
        </w:rPr>
      </w:pPr>
    </w:p>
    <w:p w14:paraId="6B76016F">
      <w:pPr>
        <w:pStyle w:val="609"/>
        <w:kinsoku/>
        <w:overflowPunct/>
        <w:bidi w:val="0"/>
        <w:spacing w:line="400" w:lineRule="exact"/>
        <w:jc w:val="center"/>
        <w:rPr>
          <w:rFonts w:hint="eastAsia" w:ascii="宋体" w:hAnsi="宋体" w:eastAsia="宋体" w:cs="宋体"/>
          <w:b/>
          <w:color w:val="auto"/>
          <w:spacing w:val="6"/>
          <w:sz w:val="24"/>
          <w:highlight w:val="none"/>
        </w:rPr>
      </w:pPr>
    </w:p>
    <w:p w14:paraId="2337DD98">
      <w:pPr>
        <w:pStyle w:val="609"/>
        <w:kinsoku/>
        <w:overflowPunct/>
        <w:bidi w:val="0"/>
        <w:spacing w:line="400" w:lineRule="exact"/>
        <w:jc w:val="center"/>
        <w:rPr>
          <w:rFonts w:hint="eastAsia" w:ascii="宋体" w:hAnsi="宋体" w:eastAsia="宋体" w:cs="宋体"/>
          <w:b/>
          <w:color w:val="auto"/>
          <w:spacing w:val="6"/>
          <w:sz w:val="24"/>
          <w:highlight w:val="none"/>
        </w:rPr>
      </w:pPr>
    </w:p>
    <w:p w14:paraId="12415A53">
      <w:pPr>
        <w:pStyle w:val="609"/>
        <w:numPr>
          <w:ilvl w:val="0"/>
          <w:numId w:val="0"/>
        </w:numPr>
        <w:kinsoku/>
        <w:overflowPunct/>
        <w:bidi w:val="0"/>
        <w:spacing w:line="400" w:lineRule="exact"/>
        <w:ind w:leftChars="0" w:firstLine="2638" w:firstLineChars="900"/>
        <w:jc w:val="both"/>
        <w:rPr>
          <w:rFonts w:hint="eastAsia" w:ascii="宋体" w:hAnsi="宋体" w:eastAsia="宋体" w:cs="宋体"/>
          <w:b/>
          <w:color w:val="auto"/>
          <w:spacing w:val="6"/>
          <w:sz w:val="28"/>
          <w:szCs w:val="28"/>
          <w:highlight w:val="none"/>
        </w:rPr>
      </w:pPr>
      <w:r>
        <w:rPr>
          <w:rFonts w:hint="eastAsia" w:ascii="宋体" w:hAnsi="宋体" w:cs="宋体"/>
          <w:b/>
          <w:color w:val="auto"/>
          <w:spacing w:val="6"/>
          <w:sz w:val="28"/>
          <w:szCs w:val="28"/>
          <w:highlight w:val="none"/>
          <w:lang w:val="en-US" w:eastAsia="zh-CN"/>
        </w:rPr>
        <w:t>3.</w:t>
      </w:r>
      <w:r>
        <w:rPr>
          <w:rFonts w:hint="eastAsia" w:ascii="宋体" w:hAnsi="宋体" w:eastAsia="宋体" w:cs="宋体"/>
          <w:b/>
          <w:color w:val="auto"/>
          <w:spacing w:val="6"/>
          <w:sz w:val="28"/>
          <w:szCs w:val="28"/>
          <w:highlight w:val="none"/>
        </w:rPr>
        <w:t>残疾人福利性单位声明函</w:t>
      </w:r>
    </w:p>
    <w:p w14:paraId="2CA7D1DB">
      <w:pPr>
        <w:pStyle w:val="609"/>
        <w:numPr>
          <w:ilvl w:val="0"/>
          <w:numId w:val="0"/>
        </w:numPr>
        <w:kinsoku/>
        <w:overflowPunct/>
        <w:bidi w:val="0"/>
        <w:spacing w:line="400" w:lineRule="exact"/>
        <w:ind w:leftChars="0"/>
        <w:jc w:val="both"/>
        <w:rPr>
          <w:rFonts w:hint="eastAsia" w:ascii="宋体" w:hAnsi="宋体" w:eastAsia="宋体" w:cs="宋体"/>
          <w:b/>
          <w:color w:val="auto"/>
          <w:spacing w:val="6"/>
          <w:sz w:val="24"/>
          <w:highlight w:val="none"/>
        </w:rPr>
      </w:pPr>
    </w:p>
    <w:p w14:paraId="7D024199">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EB0C7D2">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2676DA99">
      <w:pPr>
        <w:widowControl/>
        <w:kinsoku/>
        <w:overflowPunct/>
        <w:bidi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      </w:t>
      </w:r>
    </w:p>
    <w:p w14:paraId="412C7E5F">
      <w:pPr>
        <w:widowControl/>
        <w:kinsoku/>
        <w:overflowPunct/>
        <w:bidi w:val="0"/>
        <w:spacing w:line="400" w:lineRule="exact"/>
        <w:jc w:val="left"/>
        <w:rPr>
          <w:rFonts w:hint="eastAsia" w:ascii="宋体" w:hAnsi="宋体" w:eastAsia="宋体" w:cs="宋体"/>
          <w:color w:val="auto"/>
          <w:sz w:val="24"/>
          <w:highlight w:val="none"/>
        </w:rPr>
      </w:pPr>
    </w:p>
    <w:p w14:paraId="5E0F0858">
      <w:pPr>
        <w:pStyle w:val="609"/>
        <w:kinsoku/>
        <w:overflowPunct/>
        <w:bidi w:val="0"/>
        <w:spacing w:line="400" w:lineRule="exact"/>
        <w:jc w:val="center"/>
        <w:rPr>
          <w:rFonts w:hint="eastAsia" w:ascii="宋体" w:hAnsi="宋体" w:eastAsia="宋体" w:cs="宋体"/>
          <w:b/>
          <w:color w:val="auto"/>
          <w:spacing w:val="6"/>
          <w:sz w:val="24"/>
          <w:highlight w:val="none"/>
        </w:rPr>
      </w:pPr>
    </w:p>
    <w:p w14:paraId="3F798010">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14:paraId="1BCD3E9C">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14:paraId="4FD3838A">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14:paraId="3BDE96DB">
      <w:pPr>
        <w:widowControl/>
        <w:kinsoku/>
        <w:overflowPunct/>
        <w:bidi w:val="0"/>
        <w:spacing w:line="400" w:lineRule="exact"/>
        <w:jc w:val="left"/>
        <w:rPr>
          <w:rFonts w:hint="eastAsia" w:ascii="宋体" w:hAnsi="宋体" w:eastAsia="宋体" w:cs="宋体"/>
          <w:color w:val="auto"/>
          <w:sz w:val="24"/>
          <w:highlight w:val="none"/>
        </w:rPr>
      </w:pPr>
    </w:p>
    <w:p w14:paraId="4EA6A80C">
      <w:pPr>
        <w:pStyle w:val="35"/>
        <w:rPr>
          <w:rFonts w:hint="eastAsia"/>
          <w:color w:val="auto"/>
          <w:highlight w:val="none"/>
        </w:rPr>
      </w:pPr>
    </w:p>
    <w:p w14:paraId="1C2C728C">
      <w:pPr>
        <w:widowControl/>
        <w:kinsoku/>
        <w:overflowPunct/>
        <w:bidi w:val="0"/>
        <w:spacing w:line="400" w:lineRule="exact"/>
        <w:jc w:val="left"/>
        <w:rPr>
          <w:rFonts w:hint="eastAsia" w:ascii="宋体" w:hAnsi="宋体" w:eastAsia="宋体" w:cs="宋体"/>
          <w:color w:val="auto"/>
          <w:sz w:val="24"/>
          <w:highlight w:val="none"/>
        </w:rPr>
      </w:pPr>
    </w:p>
    <w:p w14:paraId="03C432BB">
      <w:pPr>
        <w:pStyle w:val="35"/>
        <w:rPr>
          <w:rFonts w:hint="eastAsia"/>
          <w:color w:val="auto"/>
          <w:highlight w:val="none"/>
        </w:rPr>
      </w:pPr>
    </w:p>
    <w:p w14:paraId="0B95A0F1">
      <w:pPr>
        <w:widowControl/>
        <w:spacing w:line="312"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表</w:t>
      </w:r>
      <w:r>
        <w:rPr>
          <w:rFonts w:hint="eastAsia" w:ascii="宋体" w:hAnsi="宋体" w:cs="宋体"/>
          <w:color w:val="auto"/>
          <w:sz w:val="24"/>
          <w:szCs w:val="22"/>
          <w:highlight w:val="none"/>
          <w:shd w:val="clear" w:color="auto" w:fill="auto"/>
          <w:lang w:val="en-US" w:eastAsia="zh-CN"/>
        </w:rPr>
        <w:t>8</w:t>
      </w:r>
      <w:r>
        <w:rPr>
          <w:rFonts w:hint="eastAsia" w:ascii="宋体" w:hAnsi="宋体" w:eastAsia="宋体" w:cs="宋体"/>
          <w:color w:val="auto"/>
          <w:sz w:val="24"/>
          <w:szCs w:val="22"/>
          <w:highlight w:val="none"/>
          <w:shd w:val="clear" w:color="auto" w:fill="auto"/>
        </w:rPr>
        <w:t>：与其他供应商无利害关系的声明函</w:t>
      </w:r>
    </w:p>
    <w:p w14:paraId="6DAB9AD0">
      <w:pPr>
        <w:spacing w:line="312"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与其他供应商无利害关系的声明函</w:t>
      </w:r>
    </w:p>
    <w:p w14:paraId="1686C191">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14:paraId="0920C7BD">
      <w:pPr>
        <w:pStyle w:val="35"/>
        <w:keepNext w:val="0"/>
        <w:keepLines w:val="0"/>
        <w:pageBreakBefore w:val="0"/>
        <w:tabs>
          <w:tab w:val="left" w:pos="1903"/>
          <w:tab w:val="left" w:pos="4336"/>
        </w:tabs>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（供应商）</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shd w:val="clear" w:color="auto" w:fill="auto"/>
        </w:rPr>
        <w:t>参加</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（采购人）</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cs="宋体"/>
          <w:color w:val="auto"/>
          <w:sz w:val="24"/>
          <w:szCs w:val="24"/>
          <w:highlight w:val="none"/>
          <w:u w:val="single"/>
          <w:shd w:val="clear" w:color="auto" w:fill="auto"/>
          <w:lang w:eastAsia="zh-CN"/>
        </w:rPr>
        <w:t>项目名称</w:t>
      </w:r>
      <w:r>
        <w:rPr>
          <w:rFonts w:hint="eastAsia" w:ascii="宋体" w:hAnsi="宋体" w:eastAsia="宋体" w:cs="宋体"/>
          <w:color w:val="auto"/>
          <w:spacing w:val="-3"/>
          <w:sz w:val="24"/>
          <w:szCs w:val="24"/>
          <w:highlight w:val="none"/>
          <w:shd w:val="clear" w:color="auto" w:fill="auto"/>
        </w:rPr>
        <w:t>（项目编号</w:t>
      </w:r>
      <w:r>
        <w:rPr>
          <w:rFonts w:hint="eastAsia" w:ascii="宋体" w:hAnsi="宋体" w:eastAsia="宋体" w:cs="宋体"/>
          <w:color w:val="auto"/>
          <w:spacing w:val="-3"/>
          <w:sz w:val="24"/>
          <w:szCs w:val="24"/>
          <w:highlight w:val="none"/>
          <w:shd w:val="clear" w:color="auto" w:fill="auto"/>
          <w:lang w:eastAsia="zh-CN"/>
        </w:rPr>
        <w:t>：</w:t>
      </w:r>
      <w:r>
        <w:rPr>
          <w:rFonts w:hint="eastAsia" w:ascii="宋体" w:hAnsi="宋体" w:eastAsia="宋体" w:cs="宋体"/>
          <w:color w:val="auto"/>
          <w:spacing w:val="-3"/>
          <w:sz w:val="24"/>
          <w:szCs w:val="24"/>
          <w:highlight w:val="none"/>
          <w:u w:val="single"/>
          <w:shd w:val="clear" w:color="auto" w:fill="auto"/>
          <w:lang w:val="en-US" w:eastAsia="zh-CN"/>
        </w:rPr>
        <w:t xml:space="preserve">      </w:t>
      </w:r>
      <w:r>
        <w:rPr>
          <w:rFonts w:hint="eastAsia" w:ascii="宋体" w:hAnsi="宋体" w:eastAsia="宋体" w:cs="宋体"/>
          <w:color w:val="auto"/>
          <w:spacing w:val="-3"/>
          <w:sz w:val="24"/>
          <w:szCs w:val="24"/>
          <w:highlight w:val="none"/>
          <w:shd w:val="clear" w:color="auto" w:fill="auto"/>
        </w:rPr>
        <w:t>）政府采购活动，与其他供应商不存在法定代表人为同一人或存在直接控股、管理关系。</w:t>
      </w:r>
    </w:p>
    <w:p w14:paraId="07092D20">
      <w:pPr>
        <w:pStyle w:val="35"/>
        <w:keepNext w:val="0"/>
        <w:keepLines w:val="0"/>
        <w:pageBreakBefore w:val="0"/>
        <w:kinsoku/>
        <w:wordWrap/>
        <w:overflowPunct/>
        <w:topLinePunct w:val="0"/>
        <w:autoSpaceDE/>
        <w:autoSpaceDN/>
        <w:bidi w:val="0"/>
        <w:adjustRightInd/>
        <w:snapToGrid/>
        <w:spacing w:after="0" w:line="480" w:lineRule="exact"/>
        <w:ind w:left="490" w:leftChars="170" w:right="-30" w:hanging="14" w:hangingChars="6"/>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我方对上述声明的真实性负责。如有虚假，愿意承担相应责任，对此无任何异议。特此声明！</w:t>
      </w:r>
    </w:p>
    <w:p w14:paraId="2C89D724">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供应商全称：（盖单位公章） </w:t>
      </w:r>
    </w:p>
    <w:p w14:paraId="5FC4E677">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cs="宋体"/>
          <w:color w:val="auto"/>
          <w:sz w:val="24"/>
          <w:szCs w:val="24"/>
          <w:highlight w:val="none"/>
          <w:shd w:val="clear" w:color="auto" w:fill="auto"/>
          <w:lang w:eastAsia="zh-CN"/>
        </w:rPr>
        <w:t>2024</w:t>
      </w:r>
      <w:r>
        <w:rPr>
          <w:rFonts w:hint="eastAsia" w:ascii="宋体" w:hAnsi="宋体" w:eastAsia="宋体" w:cs="宋体"/>
          <w:color w:val="auto"/>
          <w:sz w:val="24"/>
          <w:szCs w:val="24"/>
          <w:highlight w:val="none"/>
          <w:shd w:val="clear" w:color="auto" w:fill="auto"/>
        </w:rPr>
        <w:t>年  月  日</w:t>
      </w:r>
    </w:p>
    <w:p w14:paraId="06553C1B">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14:paraId="1EA8670E">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14:paraId="60CE9462">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14:paraId="3185893A">
      <w:pPr>
        <w:pStyle w:val="87"/>
        <w:rPr>
          <w:rFonts w:hint="eastAsia" w:ascii="宋体" w:hAnsi="宋体" w:eastAsia="宋体" w:cs="宋体"/>
          <w:color w:val="auto"/>
          <w:sz w:val="24"/>
          <w:highlight w:val="none"/>
          <w:shd w:val="clear" w:color="auto" w:fill="auto"/>
        </w:rPr>
      </w:pPr>
    </w:p>
    <w:p w14:paraId="318E74EC">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lang w:val="en-US" w:eastAsia="zh-CN"/>
        </w:rPr>
        <w:t>：</w:t>
      </w:r>
      <w:r>
        <w:rPr>
          <w:rFonts w:hint="eastAsia" w:ascii="宋体" w:hAnsi="宋体" w:eastAsia="宋体" w:cs="宋体"/>
          <w:color w:val="auto"/>
          <w:sz w:val="24"/>
          <w:highlight w:val="none"/>
          <w:shd w:val="clear" w:color="auto" w:fill="auto"/>
        </w:rPr>
        <w:t>非联合体的声明函</w:t>
      </w:r>
    </w:p>
    <w:p w14:paraId="5443AE9D">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非联合体的声明函 </w:t>
      </w:r>
    </w:p>
    <w:p w14:paraId="20474078">
      <w:pPr>
        <w:spacing w:line="312" w:lineRule="auto"/>
        <w:ind w:firstLine="480" w:firstLineChars="2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（采购人）：</w:t>
      </w:r>
    </w:p>
    <w:p w14:paraId="716F2C77">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    （供应商） </w:t>
      </w:r>
      <w:r>
        <w:rPr>
          <w:rFonts w:hint="eastAsia" w:ascii="宋体" w:hAnsi="宋体" w:eastAsia="宋体" w:cs="宋体"/>
          <w:color w:val="auto"/>
          <w:sz w:val="24"/>
          <w:szCs w:val="24"/>
          <w:highlight w:val="none"/>
          <w:shd w:val="clear" w:color="auto" w:fill="auto"/>
        </w:rPr>
        <w:t>独立参加</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（项目名称）</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 xml:space="preserve">政府采购活动，未与其他单位组成联合体。 </w:t>
      </w:r>
    </w:p>
    <w:p w14:paraId="1709E2E2">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本公司对上述声明的真实性负责。如有虚假，将依法承担相应责任。 </w:t>
      </w:r>
    </w:p>
    <w:p w14:paraId="50F048FF">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14:paraId="61D1C665">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供应商全称： （盖单位公章） </w:t>
      </w:r>
    </w:p>
    <w:p w14:paraId="6B27FD76">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cs="宋体"/>
          <w:color w:val="auto"/>
          <w:sz w:val="24"/>
          <w:szCs w:val="24"/>
          <w:highlight w:val="none"/>
          <w:shd w:val="clear" w:color="auto" w:fill="auto"/>
          <w:lang w:eastAsia="zh-CN"/>
        </w:rPr>
        <w:t>2024</w:t>
      </w:r>
      <w:r>
        <w:rPr>
          <w:rFonts w:hint="eastAsia" w:ascii="宋体" w:hAnsi="宋体" w:eastAsia="宋体" w:cs="宋体"/>
          <w:color w:val="auto"/>
          <w:sz w:val="24"/>
          <w:szCs w:val="24"/>
          <w:highlight w:val="none"/>
          <w:shd w:val="clear" w:color="auto" w:fill="auto"/>
          <w:lang w:eastAsia="zh-CN"/>
        </w:rPr>
        <w:t>年</w:t>
      </w:r>
      <w:r>
        <w:rPr>
          <w:rFonts w:hint="eastAsia" w:ascii="宋体" w:hAnsi="宋体" w:eastAsia="宋体" w:cs="宋体"/>
          <w:color w:val="auto"/>
          <w:sz w:val="24"/>
          <w:szCs w:val="24"/>
          <w:highlight w:val="none"/>
          <w:shd w:val="clear" w:color="auto" w:fill="auto"/>
        </w:rPr>
        <w:t xml:space="preserve">  月  日</w:t>
      </w:r>
    </w:p>
    <w:p w14:paraId="7905969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highlight w:val="none"/>
        </w:rPr>
      </w:pPr>
    </w:p>
    <w:p w14:paraId="774C3ED1">
      <w:pPr>
        <w:pStyle w:val="36"/>
        <w:rPr>
          <w:rFonts w:hint="eastAsia" w:ascii="宋体" w:hAnsi="宋体" w:eastAsia="宋体" w:cs="宋体"/>
          <w:color w:val="auto"/>
          <w:sz w:val="24"/>
          <w:highlight w:val="none"/>
        </w:rPr>
      </w:pPr>
    </w:p>
    <w:p w14:paraId="593C7315">
      <w:pPr>
        <w:rPr>
          <w:rFonts w:hint="eastAsia" w:ascii="宋体" w:hAnsi="宋体" w:eastAsia="宋体" w:cs="宋体"/>
          <w:color w:val="auto"/>
          <w:sz w:val="24"/>
          <w:highlight w:val="none"/>
        </w:rPr>
      </w:pPr>
    </w:p>
    <w:p w14:paraId="660F3C0B">
      <w:pPr>
        <w:pStyle w:val="36"/>
        <w:rPr>
          <w:rFonts w:hint="eastAsia" w:ascii="宋体" w:hAnsi="宋体" w:eastAsia="宋体" w:cs="宋体"/>
          <w:color w:val="auto"/>
          <w:sz w:val="24"/>
          <w:highlight w:val="none"/>
        </w:rPr>
      </w:pPr>
    </w:p>
    <w:p w14:paraId="7F17136E">
      <w:pPr>
        <w:rPr>
          <w:rFonts w:hint="eastAsia" w:ascii="宋体" w:hAnsi="宋体" w:eastAsia="宋体" w:cs="宋体"/>
          <w:color w:val="auto"/>
          <w:sz w:val="24"/>
          <w:highlight w:val="none"/>
        </w:rPr>
      </w:pPr>
    </w:p>
    <w:p w14:paraId="7DF53465">
      <w:pPr>
        <w:pStyle w:val="36"/>
        <w:rPr>
          <w:rFonts w:hint="eastAsia" w:ascii="宋体" w:hAnsi="宋体" w:eastAsia="宋体" w:cs="宋体"/>
          <w:color w:val="auto"/>
          <w:sz w:val="24"/>
          <w:highlight w:val="none"/>
        </w:rPr>
      </w:pPr>
    </w:p>
    <w:p w14:paraId="142C91BA">
      <w:pPr>
        <w:rPr>
          <w:rFonts w:hint="eastAsia" w:ascii="宋体" w:hAnsi="宋体" w:eastAsia="宋体" w:cs="宋体"/>
          <w:color w:val="auto"/>
          <w:sz w:val="24"/>
          <w:highlight w:val="none"/>
        </w:rPr>
      </w:pPr>
    </w:p>
    <w:p w14:paraId="28FF4134">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2AB581F6">
      <w:pPr>
        <w:pStyle w:val="47"/>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格式二：投标声明函</w:t>
      </w:r>
      <w:bookmarkEnd w:id="74"/>
      <w:bookmarkEnd w:id="81"/>
    </w:p>
    <w:p w14:paraId="7993BB6F">
      <w:pPr>
        <w:kinsoku/>
        <w:overflowPunct/>
        <w:bidi w:val="0"/>
        <w:adjustRightInd w:val="0"/>
        <w:snapToGrid w:val="0"/>
        <w:spacing w:line="400" w:lineRule="exact"/>
        <w:rPr>
          <w:rFonts w:hint="eastAsia" w:ascii="宋体" w:hAnsi="宋体" w:cs="宋体"/>
          <w:color w:val="auto"/>
          <w:sz w:val="24"/>
          <w:highlight w:val="none"/>
          <w:lang w:eastAsia="zh-CN"/>
        </w:rPr>
      </w:pPr>
    </w:p>
    <w:p w14:paraId="55EE8801">
      <w:pPr>
        <w:kinsoku/>
        <w:overflowPunct/>
        <w:bidi w:val="0"/>
        <w:adjustRightInd w:val="0"/>
        <w:snapToGrid w:val="0"/>
        <w:spacing w:line="400" w:lineRule="exact"/>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eastAsia="zh-CN"/>
        </w:rPr>
        <w:t>衢州市柯城区卫生健康局</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、浙江天柯工程顾问有限公司</w:t>
      </w:r>
      <w:r>
        <w:rPr>
          <w:rFonts w:hint="eastAsia" w:ascii="宋体" w:hAnsi="宋体" w:eastAsia="宋体" w:cs="宋体"/>
          <w:color w:val="auto"/>
          <w:sz w:val="24"/>
          <w:szCs w:val="24"/>
          <w:highlight w:val="none"/>
        </w:rPr>
        <w:t>：</w:t>
      </w:r>
    </w:p>
    <w:p w14:paraId="68955E0A">
      <w:pPr>
        <w:pStyle w:val="47"/>
        <w:kinsoku/>
        <w:overflowPunct/>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本单位自愿参加</w:t>
      </w:r>
      <w:r>
        <w:rPr>
          <w:rFonts w:hint="eastAsia" w:ascii="宋体" w:hAnsi="宋体" w:eastAsia="宋体" w:cs="宋体"/>
          <w:color w:val="auto"/>
          <w:sz w:val="24"/>
          <w:szCs w:val="24"/>
          <w:highlight w:val="none"/>
          <w:u w:val="single"/>
        </w:rPr>
        <w:t xml:space="preserve">              （项目名称）(项目编号：</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的投标，并保证投标文件中所列举的投报价文件及相关资料和公司基本情况资料是真实的、合法的，我方：</w:t>
      </w:r>
    </w:p>
    <w:p w14:paraId="6FA81FA5">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bookmarkStart w:id="85" w:name="_Toc522530053"/>
      <w:r>
        <w:rPr>
          <w:rFonts w:hint="eastAsia" w:ascii="宋体" w:hAnsi="宋体" w:eastAsia="宋体" w:cs="宋体"/>
          <w:color w:val="auto"/>
          <w:kern w:val="0"/>
          <w:sz w:val="24"/>
          <w:szCs w:val="24"/>
          <w:highlight w:val="none"/>
        </w:rPr>
        <w:t>1、已详细阅读全部招标文件，包括招标文件补充文件（（如果有，包括相关的补充、更正、澄清公告和文件））、参考资料及有关附件，确认无误。我方完全理解并接受招标文件的各项规定和要求。</w:t>
      </w:r>
    </w:p>
    <w:p w14:paraId="0BA4F5A9">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2、同意提供按照贵方可能要求的与投标有关的一切数据或资料等。若贵方需要，我方愿意提供我方作出的一切承诺的证明材料。</w:t>
      </w:r>
    </w:p>
    <w:p w14:paraId="29EC0E2B">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3、中标或者成交后，按采购文件规定与采购人签订合同。拒绝签订合同的，承诺按采购预算金额的2%对采购人进行赔偿；赔偿金额不足以弥补采购人损失的，承诺继续承担超过部分的损失。</w:t>
      </w:r>
    </w:p>
    <w:p w14:paraId="6FD51DBA">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4、同意在招标文件中投标人须知规定的开标日期起遵守本投标书中的承诺且在投标有效期满之前均具有约束力。</w:t>
      </w:r>
    </w:p>
    <w:p w14:paraId="601BE6F9">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5、投标有效期内不撤销投标文件；强行撤销的，承诺按采购预算金额的2%赔偿对采购组织机构造成损失；</w:t>
      </w:r>
    </w:p>
    <w:p w14:paraId="4CAD1032">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6、中标或者成交后，按采购文件规定的采购代理服务费标准，承诺在签订合同前向采购代理机构支付采购代理服务费。</w:t>
      </w:r>
    </w:p>
    <w:p w14:paraId="29B5C9F6">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7、完全理解贵方不一定要接受最低价的投标。</w:t>
      </w:r>
    </w:p>
    <w:p w14:paraId="4EB9C6B6">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8、单位、法定代表人、本项目授权代表及本项目负责人在参加本项目前三年内（以法院判决书生效日期为准）均无行贿犯罪记录。</w:t>
      </w:r>
    </w:p>
    <w:p w14:paraId="4319738D">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9、如有列情形之一的，我方愿意被取消中标资格（如中标），同时继续承担其他一切法律后果，并不再寻求任何旨在减轻或免除法律责任的解释：</w:t>
      </w:r>
    </w:p>
    <w:p w14:paraId="6F115D87">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(1)提供虚假材料（承诺）谋取中标、成交的；</w:t>
      </w:r>
    </w:p>
    <w:p w14:paraId="218AD38B">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(2)采取不正当手段诋毁、排挤其他投标人的；</w:t>
      </w:r>
    </w:p>
    <w:p w14:paraId="33F3EF05">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(3)与招标人、其它投标人或者招标代理机构恶意串通的；</w:t>
      </w:r>
    </w:p>
    <w:p w14:paraId="669C784C">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(4)向招标人、招标代理机构行贿或者提供其他不正当利益的；</w:t>
      </w:r>
    </w:p>
    <w:p w14:paraId="4DA3320A">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(5)在招标采购过程中与招标人进行协商谈判的；</w:t>
      </w:r>
    </w:p>
    <w:p w14:paraId="4D411DFD">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(6)拒绝有关部门监督检查或提供虚假情况的。</w:t>
      </w:r>
    </w:p>
    <w:p w14:paraId="6E79AE9D">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14:paraId="2DCF5673">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法定（授权）代表人（签字或盖章）：                      </w:t>
      </w:r>
    </w:p>
    <w:p w14:paraId="313479B1">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投标人盖章：                            </w:t>
      </w:r>
    </w:p>
    <w:p w14:paraId="130FBF3C">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联系电话（手机及座机）：           </w:t>
      </w:r>
    </w:p>
    <w:p w14:paraId="6E4E8F8C">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传真：              </w:t>
      </w:r>
    </w:p>
    <w:p w14:paraId="14F7F337">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电子邮件：              </w:t>
      </w:r>
    </w:p>
    <w:p w14:paraId="42882EDF">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纳税人识别号：                                                </w:t>
      </w:r>
    </w:p>
    <w:p w14:paraId="019653ED">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w:t>
      </w:r>
    </w:p>
    <w:p w14:paraId="3854FB0C">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银行账号：                                                    </w:t>
      </w:r>
    </w:p>
    <w:p w14:paraId="722AA214">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联系地址：                                                    </w:t>
      </w:r>
    </w:p>
    <w:p w14:paraId="5383FD8A">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邮政编码：                     </w:t>
      </w:r>
    </w:p>
    <w:p w14:paraId="5045C163">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日    期：        年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月    日</w:t>
      </w:r>
    </w:p>
    <w:p w14:paraId="659885E8">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14:paraId="0133AFA6">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14:paraId="4598E97B">
      <w:pPr>
        <w:kinsoku/>
        <w:overflowPunct/>
        <w:bidi w:val="0"/>
        <w:adjustRightInd w:val="0"/>
        <w:snapToGrid w:val="0"/>
        <w:spacing w:line="400" w:lineRule="exact"/>
        <w:rPr>
          <w:rFonts w:hint="eastAsia" w:ascii="宋体" w:hAnsi="宋体" w:eastAsia="宋体" w:cs="宋体"/>
          <w:color w:val="auto"/>
          <w:sz w:val="24"/>
          <w:szCs w:val="24"/>
          <w:highlight w:val="none"/>
        </w:rPr>
        <w:sectPr>
          <w:headerReference r:id="rId8" w:type="default"/>
          <w:footerReference r:id="rId9" w:type="default"/>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r>
        <w:rPr>
          <w:rFonts w:hint="eastAsia" w:ascii="宋体" w:hAnsi="宋体" w:eastAsia="宋体" w:cs="宋体"/>
          <w:b/>
          <w:color w:val="auto"/>
          <w:kern w:val="0"/>
          <w:sz w:val="24"/>
          <w:szCs w:val="24"/>
          <w:highlight w:val="none"/>
          <w:lang w:val="zh-CN"/>
        </w:rPr>
        <w:t>注：未按照本投标声明函要求填报的将被视为非实质性响应，从而可能导致该投标文件被拒绝。</w:t>
      </w:r>
    </w:p>
    <w:p w14:paraId="689E8DEC">
      <w:pPr>
        <w:pStyle w:val="47"/>
        <w:kinsoku/>
        <w:overflowPunct/>
        <w:bidi w:val="0"/>
        <w:adjustRightInd w:val="0"/>
        <w:snapToGrid w:val="0"/>
        <w:spacing w:line="400" w:lineRule="exact"/>
        <w:outlineLvl w:val="1"/>
        <w:rPr>
          <w:rFonts w:hint="eastAsia" w:ascii="宋体" w:hAnsi="宋体" w:eastAsia="宋体" w:cs="宋体"/>
          <w:b/>
          <w:color w:val="auto"/>
          <w:sz w:val="28"/>
          <w:highlight w:val="none"/>
        </w:rPr>
      </w:pPr>
      <w:bookmarkStart w:id="86" w:name="_Toc15127"/>
      <w:r>
        <w:rPr>
          <w:rFonts w:hint="eastAsia" w:ascii="宋体" w:hAnsi="宋体" w:eastAsia="宋体" w:cs="宋体"/>
          <w:b/>
          <w:color w:val="auto"/>
          <w:kern w:val="0"/>
          <w:sz w:val="30"/>
          <w:highlight w:val="none"/>
          <w:lang w:val="zh-CN"/>
        </w:rPr>
        <w:t>格式三：</w:t>
      </w:r>
      <w:r>
        <w:rPr>
          <w:rFonts w:hint="eastAsia" w:ascii="宋体" w:hAnsi="宋体" w:eastAsia="宋体" w:cs="宋体"/>
          <w:b/>
          <w:color w:val="auto"/>
          <w:sz w:val="28"/>
          <w:highlight w:val="none"/>
        </w:rPr>
        <w:t>法定代表人身份证明或法定代表人身份证明及授权委托书</w:t>
      </w:r>
      <w:bookmarkEnd w:id="85"/>
      <w:bookmarkEnd w:id="86"/>
    </w:p>
    <w:p w14:paraId="47EA1EA4">
      <w:pPr>
        <w:pStyle w:val="47"/>
        <w:kinsoku/>
        <w:overflowPunct/>
        <w:bidi w:val="0"/>
        <w:adjustRightInd w:val="0"/>
        <w:snapToGrid w:val="0"/>
        <w:spacing w:line="400" w:lineRule="exact"/>
        <w:jc w:val="center"/>
        <w:rPr>
          <w:rFonts w:hint="eastAsia" w:ascii="宋体" w:hAnsi="宋体" w:eastAsia="宋体" w:cs="宋体"/>
          <w:b/>
          <w:color w:val="auto"/>
          <w:sz w:val="28"/>
          <w:highlight w:val="none"/>
        </w:rPr>
      </w:pPr>
    </w:p>
    <w:p w14:paraId="7786A4D6">
      <w:pPr>
        <w:pStyle w:val="47"/>
        <w:kinsoku/>
        <w:overflowPunct/>
        <w:bidi w:val="0"/>
        <w:adjustRightInd w:val="0"/>
        <w:snapToGrid w:val="0"/>
        <w:spacing w:line="400" w:lineRule="exact"/>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sz w:val="28"/>
          <w:highlight w:val="none"/>
        </w:rPr>
        <w:t>3-1法定代表人身份证明</w:t>
      </w:r>
    </w:p>
    <w:p w14:paraId="17E77A90">
      <w:pPr>
        <w:kinsoku/>
        <w:overflowPunct/>
        <w:bidi w:val="0"/>
        <w:adjustRightInd w:val="0"/>
        <w:snapToGrid w:val="0"/>
        <w:spacing w:line="400" w:lineRule="exact"/>
        <w:rPr>
          <w:rFonts w:hint="eastAsia" w:ascii="宋体" w:hAnsi="宋体" w:eastAsia="宋体" w:cs="宋体"/>
          <w:color w:val="auto"/>
          <w:sz w:val="24"/>
          <w:highlight w:val="none"/>
        </w:rPr>
      </w:pPr>
    </w:p>
    <w:p w14:paraId="214F0F74">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  性别：  年龄：  职务：</w:t>
      </w:r>
    </w:p>
    <w:p w14:paraId="3FAB4EBB">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（投标人名称）的法定代表人。</w:t>
      </w:r>
    </w:p>
    <w:p w14:paraId="57BF07C5">
      <w:pPr>
        <w:kinsoku/>
        <w:overflowPunct/>
        <w:bidi w:val="0"/>
        <w:adjustRightInd w:val="0"/>
        <w:snapToGrid w:val="0"/>
        <w:spacing w:line="400" w:lineRule="exact"/>
        <w:ind w:firstLine="560"/>
        <w:rPr>
          <w:rFonts w:hint="eastAsia" w:ascii="宋体" w:hAnsi="宋体" w:eastAsia="宋体" w:cs="宋体"/>
          <w:color w:val="auto"/>
          <w:sz w:val="24"/>
          <w:highlight w:val="none"/>
        </w:rPr>
      </w:pPr>
    </w:p>
    <w:p w14:paraId="48E2C13A">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2BCFFEA0">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附：法定代表人身份证复印件</w:t>
      </w:r>
    </w:p>
    <w:p w14:paraId="2110CCAF">
      <w:pPr>
        <w:kinsoku/>
        <w:overflowPunct/>
        <w:bidi w:val="0"/>
        <w:adjustRightInd w:val="0"/>
        <w:snapToGrid w:val="0"/>
        <w:spacing w:line="400" w:lineRule="exact"/>
        <w:rPr>
          <w:rFonts w:hint="eastAsia" w:ascii="宋体" w:hAnsi="宋体" w:eastAsia="宋体" w:cs="宋体"/>
          <w:color w:val="auto"/>
          <w:sz w:val="24"/>
          <w:highlight w:val="none"/>
        </w:rPr>
      </w:pPr>
    </w:p>
    <w:p w14:paraId="58CF0B39">
      <w:pPr>
        <w:kinsoku/>
        <w:overflowPunct/>
        <w:bidi w:val="0"/>
        <w:adjustRightInd w:val="0"/>
        <w:snapToGrid w:val="0"/>
        <w:spacing w:line="400" w:lineRule="exact"/>
        <w:ind w:right="1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投标人：（全称加盖公章） </w:t>
      </w:r>
    </w:p>
    <w:p w14:paraId="0030C340">
      <w:pPr>
        <w:kinsoku/>
        <w:overflowPunct/>
        <w:bidi w:val="0"/>
        <w:adjustRightInd w:val="0"/>
        <w:snapToGrid w:val="0"/>
        <w:spacing w:line="400" w:lineRule="exact"/>
        <w:ind w:right="1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   年    月    日</w:t>
      </w:r>
    </w:p>
    <w:tbl>
      <w:tblPr>
        <w:tblStyle w:val="8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0C58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jc w:val="center"/>
        </w:trPr>
        <w:tc>
          <w:tcPr>
            <w:tcW w:w="9242" w:type="dxa"/>
            <w:vAlign w:val="center"/>
          </w:tcPr>
          <w:p w14:paraId="71A38BAD">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法定代表人身份证复印件粘贴处（正、反面）</w:t>
            </w:r>
          </w:p>
        </w:tc>
      </w:tr>
    </w:tbl>
    <w:p w14:paraId="3671E7B9">
      <w:pPr>
        <w:kinsoku/>
        <w:overflowPunct/>
        <w:bidi w:val="0"/>
        <w:spacing w:beforeLines="50" w:line="400" w:lineRule="exact"/>
        <w:jc w:val="center"/>
        <w:rPr>
          <w:rFonts w:hint="eastAsia" w:ascii="宋体" w:hAnsi="宋体" w:eastAsia="宋体" w:cs="宋体"/>
          <w:b/>
          <w:color w:val="auto"/>
          <w:highlight w:val="none"/>
        </w:rPr>
      </w:pPr>
    </w:p>
    <w:p w14:paraId="699ADFD9">
      <w:pPr>
        <w:kinsoku/>
        <w:overflowPunct/>
        <w:bidi w:val="0"/>
        <w:spacing w:beforeLines="50" w:line="400" w:lineRule="exact"/>
        <w:jc w:val="center"/>
        <w:rPr>
          <w:rFonts w:hint="eastAsia" w:ascii="宋体" w:hAnsi="宋体" w:eastAsia="宋体" w:cs="宋体"/>
          <w:b/>
          <w:color w:val="auto"/>
          <w:highlight w:val="none"/>
        </w:rPr>
      </w:pPr>
    </w:p>
    <w:p w14:paraId="382F4752">
      <w:pPr>
        <w:kinsoku/>
        <w:overflowPunct/>
        <w:bidi w:val="0"/>
        <w:spacing w:beforeLines="50" w:line="400" w:lineRule="exact"/>
        <w:jc w:val="center"/>
        <w:rPr>
          <w:rFonts w:hint="eastAsia" w:ascii="宋体" w:hAnsi="宋体" w:eastAsia="宋体" w:cs="宋体"/>
          <w:b/>
          <w:color w:val="auto"/>
          <w:highlight w:val="none"/>
        </w:rPr>
      </w:pPr>
    </w:p>
    <w:p w14:paraId="5E6FFBA5">
      <w:pPr>
        <w:pStyle w:val="47"/>
        <w:kinsoku/>
        <w:overflowPunct/>
        <w:bidi w:val="0"/>
        <w:spacing w:line="400" w:lineRule="exact"/>
        <w:rPr>
          <w:rFonts w:hint="eastAsia" w:ascii="宋体" w:hAnsi="宋体" w:eastAsia="宋体" w:cs="宋体"/>
          <w:b/>
          <w:color w:val="auto"/>
          <w:highlight w:val="none"/>
        </w:rPr>
      </w:pPr>
    </w:p>
    <w:p w14:paraId="0A598250">
      <w:pPr>
        <w:kinsoku/>
        <w:overflowPunct/>
        <w:bidi w:val="0"/>
        <w:spacing w:line="400" w:lineRule="exact"/>
        <w:rPr>
          <w:rFonts w:hint="eastAsia" w:ascii="宋体" w:hAnsi="宋体" w:eastAsia="宋体" w:cs="宋体"/>
          <w:b/>
          <w:color w:val="auto"/>
          <w:highlight w:val="none"/>
        </w:rPr>
      </w:pPr>
    </w:p>
    <w:p w14:paraId="21C5E455">
      <w:pPr>
        <w:pStyle w:val="47"/>
        <w:kinsoku/>
        <w:overflowPunct/>
        <w:bidi w:val="0"/>
        <w:spacing w:line="400" w:lineRule="exact"/>
        <w:rPr>
          <w:rFonts w:hint="eastAsia"/>
          <w:color w:val="auto"/>
          <w:highlight w:val="none"/>
        </w:rPr>
      </w:pPr>
    </w:p>
    <w:p w14:paraId="48E59506">
      <w:pPr>
        <w:kinsoku/>
        <w:overflowPunct/>
        <w:bidi w:val="0"/>
        <w:spacing w:beforeLines="50"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3-2法定代表人授权委托书</w:t>
      </w:r>
    </w:p>
    <w:p w14:paraId="7316EE89">
      <w:pPr>
        <w:kinsoku/>
        <w:overflowPunct/>
        <w:bidi w:val="0"/>
        <w:adjustRightInd w:val="0"/>
        <w:snapToGrid w:val="0"/>
        <w:spacing w:line="400" w:lineRule="exact"/>
        <w:rPr>
          <w:rFonts w:hint="eastAsia" w:ascii="宋体" w:hAnsi="宋体" w:cs="宋体"/>
          <w:color w:val="auto"/>
          <w:sz w:val="24"/>
          <w:highlight w:val="none"/>
          <w:lang w:eastAsia="zh-CN"/>
        </w:rPr>
      </w:pPr>
    </w:p>
    <w:p w14:paraId="3124B506">
      <w:pPr>
        <w:kinsoku/>
        <w:overflowPunct/>
        <w:bidi w:val="0"/>
        <w:adjustRightInd w:val="0"/>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衢州市柯城区卫生健康局、</w:t>
      </w:r>
      <w:r>
        <w:rPr>
          <w:rFonts w:hint="eastAsia" w:ascii="宋体" w:hAnsi="宋体" w:eastAsia="宋体" w:cs="宋体"/>
          <w:color w:val="auto"/>
          <w:sz w:val="24"/>
          <w:highlight w:val="none"/>
        </w:rPr>
        <w:t xml:space="preserve"> </w:t>
      </w:r>
    </w:p>
    <w:p w14:paraId="0D03AB26">
      <w:pPr>
        <w:kinsoku/>
        <w:overflowPunct/>
        <w:bidi w:val="0"/>
        <w:adjustRightInd w:val="0"/>
        <w:snapToGrid w:val="0"/>
        <w:spacing w:line="360" w:lineRule="auto"/>
        <w:rPr>
          <w:rFonts w:hint="eastAsia" w:ascii="宋体" w:hAnsi="宋体" w:eastAsia="宋体" w:cs="宋体"/>
          <w:color w:val="auto"/>
          <w:sz w:val="24"/>
          <w:highlight w:val="none"/>
        </w:rPr>
      </w:pPr>
      <w:r>
        <w:rPr>
          <w:rFonts w:hint="eastAsia" w:ascii="宋体" w:hAnsi="宋体" w:cs="宋体"/>
          <w:color w:val="auto"/>
          <w:kern w:val="0"/>
          <w:sz w:val="24"/>
          <w:highlight w:val="none"/>
          <w:lang w:val="zh-CN"/>
        </w:rPr>
        <w:t>浙江天柯工程顾问有限公司</w:t>
      </w:r>
      <w:r>
        <w:rPr>
          <w:rFonts w:hint="eastAsia" w:ascii="宋体" w:hAnsi="宋体" w:eastAsia="宋体" w:cs="宋体"/>
          <w:color w:val="auto"/>
          <w:kern w:val="0"/>
          <w:sz w:val="24"/>
          <w:highlight w:val="none"/>
          <w:lang w:val="zh-CN"/>
        </w:rPr>
        <w:t>：</w:t>
      </w:r>
    </w:p>
    <w:p w14:paraId="735D1DF2">
      <w:pPr>
        <w:kinsoku/>
        <w:overflowPunct/>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w:t>
      </w:r>
      <w:r>
        <w:rPr>
          <w:rFonts w:hint="eastAsia" w:ascii="宋体" w:hAnsi="宋体" w:eastAsia="宋体" w:cs="宋体"/>
          <w:color w:val="auto"/>
          <w:sz w:val="24"/>
          <w:highlight w:val="none"/>
        </w:rPr>
        <w:t>的法定代表人，现委托</w:t>
      </w:r>
      <w:r>
        <w:rPr>
          <w:rFonts w:hint="eastAsia" w:ascii="宋体" w:hAnsi="宋体" w:eastAsia="宋体" w:cs="宋体"/>
          <w:color w:val="auto"/>
          <w:sz w:val="24"/>
          <w:highlight w:val="none"/>
          <w:u w:val="single"/>
        </w:rPr>
        <w:t xml:space="preserve">      （姓名）  （职务）</w:t>
      </w:r>
      <w:r>
        <w:rPr>
          <w:rFonts w:hint="eastAsia" w:ascii="宋体" w:hAnsi="宋体" w:eastAsia="宋体" w:cs="宋体"/>
          <w:color w:val="auto"/>
          <w:sz w:val="24"/>
          <w:highlight w:val="none"/>
        </w:rPr>
        <w:t>为我方授权代表，以我方名义签署、澄清、说明、补正、递交、撤回、修改</w:t>
      </w:r>
      <w:r>
        <w:rPr>
          <w:rFonts w:hint="eastAsia" w:ascii="宋体" w:hAnsi="宋体" w:eastAsia="宋体" w:cs="宋体"/>
          <w:color w:val="auto"/>
          <w:sz w:val="24"/>
          <w:highlight w:val="none"/>
          <w:u w:val="single"/>
        </w:rPr>
        <w:t>（项目名称）</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z w:val="24"/>
          <w:highlight w:val="none"/>
          <w:u w:val="single"/>
        </w:rPr>
        <w:t>(项目编号：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投标文件、签订合同和处理有关事宜，其法律后果由我方承担。</w:t>
      </w:r>
    </w:p>
    <w:p w14:paraId="2D7E1B38">
      <w:pPr>
        <w:kinsoku/>
        <w:overflowPunct/>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1FEC165B">
      <w:pPr>
        <w:kinsoku/>
        <w:overflowPunct/>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该授权代表无转委托权，特此委托</w:t>
      </w:r>
    </w:p>
    <w:p w14:paraId="4325119E">
      <w:pPr>
        <w:kinsoku/>
        <w:overflowPunct/>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p>
    <w:p w14:paraId="6791F648">
      <w:pPr>
        <w:kinsoku/>
        <w:overflowPunct/>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1、委托代理人身份证复印件</w:t>
      </w:r>
    </w:p>
    <w:p w14:paraId="0C4FEC48">
      <w:pPr>
        <w:kinsoku/>
        <w:overflowPunct/>
        <w:bidi w:val="0"/>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2、授权代表为投标人在职员工的证明文件（投标人为其缴纳的社保记录或劳务合同等）。</w:t>
      </w:r>
    </w:p>
    <w:p w14:paraId="7F1D3CCC">
      <w:pPr>
        <w:kinsoku/>
        <w:overflowPunct/>
        <w:bidi w:val="0"/>
        <w:adjustRightInd w:val="0"/>
        <w:snapToGrid w:val="0"/>
        <w:spacing w:line="360" w:lineRule="auto"/>
        <w:rPr>
          <w:rFonts w:hint="eastAsia" w:ascii="宋体" w:hAnsi="宋体" w:eastAsia="宋体" w:cs="宋体"/>
          <w:color w:val="auto"/>
          <w:sz w:val="24"/>
          <w:highlight w:val="none"/>
        </w:rPr>
      </w:pPr>
    </w:p>
    <w:p w14:paraId="3461F8BE">
      <w:pPr>
        <w:kinsoku/>
        <w:overflowPunct/>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投标人：（全称加盖公章）</w:t>
      </w:r>
    </w:p>
    <w:p w14:paraId="3BF7841A">
      <w:pPr>
        <w:kinsoku/>
        <w:overflowPunct/>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法定代表：（签字或盖章）                        授权代表：（签字或盖章）</w:t>
      </w:r>
    </w:p>
    <w:p w14:paraId="4FE131E8">
      <w:pPr>
        <w:kinsoku/>
        <w:overflowPunct/>
        <w:bidi w:val="0"/>
        <w:adjustRightInd w:val="0"/>
        <w:snapToGrid w:val="0"/>
        <w:spacing w:line="360" w:lineRule="auto"/>
        <w:ind w:firstLine="5160" w:firstLineChars="21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日期：年月日</w:t>
      </w:r>
    </w:p>
    <w:tbl>
      <w:tblPr>
        <w:tblStyle w:val="88"/>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5"/>
      </w:tblGrid>
      <w:tr w14:paraId="2BCC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9425" w:type="dxa"/>
            <w:vAlign w:val="center"/>
          </w:tcPr>
          <w:p w14:paraId="5CE85923">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授权代表身份证复印件粘贴处（正、反面）</w:t>
            </w:r>
          </w:p>
        </w:tc>
      </w:tr>
    </w:tbl>
    <w:p w14:paraId="40EF7707">
      <w:pPr>
        <w:kinsoku/>
        <w:overflowPunct/>
        <w:bidi w:val="0"/>
        <w:adjustRightInd w:val="0"/>
        <w:snapToGrid w:val="0"/>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注：如投标文件由授权代表签字或盖章的，投标文件必须附此授权委托书，否则视为无效投标文件。</w:t>
      </w:r>
    </w:p>
    <w:bookmarkEnd w:id="75"/>
    <w:p w14:paraId="33E8A035">
      <w:pPr>
        <w:pStyle w:val="47"/>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87" w:name="_Toc522530054"/>
      <w:bookmarkStart w:id="88" w:name="_Toc233618991"/>
      <w:bookmarkStart w:id="89" w:name="_Toc354859475"/>
      <w:bookmarkStart w:id="90" w:name="_Toc354859632"/>
      <w:bookmarkStart w:id="91" w:name="_Toc391277571"/>
      <w:bookmarkStart w:id="92" w:name="_Toc354859551"/>
    </w:p>
    <w:p w14:paraId="6FAD6E1E">
      <w:pPr>
        <w:pStyle w:val="47"/>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7EEE0C2D">
      <w:pPr>
        <w:pStyle w:val="47"/>
        <w:kinsoku/>
        <w:overflowPunct/>
        <w:bidi w:val="0"/>
        <w:adjustRightInd w:val="0"/>
        <w:snapToGrid w:val="0"/>
        <w:spacing w:line="400" w:lineRule="exact"/>
        <w:outlineLvl w:val="1"/>
        <w:rPr>
          <w:rFonts w:hint="eastAsia" w:ascii="宋体" w:hAnsi="宋体" w:eastAsia="宋体" w:cs="宋体"/>
          <w:b/>
          <w:color w:val="auto"/>
          <w:kern w:val="0"/>
          <w:sz w:val="30"/>
          <w:highlight w:val="none"/>
          <w:lang w:val="zh-CN"/>
        </w:rPr>
      </w:pPr>
    </w:p>
    <w:p w14:paraId="767BB1B1">
      <w:pPr>
        <w:pStyle w:val="47"/>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93" w:name="_Toc10253"/>
      <w:r>
        <w:rPr>
          <w:rFonts w:hint="eastAsia" w:ascii="宋体" w:hAnsi="宋体" w:eastAsia="宋体" w:cs="宋体"/>
          <w:b/>
          <w:color w:val="auto"/>
          <w:kern w:val="0"/>
          <w:sz w:val="30"/>
          <w:highlight w:val="none"/>
          <w:lang w:val="zh-CN"/>
        </w:rPr>
        <w:t>格式四：以往业绩情况表</w:t>
      </w:r>
      <w:bookmarkEnd w:id="87"/>
      <w:bookmarkEnd w:id="93"/>
    </w:p>
    <w:p w14:paraId="23F512CC">
      <w:pPr>
        <w:kinsoku/>
        <w:overflowPunct/>
        <w:bidi w:val="0"/>
        <w:adjustRightInd w:val="0"/>
        <w:snapToGrid w:val="0"/>
        <w:spacing w:line="400" w:lineRule="exact"/>
        <w:jc w:val="center"/>
        <w:rPr>
          <w:rFonts w:hint="eastAsia" w:ascii="宋体" w:hAnsi="宋体" w:eastAsia="宋体" w:cs="宋体"/>
          <w:b/>
          <w:color w:val="auto"/>
          <w:sz w:val="24"/>
          <w:highlight w:val="none"/>
        </w:rPr>
      </w:pPr>
      <w:bookmarkStart w:id="94" w:name="_Toc522530055"/>
      <w:bookmarkStart w:id="95" w:name="_Toc25910"/>
      <w:r>
        <w:rPr>
          <w:rFonts w:hint="eastAsia" w:ascii="宋体" w:hAnsi="宋体" w:cs="宋体"/>
          <w:b/>
          <w:color w:val="auto"/>
          <w:sz w:val="24"/>
          <w:highlight w:val="none"/>
          <w:u w:val="single"/>
          <w:lang w:val="en-US" w:eastAsia="zh-CN"/>
        </w:rPr>
        <w:t xml:space="preserve">     </w:t>
      </w:r>
      <w:r>
        <w:rPr>
          <w:rFonts w:hint="eastAsia" w:ascii="宋体" w:hAnsi="宋体" w:eastAsia="宋体" w:cs="宋体"/>
          <w:b/>
          <w:color w:val="auto"/>
          <w:sz w:val="24"/>
          <w:highlight w:val="none"/>
        </w:rPr>
        <w:t>年以来</w:t>
      </w:r>
      <w:r>
        <w:rPr>
          <w:rFonts w:hint="eastAsia" w:ascii="宋体" w:hAnsi="宋体" w:eastAsia="宋体" w:cs="宋体"/>
          <w:b/>
          <w:color w:val="auto"/>
          <w:sz w:val="24"/>
          <w:highlight w:val="none"/>
          <w:lang w:eastAsia="zh-CN"/>
        </w:rPr>
        <w:t>企业</w:t>
      </w:r>
      <w:r>
        <w:rPr>
          <w:rFonts w:hint="eastAsia" w:ascii="宋体" w:hAnsi="宋体" w:eastAsia="宋体" w:cs="宋体"/>
          <w:b/>
          <w:color w:val="auto"/>
          <w:sz w:val="24"/>
          <w:highlight w:val="none"/>
        </w:rPr>
        <w:t>业绩情况汇总表</w:t>
      </w:r>
    </w:p>
    <w:tbl>
      <w:tblPr>
        <w:tblStyle w:val="88"/>
        <w:tblW w:w="9147"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99"/>
        <w:gridCol w:w="2690"/>
        <w:gridCol w:w="1914"/>
        <w:gridCol w:w="1000"/>
        <w:gridCol w:w="1414"/>
        <w:gridCol w:w="815"/>
        <w:gridCol w:w="815"/>
      </w:tblGrid>
      <w:tr w14:paraId="13508B4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18" w:space="0"/>
              <w:left w:val="single" w:color="auto" w:sz="18" w:space="0"/>
              <w:bottom w:val="single" w:color="auto" w:sz="4" w:space="0"/>
              <w:right w:val="single" w:color="auto" w:sz="4" w:space="0"/>
            </w:tcBorders>
            <w:vAlign w:val="center"/>
          </w:tcPr>
          <w:p w14:paraId="7F50738C">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690" w:type="dxa"/>
            <w:tcBorders>
              <w:top w:val="single" w:color="auto" w:sz="18" w:space="0"/>
              <w:left w:val="single" w:color="auto" w:sz="4" w:space="0"/>
              <w:bottom w:val="single" w:color="auto" w:sz="4" w:space="0"/>
              <w:right w:val="single" w:color="auto" w:sz="4" w:space="0"/>
            </w:tcBorders>
            <w:vAlign w:val="center"/>
          </w:tcPr>
          <w:p w14:paraId="274A852C">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项目名称</w:t>
            </w:r>
          </w:p>
        </w:tc>
        <w:tc>
          <w:tcPr>
            <w:tcW w:w="1914" w:type="dxa"/>
            <w:tcBorders>
              <w:top w:val="single" w:color="auto" w:sz="18" w:space="0"/>
              <w:left w:val="single" w:color="auto" w:sz="4" w:space="0"/>
              <w:bottom w:val="single" w:color="auto" w:sz="4" w:space="0"/>
              <w:right w:val="single" w:color="auto" w:sz="4" w:space="0"/>
            </w:tcBorders>
            <w:vAlign w:val="center"/>
          </w:tcPr>
          <w:p w14:paraId="5CA8392F">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合同内容</w:t>
            </w:r>
          </w:p>
        </w:tc>
        <w:tc>
          <w:tcPr>
            <w:tcW w:w="1000" w:type="dxa"/>
            <w:tcBorders>
              <w:top w:val="single" w:color="auto" w:sz="18" w:space="0"/>
              <w:left w:val="single" w:color="auto" w:sz="4" w:space="0"/>
              <w:bottom w:val="single" w:color="auto" w:sz="4" w:space="0"/>
              <w:right w:val="single" w:color="auto" w:sz="4" w:space="0"/>
            </w:tcBorders>
            <w:vAlign w:val="center"/>
          </w:tcPr>
          <w:p w14:paraId="7ABED239">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合同价</w:t>
            </w:r>
          </w:p>
        </w:tc>
        <w:tc>
          <w:tcPr>
            <w:tcW w:w="1414" w:type="dxa"/>
            <w:tcBorders>
              <w:top w:val="single" w:color="auto" w:sz="18" w:space="0"/>
              <w:left w:val="single" w:color="auto" w:sz="4" w:space="0"/>
              <w:bottom w:val="single" w:color="auto" w:sz="4" w:space="0"/>
              <w:right w:val="single" w:color="auto" w:sz="4" w:space="0"/>
            </w:tcBorders>
            <w:vAlign w:val="center"/>
          </w:tcPr>
          <w:p w14:paraId="5C2EA8E3">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合同签订日期</w:t>
            </w:r>
          </w:p>
        </w:tc>
        <w:tc>
          <w:tcPr>
            <w:tcW w:w="815" w:type="dxa"/>
            <w:tcBorders>
              <w:top w:val="single" w:color="auto" w:sz="18" w:space="0"/>
              <w:left w:val="single" w:color="auto" w:sz="4" w:space="0"/>
              <w:bottom w:val="single" w:color="auto" w:sz="4" w:space="0"/>
              <w:right w:val="single" w:color="auto" w:sz="18" w:space="0"/>
            </w:tcBorders>
            <w:vAlign w:val="center"/>
          </w:tcPr>
          <w:p w14:paraId="608F0398">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所在页码</w:t>
            </w:r>
          </w:p>
        </w:tc>
        <w:tc>
          <w:tcPr>
            <w:tcW w:w="815" w:type="dxa"/>
            <w:tcBorders>
              <w:top w:val="single" w:color="auto" w:sz="18" w:space="0"/>
              <w:left w:val="single" w:color="auto" w:sz="4" w:space="0"/>
              <w:bottom w:val="single" w:color="auto" w:sz="4" w:space="0"/>
              <w:right w:val="single" w:color="auto" w:sz="18" w:space="0"/>
            </w:tcBorders>
            <w:vAlign w:val="center"/>
          </w:tcPr>
          <w:p w14:paraId="3BA9E79F">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w:t>
            </w:r>
          </w:p>
        </w:tc>
      </w:tr>
      <w:tr w14:paraId="5C8CE7F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08431482">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0" w:type="dxa"/>
            <w:tcBorders>
              <w:top w:val="single" w:color="auto" w:sz="4" w:space="0"/>
              <w:left w:val="single" w:color="auto" w:sz="4" w:space="0"/>
              <w:bottom w:val="single" w:color="auto" w:sz="4" w:space="0"/>
              <w:right w:val="single" w:color="auto" w:sz="4" w:space="0"/>
            </w:tcBorders>
            <w:vAlign w:val="center"/>
          </w:tcPr>
          <w:p w14:paraId="047F9791">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1B01D82B">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0F873B94">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548E553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55D19B6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3BE1573B">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3F0632B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339C748E">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0" w:type="dxa"/>
            <w:tcBorders>
              <w:top w:val="single" w:color="auto" w:sz="4" w:space="0"/>
              <w:left w:val="single" w:color="auto" w:sz="4" w:space="0"/>
              <w:bottom w:val="single" w:color="auto" w:sz="4" w:space="0"/>
              <w:right w:val="single" w:color="auto" w:sz="4" w:space="0"/>
            </w:tcBorders>
            <w:vAlign w:val="center"/>
          </w:tcPr>
          <w:p w14:paraId="172780CB">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4111B456">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5EDEC465">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081B50A4">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3D94A3E4">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0A83806B">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1F82750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41A7B54D">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0" w:type="dxa"/>
            <w:tcBorders>
              <w:top w:val="single" w:color="auto" w:sz="4" w:space="0"/>
              <w:left w:val="single" w:color="auto" w:sz="4" w:space="0"/>
              <w:bottom w:val="single" w:color="auto" w:sz="4" w:space="0"/>
              <w:right w:val="single" w:color="auto" w:sz="4" w:space="0"/>
            </w:tcBorders>
            <w:vAlign w:val="center"/>
          </w:tcPr>
          <w:p w14:paraId="2A48360C">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4C19E3B6">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043A9F2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742F4B2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1E9731D5">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1F7CDBCD">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5DDBE31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268721D9">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7062E016">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291FD3F2">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05C6B066">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5452AF2C">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7E254340">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1527A9FC">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0B40F4D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45FD982D">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2FA18976">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691EAEF5">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739AD44C">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347501F9">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4086E27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50215383">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43E85FE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749DE643">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3870D53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75692A62">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0A26F68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36FD8462">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184BABBD">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45932FA0">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424D746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421FC319">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70C3AAD2">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626C76E4">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06A8E6F1">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053CBB85">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13429053">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56968F7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518BC5F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2E1194C9">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320EFFA5">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2894A0C9">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2F46F457">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0B749610">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2188E424">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7EE0C4F5">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3450868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18" w:space="0"/>
              <w:right w:val="single" w:color="auto" w:sz="4" w:space="0"/>
            </w:tcBorders>
            <w:vAlign w:val="center"/>
          </w:tcPr>
          <w:p w14:paraId="73D408C2">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18" w:space="0"/>
              <w:right w:val="single" w:color="auto" w:sz="4" w:space="0"/>
            </w:tcBorders>
            <w:vAlign w:val="center"/>
          </w:tcPr>
          <w:p w14:paraId="508DB694">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18" w:space="0"/>
              <w:right w:val="single" w:color="auto" w:sz="4" w:space="0"/>
            </w:tcBorders>
            <w:vAlign w:val="center"/>
          </w:tcPr>
          <w:p w14:paraId="2035640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18" w:space="0"/>
              <w:right w:val="single" w:color="auto" w:sz="4" w:space="0"/>
            </w:tcBorders>
            <w:vAlign w:val="center"/>
          </w:tcPr>
          <w:p w14:paraId="25718BC1">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18" w:space="0"/>
              <w:right w:val="single" w:color="auto" w:sz="4" w:space="0"/>
            </w:tcBorders>
            <w:vAlign w:val="center"/>
          </w:tcPr>
          <w:p w14:paraId="023C22E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14:paraId="398AEC2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14:paraId="13E6FC2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bl>
    <w:p w14:paraId="66A4C012">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rPr>
        <w:t>注：本表后附评分办法中要求的证明材料。</w:t>
      </w:r>
    </w:p>
    <w:p w14:paraId="240860AB">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14:paraId="54D46EA4">
      <w:pPr>
        <w:kinsoku/>
        <w:overflowPunct/>
        <w:bidi w:val="0"/>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5E429151">
      <w:pPr>
        <w:kinsoku/>
        <w:overflowPunct/>
        <w:bidi w:val="0"/>
        <w:adjustRightInd w:val="0"/>
        <w:snapToGrid w:val="0"/>
        <w:spacing w:line="360" w:lineRule="auto"/>
        <w:jc w:val="lef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53E0B786">
      <w:pPr>
        <w:kinsoku/>
        <w:overflowPunct/>
        <w:bidi w:val="0"/>
        <w:adjustRightInd w:val="0"/>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eastAsia="zh-CN"/>
        </w:rPr>
        <w:t>2024</w:t>
      </w:r>
      <w:r>
        <w:rPr>
          <w:rFonts w:hint="eastAsia" w:ascii="宋体" w:hAnsi="宋体" w:eastAsia="宋体" w:cs="宋体"/>
          <w:color w:val="auto"/>
          <w:kern w:val="0"/>
          <w:sz w:val="24"/>
          <w:highlight w:val="none"/>
          <w:lang w:eastAsia="zh-CN"/>
        </w:rPr>
        <w:t>年</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14:paraId="0B23D939">
      <w:pPr>
        <w:kinsoku/>
        <w:overflowPunct/>
        <w:bidi w:val="0"/>
        <w:adjustRightInd w:val="0"/>
        <w:snapToGrid w:val="0"/>
        <w:spacing w:line="400" w:lineRule="exact"/>
        <w:jc w:val="center"/>
        <w:rPr>
          <w:rFonts w:hint="eastAsia" w:ascii="宋体" w:hAnsi="宋体" w:eastAsia="宋体" w:cs="宋体"/>
          <w:b/>
          <w:color w:val="auto"/>
          <w:sz w:val="24"/>
          <w:highlight w:val="none"/>
        </w:rPr>
      </w:pPr>
    </w:p>
    <w:p w14:paraId="2596A337">
      <w:pPr>
        <w:pStyle w:val="36"/>
        <w:kinsoku/>
        <w:overflowPunct/>
        <w:bidi w:val="0"/>
        <w:spacing w:after="0" w:line="400" w:lineRule="exact"/>
        <w:ind w:firstLine="24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0"/>
          <w:szCs w:val="30"/>
          <w:highlight w:val="none"/>
        </w:rPr>
        <w:br w:type="page"/>
      </w:r>
    </w:p>
    <w:p w14:paraId="0A95BFD0">
      <w:pPr>
        <w:pStyle w:val="47"/>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格式五：</w:t>
      </w:r>
      <w:bookmarkEnd w:id="94"/>
      <w:bookmarkEnd w:id="95"/>
      <w:bookmarkStart w:id="96" w:name="_Toc522530057"/>
      <w:r>
        <w:rPr>
          <w:rFonts w:hint="eastAsia" w:ascii="宋体" w:hAnsi="宋体" w:eastAsia="宋体" w:cs="宋体"/>
          <w:b/>
          <w:color w:val="auto"/>
          <w:kern w:val="0"/>
          <w:sz w:val="30"/>
          <w:highlight w:val="none"/>
          <w:lang w:val="zh-CN"/>
        </w:rPr>
        <w:t>商务/技术偏离表</w:t>
      </w:r>
    </w:p>
    <w:p w14:paraId="5C3404B0">
      <w:pPr>
        <w:kinsoku/>
        <w:overflowPunct/>
        <w:bidi w:val="0"/>
        <w:spacing w:line="400" w:lineRule="exact"/>
        <w:rPr>
          <w:rFonts w:hint="eastAsia"/>
          <w:color w:val="auto"/>
          <w:highlight w:val="none"/>
          <w:lang w:val="zh-CN"/>
        </w:rPr>
      </w:pPr>
    </w:p>
    <w:tbl>
      <w:tblPr>
        <w:tblStyle w:val="88"/>
        <w:tblW w:w="924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693"/>
        <w:gridCol w:w="2593"/>
        <w:gridCol w:w="1431"/>
        <w:gridCol w:w="1848"/>
      </w:tblGrid>
      <w:tr w14:paraId="28E4C95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3FC25941">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序号</w:t>
            </w:r>
          </w:p>
        </w:tc>
        <w:tc>
          <w:tcPr>
            <w:tcW w:w="2693" w:type="dxa"/>
            <w:vAlign w:val="center"/>
          </w:tcPr>
          <w:p w14:paraId="61FB63A1">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招标文件要求</w:t>
            </w:r>
          </w:p>
        </w:tc>
        <w:tc>
          <w:tcPr>
            <w:tcW w:w="2593" w:type="dxa"/>
            <w:vAlign w:val="center"/>
          </w:tcPr>
          <w:p w14:paraId="21166226">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投标文件响应</w:t>
            </w:r>
          </w:p>
        </w:tc>
        <w:tc>
          <w:tcPr>
            <w:tcW w:w="1431" w:type="dxa"/>
            <w:vAlign w:val="center"/>
          </w:tcPr>
          <w:p w14:paraId="28CB1779">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正/负偏离</w:t>
            </w:r>
          </w:p>
        </w:tc>
        <w:tc>
          <w:tcPr>
            <w:tcW w:w="1848" w:type="dxa"/>
            <w:vAlign w:val="center"/>
          </w:tcPr>
          <w:p w14:paraId="79EC47DC">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理由</w:t>
            </w:r>
          </w:p>
        </w:tc>
      </w:tr>
      <w:tr w14:paraId="33D767F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56CFF8D4">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w:t>
            </w:r>
          </w:p>
        </w:tc>
        <w:tc>
          <w:tcPr>
            <w:tcW w:w="2693" w:type="dxa"/>
            <w:vAlign w:val="center"/>
          </w:tcPr>
          <w:p w14:paraId="37DEE049">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68C4232F">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631BDF54">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0A1CA3D9">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19FEB45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14D967CC">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2</w:t>
            </w:r>
          </w:p>
        </w:tc>
        <w:tc>
          <w:tcPr>
            <w:tcW w:w="2693" w:type="dxa"/>
            <w:vAlign w:val="center"/>
          </w:tcPr>
          <w:p w14:paraId="306DF920">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10A23307">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137E29A5">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37D2EAA0">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54A8C0B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0C2EB4D2">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3</w:t>
            </w:r>
          </w:p>
        </w:tc>
        <w:tc>
          <w:tcPr>
            <w:tcW w:w="2693" w:type="dxa"/>
            <w:vAlign w:val="center"/>
          </w:tcPr>
          <w:p w14:paraId="385F7436">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3035AAA2">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0E54E927">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4492F011">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56B3D63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1BBE9C92">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14:paraId="19ADDFEF">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08790AB9">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2444A118">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1B93AD33">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276AA1E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6981B1FF">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14:paraId="22E7D746">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769ACB33">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0A5A16CB">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46B951D3">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68EB4DB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14413E62">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14:paraId="5B7C5550">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6CB7B260">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1731546E">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4D3AD201">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5C03EA0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4D98E6A5">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14:paraId="36169165">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43C0E292">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5AA5DE02">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425C1BA9">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7621D6A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3C9C8720">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14:paraId="210B042E">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720AE3BB">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6E701683">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507A6163">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420A931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2409F087">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14:paraId="74622F47">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005FBCE6">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02995EB7">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230C66B6">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64652F8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6ACABB2F">
            <w:pPr>
              <w:kinsoku/>
              <w:wordWrap/>
              <w:overflowPunct/>
              <w:topLinePunct w:val="0"/>
              <w:bidi w:val="0"/>
              <w:adjustRightInd w:val="0"/>
              <w:snapToGrid w:val="0"/>
              <w:spacing w:line="400" w:lineRule="exact"/>
              <w:jc w:val="center"/>
              <w:rPr>
                <w:rFonts w:ascii="宋体" w:hAnsi="宋体"/>
                <w:color w:val="auto"/>
                <w:sz w:val="24"/>
                <w:highlight w:val="none"/>
              </w:rPr>
            </w:pPr>
            <w:r>
              <w:rPr>
                <w:rFonts w:hint="eastAsia" w:ascii="宋体" w:hAnsi="宋体"/>
                <w:color w:val="auto"/>
                <w:kern w:val="0"/>
                <w:sz w:val="24"/>
                <w:highlight w:val="none"/>
              </w:rPr>
              <w:t>…</w:t>
            </w:r>
          </w:p>
        </w:tc>
        <w:tc>
          <w:tcPr>
            <w:tcW w:w="2693" w:type="dxa"/>
            <w:vAlign w:val="center"/>
          </w:tcPr>
          <w:p w14:paraId="2483B332">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4C75236A">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40D79F97">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7CF665DC">
            <w:pPr>
              <w:kinsoku/>
              <w:wordWrap/>
              <w:overflowPunct/>
              <w:topLinePunct w:val="0"/>
              <w:bidi w:val="0"/>
              <w:adjustRightInd w:val="0"/>
              <w:snapToGrid w:val="0"/>
              <w:spacing w:line="400" w:lineRule="exact"/>
              <w:jc w:val="center"/>
              <w:rPr>
                <w:rFonts w:ascii="宋体" w:hAnsi="宋体"/>
                <w:color w:val="auto"/>
                <w:sz w:val="24"/>
                <w:highlight w:val="none"/>
              </w:rPr>
            </w:pPr>
          </w:p>
        </w:tc>
      </w:tr>
    </w:tbl>
    <w:p w14:paraId="74ADFB3E">
      <w:pPr>
        <w:kinsoku/>
        <w:wordWrap/>
        <w:overflowPunct/>
        <w:topLinePunct w:val="0"/>
        <w:autoSpaceDE w:val="0"/>
        <w:autoSpaceDN w:val="0"/>
        <w:bidi w:val="0"/>
        <w:adjustRightInd w:val="0"/>
        <w:spacing w:line="400" w:lineRule="exact"/>
        <w:ind w:firstLine="5160" w:firstLineChars="2150"/>
        <w:rPr>
          <w:rFonts w:ascii="宋体" w:hAnsi="宋体"/>
          <w:color w:val="auto"/>
          <w:kern w:val="0"/>
          <w:sz w:val="24"/>
          <w:highlight w:val="none"/>
          <w:lang w:val="zh-CN"/>
        </w:rPr>
      </w:pPr>
    </w:p>
    <w:p w14:paraId="48EC4E82">
      <w:pPr>
        <w:kinsoku/>
        <w:wordWrap/>
        <w:overflowPunct/>
        <w:topLinePunct w:val="0"/>
        <w:bidi w:val="0"/>
        <w:adjustRightInd w:val="0"/>
        <w:snapToGrid w:val="0"/>
        <w:spacing w:line="400" w:lineRule="exact"/>
        <w:rPr>
          <w:rFonts w:ascii="宋体" w:hAnsi="宋体"/>
          <w:b/>
          <w:color w:val="auto"/>
          <w:kern w:val="0"/>
          <w:sz w:val="24"/>
          <w:highlight w:val="none"/>
          <w:lang w:val="zh-CN"/>
        </w:rPr>
      </w:pPr>
      <w:r>
        <w:rPr>
          <w:rFonts w:hint="eastAsia" w:ascii="宋体" w:hAnsi="宋体"/>
          <w:b/>
          <w:color w:val="auto"/>
          <w:kern w:val="0"/>
          <w:sz w:val="24"/>
          <w:highlight w:val="none"/>
          <w:lang w:val="zh-CN"/>
        </w:rPr>
        <w:t>注：“商务偏离”是指对“商务部分”中条款的偏离，“技术偏离”是指对“第三部分  采购需求”中条款的偏离。本表仅在有偏离时填写，注明是正/负偏离，并说明理由。“投标文件响应”复制“招标文件要求”内容，不填写或未提供偏离表均视为无偏离。</w:t>
      </w:r>
    </w:p>
    <w:p w14:paraId="0F8AFB00">
      <w:pPr>
        <w:kinsoku/>
        <w:wordWrap/>
        <w:overflowPunct/>
        <w:topLinePunct w:val="0"/>
        <w:bidi w:val="0"/>
        <w:adjustRightInd w:val="0"/>
        <w:snapToGrid w:val="0"/>
        <w:spacing w:line="400" w:lineRule="exact"/>
        <w:rPr>
          <w:rFonts w:ascii="宋体" w:hAnsi="宋体"/>
          <w:color w:val="auto"/>
          <w:kern w:val="0"/>
          <w:sz w:val="24"/>
          <w:highlight w:val="none"/>
          <w:lang w:val="zh-CN"/>
        </w:rPr>
      </w:pPr>
    </w:p>
    <w:p w14:paraId="03D0EDE9">
      <w:pPr>
        <w:kinsoku/>
        <w:wordWrap/>
        <w:overflowPunct/>
        <w:topLinePunct w:val="0"/>
        <w:bidi w:val="0"/>
        <w:adjustRightInd w:val="0"/>
        <w:snapToGrid w:val="0"/>
        <w:spacing w:line="400" w:lineRule="exact"/>
        <w:rPr>
          <w:rFonts w:ascii="宋体" w:hAnsi="宋体"/>
          <w:color w:val="auto"/>
          <w:kern w:val="0"/>
          <w:sz w:val="24"/>
          <w:highlight w:val="none"/>
          <w:lang w:val="zh-CN"/>
        </w:rPr>
      </w:pPr>
    </w:p>
    <w:p w14:paraId="57D015B4">
      <w:pPr>
        <w:kinsoku/>
        <w:wordWrap/>
        <w:overflowPunct/>
        <w:topLinePunct w:val="0"/>
        <w:bidi w:val="0"/>
        <w:adjustRightInd w:val="0"/>
        <w:snapToGrid w:val="0"/>
        <w:spacing w:line="400" w:lineRule="exact"/>
        <w:rPr>
          <w:rFonts w:ascii="宋体" w:hAnsi="宋体"/>
          <w:color w:val="auto"/>
          <w:kern w:val="0"/>
          <w:sz w:val="24"/>
          <w:highlight w:val="none"/>
        </w:rPr>
      </w:pPr>
      <w:r>
        <w:rPr>
          <w:rFonts w:hint="eastAsia" w:ascii="宋体" w:hAnsi="宋体"/>
          <w:color w:val="auto"/>
          <w:kern w:val="0"/>
          <w:sz w:val="24"/>
          <w:highlight w:val="none"/>
          <w:lang w:val="zh-CN"/>
        </w:rPr>
        <w:t>法定/授权代表：</w:t>
      </w:r>
      <w:r>
        <w:rPr>
          <w:rFonts w:hint="eastAsia" w:ascii="宋体" w:hAnsi="宋体"/>
          <w:color w:val="auto"/>
          <w:kern w:val="0"/>
          <w:sz w:val="24"/>
          <w:highlight w:val="none"/>
          <w:u w:val="single"/>
          <w:lang w:val="zh-CN"/>
        </w:rPr>
        <w:t xml:space="preserve">（签字或盖章） </w:t>
      </w:r>
    </w:p>
    <w:p w14:paraId="4D7C41BA">
      <w:pPr>
        <w:kinsoku/>
        <w:wordWrap/>
        <w:overflowPunct/>
        <w:topLinePunct w:val="0"/>
        <w:bidi w:val="0"/>
        <w:adjustRightInd w:val="0"/>
        <w:snapToGrid w:val="0"/>
        <w:spacing w:line="400" w:lineRule="exact"/>
        <w:rPr>
          <w:rFonts w:ascii="宋体" w:hAnsi="宋体"/>
          <w:color w:val="auto"/>
          <w:kern w:val="0"/>
          <w:sz w:val="24"/>
          <w:highlight w:val="none"/>
          <w:u w:val="single"/>
          <w:lang w:val="zh-CN"/>
        </w:rPr>
      </w:pPr>
      <w:r>
        <w:rPr>
          <w:rFonts w:hint="eastAsia" w:ascii="宋体" w:hAnsi="宋体"/>
          <w:color w:val="auto"/>
          <w:kern w:val="0"/>
          <w:sz w:val="24"/>
          <w:highlight w:val="none"/>
          <w:lang w:val="zh-CN"/>
        </w:rPr>
        <w:t>投标人：</w:t>
      </w:r>
      <w:r>
        <w:rPr>
          <w:rFonts w:hint="eastAsia" w:ascii="宋体" w:hAnsi="宋体"/>
          <w:color w:val="auto"/>
          <w:kern w:val="0"/>
          <w:sz w:val="24"/>
          <w:highlight w:val="none"/>
          <w:u w:val="single"/>
          <w:lang w:val="zh-CN"/>
        </w:rPr>
        <w:t xml:space="preserve">（全称加盖公章）       </w:t>
      </w:r>
    </w:p>
    <w:p w14:paraId="1F1D09B3">
      <w:pPr>
        <w:kinsoku/>
        <w:wordWrap/>
        <w:overflowPunct/>
        <w:topLinePunct w:val="0"/>
        <w:bidi w:val="0"/>
        <w:adjustRightInd w:val="0"/>
        <w:snapToGrid w:val="0"/>
        <w:spacing w:line="400" w:lineRule="exact"/>
        <w:rPr>
          <w:rFonts w:hint="eastAsia" w:ascii="宋体" w:hAnsi="宋体"/>
          <w:color w:val="auto"/>
          <w:kern w:val="0"/>
          <w:sz w:val="24"/>
          <w:highlight w:val="none"/>
          <w:lang w:val="zh-CN"/>
        </w:rPr>
      </w:pPr>
      <w:r>
        <w:rPr>
          <w:rFonts w:hint="eastAsia" w:ascii="宋体" w:hAnsi="宋体"/>
          <w:color w:val="auto"/>
          <w:kern w:val="0"/>
          <w:sz w:val="24"/>
          <w:highlight w:val="none"/>
          <w:lang w:val="zh-CN"/>
        </w:rPr>
        <w:t>日期</w:t>
      </w:r>
      <w:r>
        <w:rPr>
          <w:rFonts w:hint="eastAsia" w:ascii="宋体" w:hAnsi="宋体"/>
          <w:color w:val="auto"/>
          <w:kern w:val="0"/>
          <w:sz w:val="24"/>
          <w:highlight w:val="none"/>
        </w:rPr>
        <w:t xml:space="preserve">： </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zh-CN"/>
        </w:rPr>
        <w:t>年</w:t>
      </w:r>
      <w:r>
        <w:rPr>
          <w:rFonts w:hint="eastAsia" w:ascii="宋体" w:hAnsi="宋体"/>
          <w:color w:val="auto"/>
          <w:kern w:val="0"/>
          <w:sz w:val="24"/>
          <w:highlight w:val="none"/>
          <w:u w:val="single"/>
        </w:rPr>
        <w:tab/>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zh-CN"/>
        </w:rPr>
        <w:t>月</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zh-CN"/>
        </w:rPr>
        <w:t>日</w:t>
      </w:r>
    </w:p>
    <w:p w14:paraId="0FF5329E">
      <w:pPr>
        <w:pStyle w:val="22"/>
        <w:kinsoku/>
        <w:overflowPunct/>
        <w:bidi w:val="0"/>
        <w:spacing w:after="0" w:line="400" w:lineRule="exact"/>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 xml:space="preserve"> </w:t>
      </w:r>
    </w:p>
    <w:p w14:paraId="124AC469">
      <w:pPr>
        <w:pStyle w:val="87"/>
        <w:kinsoku/>
        <w:overflowPunct/>
        <w:bidi w:val="0"/>
        <w:spacing w:after="0" w:line="400" w:lineRule="exact"/>
        <w:rPr>
          <w:rFonts w:hint="eastAsia" w:ascii="宋体" w:hAnsi="宋体"/>
          <w:color w:val="auto"/>
          <w:kern w:val="0"/>
          <w:sz w:val="24"/>
          <w:highlight w:val="none"/>
          <w:lang w:val="zh-CN"/>
        </w:rPr>
      </w:pPr>
    </w:p>
    <w:p w14:paraId="1AD7E4D8">
      <w:pPr>
        <w:pStyle w:val="36"/>
        <w:kinsoku/>
        <w:overflowPunct/>
        <w:bidi w:val="0"/>
        <w:spacing w:after="0" w:line="400" w:lineRule="exact"/>
        <w:rPr>
          <w:rFonts w:hint="eastAsia" w:ascii="宋体" w:hAnsi="宋体"/>
          <w:color w:val="auto"/>
          <w:kern w:val="0"/>
          <w:sz w:val="24"/>
          <w:highlight w:val="none"/>
          <w:lang w:val="zh-CN"/>
        </w:rPr>
      </w:pPr>
    </w:p>
    <w:p w14:paraId="6C0AA8B3">
      <w:pPr>
        <w:pStyle w:val="37"/>
        <w:rPr>
          <w:rFonts w:hint="eastAsia"/>
          <w:color w:val="auto"/>
          <w:highlight w:val="none"/>
          <w:lang w:val="zh-CN"/>
        </w:rPr>
      </w:pPr>
    </w:p>
    <w:p w14:paraId="26303933">
      <w:pPr>
        <w:kinsoku/>
        <w:overflowPunct/>
        <w:bidi w:val="0"/>
        <w:spacing w:line="400" w:lineRule="exact"/>
        <w:rPr>
          <w:rFonts w:hint="eastAsia" w:ascii="宋体" w:hAnsi="宋体"/>
          <w:color w:val="auto"/>
          <w:kern w:val="0"/>
          <w:sz w:val="24"/>
          <w:highlight w:val="none"/>
          <w:lang w:val="zh-CN"/>
        </w:rPr>
      </w:pPr>
    </w:p>
    <w:p w14:paraId="4E913CBB">
      <w:pPr>
        <w:pStyle w:val="22"/>
        <w:kinsoku/>
        <w:overflowPunct/>
        <w:bidi w:val="0"/>
        <w:spacing w:after="0" w:line="400" w:lineRule="exact"/>
        <w:rPr>
          <w:rFonts w:hint="eastAsia" w:ascii="宋体" w:hAnsi="宋体"/>
          <w:color w:val="auto"/>
          <w:kern w:val="0"/>
          <w:sz w:val="24"/>
          <w:highlight w:val="none"/>
          <w:lang w:val="zh-CN"/>
        </w:rPr>
      </w:pPr>
    </w:p>
    <w:p w14:paraId="7E52C132">
      <w:pPr>
        <w:pStyle w:val="87"/>
        <w:kinsoku/>
        <w:overflowPunct/>
        <w:bidi w:val="0"/>
        <w:spacing w:after="0" w:line="400" w:lineRule="exact"/>
        <w:rPr>
          <w:rFonts w:hint="eastAsia" w:ascii="宋体" w:hAnsi="宋体"/>
          <w:color w:val="auto"/>
          <w:kern w:val="0"/>
          <w:sz w:val="24"/>
          <w:highlight w:val="none"/>
          <w:lang w:val="zh-CN"/>
        </w:rPr>
      </w:pPr>
    </w:p>
    <w:p w14:paraId="215FCEDD">
      <w:pPr>
        <w:pStyle w:val="36"/>
        <w:kinsoku/>
        <w:overflowPunct/>
        <w:bidi w:val="0"/>
        <w:spacing w:after="0" w:line="400" w:lineRule="exact"/>
        <w:rPr>
          <w:rFonts w:hint="eastAsia"/>
          <w:color w:val="auto"/>
          <w:highlight w:val="none"/>
          <w:lang w:val="zh-CN"/>
        </w:rPr>
      </w:pPr>
    </w:p>
    <w:p w14:paraId="551E8F1F">
      <w:pPr>
        <w:pStyle w:val="36"/>
        <w:kinsoku/>
        <w:overflowPunct/>
        <w:bidi w:val="0"/>
        <w:spacing w:after="0" w:line="400" w:lineRule="exact"/>
        <w:rPr>
          <w:color w:val="auto"/>
          <w:highlight w:val="none"/>
        </w:rPr>
      </w:pPr>
    </w:p>
    <w:p w14:paraId="4AAE81E5">
      <w:pPr>
        <w:kinsoku/>
        <w:overflowPunct/>
        <w:bidi w:val="0"/>
        <w:adjustRightInd w:val="0"/>
        <w:snapToGrid w:val="0"/>
        <w:spacing w:line="400" w:lineRule="exact"/>
        <w:ind w:firstLine="562" w:firstLineChars="200"/>
        <w:jc w:val="center"/>
        <w:rPr>
          <w:rFonts w:hint="eastAsia" w:ascii="宋体" w:hAnsi="宋体" w:eastAsia="宋体" w:cs="宋体"/>
          <w:b/>
          <w:color w:val="auto"/>
          <w:highlight w:val="none"/>
        </w:rPr>
      </w:pPr>
    </w:p>
    <w:p w14:paraId="645543A1">
      <w:pPr>
        <w:kinsoku/>
        <w:overflowPunct/>
        <w:bidi w:val="0"/>
        <w:adjustRightInd w:val="0"/>
        <w:snapToGrid w:val="0"/>
        <w:spacing w:line="400" w:lineRule="exact"/>
        <w:ind w:firstLine="602" w:firstLineChars="200"/>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w:t>
      </w:r>
      <w:r>
        <w:rPr>
          <w:rFonts w:hint="eastAsia" w:ascii="宋体" w:hAnsi="宋体" w:cs="宋体"/>
          <w:b/>
          <w:color w:val="auto"/>
          <w:kern w:val="0"/>
          <w:sz w:val="30"/>
          <w:highlight w:val="none"/>
          <w:lang w:val="zh-CN"/>
        </w:rPr>
        <w:t>六</w:t>
      </w:r>
      <w:r>
        <w:rPr>
          <w:rFonts w:hint="eastAsia" w:ascii="宋体" w:hAnsi="宋体" w:eastAsia="宋体" w:cs="宋体"/>
          <w:b/>
          <w:color w:val="auto"/>
          <w:kern w:val="0"/>
          <w:sz w:val="30"/>
          <w:highlight w:val="none"/>
          <w:lang w:val="zh-CN"/>
        </w:rPr>
        <w:t>：拟投入本项目的服务团队情况表</w:t>
      </w:r>
      <w:bookmarkEnd w:id="96"/>
    </w:p>
    <w:p w14:paraId="07E839AC">
      <w:pPr>
        <w:pStyle w:val="22"/>
        <w:kinsoku/>
        <w:overflowPunct/>
        <w:bidi w:val="0"/>
        <w:spacing w:after="0" w:line="400" w:lineRule="exact"/>
        <w:rPr>
          <w:rFonts w:hint="eastAsia"/>
          <w:color w:val="auto"/>
          <w:highlight w:val="none"/>
        </w:rPr>
      </w:pPr>
    </w:p>
    <w:p w14:paraId="21ABA4C2">
      <w:pPr>
        <w:kinsoku/>
        <w:overflowPunct/>
        <w:bidi w:val="0"/>
        <w:adjustRightInd w:val="0"/>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拟投入本项目的服务团队情况表</w:t>
      </w:r>
    </w:p>
    <w:tbl>
      <w:tblPr>
        <w:tblStyle w:val="88"/>
        <w:tblW w:w="9223"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52"/>
        <w:gridCol w:w="3392"/>
        <w:gridCol w:w="1417"/>
        <w:gridCol w:w="1555"/>
        <w:gridCol w:w="1052"/>
      </w:tblGrid>
      <w:tr w14:paraId="66ED9F9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55" w:type="dxa"/>
            <w:vAlign w:val="center"/>
          </w:tcPr>
          <w:p w14:paraId="07C44388">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252" w:type="dxa"/>
            <w:vAlign w:val="center"/>
          </w:tcPr>
          <w:p w14:paraId="25B8626D">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姓名</w:t>
            </w:r>
          </w:p>
        </w:tc>
        <w:tc>
          <w:tcPr>
            <w:tcW w:w="3392" w:type="dxa"/>
            <w:vAlign w:val="center"/>
          </w:tcPr>
          <w:p w14:paraId="5D84986A">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职称及相关专业认证（或执业资格）情况（如评分需要）</w:t>
            </w:r>
          </w:p>
        </w:tc>
        <w:tc>
          <w:tcPr>
            <w:tcW w:w="1417" w:type="dxa"/>
            <w:vAlign w:val="center"/>
          </w:tcPr>
          <w:p w14:paraId="35DDF9FC">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在本单位工作年限</w:t>
            </w:r>
          </w:p>
        </w:tc>
        <w:tc>
          <w:tcPr>
            <w:tcW w:w="1555" w:type="dxa"/>
            <w:vAlign w:val="center"/>
          </w:tcPr>
          <w:p w14:paraId="3103187B">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在本项目中拟担任职务</w:t>
            </w:r>
          </w:p>
        </w:tc>
        <w:tc>
          <w:tcPr>
            <w:tcW w:w="1052" w:type="dxa"/>
            <w:vAlign w:val="center"/>
          </w:tcPr>
          <w:p w14:paraId="5F9A9483">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w:t>
            </w:r>
          </w:p>
        </w:tc>
      </w:tr>
      <w:tr w14:paraId="5527948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14" w:hRule="exact"/>
        </w:trPr>
        <w:tc>
          <w:tcPr>
            <w:tcW w:w="555" w:type="dxa"/>
            <w:vAlign w:val="center"/>
          </w:tcPr>
          <w:p w14:paraId="1E6E56E2">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252" w:type="dxa"/>
            <w:vAlign w:val="center"/>
          </w:tcPr>
          <w:p w14:paraId="00AEB367">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4734D6BF">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77200A41">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4FB37AA3">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项目负责人</w:t>
            </w:r>
          </w:p>
        </w:tc>
        <w:tc>
          <w:tcPr>
            <w:tcW w:w="1052" w:type="dxa"/>
            <w:vAlign w:val="center"/>
          </w:tcPr>
          <w:p w14:paraId="210D7080">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6AD819A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713EA1E0">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252" w:type="dxa"/>
            <w:vAlign w:val="center"/>
          </w:tcPr>
          <w:p w14:paraId="07F3C160">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61DCE027">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5AF25996">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3F2D5F0A">
            <w:pPr>
              <w:spacing w:line="360" w:lineRule="auto"/>
              <w:jc w:val="center"/>
              <w:rPr>
                <w:rFonts w:hint="eastAsia" w:ascii="宋体" w:hAnsi="宋体" w:eastAsia="宋体" w:cs="宋体"/>
                <w:color w:val="auto"/>
                <w:kern w:val="0"/>
                <w:sz w:val="24"/>
                <w:highlight w:val="none"/>
              </w:rPr>
            </w:pPr>
          </w:p>
        </w:tc>
        <w:tc>
          <w:tcPr>
            <w:tcW w:w="1052" w:type="dxa"/>
            <w:vAlign w:val="center"/>
          </w:tcPr>
          <w:p w14:paraId="456E8DA8">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7E67B39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1FC1BB24">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1252" w:type="dxa"/>
            <w:vAlign w:val="center"/>
          </w:tcPr>
          <w:p w14:paraId="786192A9">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3C319BA9">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4344DBE2">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6EE4027E">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14:paraId="1B5B61E7">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27D52E3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610210DD">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1252" w:type="dxa"/>
            <w:vAlign w:val="center"/>
          </w:tcPr>
          <w:p w14:paraId="3263B3C5">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711C72A3">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2D8EAB87">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49FC4729">
            <w:pPr>
              <w:spacing w:line="360" w:lineRule="auto"/>
              <w:jc w:val="center"/>
              <w:rPr>
                <w:rFonts w:hint="eastAsia" w:ascii="宋体" w:hAnsi="宋体" w:eastAsia="宋体" w:cs="宋体"/>
                <w:color w:val="auto"/>
                <w:sz w:val="24"/>
                <w:szCs w:val="24"/>
                <w:highlight w:val="none"/>
              </w:rPr>
            </w:pPr>
          </w:p>
        </w:tc>
        <w:tc>
          <w:tcPr>
            <w:tcW w:w="1052" w:type="dxa"/>
            <w:vAlign w:val="center"/>
          </w:tcPr>
          <w:p w14:paraId="2BDD6BE9">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08AD0AD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74B07E08">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1252" w:type="dxa"/>
            <w:vAlign w:val="center"/>
          </w:tcPr>
          <w:p w14:paraId="415BE420">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3E718062">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3D1D61BC">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1EB4C879">
            <w:pPr>
              <w:spacing w:line="360" w:lineRule="auto"/>
              <w:jc w:val="center"/>
              <w:rPr>
                <w:rFonts w:hint="eastAsia" w:ascii="宋体" w:hAnsi="宋体" w:eastAsia="宋体" w:cs="宋体"/>
                <w:color w:val="auto"/>
                <w:sz w:val="24"/>
                <w:szCs w:val="24"/>
                <w:highlight w:val="none"/>
              </w:rPr>
            </w:pPr>
          </w:p>
        </w:tc>
        <w:tc>
          <w:tcPr>
            <w:tcW w:w="1052" w:type="dxa"/>
            <w:vAlign w:val="center"/>
          </w:tcPr>
          <w:p w14:paraId="25136ACC">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01B455E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22FF21F2">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1252" w:type="dxa"/>
            <w:vAlign w:val="center"/>
          </w:tcPr>
          <w:p w14:paraId="5C4B4513">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5300BDFF">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2C5BC6F9">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6059B8A7">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14:paraId="7F7A5000">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6F4AC52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3C0F2121">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1252" w:type="dxa"/>
            <w:vAlign w:val="center"/>
          </w:tcPr>
          <w:p w14:paraId="766AF025">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6C404884">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5F879934">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374BFCD0">
            <w:pPr>
              <w:spacing w:line="360" w:lineRule="auto"/>
              <w:jc w:val="center"/>
              <w:rPr>
                <w:rFonts w:hint="eastAsia" w:ascii="宋体" w:hAnsi="宋体" w:eastAsia="宋体" w:cs="宋体"/>
                <w:color w:val="auto"/>
                <w:sz w:val="24"/>
                <w:szCs w:val="24"/>
                <w:highlight w:val="none"/>
              </w:rPr>
            </w:pPr>
          </w:p>
        </w:tc>
        <w:tc>
          <w:tcPr>
            <w:tcW w:w="1052" w:type="dxa"/>
            <w:vAlign w:val="center"/>
          </w:tcPr>
          <w:p w14:paraId="719A9234">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36432FE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449BE7A4">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1252" w:type="dxa"/>
            <w:vAlign w:val="center"/>
          </w:tcPr>
          <w:p w14:paraId="6BA4F458">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01846366">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259D294F">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7A260C73">
            <w:pPr>
              <w:spacing w:line="360" w:lineRule="auto"/>
              <w:jc w:val="center"/>
              <w:rPr>
                <w:rFonts w:hint="eastAsia" w:ascii="宋体" w:hAnsi="宋体" w:eastAsia="宋体" w:cs="宋体"/>
                <w:color w:val="auto"/>
                <w:kern w:val="0"/>
                <w:sz w:val="24"/>
                <w:highlight w:val="none"/>
              </w:rPr>
            </w:pPr>
          </w:p>
        </w:tc>
        <w:tc>
          <w:tcPr>
            <w:tcW w:w="1052" w:type="dxa"/>
            <w:vAlign w:val="center"/>
          </w:tcPr>
          <w:p w14:paraId="19786D21">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6017B63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6668D204">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p>
        </w:tc>
        <w:tc>
          <w:tcPr>
            <w:tcW w:w="1252" w:type="dxa"/>
            <w:vAlign w:val="center"/>
          </w:tcPr>
          <w:p w14:paraId="1D464B21">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740A4B69">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48695A23">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4025DFB0">
            <w:pPr>
              <w:spacing w:line="360" w:lineRule="auto"/>
              <w:jc w:val="center"/>
              <w:rPr>
                <w:rFonts w:hint="eastAsia" w:ascii="宋体" w:hAnsi="宋体" w:eastAsia="宋体" w:cs="宋体"/>
                <w:color w:val="auto"/>
                <w:sz w:val="24"/>
                <w:szCs w:val="24"/>
                <w:highlight w:val="none"/>
              </w:rPr>
            </w:pPr>
          </w:p>
        </w:tc>
        <w:tc>
          <w:tcPr>
            <w:tcW w:w="1052" w:type="dxa"/>
            <w:vAlign w:val="center"/>
          </w:tcPr>
          <w:p w14:paraId="2BBAD81F">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226B5A8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23" w:type="dxa"/>
            <w:gridSpan w:val="6"/>
            <w:vAlign w:val="center"/>
          </w:tcPr>
          <w:p w14:paraId="7D32D95C">
            <w:pPr>
              <w:kinsoku/>
              <w:overflowPunct/>
              <w:autoSpaceDE w:val="0"/>
              <w:autoSpaceDN w:val="0"/>
              <w:bidi w:val="0"/>
              <w:adjustRightInd w:val="0"/>
              <w:spacing w:line="400" w:lineRule="exac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其他说明：（如有）</w:t>
            </w:r>
          </w:p>
        </w:tc>
      </w:tr>
    </w:tbl>
    <w:p w14:paraId="03884652">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注：</w:t>
      </w:r>
      <w:r>
        <w:rPr>
          <w:rFonts w:hint="eastAsia" w:ascii="宋体" w:hAnsi="宋体" w:eastAsia="宋体" w:cs="宋体"/>
          <w:bCs/>
          <w:color w:val="auto"/>
          <w:sz w:val="24"/>
          <w:highlight w:val="none"/>
        </w:rPr>
        <w:t>本表后附对应的证明材料；“职称及相关专业认证”仅在评分办法有对应评分项时填写；具体内容见评分办法。</w:t>
      </w:r>
    </w:p>
    <w:p w14:paraId="6C48F67F">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14:paraId="2C128735">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0898A4BE">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762CB905">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2024</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14:paraId="220C3B27">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p w14:paraId="68F942A1">
      <w:pPr>
        <w:pStyle w:val="47"/>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6CA00BC8">
      <w:pPr>
        <w:pStyle w:val="47"/>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54C885EA">
      <w:pPr>
        <w:pStyle w:val="47"/>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5C36F8B1">
      <w:pPr>
        <w:kinsoku/>
        <w:overflowPunct/>
        <w:bidi w:val="0"/>
        <w:spacing w:line="400" w:lineRule="exact"/>
        <w:rPr>
          <w:rFonts w:hint="eastAsia" w:ascii="宋体" w:hAnsi="宋体" w:eastAsia="宋体" w:cs="宋体"/>
          <w:b/>
          <w:color w:val="auto"/>
          <w:kern w:val="0"/>
          <w:sz w:val="30"/>
          <w:highlight w:val="none"/>
          <w:lang w:val="zh-CN"/>
        </w:rPr>
      </w:pPr>
    </w:p>
    <w:p w14:paraId="3AAF3321">
      <w:pPr>
        <w:pStyle w:val="47"/>
        <w:kinsoku/>
        <w:overflowPunct/>
        <w:bidi w:val="0"/>
        <w:spacing w:line="400" w:lineRule="exact"/>
        <w:rPr>
          <w:rFonts w:hint="eastAsia" w:ascii="宋体" w:hAnsi="宋体" w:eastAsia="宋体" w:cs="宋体"/>
          <w:b/>
          <w:color w:val="auto"/>
          <w:kern w:val="0"/>
          <w:sz w:val="30"/>
          <w:highlight w:val="none"/>
          <w:lang w:val="zh-CN"/>
        </w:rPr>
      </w:pPr>
    </w:p>
    <w:p w14:paraId="7C089B02">
      <w:pPr>
        <w:kinsoku/>
        <w:overflowPunct/>
        <w:bidi w:val="0"/>
        <w:spacing w:line="400" w:lineRule="exact"/>
        <w:rPr>
          <w:rFonts w:hint="eastAsia" w:ascii="宋体" w:hAnsi="宋体" w:eastAsia="宋体" w:cs="宋体"/>
          <w:b/>
          <w:color w:val="auto"/>
          <w:kern w:val="0"/>
          <w:sz w:val="30"/>
          <w:highlight w:val="none"/>
          <w:lang w:val="zh-CN"/>
        </w:rPr>
      </w:pPr>
    </w:p>
    <w:p w14:paraId="2624A8D4">
      <w:pPr>
        <w:pStyle w:val="47"/>
        <w:kinsoku/>
        <w:overflowPunct/>
        <w:bidi w:val="0"/>
        <w:spacing w:line="400" w:lineRule="exact"/>
        <w:rPr>
          <w:rFonts w:hint="eastAsia" w:ascii="宋体" w:hAnsi="宋体" w:eastAsia="宋体" w:cs="宋体"/>
          <w:b/>
          <w:color w:val="auto"/>
          <w:kern w:val="0"/>
          <w:sz w:val="30"/>
          <w:highlight w:val="none"/>
          <w:lang w:val="zh-CN"/>
        </w:rPr>
      </w:pPr>
    </w:p>
    <w:p w14:paraId="29FFB8CC">
      <w:pPr>
        <w:pStyle w:val="4"/>
        <w:kinsoku/>
        <w:overflowPunct/>
        <w:bidi w:val="0"/>
        <w:spacing w:line="400" w:lineRule="exact"/>
        <w:ind w:left="0" w:firstLine="0"/>
        <w:jc w:val="center"/>
        <w:rPr>
          <w:rFonts w:hint="eastAsia" w:ascii="宋体" w:hAnsi="宋体" w:eastAsia="宋体" w:cs="宋体"/>
          <w:color w:val="auto"/>
          <w:sz w:val="28"/>
          <w:highlight w:val="none"/>
        </w:rPr>
      </w:pPr>
      <w:r>
        <w:rPr>
          <w:rFonts w:hint="eastAsia" w:ascii="宋体" w:hAnsi="宋体" w:eastAsia="宋体" w:cs="宋体"/>
          <w:color w:val="auto"/>
          <w:kern w:val="0"/>
          <w:sz w:val="30"/>
          <w:highlight w:val="none"/>
          <w:lang w:val="zh-CN"/>
        </w:rPr>
        <w:t>格式七：</w:t>
      </w:r>
      <w:bookmarkStart w:id="97" w:name="_Toc8841"/>
      <w:bookmarkStart w:id="98" w:name="_Toc522530058"/>
      <w:r>
        <w:rPr>
          <w:rFonts w:hint="eastAsia" w:ascii="宋体" w:hAnsi="宋体" w:eastAsia="宋体" w:cs="宋体"/>
          <w:color w:val="auto"/>
          <w:sz w:val="28"/>
          <w:szCs w:val="22"/>
          <w:highlight w:val="none"/>
        </w:rPr>
        <w:t>开标一览表</w:t>
      </w:r>
      <w:bookmarkEnd w:id="88"/>
      <w:bookmarkEnd w:id="89"/>
      <w:bookmarkEnd w:id="90"/>
      <w:bookmarkEnd w:id="91"/>
      <w:bookmarkEnd w:id="92"/>
      <w:bookmarkEnd w:id="97"/>
      <w:bookmarkEnd w:id="98"/>
    </w:p>
    <w:p w14:paraId="205BD6B3">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cs="宋体"/>
          <w:color w:val="auto"/>
          <w:sz w:val="24"/>
          <w:highlight w:val="none"/>
          <w:lang w:eastAsia="zh-CN"/>
        </w:rPr>
        <w:t>衢州市柯城区卫生健康局</w:t>
      </w:r>
      <w:r>
        <w:rPr>
          <w:rFonts w:hint="eastAsia" w:ascii="宋体" w:hAnsi="宋体" w:eastAsia="宋体" w:cs="宋体"/>
          <w:color w:val="auto"/>
          <w:sz w:val="24"/>
          <w:highlight w:val="none"/>
        </w:rPr>
        <w:t xml:space="preserve"> </w:t>
      </w:r>
    </w:p>
    <w:p w14:paraId="60FDF11F">
      <w:pPr>
        <w:kinsoku/>
        <w:overflowPunct/>
        <w:bidi w:val="0"/>
        <w:adjustRightInd w:val="0"/>
        <w:snapToGrid w:val="0"/>
        <w:spacing w:line="400" w:lineRule="exact"/>
        <w:rPr>
          <w:rFonts w:hint="eastAsia" w:ascii="宋体" w:hAnsi="宋体" w:eastAsia="宋体" w:cs="宋体"/>
          <w:b/>
          <w:color w:val="auto"/>
          <w:sz w:val="30"/>
          <w:highlight w:val="none"/>
        </w:rPr>
      </w:pPr>
      <w:r>
        <w:rPr>
          <w:rFonts w:hint="eastAsia" w:ascii="宋体" w:hAnsi="宋体" w:cs="宋体"/>
          <w:color w:val="auto"/>
          <w:sz w:val="24"/>
          <w:highlight w:val="none"/>
          <w:lang w:eastAsia="zh-CN"/>
        </w:rPr>
        <w:t>浙江天柯工程顾问有限公司</w:t>
      </w:r>
      <w:r>
        <w:rPr>
          <w:rFonts w:hint="eastAsia" w:ascii="宋体" w:hAnsi="宋体" w:eastAsia="宋体" w:cs="宋体"/>
          <w:color w:val="auto"/>
          <w:sz w:val="24"/>
          <w:highlight w:val="none"/>
        </w:rPr>
        <w:t>：</w:t>
      </w:r>
    </w:p>
    <w:p w14:paraId="44125757">
      <w:pPr>
        <w:kinsoku/>
        <w:overflowPunct/>
        <w:bidi w:val="0"/>
        <w:spacing w:beforeLines="10"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按贵方招标文件要求，如你方接受本投标文件，我方承诺按照如下开标一览表的价格完成</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 (项目编号：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 xml:space="preserve">) </w:t>
      </w:r>
      <w:r>
        <w:rPr>
          <w:rFonts w:hint="eastAsia" w:ascii="宋体" w:hAnsi="宋体" w:eastAsia="宋体" w:cs="宋体"/>
          <w:color w:val="auto"/>
          <w:kern w:val="0"/>
          <w:sz w:val="24"/>
          <w:highlight w:val="none"/>
          <w:lang w:val="zh-CN"/>
        </w:rPr>
        <w:t>的实施。</w:t>
      </w:r>
    </w:p>
    <w:p w14:paraId="4BE1A057">
      <w:pPr>
        <w:kinsoku/>
        <w:overflowPunct/>
        <w:bidi w:val="0"/>
        <w:adjustRightInd w:val="0"/>
        <w:snapToGrid w:val="0"/>
        <w:spacing w:line="400" w:lineRule="exact"/>
        <w:ind w:righ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 xml:space="preserve">                                              货币单位：人民币元</w:t>
      </w:r>
    </w:p>
    <w:tbl>
      <w:tblPr>
        <w:tblStyle w:val="88"/>
        <w:tblW w:w="924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19"/>
        <w:gridCol w:w="5023"/>
      </w:tblGrid>
      <w:tr w14:paraId="4F9292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4219" w:type="dxa"/>
            <w:tcBorders>
              <w:top w:val="single" w:color="auto" w:sz="4" w:space="0"/>
            </w:tcBorders>
            <w:vAlign w:val="center"/>
          </w:tcPr>
          <w:p w14:paraId="0D2969CE">
            <w:pPr>
              <w:spacing w:line="360" w:lineRule="auto"/>
              <w:jc w:val="center"/>
              <w:rPr>
                <w:rFonts w:hint="eastAsia" w:ascii="宋体" w:hAnsi="宋体" w:eastAsia="宋体" w:cs="宋体"/>
                <w:b/>
                <w:color w:val="auto"/>
                <w:sz w:val="24"/>
                <w:highlight w:val="none"/>
                <w:lang w:val="en-GB"/>
              </w:rPr>
            </w:pPr>
            <w:r>
              <w:rPr>
                <w:rFonts w:hint="eastAsia" w:ascii="宋体" w:hAnsi="宋体" w:cs="宋体"/>
                <w:b/>
                <w:color w:val="auto"/>
                <w:sz w:val="24"/>
                <w:highlight w:val="none"/>
                <w:lang w:val="en-GB" w:eastAsia="zh-CN"/>
              </w:rPr>
              <w:t>标项</w:t>
            </w:r>
            <w:r>
              <w:rPr>
                <w:rFonts w:hint="eastAsia" w:ascii="宋体" w:hAnsi="宋体" w:eastAsia="宋体" w:cs="宋体"/>
                <w:b/>
                <w:color w:val="auto"/>
                <w:sz w:val="24"/>
                <w:highlight w:val="none"/>
                <w:lang w:val="en-GB"/>
              </w:rPr>
              <w:t>名称</w:t>
            </w:r>
          </w:p>
        </w:tc>
        <w:tc>
          <w:tcPr>
            <w:tcW w:w="5023" w:type="dxa"/>
            <w:tcBorders>
              <w:right w:val="single" w:color="auto" w:sz="4" w:space="0"/>
            </w:tcBorders>
            <w:vAlign w:val="center"/>
          </w:tcPr>
          <w:p w14:paraId="57C728B3">
            <w:pPr>
              <w:spacing w:line="360" w:lineRule="auto"/>
              <w:jc w:val="center"/>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rPr>
              <w:t>投标报价</w:t>
            </w:r>
          </w:p>
        </w:tc>
      </w:tr>
      <w:tr w14:paraId="68067F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4219" w:type="dxa"/>
            <w:vAlign w:val="center"/>
          </w:tcPr>
          <w:p w14:paraId="51A531C3">
            <w:pPr>
              <w:spacing w:line="360" w:lineRule="auto"/>
              <w:jc w:val="both"/>
              <w:rPr>
                <w:rFonts w:hint="default" w:ascii="宋体" w:hAnsi="宋体" w:eastAsia="宋体" w:cs="宋体"/>
                <w:b w:val="0"/>
                <w:bCs w:val="0"/>
                <w:color w:val="auto"/>
                <w:sz w:val="24"/>
                <w:highlight w:val="none"/>
              </w:rPr>
            </w:pPr>
          </w:p>
        </w:tc>
        <w:tc>
          <w:tcPr>
            <w:tcW w:w="5023" w:type="dxa"/>
            <w:tcBorders>
              <w:bottom w:val="single" w:color="auto" w:sz="4" w:space="0"/>
              <w:right w:val="single" w:color="auto" w:sz="4" w:space="0"/>
            </w:tcBorders>
            <w:vAlign w:val="center"/>
          </w:tcPr>
          <w:p w14:paraId="0C87AE3F">
            <w:pPr>
              <w:spacing w:line="360" w:lineRule="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p>
          <w:p w14:paraId="206823A9">
            <w:pPr>
              <w:spacing w:line="360" w:lineRule="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（大写）：</w:t>
            </w:r>
            <w:r>
              <w:rPr>
                <w:rFonts w:hint="eastAsia" w:ascii="宋体" w:hAnsi="宋体" w:cs="宋体"/>
                <w:color w:val="auto"/>
                <w:sz w:val="24"/>
                <w:highlight w:val="none"/>
                <w:u w:val="single"/>
                <w:lang w:val="en-US" w:eastAsia="zh-CN"/>
              </w:rPr>
              <w:t xml:space="preserve">             </w:t>
            </w:r>
          </w:p>
        </w:tc>
      </w:tr>
      <w:tr w14:paraId="5CDB0F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5" w:hRule="atLeast"/>
          <w:jc w:val="center"/>
        </w:trPr>
        <w:tc>
          <w:tcPr>
            <w:tcW w:w="4219" w:type="dxa"/>
            <w:tcBorders>
              <w:right w:val="single" w:color="auto" w:sz="4" w:space="0"/>
            </w:tcBorders>
            <w:vAlign w:val="center"/>
          </w:tcPr>
          <w:p w14:paraId="5FBD88C2">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质保期</w:t>
            </w:r>
          </w:p>
        </w:tc>
        <w:tc>
          <w:tcPr>
            <w:tcW w:w="5023" w:type="dxa"/>
            <w:tcBorders>
              <w:left w:val="single" w:color="auto" w:sz="4" w:space="0"/>
              <w:bottom w:val="single" w:color="auto" w:sz="4" w:space="0"/>
              <w:right w:val="single" w:color="auto" w:sz="4" w:space="0"/>
            </w:tcBorders>
            <w:vAlign w:val="center"/>
          </w:tcPr>
          <w:p w14:paraId="6C46DDED">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ind w:right="-773" w:rightChars="-276"/>
              <w:jc w:val="left"/>
              <w:textAlignment w:val="auto"/>
              <w:rPr>
                <w:rFonts w:hint="eastAsia" w:ascii="宋体" w:hAnsi="宋体" w:eastAsia="宋体" w:cs="宋体"/>
                <w:color w:val="auto"/>
                <w:sz w:val="24"/>
                <w:highlight w:val="none"/>
              </w:rPr>
            </w:pPr>
          </w:p>
        </w:tc>
      </w:tr>
      <w:tr w14:paraId="4D2A50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5" w:hRule="atLeast"/>
          <w:jc w:val="center"/>
        </w:trPr>
        <w:tc>
          <w:tcPr>
            <w:tcW w:w="4219" w:type="dxa"/>
            <w:tcBorders>
              <w:right w:val="single" w:color="auto" w:sz="4" w:space="0"/>
            </w:tcBorders>
            <w:vAlign w:val="center"/>
          </w:tcPr>
          <w:p w14:paraId="248C5BB0">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项目负责人</w:t>
            </w:r>
          </w:p>
        </w:tc>
        <w:tc>
          <w:tcPr>
            <w:tcW w:w="5023" w:type="dxa"/>
            <w:tcBorders>
              <w:left w:val="single" w:color="auto" w:sz="4" w:space="0"/>
              <w:bottom w:val="single" w:color="auto" w:sz="4" w:space="0"/>
              <w:right w:val="single" w:color="auto" w:sz="4" w:space="0"/>
            </w:tcBorders>
            <w:vAlign w:val="center"/>
          </w:tcPr>
          <w:p w14:paraId="5CB92F0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ind w:right="-773" w:rightChars="-276"/>
              <w:jc w:val="left"/>
              <w:textAlignment w:val="auto"/>
              <w:rPr>
                <w:rFonts w:hint="eastAsia" w:ascii="宋体" w:hAnsi="宋体" w:eastAsia="宋体" w:cs="宋体"/>
                <w:color w:val="auto"/>
                <w:sz w:val="24"/>
                <w:highlight w:val="none"/>
              </w:rPr>
            </w:pPr>
          </w:p>
        </w:tc>
      </w:tr>
      <w:tr w14:paraId="2343F9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9242" w:type="dxa"/>
            <w:gridSpan w:val="2"/>
            <w:tcBorders>
              <w:right w:val="single" w:color="auto" w:sz="4" w:space="0"/>
            </w:tcBorders>
            <w:vAlign w:val="center"/>
          </w:tcPr>
          <w:p w14:paraId="1F61A8F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本报价已包含招标文件“第二部分 投标人须知 \三、投标文件\（三）投标报价”要求的全部内容。</w:t>
            </w:r>
          </w:p>
        </w:tc>
      </w:tr>
    </w:tbl>
    <w:p w14:paraId="5334F25E">
      <w:pPr>
        <w:adjustRightInd w:val="0"/>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color w:val="auto"/>
          <w:kern w:val="0"/>
          <w:sz w:val="24"/>
          <w:highlight w:val="none"/>
          <w:lang w:val="zh-CN"/>
        </w:rPr>
        <w:t>1、此表报价单不得涂改，请按规定要求填报。</w:t>
      </w:r>
    </w:p>
    <w:p w14:paraId="19B0F848">
      <w:pPr>
        <w:adjustRightInd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2、以上报价最终对应“第三部分 项目技术及服务要求”中的各项内容的收费。</w:t>
      </w:r>
    </w:p>
    <w:p w14:paraId="04CB0A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highlight w:val="none"/>
        </w:rPr>
        <w:t>3、本项目</w:t>
      </w:r>
      <w:r>
        <w:rPr>
          <w:rFonts w:hint="eastAsia" w:ascii="宋体" w:hAnsi="宋体" w:cs="宋体"/>
          <w:color w:val="auto"/>
          <w:kern w:val="0"/>
          <w:sz w:val="24"/>
          <w:highlight w:val="none"/>
          <w:lang w:eastAsia="zh-CN"/>
        </w:rPr>
        <w:t>的投标</w:t>
      </w:r>
      <w:r>
        <w:rPr>
          <w:rFonts w:hint="eastAsia" w:ascii="宋体" w:hAnsi="宋体" w:eastAsia="宋体" w:cs="宋体"/>
          <w:bCs/>
          <w:color w:val="auto"/>
          <w:sz w:val="24"/>
          <w:szCs w:val="24"/>
          <w:highlight w:val="none"/>
          <w:lang w:val="zh-CN"/>
        </w:rPr>
        <w:t>报价包</w:t>
      </w:r>
      <w:r>
        <w:rPr>
          <w:rFonts w:hint="eastAsia" w:ascii="宋体" w:hAnsi="宋体" w:cs="宋体"/>
          <w:bCs/>
          <w:color w:val="auto"/>
          <w:sz w:val="24"/>
          <w:szCs w:val="24"/>
          <w:highlight w:val="none"/>
          <w:lang w:val="zh-CN"/>
        </w:rPr>
        <w:t>括</w:t>
      </w:r>
      <w:r>
        <w:rPr>
          <w:rFonts w:hint="eastAsia" w:ascii="宋体" w:hAnsi="宋体" w:eastAsia="宋体" w:cs="宋体"/>
          <w:bCs/>
          <w:color w:val="auto"/>
          <w:sz w:val="24"/>
          <w:szCs w:val="24"/>
          <w:highlight w:val="none"/>
          <w:lang w:val="zh-CN"/>
        </w:rPr>
        <w:t>本次的货物价款、人工费、材料费、运输保险费、安装调试费（含安装人工等相关人工费用）、售后服务、各项税金、验收费等所有费用。</w:t>
      </w:r>
    </w:p>
    <w:p w14:paraId="1E3F3E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r>
        <w:rPr>
          <w:rFonts w:hint="eastAsia" w:ascii="宋体" w:hAnsi="宋体" w:cs="宋体"/>
          <w:b/>
          <w:bCs w:val="0"/>
          <w:color w:val="auto"/>
          <w:sz w:val="24"/>
          <w:szCs w:val="24"/>
          <w:highlight w:val="none"/>
          <w:lang w:val="en-US" w:eastAsia="zh-CN"/>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59CED1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如果供应商提出优惠条款，请在备注栏内注明。</w:t>
      </w:r>
    </w:p>
    <w:p w14:paraId="76BF9983">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lang w:val="zh-CN"/>
        </w:rPr>
      </w:pPr>
    </w:p>
    <w:p w14:paraId="1F43E71A">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6242D43A">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6E000E2A">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14:paraId="6BD1C691">
      <w:pPr>
        <w:pStyle w:val="4"/>
        <w:kinsoku/>
        <w:overflowPunct/>
        <w:bidi w:val="0"/>
        <w:spacing w:line="400" w:lineRule="exact"/>
        <w:ind w:left="0" w:firstLine="0"/>
        <w:jc w:val="both"/>
        <w:rPr>
          <w:rFonts w:hint="eastAsia" w:ascii="宋体" w:hAnsi="宋体" w:eastAsia="宋体" w:cs="宋体"/>
          <w:color w:val="auto"/>
          <w:sz w:val="28"/>
          <w:highlight w:val="none"/>
          <w:lang w:eastAsia="zh-CN"/>
        </w:rPr>
        <w:sectPr>
          <w:footerReference r:id="rId11" w:type="first"/>
          <w:footerReference r:id="rId10" w:type="default"/>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bookmarkStart w:id="99" w:name="_Toc522530061"/>
      <w:bookmarkStart w:id="100" w:name="_Toc16646"/>
    </w:p>
    <w:p w14:paraId="4F594C55">
      <w:pPr>
        <w:pStyle w:val="4"/>
        <w:kinsoku/>
        <w:overflowPunct/>
        <w:bidi w:val="0"/>
        <w:spacing w:line="400" w:lineRule="exact"/>
        <w:ind w:left="0" w:firstLine="0"/>
        <w:jc w:val="center"/>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格式八：投标报价明细表</w:t>
      </w:r>
    </w:p>
    <w:p w14:paraId="7FF04118">
      <w:pPr>
        <w:rPr>
          <w:rFonts w:hint="eastAsia"/>
          <w:color w:val="auto"/>
          <w:highlight w:val="none"/>
          <w:lang w:eastAsia="zh-CN"/>
        </w:rPr>
      </w:pPr>
    </w:p>
    <w:tbl>
      <w:tblPr>
        <w:tblStyle w:val="89"/>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974"/>
        <w:gridCol w:w="1759"/>
        <w:gridCol w:w="753"/>
        <w:gridCol w:w="913"/>
        <w:gridCol w:w="716"/>
        <w:gridCol w:w="1"/>
        <w:gridCol w:w="948"/>
        <w:gridCol w:w="2"/>
        <w:gridCol w:w="947"/>
        <w:gridCol w:w="3"/>
        <w:gridCol w:w="1047"/>
        <w:gridCol w:w="3"/>
        <w:gridCol w:w="570"/>
        <w:gridCol w:w="2"/>
      </w:tblGrid>
      <w:tr w14:paraId="3D29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44C08EC1">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974" w:type="dxa"/>
            <w:vAlign w:val="center"/>
          </w:tcPr>
          <w:p w14:paraId="0260CA23">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lang w:eastAsia="zh-CN"/>
              </w:rPr>
              <w:t>名称</w:t>
            </w:r>
          </w:p>
        </w:tc>
        <w:tc>
          <w:tcPr>
            <w:tcW w:w="1759" w:type="dxa"/>
            <w:vAlign w:val="center"/>
          </w:tcPr>
          <w:p w14:paraId="4B80BFD4">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技术参数</w:t>
            </w:r>
          </w:p>
        </w:tc>
        <w:tc>
          <w:tcPr>
            <w:tcW w:w="753" w:type="dxa"/>
            <w:vAlign w:val="center"/>
          </w:tcPr>
          <w:p w14:paraId="5EE67949">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品牌</w:t>
            </w:r>
          </w:p>
        </w:tc>
        <w:tc>
          <w:tcPr>
            <w:tcW w:w="913" w:type="dxa"/>
            <w:vAlign w:val="center"/>
          </w:tcPr>
          <w:p w14:paraId="4BACE2B3">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规格</w:t>
            </w:r>
          </w:p>
          <w:p w14:paraId="6846B23D">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型号</w:t>
            </w:r>
          </w:p>
        </w:tc>
        <w:tc>
          <w:tcPr>
            <w:tcW w:w="716" w:type="dxa"/>
            <w:vAlign w:val="center"/>
          </w:tcPr>
          <w:p w14:paraId="0489B6F8">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val="en-US" w:eastAsia="zh-CN"/>
              </w:rPr>
              <w:t>数量</w:t>
            </w:r>
          </w:p>
        </w:tc>
        <w:tc>
          <w:tcPr>
            <w:tcW w:w="949" w:type="dxa"/>
            <w:gridSpan w:val="2"/>
            <w:vAlign w:val="center"/>
          </w:tcPr>
          <w:p w14:paraId="4B3C038E">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单位</w:t>
            </w:r>
          </w:p>
        </w:tc>
        <w:tc>
          <w:tcPr>
            <w:tcW w:w="949" w:type="dxa"/>
            <w:gridSpan w:val="2"/>
            <w:vAlign w:val="center"/>
          </w:tcPr>
          <w:p w14:paraId="7A3CA57B">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单价</w:t>
            </w:r>
            <w:r>
              <w:rPr>
                <w:rFonts w:hint="eastAsia" w:ascii="宋体" w:hAnsi="宋体" w:eastAsia="宋体" w:cs="宋体"/>
                <w:b w:val="0"/>
                <w:bCs w:val="0"/>
                <w:color w:val="auto"/>
                <w:sz w:val="24"/>
                <w:szCs w:val="24"/>
                <w:highlight w:val="none"/>
                <w:u w:val="none"/>
                <w:vertAlign w:val="baseline"/>
                <w:lang w:eastAsia="zh-CN"/>
              </w:rPr>
              <w:t>（元）</w:t>
            </w:r>
          </w:p>
        </w:tc>
        <w:tc>
          <w:tcPr>
            <w:tcW w:w="1050" w:type="dxa"/>
            <w:gridSpan w:val="2"/>
            <w:vAlign w:val="center"/>
          </w:tcPr>
          <w:p w14:paraId="00319BF2">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总价</w:t>
            </w:r>
            <w:r>
              <w:rPr>
                <w:rFonts w:hint="eastAsia" w:ascii="宋体" w:hAnsi="宋体" w:eastAsia="宋体" w:cs="宋体"/>
                <w:b w:val="0"/>
                <w:bCs w:val="0"/>
                <w:color w:val="auto"/>
                <w:sz w:val="24"/>
                <w:szCs w:val="24"/>
                <w:highlight w:val="none"/>
                <w:u w:val="none"/>
                <w:vertAlign w:val="baseline"/>
                <w:lang w:eastAsia="zh-CN"/>
              </w:rPr>
              <w:t>（元）</w:t>
            </w:r>
          </w:p>
        </w:tc>
        <w:tc>
          <w:tcPr>
            <w:tcW w:w="573" w:type="dxa"/>
            <w:gridSpan w:val="2"/>
            <w:vAlign w:val="center"/>
          </w:tcPr>
          <w:p w14:paraId="478A4ADC">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14:paraId="7A0B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32E3F4D6">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74" w:type="dxa"/>
            <w:vAlign w:val="center"/>
          </w:tcPr>
          <w:p w14:paraId="73EA4E88">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759" w:type="dxa"/>
            <w:vAlign w:val="center"/>
          </w:tcPr>
          <w:p w14:paraId="65901BA7">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53" w:type="dxa"/>
            <w:vAlign w:val="center"/>
          </w:tcPr>
          <w:p w14:paraId="34FE8A88">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13" w:type="dxa"/>
            <w:vAlign w:val="center"/>
          </w:tcPr>
          <w:p w14:paraId="53E1EDE4">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16" w:type="dxa"/>
            <w:vAlign w:val="center"/>
          </w:tcPr>
          <w:p w14:paraId="15B037D9">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2A7E6E9D">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4ADB17FE">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14:paraId="3027A13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4DE870AB">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041B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1266FD91">
            <w:pPr>
              <w:spacing w:line="360" w:lineRule="auto"/>
              <w:jc w:val="center"/>
              <w:rPr>
                <w:rFonts w:hint="eastAsia" w:ascii="宋体" w:hAnsi="宋体" w:eastAsia="宋体" w:cs="宋体"/>
                <w:b w:val="0"/>
                <w:bCs w:val="0"/>
                <w:color w:val="auto"/>
                <w:sz w:val="24"/>
                <w:szCs w:val="24"/>
                <w:highlight w:val="none"/>
                <w:u w:val="none"/>
                <w:vertAlign w:val="baseline"/>
                <w:lang w:eastAsia="zh-CN"/>
              </w:rPr>
            </w:pPr>
          </w:p>
        </w:tc>
        <w:tc>
          <w:tcPr>
            <w:tcW w:w="974" w:type="dxa"/>
            <w:vAlign w:val="center"/>
          </w:tcPr>
          <w:p w14:paraId="025A1AEE">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759" w:type="dxa"/>
            <w:vAlign w:val="center"/>
          </w:tcPr>
          <w:p w14:paraId="40EAC8CF">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53" w:type="dxa"/>
            <w:vAlign w:val="center"/>
          </w:tcPr>
          <w:p w14:paraId="32FEBD8D">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13" w:type="dxa"/>
            <w:vAlign w:val="center"/>
          </w:tcPr>
          <w:p w14:paraId="1C4CFB72">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16" w:type="dxa"/>
            <w:vAlign w:val="center"/>
          </w:tcPr>
          <w:p w14:paraId="79D360AF">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074B338E">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63CE0C34">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14:paraId="07A0A7DD">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34BB40F8">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29FF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04304664">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74" w:type="dxa"/>
            <w:vAlign w:val="center"/>
          </w:tcPr>
          <w:p w14:paraId="3D250E4B">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759" w:type="dxa"/>
            <w:vAlign w:val="center"/>
          </w:tcPr>
          <w:p w14:paraId="4026F5BC">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53" w:type="dxa"/>
            <w:vAlign w:val="center"/>
          </w:tcPr>
          <w:p w14:paraId="080D2C1F">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13" w:type="dxa"/>
            <w:vAlign w:val="center"/>
          </w:tcPr>
          <w:p w14:paraId="0051CC5C">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16" w:type="dxa"/>
            <w:vAlign w:val="center"/>
          </w:tcPr>
          <w:p w14:paraId="4D62D395">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26C2DA6D">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349707C3">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14:paraId="468EDF3F">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717442B8">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751E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62D2BF35">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74" w:type="dxa"/>
            <w:vAlign w:val="center"/>
          </w:tcPr>
          <w:p w14:paraId="18D97474">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759" w:type="dxa"/>
            <w:vAlign w:val="center"/>
          </w:tcPr>
          <w:p w14:paraId="4D589C7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53" w:type="dxa"/>
            <w:vAlign w:val="center"/>
          </w:tcPr>
          <w:p w14:paraId="2CEC0076">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13" w:type="dxa"/>
            <w:vAlign w:val="center"/>
          </w:tcPr>
          <w:p w14:paraId="387FF18D">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16" w:type="dxa"/>
            <w:vAlign w:val="center"/>
          </w:tcPr>
          <w:p w14:paraId="2B4472A4">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2032A609">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579BDD76">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14:paraId="5FC804B9">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196C8D1B">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4D5B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3E641F27">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74" w:type="dxa"/>
            <w:vAlign w:val="center"/>
          </w:tcPr>
          <w:p w14:paraId="51B66A1E">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759" w:type="dxa"/>
            <w:vAlign w:val="center"/>
          </w:tcPr>
          <w:p w14:paraId="403A24FE">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53" w:type="dxa"/>
            <w:vAlign w:val="center"/>
          </w:tcPr>
          <w:p w14:paraId="62EEDBB9">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13" w:type="dxa"/>
            <w:vAlign w:val="center"/>
          </w:tcPr>
          <w:p w14:paraId="693DE1B1">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16" w:type="dxa"/>
            <w:vAlign w:val="center"/>
          </w:tcPr>
          <w:p w14:paraId="4EF284CB">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66551106">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028A693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14:paraId="798ABC22">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3FEAC041">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6A89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87" w:type="dxa"/>
            <w:gridSpan w:val="3"/>
            <w:vAlign w:val="center"/>
          </w:tcPr>
          <w:p w14:paraId="1B91A117">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753" w:type="dxa"/>
            <w:vAlign w:val="center"/>
          </w:tcPr>
          <w:p w14:paraId="0F2C6ED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13" w:type="dxa"/>
            <w:vAlign w:val="center"/>
          </w:tcPr>
          <w:p w14:paraId="3979A6AD">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717" w:type="dxa"/>
            <w:gridSpan w:val="2"/>
            <w:vAlign w:val="center"/>
          </w:tcPr>
          <w:p w14:paraId="2F3118A0">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14:paraId="7C52E5CB">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14:paraId="0D51D1D8">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14:paraId="6B6498C8">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2" w:type="dxa"/>
            <w:gridSpan w:val="2"/>
            <w:vAlign w:val="center"/>
          </w:tcPr>
          <w:p w14:paraId="7A9E3576">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14:paraId="50F91F75">
      <w:pPr>
        <w:rPr>
          <w:rFonts w:hint="eastAsia"/>
          <w:color w:val="auto"/>
          <w:highlight w:val="none"/>
          <w:lang w:eastAsia="zh-CN"/>
        </w:rPr>
      </w:pPr>
    </w:p>
    <w:p w14:paraId="71995A2E">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sz w:val="21"/>
          <w:szCs w:val="21"/>
          <w:highlight w:val="none"/>
          <w:lang w:val="en-US" w:eastAsia="zh-CN"/>
        </w:rPr>
        <w:t>注：1、</w:t>
      </w:r>
      <w:r>
        <w:rPr>
          <w:rFonts w:hint="eastAsia" w:ascii="宋体" w:hAnsi="宋体" w:eastAsia="宋体" w:cs="宋体"/>
          <w:color w:val="auto"/>
          <w:kern w:val="0"/>
          <w:sz w:val="24"/>
          <w:highlight w:val="none"/>
          <w:lang w:val="zh-CN"/>
        </w:rPr>
        <w:t>此报价明细表请按规定要求填报。</w:t>
      </w:r>
    </w:p>
    <w:p w14:paraId="50B70E93">
      <w:pPr>
        <w:adjustRightInd w:val="0"/>
        <w:snapToGrid w:val="0"/>
        <w:spacing w:line="360" w:lineRule="auto"/>
        <w:ind w:firstLine="480" w:firstLineChars="200"/>
        <w:rPr>
          <w:rFonts w:hint="eastAsia" w:eastAsia="宋体"/>
          <w:color w:val="auto"/>
          <w:highlight w:val="none"/>
          <w:lang w:val="en-US" w:eastAsia="zh-CN"/>
        </w:rPr>
      </w:pPr>
      <w:r>
        <w:rPr>
          <w:rFonts w:hint="eastAsia" w:ascii="宋体" w:hAnsi="宋体" w:eastAsia="宋体" w:cs="宋体"/>
          <w:color w:val="auto"/>
          <w:kern w:val="0"/>
          <w:sz w:val="24"/>
          <w:highlight w:val="none"/>
          <w:lang w:val="en-US" w:eastAsia="zh-CN"/>
        </w:rPr>
        <w:t>2、以上报价应与“开标一览表”中的“投标报价”相一致。</w:t>
      </w:r>
    </w:p>
    <w:p w14:paraId="0B5C4F8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0"/>
          <w:highlight w:val="none"/>
          <w:lang w:val="en-US" w:eastAsia="zh-CN" w:bidi="ar-SA"/>
        </w:rPr>
        <w:t>3、本项目的投标报价</w:t>
      </w:r>
      <w:r>
        <w:rPr>
          <w:rFonts w:hint="eastAsia" w:ascii="宋体" w:hAnsi="宋体" w:eastAsia="宋体" w:cs="宋体"/>
          <w:bCs/>
          <w:color w:val="auto"/>
          <w:sz w:val="24"/>
          <w:szCs w:val="24"/>
          <w:highlight w:val="none"/>
          <w:lang w:val="zh-CN"/>
        </w:rPr>
        <w:t>包</w:t>
      </w:r>
      <w:r>
        <w:rPr>
          <w:rFonts w:hint="eastAsia" w:ascii="宋体" w:hAnsi="宋体" w:cs="宋体"/>
          <w:bCs/>
          <w:color w:val="auto"/>
          <w:sz w:val="24"/>
          <w:szCs w:val="24"/>
          <w:highlight w:val="none"/>
          <w:lang w:val="zh-CN"/>
        </w:rPr>
        <w:t>括</w:t>
      </w:r>
      <w:r>
        <w:rPr>
          <w:rFonts w:hint="eastAsia" w:ascii="宋体" w:hAnsi="宋体" w:eastAsia="宋体" w:cs="宋体"/>
          <w:bCs/>
          <w:color w:val="auto"/>
          <w:sz w:val="24"/>
          <w:szCs w:val="24"/>
          <w:highlight w:val="none"/>
          <w:lang w:val="zh-CN"/>
        </w:rPr>
        <w:t>本次的货物价款、人工费、材料费、运输保险费、安装调试费（含安装人工等相关人工费用）、售后服务、各项税金、验收费等所有费用。</w:t>
      </w:r>
    </w:p>
    <w:p w14:paraId="283CF564">
      <w:pPr>
        <w:pStyle w:val="609"/>
        <w:widowControl/>
        <w:spacing w:line="360" w:lineRule="auto"/>
        <w:ind w:right="112" w:rightChars="40" w:firstLine="450"/>
        <w:jc w:val="left"/>
        <w:rPr>
          <w:rFonts w:hint="eastAsia" w:ascii="宋体" w:hAnsi="宋体" w:eastAsia="宋体" w:cs="宋体"/>
          <w:color w:val="auto"/>
          <w:kern w:val="0"/>
          <w:sz w:val="24"/>
          <w:szCs w:val="20"/>
          <w:highlight w:val="none"/>
          <w:lang w:val="en-US" w:eastAsia="zh-CN" w:bidi="ar-SA"/>
        </w:rPr>
      </w:pPr>
    </w:p>
    <w:p w14:paraId="259008B2">
      <w:pPr>
        <w:pStyle w:val="609"/>
        <w:widowControl/>
        <w:spacing w:line="360" w:lineRule="auto"/>
        <w:ind w:right="112" w:rightChars="40" w:firstLine="450"/>
        <w:jc w:val="left"/>
        <w:rPr>
          <w:rFonts w:hint="eastAsia" w:ascii="宋体" w:hAnsi="宋体" w:eastAsia="宋体" w:cs="宋体"/>
          <w:color w:val="auto"/>
          <w:kern w:val="0"/>
          <w:sz w:val="24"/>
          <w:szCs w:val="20"/>
          <w:highlight w:val="none"/>
          <w:lang w:val="zh-CN" w:eastAsia="zh-CN" w:bidi="ar-SA"/>
        </w:rPr>
      </w:pPr>
      <w:r>
        <w:rPr>
          <w:rFonts w:hint="eastAsia" w:ascii="宋体" w:hAnsi="宋体" w:cs="宋体"/>
          <w:color w:val="auto"/>
          <w:kern w:val="0"/>
          <w:sz w:val="24"/>
          <w:szCs w:val="20"/>
          <w:highlight w:val="none"/>
          <w:lang w:val="en-US" w:eastAsia="zh-CN" w:bidi="ar-SA"/>
        </w:rPr>
        <w:t xml:space="preserve">              </w:t>
      </w:r>
    </w:p>
    <w:p w14:paraId="5541855D">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0FD152B5">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00FAC1F4">
      <w:pPr>
        <w:kinsoku/>
        <w:overflowPunct/>
        <w:bidi w:val="0"/>
        <w:adjustRightInd w:val="0"/>
        <w:snapToGrid w:val="0"/>
        <w:spacing w:line="400" w:lineRule="exac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14:paraId="1240468D">
      <w:pPr>
        <w:kinsoku/>
        <w:overflowPunct/>
        <w:bidi w:val="0"/>
        <w:adjustRightInd w:val="0"/>
        <w:snapToGrid w:val="0"/>
        <w:spacing w:line="400" w:lineRule="exact"/>
        <w:rPr>
          <w:rFonts w:hint="eastAsia" w:ascii="宋体" w:hAnsi="宋体" w:eastAsia="宋体" w:cs="宋体"/>
          <w:b/>
          <w:color w:val="auto"/>
          <w:szCs w:val="22"/>
          <w:highlight w:val="none"/>
        </w:rPr>
      </w:pPr>
    </w:p>
    <w:p w14:paraId="16B0AA27">
      <w:pPr>
        <w:pStyle w:val="4"/>
        <w:kinsoku/>
        <w:overflowPunct/>
        <w:bidi w:val="0"/>
        <w:spacing w:line="400" w:lineRule="exact"/>
        <w:ind w:left="0" w:firstLine="0"/>
        <w:rPr>
          <w:rFonts w:hint="eastAsia" w:ascii="宋体" w:hAnsi="宋体" w:eastAsia="宋体" w:cs="宋体"/>
          <w:color w:val="auto"/>
          <w:sz w:val="28"/>
          <w:highlight w:val="none"/>
        </w:rPr>
      </w:pPr>
    </w:p>
    <w:p w14:paraId="65BCACE9">
      <w:pPr>
        <w:rPr>
          <w:rFonts w:hint="eastAsia"/>
          <w:color w:val="auto"/>
          <w:highlight w:val="none"/>
        </w:rPr>
      </w:pPr>
    </w:p>
    <w:p w14:paraId="562EA182">
      <w:pPr>
        <w:pStyle w:val="35"/>
        <w:rPr>
          <w:rFonts w:hint="eastAsia"/>
          <w:color w:val="auto"/>
          <w:highlight w:val="none"/>
        </w:rPr>
      </w:pPr>
    </w:p>
    <w:p w14:paraId="5738AC35">
      <w:pPr>
        <w:pStyle w:val="36"/>
        <w:rPr>
          <w:rFonts w:hint="eastAsia"/>
          <w:color w:val="auto"/>
          <w:highlight w:val="none"/>
        </w:rPr>
      </w:pPr>
    </w:p>
    <w:p w14:paraId="4D6663DF">
      <w:pPr>
        <w:rPr>
          <w:rFonts w:hint="eastAsia"/>
          <w:color w:val="auto"/>
          <w:highlight w:val="none"/>
        </w:rPr>
      </w:pPr>
    </w:p>
    <w:p w14:paraId="51B230F6">
      <w:pPr>
        <w:rPr>
          <w:rFonts w:hint="eastAsia" w:ascii="宋体" w:hAnsi="宋体" w:eastAsia="宋体" w:cs="宋体"/>
          <w:color w:val="auto"/>
          <w:sz w:val="28"/>
          <w:highlight w:val="none"/>
        </w:rPr>
      </w:pPr>
    </w:p>
    <w:p w14:paraId="602666F7">
      <w:pPr>
        <w:pStyle w:val="4"/>
        <w:kinsoku/>
        <w:overflowPunct/>
        <w:bidi w:val="0"/>
        <w:spacing w:line="400" w:lineRule="exact"/>
        <w:ind w:left="0" w:firstLine="0"/>
        <w:rPr>
          <w:rFonts w:hint="eastAsia" w:ascii="宋体" w:hAnsi="宋体" w:eastAsia="宋体" w:cs="宋体"/>
          <w:color w:val="auto"/>
          <w:sz w:val="28"/>
          <w:highlight w:val="none"/>
        </w:rPr>
      </w:pPr>
      <w:r>
        <w:rPr>
          <w:rFonts w:hint="eastAsia" w:ascii="宋体" w:hAnsi="宋体" w:eastAsia="宋体" w:cs="宋体"/>
          <w:color w:val="auto"/>
          <w:sz w:val="28"/>
          <w:highlight w:val="none"/>
        </w:rPr>
        <w:t>投标文件封面</w:t>
      </w:r>
      <w:bookmarkEnd w:id="99"/>
      <w:bookmarkEnd w:id="100"/>
    </w:p>
    <w:p w14:paraId="7F0D31C9">
      <w:pPr>
        <w:tabs>
          <w:tab w:val="left" w:pos="4500"/>
        </w:tabs>
        <w:kinsoku/>
        <w:overflowPunct/>
        <w:autoSpaceDE w:val="0"/>
        <w:autoSpaceDN w:val="0"/>
        <w:bidi w:val="0"/>
        <w:adjustRightInd w:val="0"/>
        <w:snapToGrid w:val="0"/>
        <w:spacing w:line="360" w:lineRule="auto"/>
        <w:jc w:val="center"/>
        <w:textAlignment w:val="bottom"/>
        <w:rPr>
          <w:rFonts w:hint="default" w:ascii="宋体" w:hAnsi="宋体" w:cs="宋体"/>
          <w:b/>
          <w:color w:val="auto"/>
          <w:sz w:val="44"/>
          <w:szCs w:val="44"/>
          <w:highlight w:val="none"/>
        </w:rPr>
      </w:pPr>
    </w:p>
    <w:p w14:paraId="3442306B">
      <w:pPr>
        <w:tabs>
          <w:tab w:val="left" w:pos="4500"/>
        </w:tabs>
        <w:kinsoku/>
        <w:overflowPunct/>
        <w:autoSpaceDE w:val="0"/>
        <w:autoSpaceDN w:val="0"/>
        <w:bidi w:val="0"/>
        <w:adjustRightInd w:val="0"/>
        <w:snapToGrid w:val="0"/>
        <w:spacing w:line="360" w:lineRule="auto"/>
        <w:jc w:val="center"/>
        <w:textAlignment w:val="bottom"/>
        <w:rPr>
          <w:rFonts w:hint="default" w:ascii="宋体" w:hAnsi="宋体" w:eastAsia="宋体" w:cs="宋体"/>
          <w:b/>
          <w:color w:val="auto"/>
          <w:sz w:val="44"/>
          <w:szCs w:val="44"/>
          <w:highlight w:val="none"/>
          <w:lang w:eastAsia="zh-CN"/>
        </w:rPr>
      </w:pPr>
      <w:r>
        <w:rPr>
          <w:rFonts w:hint="default" w:ascii="宋体" w:hAnsi="宋体" w:cs="宋体"/>
          <w:b/>
          <w:color w:val="auto"/>
          <w:sz w:val="44"/>
          <w:szCs w:val="44"/>
          <w:highlight w:val="none"/>
        </w:rPr>
        <w:t>柯城区双港街道社区卫生服务中心清莲里分中心建设项目办公桌椅等设施设备采购</w:t>
      </w:r>
    </w:p>
    <w:p w14:paraId="7967EF26">
      <w:pPr>
        <w:kinsoku/>
        <w:overflowPunct/>
        <w:bidi w:val="0"/>
        <w:spacing w:beforeLines="10" w:line="360" w:lineRule="auto"/>
        <w:jc w:val="center"/>
        <w:rPr>
          <w:rFonts w:hint="eastAsia" w:ascii="宋体" w:hAnsi="宋体" w:eastAsia="宋体" w:cs="宋体"/>
          <w:b/>
          <w:color w:val="auto"/>
          <w:sz w:val="32"/>
          <w:highlight w:val="none"/>
        </w:rPr>
      </w:pPr>
    </w:p>
    <w:p w14:paraId="49F05408">
      <w:pPr>
        <w:kinsoku/>
        <w:overflowPunct/>
        <w:bidi w:val="0"/>
        <w:spacing w:beforeLines="10" w:line="360" w:lineRule="auto"/>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p>
    <w:p w14:paraId="1E86AB06">
      <w:pPr>
        <w:pStyle w:val="87"/>
        <w:kinsoku/>
        <w:overflowPunct/>
        <w:bidi w:val="0"/>
        <w:spacing w:after="0" w:line="360" w:lineRule="auto"/>
        <w:ind w:left="560"/>
        <w:rPr>
          <w:rFonts w:hint="eastAsia" w:ascii="宋体" w:hAnsi="宋体" w:eastAsia="宋体" w:cs="宋体"/>
          <w:color w:val="auto"/>
          <w:highlight w:val="none"/>
        </w:rPr>
      </w:pPr>
    </w:p>
    <w:bookmarkEnd w:id="9"/>
    <w:bookmarkEnd w:id="10"/>
    <w:bookmarkEnd w:id="11"/>
    <w:bookmarkEnd w:id="12"/>
    <w:bookmarkEnd w:id="76"/>
    <w:p w14:paraId="5F858383">
      <w:pPr>
        <w:kinsoku/>
        <w:overflowPunct/>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投</w:t>
      </w:r>
    </w:p>
    <w:p w14:paraId="666EB10E">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标</w:t>
      </w:r>
    </w:p>
    <w:p w14:paraId="1C4D4BFD">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14:paraId="49A5248F">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14:paraId="0688AF4D">
      <w:pPr>
        <w:pStyle w:val="47"/>
        <w:kinsoku/>
        <w:overflowPunct/>
        <w:bidi w:val="0"/>
        <w:spacing w:line="360" w:lineRule="auto"/>
        <w:rPr>
          <w:rFonts w:hint="eastAsia"/>
          <w:color w:val="auto"/>
          <w:highlight w:val="none"/>
        </w:rPr>
      </w:pPr>
    </w:p>
    <w:p w14:paraId="0104182A">
      <w:pPr>
        <w:kinsoku/>
        <w:overflowPunct/>
        <w:bidi w:val="0"/>
        <w:spacing w:line="360" w:lineRule="auto"/>
        <w:ind w:firstLine="960" w:firstLineChars="300"/>
        <w:rPr>
          <w:rFonts w:hint="eastAsia" w:ascii="宋体" w:hAnsi="宋体" w:eastAsia="宋体" w:cs="宋体"/>
          <w:color w:val="auto"/>
          <w:sz w:val="32"/>
          <w:highlight w:val="none"/>
        </w:rPr>
      </w:pPr>
    </w:p>
    <w:p w14:paraId="3CEB391D">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投标人：（加盖公章）</w:t>
      </w:r>
    </w:p>
    <w:p w14:paraId="7853A6E0">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地址：</w:t>
      </w:r>
    </w:p>
    <w:p w14:paraId="5F785288">
      <w:pPr>
        <w:kinsoku/>
        <w:overflowPunct/>
        <w:bidi w:val="0"/>
        <w:spacing w:line="360" w:lineRule="auto"/>
        <w:ind w:firstLine="960" w:firstLineChars="30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日期：</w:t>
      </w:r>
    </w:p>
    <w:p w14:paraId="5880F9CA">
      <w:pPr>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101" w:name="_Toc15453"/>
      <w:r>
        <w:rPr>
          <w:rFonts w:hint="eastAsia" w:ascii="宋体" w:hAnsi="宋体" w:eastAsia="宋体" w:cs="宋体"/>
          <w:b/>
          <w:color w:val="auto"/>
          <w:sz w:val="36"/>
          <w:highlight w:val="none"/>
        </w:rPr>
        <w:t>第六部分  评分办法</w:t>
      </w:r>
      <w:bookmarkEnd w:id="101"/>
    </w:p>
    <w:p w14:paraId="39579AD5">
      <w:pPr>
        <w:pStyle w:val="3"/>
        <w:kinsoku/>
        <w:overflowPunct/>
        <w:topLinePunct/>
        <w:bidi w:val="0"/>
        <w:adjustRightInd w:val="0"/>
        <w:snapToGrid w:val="0"/>
        <w:spacing w:line="400" w:lineRule="exact"/>
        <w:jc w:val="left"/>
        <w:rPr>
          <w:rStyle w:val="607"/>
          <w:rFonts w:hint="eastAsia" w:ascii="宋体" w:hAnsi="宋体" w:eastAsia="宋体" w:cs="宋体"/>
          <w:color w:val="auto"/>
          <w:sz w:val="24"/>
          <w:szCs w:val="24"/>
          <w:highlight w:val="none"/>
          <w:lang w:eastAsia="zh-CN"/>
        </w:rPr>
      </w:pPr>
      <w:r>
        <w:rPr>
          <w:rStyle w:val="607"/>
          <w:rFonts w:hint="eastAsia" w:ascii="宋体" w:hAnsi="宋体" w:eastAsia="宋体" w:cs="宋体"/>
          <w:color w:val="auto"/>
          <w:sz w:val="24"/>
          <w:szCs w:val="24"/>
          <w:highlight w:val="none"/>
        </w:rPr>
        <w:t>一、总则</w:t>
      </w:r>
    </w:p>
    <w:p w14:paraId="2F66759B">
      <w:pPr>
        <w:pStyle w:val="3"/>
        <w:kinsoku/>
        <w:overflowPunct/>
        <w:topLinePunct/>
        <w:bidi w:val="0"/>
        <w:adjustRightInd w:val="0"/>
        <w:snapToGrid w:val="0"/>
        <w:spacing w:line="400" w:lineRule="exact"/>
        <w:jc w:val="left"/>
        <w:rPr>
          <w:rStyle w:val="607"/>
          <w:rFonts w:hint="eastAsia" w:ascii="宋体" w:hAnsi="宋体" w:eastAsia="宋体" w:cs="宋体"/>
          <w:b w:val="0"/>
          <w:color w:val="auto"/>
          <w:kern w:val="18"/>
          <w:sz w:val="24"/>
          <w:szCs w:val="24"/>
          <w:highlight w:val="none"/>
        </w:rPr>
      </w:pPr>
      <w:r>
        <w:rPr>
          <w:rStyle w:val="607"/>
          <w:rFonts w:hint="eastAsia" w:ascii="宋体" w:hAnsi="宋体" w:eastAsia="宋体" w:cs="宋体"/>
          <w:b w:val="0"/>
          <w:color w:val="auto"/>
          <w:sz w:val="24"/>
          <w:szCs w:val="24"/>
          <w:highlight w:val="none"/>
          <w:lang w:val="zh-TW"/>
        </w:rPr>
        <w:t>1</w:t>
      </w:r>
      <w:r>
        <w:rPr>
          <w:rStyle w:val="607"/>
          <w:rFonts w:hint="eastAsia" w:ascii="宋体" w:hAnsi="宋体" w:eastAsia="宋体" w:cs="宋体"/>
          <w:b w:val="0"/>
          <w:color w:val="auto"/>
          <w:sz w:val="24"/>
          <w:szCs w:val="24"/>
          <w:highlight w:val="none"/>
        </w:rPr>
        <w:t>、根据《中华人民共和国政府采购法》、《政府采购货物和服务招标投标管理办法》（财政部</w:t>
      </w:r>
      <w:r>
        <w:rPr>
          <w:rStyle w:val="607"/>
          <w:rFonts w:hint="eastAsia" w:ascii="宋体" w:hAnsi="宋体" w:eastAsia="宋体" w:cs="宋体"/>
          <w:b w:val="0"/>
          <w:color w:val="auto"/>
          <w:kern w:val="18"/>
          <w:sz w:val="24"/>
          <w:szCs w:val="24"/>
          <w:highlight w:val="none"/>
        </w:rPr>
        <w:t>第87号令）及相关法规的规定，结合采购项目特点制定本评标办法。</w:t>
      </w:r>
    </w:p>
    <w:p w14:paraId="58A8D0BF">
      <w:pPr>
        <w:pStyle w:val="3"/>
        <w:kinsoku/>
        <w:overflowPunct/>
        <w:topLinePunct/>
        <w:bidi w:val="0"/>
        <w:adjustRightInd w:val="0"/>
        <w:snapToGrid w:val="0"/>
        <w:spacing w:line="400" w:lineRule="exact"/>
        <w:jc w:val="left"/>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lang w:val="zh-TW"/>
        </w:rPr>
        <w:t>2</w:t>
      </w:r>
      <w:r>
        <w:rPr>
          <w:rStyle w:val="607"/>
          <w:rFonts w:hint="eastAsia" w:ascii="宋体" w:hAnsi="宋体" w:eastAsia="宋体" w:cs="宋体"/>
          <w:b w:val="0"/>
          <w:color w:val="auto"/>
          <w:sz w:val="24"/>
          <w:szCs w:val="24"/>
          <w:highlight w:val="none"/>
        </w:rPr>
        <w:t>、评标工作由采购代理机构负责组织，具体评标事务由评标委员会负责。</w:t>
      </w:r>
    </w:p>
    <w:p w14:paraId="4D730AA1">
      <w:pPr>
        <w:pStyle w:val="3"/>
        <w:kinsoku/>
        <w:overflowPunct/>
        <w:topLinePunct/>
        <w:bidi w:val="0"/>
        <w:adjustRightInd w:val="0"/>
        <w:snapToGrid w:val="0"/>
        <w:spacing w:line="400" w:lineRule="exact"/>
        <w:ind w:firstLine="240" w:firstLineChars="100"/>
        <w:jc w:val="left"/>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rPr>
        <w:t>（1）评标委员会由5人组成（由采购人代表和评标专家组成，采购人代表人数不得超过总评委人数的三分之一）。</w:t>
      </w:r>
    </w:p>
    <w:p w14:paraId="1EF1F11C">
      <w:pPr>
        <w:pStyle w:val="3"/>
        <w:kinsoku/>
        <w:overflowPunct/>
        <w:topLinePunct/>
        <w:bidi w:val="0"/>
        <w:adjustRightInd w:val="0"/>
        <w:snapToGrid w:val="0"/>
        <w:spacing w:line="400" w:lineRule="exact"/>
        <w:ind w:left="244" w:leftChars="87" w:firstLine="240" w:firstLineChars="100"/>
        <w:jc w:val="left"/>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rPr>
        <w:t>（2）评标专家确定方式：按相关规定从专家库中抽取。</w:t>
      </w:r>
    </w:p>
    <w:p w14:paraId="53D4128F">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lang w:val="zh-TW"/>
        </w:rPr>
        <w:t>3</w:t>
      </w:r>
      <w:r>
        <w:rPr>
          <w:rStyle w:val="607"/>
          <w:rFonts w:hint="eastAsia" w:ascii="宋体" w:hAnsi="宋体" w:eastAsia="宋体" w:cs="宋体"/>
          <w:b w:val="0"/>
          <w:color w:val="auto"/>
          <w:sz w:val="24"/>
          <w:szCs w:val="24"/>
          <w:highlight w:val="none"/>
        </w:rPr>
        <w:t>、评标工作应遵循公平、公正、科学及择优的原则，并以相同的评标程序和标准对待所有的投标人。</w:t>
      </w:r>
    </w:p>
    <w:p w14:paraId="66A55A09">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lang w:val="zh-TW"/>
        </w:rPr>
        <w:t>4</w:t>
      </w:r>
      <w:r>
        <w:rPr>
          <w:rStyle w:val="607"/>
          <w:rFonts w:hint="eastAsia" w:ascii="宋体" w:hAnsi="宋体" w:eastAsia="宋体" w:cs="宋体"/>
          <w:b w:val="0"/>
          <w:color w:val="auto"/>
          <w:sz w:val="24"/>
          <w:szCs w:val="24"/>
          <w:highlight w:val="none"/>
        </w:rPr>
        <w:t>、评标委员会按照采购项目文件规定的评标方法和标准进行评标，并独立履行下列职责：</w:t>
      </w:r>
    </w:p>
    <w:p w14:paraId="5357CDFA">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 xml:space="preserve"> （</w:t>
      </w:r>
      <w:r>
        <w:rPr>
          <w:rStyle w:val="607"/>
          <w:rFonts w:hint="eastAsia" w:ascii="宋体" w:hAnsi="宋体" w:eastAsia="宋体" w:cs="宋体"/>
          <w:b w:val="0"/>
          <w:color w:val="auto"/>
          <w:sz w:val="24"/>
          <w:szCs w:val="24"/>
          <w:highlight w:val="none"/>
          <w:lang w:val="zh-TW"/>
        </w:rPr>
        <w:t>1</w:t>
      </w:r>
      <w:r>
        <w:rPr>
          <w:rStyle w:val="607"/>
          <w:rFonts w:hint="eastAsia" w:ascii="宋体" w:hAnsi="宋体" w:eastAsia="宋体" w:cs="宋体"/>
          <w:b w:val="0"/>
          <w:color w:val="auto"/>
          <w:sz w:val="24"/>
          <w:szCs w:val="24"/>
          <w:highlight w:val="none"/>
        </w:rPr>
        <w:t>）审查投标文件是否符合招标文件要求，并作出评价；</w:t>
      </w:r>
    </w:p>
    <w:p w14:paraId="34E9DF5F">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 xml:space="preserve"> （</w:t>
      </w:r>
      <w:r>
        <w:rPr>
          <w:rStyle w:val="607"/>
          <w:rFonts w:hint="eastAsia" w:ascii="宋体" w:hAnsi="宋体" w:eastAsia="宋体" w:cs="宋体"/>
          <w:b w:val="0"/>
          <w:color w:val="auto"/>
          <w:sz w:val="24"/>
          <w:szCs w:val="24"/>
          <w:highlight w:val="none"/>
          <w:lang w:val="zh-TW"/>
        </w:rPr>
        <w:t>2</w:t>
      </w:r>
      <w:r>
        <w:rPr>
          <w:rStyle w:val="607"/>
          <w:rFonts w:hint="eastAsia" w:ascii="宋体" w:hAnsi="宋体" w:eastAsia="宋体" w:cs="宋体"/>
          <w:b w:val="0"/>
          <w:color w:val="auto"/>
          <w:sz w:val="24"/>
          <w:szCs w:val="24"/>
          <w:highlight w:val="none"/>
        </w:rPr>
        <w:t>）要求投标投标人对投标文件有关事项作出解释或者澄清；</w:t>
      </w:r>
    </w:p>
    <w:p w14:paraId="11607F10">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 xml:space="preserve"> （</w:t>
      </w:r>
      <w:r>
        <w:rPr>
          <w:rStyle w:val="607"/>
          <w:rFonts w:hint="eastAsia" w:ascii="宋体" w:hAnsi="宋体" w:eastAsia="宋体" w:cs="宋体"/>
          <w:b w:val="0"/>
          <w:color w:val="auto"/>
          <w:sz w:val="24"/>
          <w:szCs w:val="24"/>
          <w:highlight w:val="none"/>
          <w:lang w:val="zh-TW"/>
        </w:rPr>
        <w:t>3</w:t>
      </w:r>
      <w:r>
        <w:rPr>
          <w:rStyle w:val="607"/>
          <w:rFonts w:hint="eastAsia" w:ascii="宋体" w:hAnsi="宋体" w:eastAsia="宋体" w:cs="宋体"/>
          <w:b w:val="0"/>
          <w:color w:val="auto"/>
          <w:sz w:val="24"/>
          <w:szCs w:val="24"/>
          <w:highlight w:val="none"/>
        </w:rPr>
        <w:t>）推荐中标候选人名单；</w:t>
      </w:r>
    </w:p>
    <w:p w14:paraId="5781F7F9">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 xml:space="preserve"> （</w:t>
      </w:r>
      <w:r>
        <w:rPr>
          <w:rStyle w:val="607"/>
          <w:rFonts w:hint="eastAsia" w:ascii="宋体" w:hAnsi="宋体" w:eastAsia="宋体" w:cs="宋体"/>
          <w:b w:val="0"/>
          <w:color w:val="auto"/>
          <w:sz w:val="24"/>
          <w:szCs w:val="24"/>
          <w:highlight w:val="none"/>
          <w:lang w:val="zh-TW"/>
        </w:rPr>
        <w:t>4</w:t>
      </w:r>
      <w:r>
        <w:rPr>
          <w:rStyle w:val="607"/>
          <w:rFonts w:hint="eastAsia" w:ascii="宋体" w:hAnsi="宋体" w:eastAsia="宋体" w:cs="宋体"/>
          <w:b w:val="0"/>
          <w:color w:val="auto"/>
          <w:sz w:val="24"/>
          <w:szCs w:val="24"/>
          <w:highlight w:val="none"/>
        </w:rPr>
        <w:t>）向采购代理机构或者有关部门报告非法干预评标工作的行为。</w:t>
      </w:r>
    </w:p>
    <w:p w14:paraId="5DE13C66">
      <w:pPr>
        <w:pStyle w:val="3"/>
        <w:kinsoku/>
        <w:overflowPunct/>
        <w:topLinePunct/>
        <w:bidi w:val="0"/>
        <w:adjustRightInd w:val="0"/>
        <w:snapToGrid w:val="0"/>
        <w:spacing w:line="400" w:lineRule="exact"/>
        <w:ind w:left="4" w:hanging="4"/>
        <w:jc w:val="left"/>
        <w:rPr>
          <w:rStyle w:val="607"/>
          <w:rFonts w:hint="eastAsia" w:ascii="宋体" w:hAnsi="宋体" w:eastAsia="宋体" w:cs="宋体"/>
          <w:color w:val="auto"/>
          <w:sz w:val="24"/>
          <w:szCs w:val="24"/>
          <w:highlight w:val="none"/>
          <w:lang w:eastAsia="zh-CN"/>
        </w:rPr>
      </w:pPr>
      <w:r>
        <w:rPr>
          <w:rStyle w:val="607"/>
          <w:rFonts w:hint="eastAsia" w:ascii="宋体" w:hAnsi="宋体" w:eastAsia="宋体" w:cs="宋体"/>
          <w:color w:val="auto"/>
          <w:sz w:val="24"/>
          <w:szCs w:val="24"/>
          <w:highlight w:val="none"/>
        </w:rPr>
        <w:t>二、评标程序</w:t>
      </w:r>
    </w:p>
    <w:p w14:paraId="3A49234A">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根据《政府采购货物和服务招标投标管理办法》的规定，评标按照下列工作程序进行：</w:t>
      </w:r>
    </w:p>
    <w:p w14:paraId="7E6FF4E2">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1、投标文件商务技术部分评审；</w:t>
      </w:r>
    </w:p>
    <w:p w14:paraId="70294F1A">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2、投标文件报价部分审查；</w:t>
      </w:r>
    </w:p>
    <w:p w14:paraId="2F055B96">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3、推荐中标候选人名单，编写评标报告。</w:t>
      </w:r>
    </w:p>
    <w:p w14:paraId="5044D316">
      <w:pPr>
        <w:pStyle w:val="3"/>
        <w:kinsoku/>
        <w:overflowPunct/>
        <w:topLinePunct/>
        <w:bidi w:val="0"/>
        <w:adjustRightInd w:val="0"/>
        <w:snapToGrid w:val="0"/>
        <w:spacing w:line="400" w:lineRule="exact"/>
        <w:ind w:left="4" w:hanging="4"/>
        <w:jc w:val="left"/>
        <w:rPr>
          <w:rStyle w:val="607"/>
          <w:rFonts w:hint="eastAsia" w:ascii="宋体" w:hAnsi="宋体" w:eastAsia="宋体" w:cs="宋体"/>
          <w:color w:val="auto"/>
          <w:sz w:val="24"/>
          <w:szCs w:val="24"/>
          <w:highlight w:val="none"/>
          <w:lang w:eastAsia="zh-CN"/>
        </w:rPr>
      </w:pPr>
      <w:r>
        <w:rPr>
          <w:rStyle w:val="607"/>
          <w:rFonts w:hint="eastAsia" w:ascii="宋体" w:hAnsi="宋体" w:eastAsia="宋体" w:cs="宋体"/>
          <w:color w:val="auto"/>
          <w:sz w:val="24"/>
          <w:szCs w:val="24"/>
          <w:highlight w:val="none"/>
        </w:rPr>
        <w:t>三、定标及定标程序</w:t>
      </w:r>
    </w:p>
    <w:p w14:paraId="37A18EA8">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1、定标原则</w:t>
      </w:r>
    </w:p>
    <w:p w14:paraId="6A80E22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14:paraId="31BB2CA1">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lang w:val="zh-TW"/>
        </w:rPr>
        <w:t>2、定标程序</w:t>
      </w:r>
    </w:p>
    <w:p w14:paraId="1FB3391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rPr>
        <w:t>1、评标委员会根据各投标人的综合得分（商务技术分与报价得分之和）从高到低依次进行排名排序。特殊情形按以下原则处理：</w:t>
      </w:r>
    </w:p>
    <w:p w14:paraId="702F2CC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（1）综合得分相同的，按投标报价低的优先原则确定排名；</w:t>
      </w:r>
    </w:p>
    <w:p w14:paraId="3727C81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（2）综合得分和投标报价均相同的，按</w:t>
      </w:r>
      <w:r>
        <w:rPr>
          <w:rFonts w:hint="eastAsia" w:ascii="宋体" w:hAnsi="宋体" w:cs="宋体"/>
          <w:color w:val="auto"/>
          <w:sz w:val="24"/>
          <w:szCs w:val="22"/>
          <w:highlight w:val="none"/>
          <w:lang w:eastAsia="zh-CN"/>
        </w:rPr>
        <w:t>商务技术</w:t>
      </w:r>
      <w:r>
        <w:rPr>
          <w:rFonts w:hint="eastAsia" w:ascii="宋体" w:hAnsi="宋体" w:eastAsia="宋体" w:cs="宋体"/>
          <w:color w:val="auto"/>
          <w:sz w:val="24"/>
          <w:szCs w:val="22"/>
          <w:highlight w:val="none"/>
        </w:rPr>
        <w:t>得分从高到低确定排名；</w:t>
      </w:r>
    </w:p>
    <w:p w14:paraId="2BB974A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（3）综合得分、投标报价和</w:t>
      </w:r>
      <w:r>
        <w:rPr>
          <w:rFonts w:hint="eastAsia" w:ascii="宋体" w:hAnsi="宋体" w:cs="宋体"/>
          <w:color w:val="auto"/>
          <w:sz w:val="24"/>
          <w:szCs w:val="22"/>
          <w:highlight w:val="none"/>
          <w:lang w:eastAsia="zh-CN"/>
        </w:rPr>
        <w:t>商务技术</w:t>
      </w:r>
      <w:r>
        <w:rPr>
          <w:rFonts w:hint="eastAsia" w:ascii="宋体" w:hAnsi="宋体" w:eastAsia="宋体" w:cs="宋体"/>
          <w:color w:val="auto"/>
          <w:sz w:val="24"/>
          <w:szCs w:val="22"/>
          <w:highlight w:val="none"/>
        </w:rPr>
        <w:t>得分均相同的由评标委员会全体成员记名投票按少数服从多数的原则确定排名。</w:t>
      </w:r>
    </w:p>
    <w:p w14:paraId="741E969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rPr>
        <w:t>2、根据最终得分排序，通过书面评审报告的形式，向采购人推荐排名第一的投标人为中标候选人。</w:t>
      </w:r>
    </w:p>
    <w:p w14:paraId="73822A1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5C5BE6C9">
      <w:pPr>
        <w:pStyle w:val="53"/>
        <w:kinsoku/>
        <w:overflowPunct/>
        <w:bidi w:val="0"/>
        <w:spacing w:line="400" w:lineRule="exact"/>
        <w:ind w:firstLine="240" w:firstLineChars="100"/>
        <w:jc w:val="left"/>
        <w:rPr>
          <w:rStyle w:val="607"/>
          <w:rFonts w:hint="eastAsia" w:ascii="宋体" w:hAnsi="宋体" w:eastAsia="宋体" w:cs="宋体"/>
          <w:color w:val="auto"/>
          <w:sz w:val="24"/>
          <w:szCs w:val="24"/>
          <w:highlight w:val="none"/>
          <w:lang w:eastAsia="zh-CN"/>
        </w:rPr>
      </w:pPr>
      <w:r>
        <w:rPr>
          <w:rStyle w:val="607"/>
          <w:rFonts w:hint="eastAsia" w:ascii="宋体" w:hAnsi="宋体" w:eastAsia="宋体" w:cs="宋体"/>
          <w:color w:val="auto"/>
          <w:sz w:val="24"/>
          <w:szCs w:val="24"/>
          <w:highlight w:val="none"/>
          <w:lang w:val="en-US" w:eastAsia="zh-CN"/>
        </w:rPr>
        <w:t>2.4、</w:t>
      </w:r>
      <w:r>
        <w:rPr>
          <w:rStyle w:val="607"/>
          <w:rFonts w:hint="eastAsia" w:ascii="宋体" w:hAnsi="宋体" w:eastAsia="宋体" w:cs="宋体"/>
          <w:color w:val="auto"/>
          <w:sz w:val="24"/>
          <w:szCs w:val="24"/>
          <w:highlight w:val="none"/>
        </w:rPr>
        <w:t>评定结果经采购人确定后，采购人在中标人确定之日起2个工作日内将以书面形式发出《中标通知书》，并在浙江政府采购网公告中标结果。</w:t>
      </w:r>
    </w:p>
    <w:p w14:paraId="51FA15BC">
      <w:pPr>
        <w:pStyle w:val="53"/>
        <w:kinsoku/>
        <w:overflowPunct/>
        <w:bidi w:val="0"/>
        <w:spacing w:line="400" w:lineRule="exact"/>
        <w:ind w:firstLine="240" w:firstLineChars="100"/>
        <w:jc w:val="left"/>
        <w:rPr>
          <w:rFonts w:hint="eastAsia" w:ascii="宋体" w:hAnsi="宋体" w:eastAsia="宋体" w:cs="宋体"/>
          <w:color w:val="auto"/>
          <w:sz w:val="24"/>
          <w:szCs w:val="22"/>
          <w:highlight w:val="none"/>
        </w:rPr>
      </w:pPr>
      <w:r>
        <w:rPr>
          <w:rStyle w:val="607"/>
          <w:rFonts w:hint="eastAsia" w:ascii="宋体" w:hAnsi="宋体" w:eastAsia="宋体" w:cs="宋体"/>
          <w:color w:val="auto"/>
          <w:sz w:val="24"/>
          <w:szCs w:val="24"/>
          <w:highlight w:val="none"/>
          <w:lang w:val="en-US" w:eastAsia="zh-CN"/>
        </w:rPr>
        <w:t>2.5、</w:t>
      </w:r>
      <w:r>
        <w:rPr>
          <w:rStyle w:val="607"/>
          <w:rFonts w:hint="eastAsia" w:ascii="宋体" w:hAnsi="宋体" w:eastAsia="宋体" w:cs="宋体"/>
          <w:color w:val="auto"/>
          <w:sz w:val="24"/>
          <w:szCs w:val="24"/>
          <w:highlight w:val="none"/>
        </w:rPr>
        <w:t>采购代理机构不解释中标或落标原因，不退回投标文件和其他投标资料。</w:t>
      </w:r>
    </w:p>
    <w:p w14:paraId="7683891F">
      <w:pPr>
        <w:pStyle w:val="53"/>
        <w:kinsoku/>
        <w:overflowPunct/>
        <w:bidi w:val="0"/>
        <w:spacing w:line="400" w:lineRule="exact"/>
        <w:ind w:firstLine="0" w:firstLineChars="0"/>
        <w:jc w:val="left"/>
        <w:rPr>
          <w:rStyle w:val="607"/>
          <w:rFonts w:hint="eastAsia" w:ascii="宋体" w:hAnsi="宋体" w:eastAsia="宋体" w:cs="宋体"/>
          <w:b/>
          <w:color w:val="auto"/>
          <w:sz w:val="24"/>
          <w:szCs w:val="24"/>
          <w:highlight w:val="none"/>
        </w:rPr>
      </w:pPr>
      <w:r>
        <w:rPr>
          <w:rStyle w:val="607"/>
          <w:rFonts w:hint="eastAsia" w:ascii="宋体" w:hAnsi="宋体" w:eastAsia="宋体" w:cs="宋体"/>
          <w:b/>
          <w:color w:val="auto"/>
          <w:sz w:val="24"/>
          <w:szCs w:val="24"/>
          <w:highlight w:val="none"/>
        </w:rPr>
        <w:t>四、评标方法</w:t>
      </w:r>
    </w:p>
    <w:p w14:paraId="45437C5B">
      <w:pPr>
        <w:pStyle w:val="53"/>
        <w:kinsoku/>
        <w:overflowPunct/>
        <w:bidi w:val="0"/>
        <w:spacing w:line="400" w:lineRule="exact"/>
        <w:ind w:firstLine="240" w:firstLineChars="100"/>
        <w:jc w:val="left"/>
        <w:rPr>
          <w:rStyle w:val="607"/>
          <w:rFonts w:hint="eastAsia" w:ascii="宋体" w:hAnsi="宋体" w:eastAsia="宋体" w:cs="宋体"/>
          <w:color w:val="auto"/>
          <w:sz w:val="24"/>
          <w:szCs w:val="24"/>
          <w:highlight w:val="none"/>
          <w:lang w:val="zh-TW" w:eastAsia="zh-CN"/>
        </w:rPr>
      </w:pPr>
      <w:r>
        <w:rPr>
          <w:rStyle w:val="607"/>
          <w:rFonts w:hint="eastAsia" w:ascii="宋体" w:hAnsi="宋体" w:eastAsia="宋体" w:cs="宋体"/>
          <w:color w:val="auto"/>
          <w:sz w:val="24"/>
          <w:szCs w:val="24"/>
          <w:highlight w:val="none"/>
          <w:lang w:val="zh-TW"/>
        </w:rPr>
        <w:t>1</w:t>
      </w:r>
      <w:r>
        <w:rPr>
          <w:rStyle w:val="607"/>
          <w:rFonts w:hint="eastAsia" w:ascii="宋体" w:hAnsi="宋体" w:eastAsia="宋体" w:cs="宋体"/>
          <w:color w:val="auto"/>
          <w:sz w:val="24"/>
          <w:szCs w:val="24"/>
          <w:highlight w:val="none"/>
        </w:rPr>
        <w:t>、本次评标采用综合评分法</w:t>
      </w:r>
      <w:r>
        <w:rPr>
          <w:rStyle w:val="607"/>
          <w:rFonts w:hint="eastAsia" w:ascii="宋体" w:hAnsi="宋体" w:eastAsia="宋体" w:cs="宋体"/>
          <w:color w:val="auto"/>
          <w:sz w:val="24"/>
          <w:szCs w:val="24"/>
          <w:highlight w:val="none"/>
          <w:lang w:eastAsia="zh-CN"/>
        </w:rPr>
        <w:t>，即在</w:t>
      </w:r>
      <w:r>
        <w:rPr>
          <w:rStyle w:val="607"/>
          <w:rFonts w:hint="eastAsia" w:ascii="宋体" w:hAnsi="宋体" w:eastAsia="宋体" w:cs="宋体"/>
          <w:color w:val="auto"/>
          <w:sz w:val="24"/>
          <w:szCs w:val="24"/>
          <w:highlight w:val="none"/>
          <w:lang w:val="en-US" w:eastAsia="zh-CN"/>
        </w:rPr>
        <w:t>投标</w:t>
      </w:r>
      <w:r>
        <w:rPr>
          <w:rStyle w:val="607"/>
          <w:rFonts w:hint="eastAsia" w:ascii="宋体" w:hAnsi="宋体" w:eastAsia="宋体" w:cs="宋体"/>
          <w:color w:val="auto"/>
          <w:sz w:val="24"/>
          <w:szCs w:val="24"/>
          <w:highlight w:val="none"/>
          <w:lang w:eastAsia="zh-CN"/>
        </w:rPr>
        <w:t>文件满足</w:t>
      </w:r>
      <w:r>
        <w:rPr>
          <w:rStyle w:val="607"/>
          <w:rFonts w:hint="eastAsia" w:ascii="宋体" w:hAnsi="宋体" w:eastAsia="宋体" w:cs="宋体"/>
          <w:color w:val="auto"/>
          <w:sz w:val="24"/>
          <w:szCs w:val="24"/>
          <w:highlight w:val="none"/>
          <w:lang w:val="en-US" w:eastAsia="zh-CN"/>
        </w:rPr>
        <w:t>招标</w:t>
      </w:r>
      <w:r>
        <w:rPr>
          <w:rStyle w:val="607"/>
          <w:rFonts w:hint="eastAsia" w:ascii="宋体" w:hAnsi="宋体" w:eastAsia="宋体" w:cs="宋体"/>
          <w:color w:val="auto"/>
          <w:sz w:val="24"/>
          <w:szCs w:val="24"/>
          <w:highlight w:val="none"/>
          <w:lang w:eastAsia="zh-CN"/>
        </w:rPr>
        <w:t>文件全部实质性要求的前提下，按照评审因素的量化指标评审得分从高到低的顺序推荐供应商为第一、第二、……</w:t>
      </w:r>
      <w:r>
        <w:rPr>
          <w:rStyle w:val="607"/>
          <w:rFonts w:hint="eastAsia" w:ascii="宋体" w:hAnsi="宋体" w:eastAsia="宋体" w:cs="宋体"/>
          <w:color w:val="auto"/>
          <w:sz w:val="24"/>
          <w:szCs w:val="24"/>
          <w:highlight w:val="none"/>
          <w:lang w:val="en-US" w:eastAsia="zh-CN"/>
        </w:rPr>
        <w:t>中标</w:t>
      </w:r>
      <w:r>
        <w:rPr>
          <w:rStyle w:val="607"/>
          <w:rFonts w:hint="eastAsia" w:ascii="宋体" w:hAnsi="宋体" w:eastAsia="宋体" w:cs="宋体"/>
          <w:color w:val="auto"/>
          <w:sz w:val="24"/>
          <w:szCs w:val="24"/>
          <w:highlight w:val="none"/>
          <w:lang w:eastAsia="zh-CN"/>
        </w:rPr>
        <w:t>候选人的</w:t>
      </w:r>
      <w:r>
        <w:rPr>
          <w:rStyle w:val="607"/>
          <w:rFonts w:hint="eastAsia" w:ascii="宋体" w:hAnsi="宋体" w:eastAsia="宋体" w:cs="宋体"/>
          <w:color w:val="auto"/>
          <w:sz w:val="24"/>
          <w:szCs w:val="24"/>
          <w:highlight w:val="none"/>
          <w:lang w:val="en-US" w:eastAsia="zh-CN"/>
        </w:rPr>
        <w:t>评标</w:t>
      </w:r>
      <w:r>
        <w:rPr>
          <w:rStyle w:val="607"/>
          <w:rFonts w:hint="eastAsia" w:ascii="宋体" w:hAnsi="宋体" w:eastAsia="宋体" w:cs="宋体"/>
          <w:color w:val="auto"/>
          <w:sz w:val="24"/>
          <w:szCs w:val="24"/>
          <w:highlight w:val="none"/>
          <w:lang w:eastAsia="zh-CN"/>
        </w:rPr>
        <w:t>办法。</w:t>
      </w:r>
    </w:p>
    <w:p w14:paraId="39ADA8A9">
      <w:pPr>
        <w:pStyle w:val="53"/>
        <w:kinsoku/>
        <w:overflowPunct/>
        <w:bidi w:val="0"/>
        <w:spacing w:line="400" w:lineRule="exact"/>
        <w:ind w:firstLine="240" w:firstLineChars="100"/>
        <w:rPr>
          <w:rStyle w:val="607"/>
          <w:rFonts w:hint="eastAsia" w:ascii="宋体" w:hAnsi="宋体" w:eastAsia="宋体" w:cs="宋体"/>
          <w:color w:val="auto"/>
          <w:sz w:val="24"/>
          <w:szCs w:val="24"/>
          <w:highlight w:val="none"/>
        </w:rPr>
      </w:pPr>
      <w:r>
        <w:rPr>
          <w:rStyle w:val="607"/>
          <w:rFonts w:hint="eastAsia" w:ascii="宋体" w:hAnsi="宋体" w:eastAsia="宋体" w:cs="宋体"/>
          <w:color w:val="auto"/>
          <w:sz w:val="24"/>
          <w:szCs w:val="24"/>
          <w:highlight w:val="none"/>
          <w:lang w:val="zh-TW"/>
        </w:rPr>
        <w:t>2</w:t>
      </w:r>
      <w:r>
        <w:rPr>
          <w:rStyle w:val="607"/>
          <w:rFonts w:hint="eastAsia" w:ascii="宋体" w:hAnsi="宋体" w:eastAsia="宋体" w:cs="宋体"/>
          <w:color w:val="auto"/>
          <w:sz w:val="24"/>
          <w:szCs w:val="24"/>
          <w:highlight w:val="none"/>
        </w:rPr>
        <w:t>、本项目为商务技术分</w:t>
      </w:r>
      <w:r>
        <w:rPr>
          <w:rStyle w:val="607"/>
          <w:rFonts w:hint="eastAsia" w:ascii="宋体" w:hAnsi="宋体" w:eastAsia="宋体" w:cs="宋体"/>
          <w:color w:val="auto"/>
          <w:sz w:val="24"/>
          <w:szCs w:val="24"/>
          <w:highlight w:val="none"/>
          <w:lang w:val="en-US" w:eastAsia="zh-CN"/>
        </w:rPr>
        <w:t>70</w:t>
      </w:r>
      <w:r>
        <w:rPr>
          <w:rStyle w:val="607"/>
          <w:rFonts w:hint="eastAsia" w:ascii="宋体" w:hAnsi="宋体" w:eastAsia="宋体" w:cs="宋体"/>
          <w:color w:val="auto"/>
          <w:sz w:val="24"/>
          <w:szCs w:val="24"/>
          <w:highlight w:val="none"/>
        </w:rPr>
        <w:t>分和报价分</w:t>
      </w:r>
      <w:r>
        <w:rPr>
          <w:rStyle w:val="607"/>
          <w:rFonts w:hint="eastAsia" w:ascii="宋体" w:hAnsi="宋体" w:eastAsia="宋体" w:cs="宋体"/>
          <w:color w:val="auto"/>
          <w:sz w:val="24"/>
          <w:szCs w:val="24"/>
          <w:highlight w:val="none"/>
          <w:lang w:val="en-US" w:eastAsia="zh-CN"/>
        </w:rPr>
        <w:t>30</w:t>
      </w:r>
      <w:r>
        <w:rPr>
          <w:rStyle w:val="607"/>
          <w:rFonts w:hint="eastAsia" w:ascii="宋体" w:hAnsi="宋体" w:eastAsia="宋体" w:cs="宋体"/>
          <w:color w:val="auto"/>
          <w:sz w:val="24"/>
          <w:szCs w:val="24"/>
          <w:highlight w:val="none"/>
        </w:rPr>
        <w:t>合计评分，满分为</w:t>
      </w:r>
      <w:r>
        <w:rPr>
          <w:rStyle w:val="607"/>
          <w:rFonts w:hint="eastAsia" w:ascii="宋体" w:hAnsi="宋体" w:eastAsia="宋体" w:cs="宋体"/>
          <w:color w:val="auto"/>
          <w:sz w:val="24"/>
          <w:szCs w:val="24"/>
          <w:highlight w:val="none"/>
          <w:lang w:val="zh-TW"/>
        </w:rPr>
        <w:t>100</w:t>
      </w:r>
      <w:r>
        <w:rPr>
          <w:rStyle w:val="607"/>
          <w:rFonts w:hint="eastAsia" w:ascii="宋体" w:hAnsi="宋体" w:eastAsia="宋体" w:cs="宋体"/>
          <w:color w:val="auto"/>
          <w:sz w:val="24"/>
          <w:szCs w:val="24"/>
          <w:highlight w:val="none"/>
        </w:rPr>
        <w:t>分。</w:t>
      </w:r>
    </w:p>
    <w:p w14:paraId="1912D251">
      <w:pPr>
        <w:pStyle w:val="53"/>
        <w:keepNext/>
        <w:keepLines/>
        <w:kinsoku/>
        <w:overflowPunct/>
        <w:bidi w:val="0"/>
        <w:adjustRightInd w:val="0"/>
        <w:snapToGrid w:val="0"/>
        <w:spacing w:line="400" w:lineRule="exact"/>
        <w:ind w:firstLine="0" w:firstLineChars="0"/>
        <w:jc w:val="left"/>
        <w:rPr>
          <w:rStyle w:val="607"/>
          <w:rFonts w:hint="eastAsia" w:ascii="宋体" w:hAnsi="宋体" w:eastAsia="宋体" w:cs="宋体"/>
          <w:bCs/>
          <w:color w:val="auto"/>
          <w:sz w:val="24"/>
          <w:szCs w:val="24"/>
          <w:highlight w:val="none"/>
        </w:rPr>
      </w:pPr>
      <w:r>
        <w:rPr>
          <w:rStyle w:val="607"/>
          <w:rFonts w:hint="eastAsia" w:ascii="宋体" w:hAnsi="宋体" w:eastAsia="宋体" w:cs="宋体"/>
          <w:b/>
          <w:color w:val="auto"/>
          <w:sz w:val="24"/>
          <w:szCs w:val="24"/>
          <w:highlight w:val="none"/>
        </w:rPr>
        <w:t>五、评标细则及标准</w:t>
      </w:r>
    </w:p>
    <w:p w14:paraId="35CC3504">
      <w:pPr>
        <w:kinsoku/>
        <w:overflowPunct/>
        <w:bidi w:val="0"/>
        <w:snapToGrid w:val="0"/>
        <w:spacing w:line="400" w:lineRule="exact"/>
        <w:ind w:firstLine="241" w:firstLineChars="100"/>
        <w:rPr>
          <w:rStyle w:val="608"/>
          <w:rFonts w:hint="eastAsia" w:ascii="宋体" w:hAnsi="宋体" w:eastAsia="宋体" w:cs="宋体"/>
          <w:b/>
          <w:bCs/>
          <w:color w:val="auto"/>
          <w:sz w:val="24"/>
          <w:szCs w:val="24"/>
          <w:highlight w:val="none"/>
        </w:rPr>
      </w:pPr>
      <w:r>
        <w:rPr>
          <w:rStyle w:val="607"/>
          <w:rFonts w:hint="eastAsia" w:ascii="宋体" w:hAnsi="宋体" w:eastAsia="宋体" w:cs="宋体"/>
          <w:b/>
          <w:color w:val="auto"/>
          <w:sz w:val="24"/>
          <w:szCs w:val="24"/>
          <w:highlight w:val="none"/>
        </w:rPr>
        <w:t>1</w:t>
      </w:r>
      <w:r>
        <w:rPr>
          <w:rStyle w:val="608"/>
          <w:rFonts w:hint="eastAsia" w:ascii="宋体" w:hAnsi="宋体" w:eastAsia="宋体" w:cs="宋体"/>
          <w:b/>
          <w:bCs/>
          <w:color w:val="auto"/>
          <w:sz w:val="24"/>
          <w:szCs w:val="24"/>
          <w:highlight w:val="none"/>
        </w:rPr>
        <w:t>、在投标文件评审过程中，如果出现评标委员会成员意见不一致的情况，按照少数服从多数的原则确定。</w:t>
      </w:r>
    </w:p>
    <w:p w14:paraId="5B45D4A7">
      <w:pPr>
        <w:pStyle w:val="87"/>
        <w:kinsoku/>
        <w:overflowPunct/>
        <w:bidi w:val="0"/>
        <w:spacing w:after="0" w:line="400" w:lineRule="exact"/>
        <w:ind w:left="0" w:leftChars="0" w:firstLine="482" w:firstLineChars="200"/>
        <w:rPr>
          <w:rStyle w:val="608"/>
          <w:rFonts w:hint="eastAsia" w:ascii="宋体" w:hAnsi="宋体" w:eastAsia="宋体" w:cs="宋体"/>
          <w:b/>
          <w:bCs/>
          <w:color w:val="auto"/>
          <w:sz w:val="24"/>
          <w:szCs w:val="24"/>
          <w:highlight w:val="none"/>
          <w:lang w:eastAsia="zh-CN"/>
        </w:rPr>
      </w:pPr>
      <w:r>
        <w:rPr>
          <w:rStyle w:val="608"/>
          <w:rFonts w:hint="eastAsia" w:ascii="宋体" w:hAnsi="宋体" w:eastAsia="宋体" w:cs="宋体"/>
          <w:b/>
          <w:bCs/>
          <w:color w:val="auto"/>
          <w:sz w:val="24"/>
          <w:szCs w:val="24"/>
          <w:highlight w:val="none"/>
          <w:lang w:eastAsia="zh-CN"/>
        </w:rPr>
        <w:t>评分细则</w:t>
      </w:r>
    </w:p>
    <w:tbl>
      <w:tblPr>
        <w:tblStyle w:val="88"/>
        <w:tblW w:w="9654" w:type="dxa"/>
        <w:tblInd w:w="93" w:type="dxa"/>
        <w:tblLayout w:type="fixed"/>
        <w:tblCellMar>
          <w:top w:w="0" w:type="dxa"/>
          <w:left w:w="108" w:type="dxa"/>
          <w:bottom w:w="0" w:type="dxa"/>
          <w:right w:w="108" w:type="dxa"/>
        </w:tblCellMar>
      </w:tblPr>
      <w:tblGrid>
        <w:gridCol w:w="658"/>
        <w:gridCol w:w="1517"/>
        <w:gridCol w:w="6606"/>
        <w:gridCol w:w="873"/>
      </w:tblGrid>
      <w:tr w14:paraId="78EE4290">
        <w:tblPrEx>
          <w:tblCellMar>
            <w:top w:w="0" w:type="dxa"/>
            <w:left w:w="108" w:type="dxa"/>
            <w:bottom w:w="0" w:type="dxa"/>
            <w:right w:w="108" w:type="dxa"/>
          </w:tblCellMar>
        </w:tblPrEx>
        <w:trPr>
          <w:trHeight w:val="532" w:hRule="atLeast"/>
        </w:trPr>
        <w:tc>
          <w:tcPr>
            <w:tcW w:w="658" w:type="dxa"/>
            <w:tcBorders>
              <w:top w:val="single" w:color="auto" w:sz="8" w:space="0"/>
              <w:left w:val="single" w:color="auto" w:sz="8" w:space="0"/>
              <w:bottom w:val="single" w:color="auto" w:sz="8" w:space="0"/>
              <w:right w:val="single" w:color="auto" w:sz="8" w:space="0"/>
            </w:tcBorders>
            <w:shd w:val="clear" w:color="auto" w:fill="auto"/>
            <w:noWrap/>
            <w:vAlign w:val="center"/>
          </w:tcPr>
          <w:p w14:paraId="0D6CC400">
            <w:pPr>
              <w:widowControl/>
              <w:jc w:val="center"/>
              <w:rPr>
                <w:rFonts w:ascii="宋体" w:hAnsi="宋体" w:cs="宋体"/>
                <w:b/>
                <w:bCs/>
                <w:kern w:val="0"/>
                <w:sz w:val="24"/>
                <w:szCs w:val="24"/>
                <w:highlight w:val="none"/>
              </w:rPr>
            </w:pPr>
            <w:r>
              <w:rPr>
                <w:rFonts w:ascii="宋体" w:hAnsi="宋体" w:cs="宋体"/>
                <w:b/>
                <w:bCs/>
                <w:kern w:val="0"/>
                <w:sz w:val="24"/>
                <w:szCs w:val="24"/>
                <w:highlight w:val="none"/>
              </w:rPr>
              <w:t>序号</w:t>
            </w:r>
          </w:p>
        </w:tc>
        <w:tc>
          <w:tcPr>
            <w:tcW w:w="1517" w:type="dxa"/>
            <w:tcBorders>
              <w:top w:val="single" w:color="auto" w:sz="8" w:space="0"/>
              <w:left w:val="nil"/>
              <w:bottom w:val="single" w:color="auto" w:sz="8" w:space="0"/>
              <w:right w:val="single" w:color="auto" w:sz="8" w:space="0"/>
            </w:tcBorders>
            <w:shd w:val="clear" w:color="auto" w:fill="auto"/>
            <w:vAlign w:val="center"/>
          </w:tcPr>
          <w:p w14:paraId="32D12398">
            <w:pPr>
              <w:widowControl/>
              <w:jc w:val="center"/>
              <w:rPr>
                <w:rFonts w:ascii="宋体" w:hAnsi="宋体" w:cs="宋体"/>
                <w:b/>
                <w:bCs/>
                <w:kern w:val="0"/>
                <w:sz w:val="24"/>
                <w:szCs w:val="24"/>
                <w:highlight w:val="none"/>
              </w:rPr>
            </w:pPr>
            <w:r>
              <w:rPr>
                <w:rFonts w:ascii="宋体" w:hAnsi="宋体" w:cs="宋体"/>
                <w:b/>
                <w:bCs/>
                <w:kern w:val="0"/>
                <w:sz w:val="24"/>
                <w:szCs w:val="24"/>
                <w:highlight w:val="none"/>
              </w:rPr>
              <w:t>内容</w:t>
            </w:r>
          </w:p>
        </w:tc>
        <w:tc>
          <w:tcPr>
            <w:tcW w:w="6606" w:type="dxa"/>
            <w:tcBorders>
              <w:top w:val="single" w:color="auto" w:sz="8" w:space="0"/>
              <w:left w:val="nil"/>
              <w:bottom w:val="single" w:color="auto" w:sz="8" w:space="0"/>
              <w:right w:val="single" w:color="auto" w:sz="8" w:space="0"/>
            </w:tcBorders>
            <w:shd w:val="clear" w:color="auto" w:fill="auto"/>
            <w:noWrap/>
            <w:vAlign w:val="center"/>
          </w:tcPr>
          <w:p w14:paraId="1E1C2F4C">
            <w:pPr>
              <w:widowControl/>
              <w:jc w:val="center"/>
              <w:rPr>
                <w:rFonts w:ascii="宋体" w:hAnsi="宋体" w:cs="宋体"/>
                <w:b/>
                <w:bCs/>
                <w:kern w:val="0"/>
                <w:sz w:val="24"/>
                <w:szCs w:val="24"/>
                <w:highlight w:val="none"/>
              </w:rPr>
            </w:pPr>
            <w:r>
              <w:rPr>
                <w:rFonts w:ascii="宋体" w:hAnsi="宋体" w:cs="宋体"/>
                <w:b/>
                <w:bCs/>
                <w:kern w:val="0"/>
                <w:sz w:val="24"/>
                <w:szCs w:val="24"/>
                <w:highlight w:val="none"/>
              </w:rPr>
              <w:t>评分标准</w:t>
            </w:r>
          </w:p>
        </w:tc>
        <w:tc>
          <w:tcPr>
            <w:tcW w:w="873" w:type="dxa"/>
            <w:tcBorders>
              <w:top w:val="single" w:color="auto" w:sz="8" w:space="0"/>
              <w:left w:val="nil"/>
              <w:bottom w:val="single" w:color="auto" w:sz="8" w:space="0"/>
              <w:right w:val="single" w:color="auto" w:sz="8" w:space="0"/>
            </w:tcBorders>
            <w:shd w:val="clear" w:color="auto" w:fill="auto"/>
            <w:noWrap/>
            <w:vAlign w:val="center"/>
          </w:tcPr>
          <w:p w14:paraId="09052C30">
            <w:pPr>
              <w:widowControl/>
              <w:jc w:val="center"/>
              <w:rPr>
                <w:rFonts w:ascii="宋体" w:hAnsi="宋体" w:cs="宋体"/>
                <w:b/>
                <w:bCs/>
                <w:kern w:val="0"/>
                <w:sz w:val="24"/>
                <w:szCs w:val="24"/>
                <w:highlight w:val="none"/>
              </w:rPr>
            </w:pPr>
            <w:r>
              <w:rPr>
                <w:rFonts w:ascii="宋体" w:hAnsi="宋体" w:cs="宋体"/>
                <w:b/>
                <w:bCs/>
                <w:kern w:val="0"/>
                <w:sz w:val="24"/>
                <w:szCs w:val="24"/>
                <w:highlight w:val="none"/>
              </w:rPr>
              <w:t>分值　</w:t>
            </w:r>
          </w:p>
        </w:tc>
      </w:tr>
      <w:tr w14:paraId="3E48628E">
        <w:tblPrEx>
          <w:tblCellMar>
            <w:top w:w="0" w:type="dxa"/>
            <w:left w:w="108" w:type="dxa"/>
            <w:bottom w:w="0" w:type="dxa"/>
            <w:right w:w="108" w:type="dxa"/>
          </w:tblCellMar>
        </w:tblPrEx>
        <w:trPr>
          <w:trHeight w:val="1546" w:hRule="atLeast"/>
        </w:trPr>
        <w:tc>
          <w:tcPr>
            <w:tcW w:w="658" w:type="dxa"/>
            <w:tcBorders>
              <w:top w:val="nil"/>
              <w:left w:val="single" w:color="auto" w:sz="8" w:space="0"/>
              <w:bottom w:val="single" w:color="auto" w:sz="4" w:space="0"/>
              <w:right w:val="single" w:color="auto" w:sz="8" w:space="0"/>
            </w:tcBorders>
            <w:shd w:val="clear" w:color="auto" w:fill="auto"/>
            <w:noWrap/>
            <w:vAlign w:val="center"/>
          </w:tcPr>
          <w:p w14:paraId="0974D190">
            <w:pPr>
              <w:widowControl/>
              <w:jc w:val="center"/>
              <w:rPr>
                <w:rFonts w:ascii="宋体" w:hAnsi="宋体" w:cs="宋体"/>
                <w:sz w:val="24"/>
                <w:highlight w:val="none"/>
              </w:rPr>
            </w:pPr>
            <w:r>
              <w:rPr>
                <w:rFonts w:hint="eastAsia" w:ascii="宋体" w:hAnsi="宋体" w:cs="宋体"/>
                <w:sz w:val="24"/>
                <w:highlight w:val="none"/>
              </w:rPr>
              <w:t>1</w:t>
            </w:r>
          </w:p>
        </w:tc>
        <w:tc>
          <w:tcPr>
            <w:tcW w:w="1517" w:type="dxa"/>
            <w:tcBorders>
              <w:top w:val="nil"/>
              <w:left w:val="single" w:color="auto" w:sz="8" w:space="0"/>
              <w:bottom w:val="single" w:color="auto" w:sz="4" w:space="0"/>
              <w:right w:val="single" w:color="auto" w:sz="8" w:space="0"/>
            </w:tcBorders>
            <w:shd w:val="clear" w:color="auto" w:fill="auto"/>
            <w:vAlign w:val="center"/>
          </w:tcPr>
          <w:p w14:paraId="7A675CA0">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sz w:val="24"/>
                <w:szCs w:val="20"/>
                <w:highlight w:val="none"/>
              </w:rPr>
            </w:pPr>
            <w:r>
              <w:rPr>
                <w:rFonts w:hint="eastAsia" w:ascii="宋体" w:hAnsi="宋体"/>
                <w:sz w:val="24"/>
                <w:szCs w:val="20"/>
                <w:highlight w:val="none"/>
                <w:lang w:eastAsia="zh-CN"/>
              </w:rPr>
              <w:t>厂商资质</w:t>
            </w:r>
          </w:p>
        </w:tc>
        <w:tc>
          <w:tcPr>
            <w:tcW w:w="6606" w:type="dxa"/>
            <w:tcBorders>
              <w:top w:val="nil"/>
              <w:left w:val="nil"/>
              <w:bottom w:val="single" w:color="auto" w:sz="4" w:space="0"/>
              <w:right w:val="single" w:color="auto" w:sz="8" w:space="0"/>
            </w:tcBorders>
            <w:shd w:val="clear" w:color="auto" w:fill="auto"/>
            <w:noWrap/>
            <w:vAlign w:val="center"/>
          </w:tcPr>
          <w:p w14:paraId="2537439E">
            <w:pPr>
              <w:pStyle w:val="617"/>
              <w:keepNext w:val="0"/>
              <w:keepLines w:val="0"/>
              <w:pageBreakBefore w:val="0"/>
              <w:numPr>
                <w:ilvl w:val="0"/>
                <w:numId w:val="0"/>
              </w:numPr>
              <w:kinsoku/>
              <w:wordWrap/>
              <w:overflowPunct/>
              <w:topLinePunct w:val="0"/>
              <w:autoSpaceDE/>
              <w:autoSpaceDN/>
              <w:bidi w:val="0"/>
              <w:adjustRightInd/>
              <w:snapToGrid/>
              <w:spacing w:line="480" w:lineRule="exact"/>
              <w:jc w:val="both"/>
              <w:textAlignment w:val="auto"/>
              <w:rPr>
                <w:rFonts w:hint="default" w:ascii="Calibri" w:hAnsi="宋体" w:eastAsia="宋体" w:cs="Times New Roman"/>
                <w:b/>
                <w:bCs/>
                <w:color w:val="000000"/>
                <w:kern w:val="2"/>
                <w:sz w:val="20"/>
                <w:szCs w:val="20"/>
                <w:highlight w:val="none"/>
                <w:lang w:val="en-US" w:eastAsia="zh-CN" w:bidi="ar-SA"/>
              </w:rPr>
            </w:pPr>
            <w:r>
              <w:rPr>
                <w:rFonts w:hint="eastAsia" w:ascii="宋体" w:hAnsi="宋体" w:eastAsia="宋体" w:cs="Times New Roman"/>
                <w:color w:val="000000"/>
                <w:kern w:val="2"/>
                <w:sz w:val="24"/>
                <w:szCs w:val="20"/>
                <w:highlight w:val="none"/>
                <w:lang w:val="en-US" w:eastAsia="zh-CN" w:bidi="ar-SA"/>
              </w:rPr>
              <w:t>公司通过ISO9001质量管理体系认证，信息系统集成三级以上资质，软件达到CMMI3以上认证</w:t>
            </w:r>
            <w:r>
              <w:rPr>
                <w:rFonts w:hint="eastAsia" w:ascii="宋体" w:hAnsi="宋体" w:cs="Times New Roman"/>
                <w:color w:val="000000"/>
                <w:kern w:val="2"/>
                <w:sz w:val="24"/>
                <w:szCs w:val="20"/>
                <w:highlight w:val="none"/>
                <w:lang w:val="en-US" w:eastAsia="zh-CN" w:bidi="ar-SA"/>
              </w:rPr>
              <w:t>，</w:t>
            </w:r>
            <w:r>
              <w:rPr>
                <w:rFonts w:hint="eastAsia" w:ascii="宋体" w:hAnsi="宋体" w:eastAsia="宋体" w:cs="Times New Roman"/>
                <w:color w:val="000000"/>
                <w:kern w:val="2"/>
                <w:sz w:val="24"/>
                <w:szCs w:val="20"/>
                <w:highlight w:val="none"/>
                <w:lang w:val="en-US" w:eastAsia="zh-CN" w:bidi="ar-SA"/>
              </w:rPr>
              <w:t>每</w:t>
            </w:r>
            <w:r>
              <w:rPr>
                <w:rFonts w:hint="eastAsia" w:ascii="宋体" w:hAnsi="宋体" w:cs="Times New Roman"/>
                <w:color w:val="000000"/>
                <w:kern w:val="2"/>
                <w:sz w:val="24"/>
                <w:szCs w:val="20"/>
                <w:highlight w:val="none"/>
                <w:lang w:val="en-US" w:eastAsia="zh-CN" w:bidi="ar-SA"/>
              </w:rPr>
              <w:t>提供一个得</w:t>
            </w:r>
            <w:r>
              <w:rPr>
                <w:rFonts w:hint="eastAsia" w:ascii="宋体" w:hAnsi="宋体" w:eastAsia="宋体" w:cs="Times New Roman"/>
                <w:color w:val="000000"/>
                <w:kern w:val="2"/>
                <w:sz w:val="24"/>
                <w:szCs w:val="20"/>
                <w:highlight w:val="none"/>
                <w:lang w:val="en-US" w:eastAsia="zh-CN" w:bidi="ar-SA"/>
              </w:rPr>
              <w:t>1分</w:t>
            </w:r>
            <w:r>
              <w:rPr>
                <w:rFonts w:hint="eastAsia" w:ascii="宋体" w:hAnsi="宋体" w:cs="Times New Roman"/>
                <w:color w:val="000000"/>
                <w:kern w:val="2"/>
                <w:sz w:val="24"/>
                <w:szCs w:val="20"/>
                <w:highlight w:val="none"/>
                <w:lang w:val="en-US" w:eastAsia="zh-CN" w:bidi="ar-SA"/>
              </w:rPr>
              <w:t>，共</w:t>
            </w:r>
            <w:r>
              <w:rPr>
                <w:rFonts w:hint="eastAsia" w:ascii="宋体" w:hAnsi="宋体" w:eastAsia="宋体" w:cs="Times New Roman"/>
                <w:color w:val="000000"/>
                <w:kern w:val="2"/>
                <w:sz w:val="24"/>
                <w:szCs w:val="20"/>
                <w:highlight w:val="none"/>
                <w:lang w:val="en-US" w:eastAsia="zh-CN" w:bidi="ar-SA"/>
              </w:rPr>
              <w:t>3分</w:t>
            </w:r>
            <w:r>
              <w:rPr>
                <w:rFonts w:hint="eastAsia" w:ascii="宋体" w:hAnsi="宋体" w:cs="Times New Roman"/>
                <w:color w:val="000000"/>
                <w:kern w:val="2"/>
                <w:sz w:val="24"/>
                <w:szCs w:val="20"/>
                <w:highlight w:val="none"/>
                <w:lang w:val="en-US" w:eastAsia="zh-CN" w:bidi="ar-SA"/>
              </w:rPr>
              <w:t>.</w:t>
            </w:r>
            <w:r>
              <w:rPr>
                <w:rFonts w:hint="eastAsia" w:ascii="宋体" w:hAnsi="宋体"/>
                <w:color w:val="000000"/>
                <w:sz w:val="24"/>
                <w:szCs w:val="20"/>
                <w:highlight w:val="none"/>
                <w:lang w:val="en-US" w:eastAsia="zh-CN"/>
              </w:rPr>
              <w:t>未提供</w:t>
            </w:r>
            <w:r>
              <w:rPr>
                <w:rFonts w:hint="eastAsia" w:ascii="宋体" w:hAnsi="宋体" w:eastAsia="宋体"/>
                <w:color w:val="000000"/>
                <w:sz w:val="24"/>
                <w:szCs w:val="20"/>
                <w:highlight w:val="none"/>
              </w:rPr>
              <w:t>不得分。</w:t>
            </w:r>
          </w:p>
        </w:tc>
        <w:tc>
          <w:tcPr>
            <w:tcW w:w="873" w:type="dxa"/>
            <w:tcBorders>
              <w:top w:val="nil"/>
              <w:left w:val="single" w:color="auto" w:sz="8" w:space="0"/>
              <w:bottom w:val="single" w:color="auto" w:sz="4" w:space="0"/>
              <w:right w:val="single" w:color="auto" w:sz="8" w:space="0"/>
            </w:tcBorders>
            <w:shd w:val="clear" w:color="auto" w:fill="auto"/>
            <w:noWrap/>
            <w:vAlign w:val="center"/>
          </w:tcPr>
          <w:p w14:paraId="0C08A113">
            <w:pPr>
              <w:widowControl/>
              <w:jc w:val="center"/>
              <w:rPr>
                <w:rFonts w:hint="default" w:ascii="宋体" w:hAnsi="宋体" w:eastAsia="宋体" w:cs="宋体"/>
                <w:sz w:val="24"/>
                <w:szCs w:val="20"/>
                <w:highlight w:val="none"/>
                <w:lang w:val="en-US" w:eastAsia="zh-CN"/>
              </w:rPr>
            </w:pPr>
            <w:r>
              <w:rPr>
                <w:rFonts w:hint="eastAsia" w:ascii="宋体" w:hAnsi="宋体" w:cs="宋体"/>
                <w:sz w:val="24"/>
                <w:szCs w:val="20"/>
                <w:highlight w:val="none"/>
                <w:lang w:val="en-US" w:eastAsia="zh-CN"/>
              </w:rPr>
              <w:t>3</w:t>
            </w:r>
          </w:p>
        </w:tc>
      </w:tr>
      <w:tr w14:paraId="44B9C154">
        <w:tblPrEx>
          <w:tblCellMar>
            <w:top w:w="0" w:type="dxa"/>
            <w:left w:w="108" w:type="dxa"/>
            <w:bottom w:w="0" w:type="dxa"/>
            <w:right w:w="108" w:type="dxa"/>
          </w:tblCellMar>
        </w:tblPrEx>
        <w:trPr>
          <w:trHeight w:val="1546" w:hRule="atLeast"/>
        </w:trPr>
        <w:tc>
          <w:tcPr>
            <w:tcW w:w="658" w:type="dxa"/>
            <w:tcBorders>
              <w:top w:val="nil"/>
              <w:left w:val="single" w:color="auto" w:sz="8" w:space="0"/>
              <w:bottom w:val="single" w:color="auto" w:sz="4" w:space="0"/>
              <w:right w:val="single" w:color="auto" w:sz="8" w:space="0"/>
            </w:tcBorders>
            <w:shd w:val="clear" w:color="auto" w:fill="auto"/>
            <w:noWrap/>
            <w:vAlign w:val="center"/>
          </w:tcPr>
          <w:p w14:paraId="12EC7980">
            <w:pPr>
              <w:widowControl/>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2</w:t>
            </w:r>
          </w:p>
        </w:tc>
        <w:tc>
          <w:tcPr>
            <w:tcW w:w="1517" w:type="dxa"/>
            <w:tcBorders>
              <w:top w:val="nil"/>
              <w:left w:val="single" w:color="auto" w:sz="8" w:space="0"/>
              <w:bottom w:val="single" w:color="auto" w:sz="4" w:space="0"/>
              <w:right w:val="single" w:color="auto" w:sz="8" w:space="0"/>
            </w:tcBorders>
            <w:shd w:val="clear" w:color="auto" w:fill="auto"/>
            <w:vAlign w:val="center"/>
          </w:tcPr>
          <w:p w14:paraId="7E14B2B6">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sz w:val="24"/>
                <w:szCs w:val="20"/>
                <w:highlight w:val="none"/>
              </w:rPr>
            </w:pPr>
            <w:r>
              <w:rPr>
                <w:rFonts w:hint="eastAsia" w:ascii="宋体" w:hAnsi="宋体"/>
                <w:sz w:val="24"/>
                <w:szCs w:val="20"/>
                <w:highlight w:val="none"/>
              </w:rPr>
              <w:t>技术响应</w:t>
            </w:r>
          </w:p>
          <w:p w14:paraId="4840F5C9">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sz w:val="24"/>
                <w:szCs w:val="20"/>
                <w:highlight w:val="none"/>
                <w:lang w:eastAsia="zh-CN"/>
              </w:rPr>
            </w:pPr>
            <w:r>
              <w:rPr>
                <w:rFonts w:hint="eastAsia" w:ascii="宋体" w:hAnsi="宋体"/>
                <w:sz w:val="24"/>
                <w:szCs w:val="20"/>
                <w:highlight w:val="none"/>
              </w:rPr>
              <w:t>情况</w:t>
            </w:r>
          </w:p>
        </w:tc>
        <w:tc>
          <w:tcPr>
            <w:tcW w:w="6606" w:type="dxa"/>
            <w:tcBorders>
              <w:top w:val="nil"/>
              <w:left w:val="nil"/>
              <w:bottom w:val="single" w:color="auto" w:sz="4" w:space="0"/>
              <w:right w:val="single" w:color="auto" w:sz="8" w:space="0"/>
            </w:tcBorders>
            <w:shd w:val="clear" w:color="auto" w:fill="auto"/>
            <w:noWrap/>
            <w:vAlign w:val="center"/>
          </w:tcPr>
          <w:p w14:paraId="54050F02">
            <w:pPr>
              <w:pStyle w:val="617"/>
              <w:keepNext w:val="0"/>
              <w:keepLines w:val="0"/>
              <w:pageBreakBefore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Times New Roman"/>
                <w:color w:val="000000"/>
                <w:kern w:val="2"/>
                <w:sz w:val="24"/>
                <w:szCs w:val="20"/>
                <w:highlight w:val="none"/>
                <w:lang w:val="en-US" w:eastAsia="zh-CN" w:bidi="ar-SA"/>
              </w:rPr>
            </w:pPr>
            <w:r>
              <w:rPr>
                <w:rFonts w:hint="eastAsia" w:ascii="宋体" w:hAnsi="宋体" w:eastAsia="宋体"/>
                <w:color w:val="000000"/>
                <w:sz w:val="24"/>
                <w:szCs w:val="20"/>
                <w:highlight w:val="none"/>
              </w:rPr>
              <w:t>根</w:t>
            </w:r>
            <w:r>
              <w:rPr>
                <w:rFonts w:hint="eastAsia" w:ascii="宋体" w:hAnsi="宋体" w:eastAsia="宋体"/>
                <w:color w:val="000000"/>
                <w:sz w:val="24"/>
                <w:szCs w:val="20"/>
                <w:highlight w:val="none"/>
                <w:lang w:val="en-US" w:eastAsia="zh-CN"/>
              </w:rPr>
              <w:t>据整体项目产品的功能与技术标准是否完全满足招标文件要求，根据与招标文件技术指标以及技术标准偏离情况逐条进行评分；基本分20分。存在负偏离或缺漏项的在基本分上作扣分处理，打“★”每负偏离或缺漏项一项扣1分，其余每负偏离或缺漏项一项扣0.5分，扣完为止</w:t>
            </w:r>
            <w:r>
              <w:rPr>
                <w:rFonts w:hint="eastAsia" w:ascii="宋体" w:hAnsi="宋体"/>
                <w:color w:val="000000"/>
                <w:sz w:val="24"/>
                <w:szCs w:val="20"/>
                <w:highlight w:val="none"/>
                <w:lang w:val="en-US" w:eastAsia="zh-CN"/>
              </w:rPr>
              <w:t>，未提供</w:t>
            </w:r>
            <w:r>
              <w:rPr>
                <w:rFonts w:hint="eastAsia" w:ascii="宋体" w:hAnsi="宋体" w:eastAsia="宋体"/>
                <w:color w:val="000000"/>
                <w:sz w:val="24"/>
                <w:szCs w:val="20"/>
                <w:highlight w:val="none"/>
              </w:rPr>
              <w:t>不得分。</w:t>
            </w:r>
          </w:p>
        </w:tc>
        <w:tc>
          <w:tcPr>
            <w:tcW w:w="873" w:type="dxa"/>
            <w:tcBorders>
              <w:top w:val="nil"/>
              <w:left w:val="single" w:color="auto" w:sz="8" w:space="0"/>
              <w:bottom w:val="single" w:color="auto" w:sz="4" w:space="0"/>
              <w:right w:val="single" w:color="auto" w:sz="8" w:space="0"/>
            </w:tcBorders>
            <w:shd w:val="clear" w:color="auto" w:fill="auto"/>
            <w:noWrap/>
            <w:vAlign w:val="center"/>
          </w:tcPr>
          <w:p w14:paraId="063630EB">
            <w:pPr>
              <w:widowControl/>
              <w:jc w:val="center"/>
              <w:rPr>
                <w:rFonts w:hint="default" w:ascii="宋体" w:hAnsi="宋体" w:cs="宋体"/>
                <w:sz w:val="24"/>
                <w:szCs w:val="20"/>
                <w:highlight w:val="none"/>
                <w:lang w:val="en-US" w:eastAsia="zh-CN"/>
              </w:rPr>
            </w:pPr>
            <w:r>
              <w:rPr>
                <w:rFonts w:hint="eastAsia" w:ascii="宋体" w:hAnsi="宋体" w:cs="宋体"/>
                <w:sz w:val="24"/>
                <w:szCs w:val="20"/>
                <w:highlight w:val="none"/>
                <w:lang w:val="en-US" w:eastAsia="zh-CN"/>
              </w:rPr>
              <w:t>20</w:t>
            </w:r>
          </w:p>
        </w:tc>
      </w:tr>
      <w:tr w14:paraId="780ACD9B">
        <w:tblPrEx>
          <w:tblCellMar>
            <w:top w:w="0" w:type="dxa"/>
            <w:left w:w="108" w:type="dxa"/>
            <w:bottom w:w="0" w:type="dxa"/>
            <w:right w:w="108" w:type="dxa"/>
          </w:tblCellMar>
        </w:tblPrEx>
        <w:trPr>
          <w:trHeight w:val="285"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14:paraId="59FFC6CC">
            <w:pPr>
              <w:widowControl/>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p>
        </w:tc>
        <w:tc>
          <w:tcPr>
            <w:tcW w:w="1517" w:type="dxa"/>
            <w:tcBorders>
              <w:top w:val="nil"/>
              <w:left w:val="nil"/>
              <w:bottom w:val="single" w:color="auto" w:sz="8" w:space="0"/>
              <w:right w:val="single" w:color="auto" w:sz="8" w:space="0"/>
            </w:tcBorders>
            <w:shd w:val="clear" w:color="auto" w:fill="auto"/>
            <w:vAlign w:val="center"/>
          </w:tcPr>
          <w:p w14:paraId="73743CDF">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sz w:val="24"/>
                <w:szCs w:val="20"/>
                <w:highlight w:val="none"/>
              </w:rPr>
            </w:pPr>
            <w:r>
              <w:rPr>
                <w:rFonts w:hint="eastAsia" w:ascii="宋体" w:hAnsi="宋体"/>
                <w:sz w:val="24"/>
                <w:szCs w:val="20"/>
                <w:highlight w:val="none"/>
              </w:rPr>
              <w:t>产品先进性</w:t>
            </w:r>
          </w:p>
        </w:tc>
        <w:tc>
          <w:tcPr>
            <w:tcW w:w="6606" w:type="dxa"/>
            <w:tcBorders>
              <w:top w:val="nil"/>
              <w:left w:val="nil"/>
              <w:bottom w:val="single" w:color="auto" w:sz="8" w:space="0"/>
              <w:right w:val="single" w:color="auto" w:sz="8" w:space="0"/>
            </w:tcBorders>
            <w:shd w:val="clear" w:color="auto" w:fill="auto"/>
            <w:noWrap/>
            <w:vAlign w:val="center"/>
          </w:tcPr>
          <w:p w14:paraId="2C2E9D1B">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olor w:val="000000"/>
                <w:sz w:val="24"/>
                <w:szCs w:val="20"/>
                <w:highlight w:val="none"/>
              </w:rPr>
            </w:pPr>
            <w:r>
              <w:rPr>
                <w:rFonts w:hint="eastAsia" w:ascii="宋体" w:hAnsi="宋体" w:eastAsia="宋体"/>
                <w:color w:val="000000"/>
                <w:sz w:val="24"/>
                <w:szCs w:val="20"/>
                <w:highlight w:val="none"/>
                <w:lang w:val="en-US" w:eastAsia="zh-CN"/>
              </w:rPr>
              <w:t>根据投标人所投产品选型、配置等内容进行综合评分（0-</w:t>
            </w:r>
            <w:r>
              <w:rPr>
                <w:rFonts w:hint="eastAsia" w:ascii="宋体" w:hAnsi="宋体"/>
                <w:color w:val="000000"/>
                <w:sz w:val="24"/>
                <w:szCs w:val="20"/>
                <w:highlight w:val="none"/>
                <w:lang w:val="en-US" w:eastAsia="zh-CN"/>
              </w:rPr>
              <w:t>15</w:t>
            </w:r>
            <w:r>
              <w:rPr>
                <w:rFonts w:hint="eastAsia" w:ascii="宋体" w:hAnsi="宋体" w:eastAsia="宋体"/>
                <w:color w:val="000000"/>
                <w:sz w:val="24"/>
                <w:szCs w:val="20"/>
                <w:highlight w:val="none"/>
                <w:lang w:val="en-US" w:eastAsia="zh-CN"/>
              </w:rPr>
              <w:t>分）。产品配置较好、技术和功能的先进、成熟度较高的得</w:t>
            </w:r>
            <w:r>
              <w:rPr>
                <w:rFonts w:hint="eastAsia" w:ascii="宋体" w:hAnsi="宋体"/>
                <w:color w:val="000000"/>
                <w:sz w:val="24"/>
                <w:szCs w:val="20"/>
                <w:highlight w:val="none"/>
                <w:lang w:val="en-US" w:eastAsia="zh-CN"/>
              </w:rPr>
              <w:t>10</w:t>
            </w:r>
            <w:r>
              <w:rPr>
                <w:rFonts w:hint="eastAsia" w:ascii="宋体" w:hAnsi="宋体" w:eastAsia="宋体"/>
                <w:color w:val="000000"/>
                <w:sz w:val="24"/>
                <w:szCs w:val="20"/>
                <w:highlight w:val="none"/>
                <w:lang w:val="en-US" w:eastAsia="zh-CN"/>
              </w:rPr>
              <w:t>.1-</w:t>
            </w:r>
            <w:r>
              <w:rPr>
                <w:rFonts w:hint="eastAsia" w:ascii="宋体" w:hAnsi="宋体"/>
                <w:color w:val="000000"/>
                <w:sz w:val="24"/>
                <w:szCs w:val="20"/>
                <w:highlight w:val="none"/>
                <w:lang w:val="en-US" w:eastAsia="zh-CN"/>
              </w:rPr>
              <w:t>15</w:t>
            </w:r>
            <w:r>
              <w:rPr>
                <w:rFonts w:hint="eastAsia" w:ascii="宋体" w:hAnsi="宋体" w:eastAsia="宋体"/>
                <w:color w:val="000000"/>
                <w:sz w:val="24"/>
                <w:szCs w:val="20"/>
                <w:highlight w:val="none"/>
                <w:lang w:val="en-US" w:eastAsia="zh-CN"/>
              </w:rPr>
              <w:t>分，产品配置中等、技术和功能不够先进的得</w:t>
            </w:r>
            <w:r>
              <w:rPr>
                <w:rFonts w:hint="eastAsia" w:ascii="宋体" w:hAnsi="宋体"/>
                <w:color w:val="000000"/>
                <w:sz w:val="24"/>
                <w:szCs w:val="20"/>
                <w:highlight w:val="none"/>
                <w:lang w:val="en-US" w:eastAsia="zh-CN"/>
              </w:rPr>
              <w:t>5</w:t>
            </w:r>
            <w:r>
              <w:rPr>
                <w:rFonts w:hint="eastAsia" w:ascii="宋体" w:hAnsi="宋体" w:eastAsia="宋体"/>
                <w:color w:val="000000"/>
                <w:sz w:val="24"/>
                <w:szCs w:val="20"/>
                <w:highlight w:val="none"/>
                <w:lang w:val="en-US" w:eastAsia="zh-CN"/>
              </w:rPr>
              <w:t>.1-</w:t>
            </w:r>
            <w:r>
              <w:rPr>
                <w:rFonts w:hint="eastAsia" w:ascii="宋体" w:hAnsi="宋体"/>
                <w:color w:val="000000"/>
                <w:sz w:val="24"/>
                <w:szCs w:val="20"/>
                <w:highlight w:val="none"/>
                <w:lang w:val="en-US" w:eastAsia="zh-CN"/>
              </w:rPr>
              <w:t>10</w:t>
            </w:r>
            <w:r>
              <w:rPr>
                <w:rFonts w:hint="eastAsia" w:ascii="宋体" w:hAnsi="宋体" w:eastAsia="宋体"/>
                <w:color w:val="000000"/>
                <w:sz w:val="24"/>
                <w:szCs w:val="20"/>
                <w:highlight w:val="none"/>
                <w:lang w:val="en-US" w:eastAsia="zh-CN"/>
              </w:rPr>
              <w:t>分，产品配置较低、技术和功能一般的得0-</w:t>
            </w:r>
            <w:r>
              <w:rPr>
                <w:rFonts w:hint="eastAsia" w:ascii="宋体" w:hAnsi="宋体"/>
                <w:color w:val="000000"/>
                <w:sz w:val="24"/>
                <w:szCs w:val="20"/>
                <w:highlight w:val="none"/>
                <w:lang w:val="en-US" w:eastAsia="zh-CN"/>
              </w:rPr>
              <w:t>5</w:t>
            </w:r>
            <w:r>
              <w:rPr>
                <w:rFonts w:hint="eastAsia" w:ascii="宋体" w:hAnsi="宋体" w:eastAsia="宋体"/>
                <w:color w:val="000000"/>
                <w:sz w:val="24"/>
                <w:szCs w:val="20"/>
                <w:highlight w:val="none"/>
                <w:lang w:val="en-US" w:eastAsia="zh-CN"/>
              </w:rPr>
              <w:t>分</w:t>
            </w:r>
            <w:r>
              <w:rPr>
                <w:rFonts w:hint="eastAsia" w:ascii="宋体" w:hAnsi="宋体"/>
                <w:color w:val="000000"/>
                <w:sz w:val="24"/>
                <w:szCs w:val="20"/>
                <w:highlight w:val="none"/>
                <w:lang w:val="en-US" w:eastAsia="zh-CN"/>
              </w:rPr>
              <w:t>，未提供</w:t>
            </w:r>
            <w:r>
              <w:rPr>
                <w:rFonts w:hint="eastAsia" w:ascii="宋体" w:hAnsi="宋体" w:eastAsia="宋体"/>
                <w:color w:val="000000"/>
                <w:sz w:val="24"/>
                <w:szCs w:val="20"/>
                <w:highlight w:val="none"/>
              </w:rPr>
              <w:t>不得分。</w:t>
            </w:r>
          </w:p>
        </w:tc>
        <w:tc>
          <w:tcPr>
            <w:tcW w:w="873" w:type="dxa"/>
            <w:tcBorders>
              <w:top w:val="nil"/>
              <w:left w:val="nil"/>
              <w:bottom w:val="single" w:color="auto" w:sz="8" w:space="0"/>
              <w:right w:val="single" w:color="auto" w:sz="8" w:space="0"/>
            </w:tcBorders>
            <w:shd w:val="clear" w:color="auto" w:fill="auto"/>
            <w:noWrap/>
            <w:vAlign w:val="center"/>
          </w:tcPr>
          <w:p w14:paraId="270770CB">
            <w:pPr>
              <w:widowControl/>
              <w:jc w:val="center"/>
              <w:rPr>
                <w:rFonts w:hint="default" w:ascii="宋体" w:hAnsi="宋体" w:eastAsia="宋体" w:cs="宋体"/>
                <w:sz w:val="24"/>
                <w:szCs w:val="20"/>
                <w:highlight w:val="none"/>
                <w:lang w:val="en-US" w:eastAsia="zh-CN"/>
              </w:rPr>
            </w:pPr>
            <w:r>
              <w:rPr>
                <w:rFonts w:hint="eastAsia" w:ascii="宋体" w:hAnsi="宋体" w:cs="宋体"/>
                <w:sz w:val="24"/>
                <w:szCs w:val="20"/>
                <w:highlight w:val="none"/>
                <w:lang w:val="en-US" w:eastAsia="zh-CN"/>
              </w:rPr>
              <w:t>15</w:t>
            </w:r>
          </w:p>
        </w:tc>
      </w:tr>
      <w:tr w14:paraId="7A1472F0">
        <w:tblPrEx>
          <w:tblCellMar>
            <w:top w:w="0" w:type="dxa"/>
            <w:left w:w="108" w:type="dxa"/>
            <w:bottom w:w="0" w:type="dxa"/>
            <w:right w:w="108" w:type="dxa"/>
          </w:tblCellMar>
        </w:tblPrEx>
        <w:trPr>
          <w:trHeight w:val="555"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14:paraId="495158AB">
            <w:pPr>
              <w:widowControl/>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4</w:t>
            </w:r>
          </w:p>
        </w:tc>
        <w:tc>
          <w:tcPr>
            <w:tcW w:w="1517" w:type="dxa"/>
            <w:tcBorders>
              <w:top w:val="nil"/>
              <w:left w:val="nil"/>
              <w:bottom w:val="single" w:color="auto" w:sz="8" w:space="0"/>
              <w:right w:val="single" w:color="auto" w:sz="8" w:space="0"/>
            </w:tcBorders>
            <w:shd w:val="clear" w:color="auto" w:fill="auto"/>
            <w:vAlign w:val="center"/>
          </w:tcPr>
          <w:p w14:paraId="2EAEE609">
            <w:pPr>
              <w:keepNext w:val="0"/>
              <w:keepLines w:val="0"/>
              <w:pageBreakBefore w:val="0"/>
              <w:kinsoku/>
              <w:wordWrap/>
              <w:overflowPunct/>
              <w:topLinePunct w:val="0"/>
              <w:autoSpaceDE/>
              <w:autoSpaceDN/>
              <w:bidi w:val="0"/>
              <w:adjustRightInd/>
              <w:snapToGrid/>
              <w:spacing w:line="480" w:lineRule="exact"/>
              <w:ind w:left="280" w:hanging="240" w:hangingChars="100"/>
              <w:jc w:val="center"/>
              <w:textAlignment w:val="auto"/>
              <w:rPr>
                <w:rFonts w:hint="eastAsia" w:ascii="宋体" w:hAnsi="宋体" w:eastAsia="宋体"/>
                <w:sz w:val="24"/>
                <w:szCs w:val="20"/>
                <w:highlight w:val="none"/>
              </w:rPr>
            </w:pPr>
            <w:r>
              <w:rPr>
                <w:rFonts w:hint="eastAsia" w:ascii="宋体" w:hAnsi="宋体" w:eastAsia="宋体"/>
                <w:sz w:val="24"/>
                <w:szCs w:val="20"/>
                <w:highlight w:val="none"/>
              </w:rPr>
              <w:t>总体技术</w:t>
            </w:r>
          </w:p>
          <w:p w14:paraId="312E1327">
            <w:pPr>
              <w:keepNext w:val="0"/>
              <w:keepLines w:val="0"/>
              <w:pageBreakBefore w:val="0"/>
              <w:kinsoku/>
              <w:wordWrap/>
              <w:overflowPunct/>
              <w:topLinePunct w:val="0"/>
              <w:autoSpaceDE/>
              <w:autoSpaceDN/>
              <w:bidi w:val="0"/>
              <w:adjustRightInd/>
              <w:snapToGrid/>
              <w:spacing w:line="480" w:lineRule="exact"/>
              <w:ind w:left="280" w:hanging="240" w:hangingChars="100"/>
              <w:jc w:val="center"/>
              <w:textAlignment w:val="auto"/>
              <w:rPr>
                <w:rFonts w:hint="eastAsia" w:ascii="宋体" w:hAnsi="宋体" w:eastAsia="宋体"/>
                <w:sz w:val="24"/>
                <w:szCs w:val="20"/>
                <w:highlight w:val="none"/>
              </w:rPr>
            </w:pPr>
            <w:r>
              <w:rPr>
                <w:rFonts w:hint="eastAsia" w:ascii="宋体" w:hAnsi="宋体" w:eastAsia="宋体"/>
                <w:sz w:val="24"/>
                <w:szCs w:val="20"/>
                <w:highlight w:val="none"/>
              </w:rPr>
              <w:t>方案</w:t>
            </w:r>
          </w:p>
        </w:tc>
        <w:tc>
          <w:tcPr>
            <w:tcW w:w="6606" w:type="dxa"/>
            <w:tcBorders>
              <w:top w:val="nil"/>
              <w:left w:val="nil"/>
              <w:bottom w:val="single" w:color="auto" w:sz="8" w:space="0"/>
              <w:right w:val="single" w:color="auto" w:sz="8" w:space="0"/>
            </w:tcBorders>
            <w:shd w:val="clear" w:color="auto" w:fill="auto"/>
            <w:noWrap/>
            <w:vAlign w:val="center"/>
          </w:tcPr>
          <w:p w14:paraId="45F55CE6">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olor w:val="000000"/>
                <w:sz w:val="24"/>
                <w:szCs w:val="20"/>
                <w:highlight w:val="none"/>
              </w:rPr>
            </w:pPr>
            <w:r>
              <w:rPr>
                <w:rFonts w:hint="eastAsia" w:ascii="宋体" w:hAnsi="宋体" w:eastAsia="宋体"/>
                <w:color w:val="000000"/>
                <w:sz w:val="24"/>
                <w:szCs w:val="20"/>
                <w:highlight w:val="none"/>
              </w:rPr>
              <w:t>1）比较各投标人提供的医院银医平台的总体技术方案，包括部署方式、功能介绍、服务性能描述等内容，</w:t>
            </w:r>
            <w:r>
              <w:rPr>
                <w:rFonts w:hint="eastAsia" w:ascii="宋体" w:hAnsi="宋体"/>
                <w:color w:val="000000"/>
                <w:sz w:val="24"/>
                <w:szCs w:val="20"/>
                <w:highlight w:val="none"/>
                <w:lang w:eastAsia="zh-CN"/>
              </w:rPr>
              <w:t>（</w:t>
            </w:r>
            <w:r>
              <w:rPr>
                <w:rFonts w:hint="eastAsia" w:ascii="宋体" w:hAnsi="宋体"/>
                <w:color w:val="000000"/>
                <w:sz w:val="24"/>
                <w:szCs w:val="20"/>
                <w:highlight w:val="none"/>
                <w:lang w:val="en-US" w:eastAsia="zh-CN"/>
              </w:rPr>
              <w:t>0-5分），未提供方案</w:t>
            </w:r>
            <w:r>
              <w:rPr>
                <w:rFonts w:hint="eastAsia" w:ascii="宋体" w:hAnsi="宋体" w:eastAsia="宋体"/>
                <w:color w:val="000000"/>
                <w:sz w:val="24"/>
                <w:szCs w:val="20"/>
                <w:highlight w:val="none"/>
              </w:rPr>
              <w:t>不得分；</w:t>
            </w:r>
          </w:p>
          <w:p w14:paraId="208071F4">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olor w:val="000000"/>
                <w:sz w:val="24"/>
                <w:szCs w:val="20"/>
                <w:highlight w:val="none"/>
              </w:rPr>
            </w:pPr>
            <w:r>
              <w:rPr>
                <w:rFonts w:hint="eastAsia" w:ascii="宋体" w:hAnsi="宋体" w:eastAsia="宋体"/>
                <w:color w:val="000000"/>
                <w:sz w:val="24"/>
                <w:szCs w:val="20"/>
                <w:highlight w:val="none"/>
              </w:rPr>
              <w:t>2）各投标人总体技术方案，包括功能介绍及完整的界面截图等内容，功能需覆盖招标文件的所有功能点</w:t>
            </w:r>
            <w:r>
              <w:rPr>
                <w:rFonts w:hint="eastAsia" w:ascii="宋体" w:hAnsi="宋体"/>
                <w:color w:val="000000"/>
                <w:sz w:val="24"/>
                <w:szCs w:val="20"/>
                <w:highlight w:val="none"/>
                <w:lang w:eastAsia="zh-CN"/>
              </w:rPr>
              <w:t>（</w:t>
            </w:r>
            <w:r>
              <w:rPr>
                <w:rFonts w:hint="eastAsia" w:ascii="宋体" w:hAnsi="宋体"/>
                <w:color w:val="000000"/>
                <w:sz w:val="24"/>
                <w:szCs w:val="20"/>
                <w:highlight w:val="none"/>
                <w:lang w:val="en-US" w:eastAsia="zh-CN"/>
              </w:rPr>
              <w:t>0-5分）未提供方案</w:t>
            </w:r>
            <w:r>
              <w:rPr>
                <w:rFonts w:hint="eastAsia" w:ascii="宋体" w:hAnsi="宋体" w:eastAsia="宋体"/>
                <w:color w:val="000000"/>
                <w:sz w:val="24"/>
                <w:szCs w:val="20"/>
                <w:highlight w:val="none"/>
              </w:rPr>
              <w:t>不得分；</w:t>
            </w:r>
          </w:p>
          <w:p w14:paraId="522E9B89">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olor w:val="000000"/>
                <w:sz w:val="24"/>
                <w:szCs w:val="20"/>
                <w:highlight w:val="none"/>
              </w:rPr>
            </w:pPr>
            <w:r>
              <w:rPr>
                <w:rFonts w:hint="eastAsia" w:ascii="宋体" w:hAnsi="宋体" w:eastAsia="宋体"/>
                <w:color w:val="000000"/>
                <w:sz w:val="24"/>
                <w:szCs w:val="20"/>
                <w:highlight w:val="none"/>
              </w:rPr>
              <w:t>3）系统软件可扩展、可维护性：可灵活追加新的模块，模块内的业务流程可灵活再造，支持与不同的软硬件平台对接；软件可分布式部署、模块化设计；</w:t>
            </w:r>
            <w:r>
              <w:rPr>
                <w:rFonts w:hint="eastAsia" w:ascii="宋体" w:hAnsi="宋体"/>
                <w:color w:val="000000"/>
                <w:sz w:val="24"/>
                <w:szCs w:val="20"/>
                <w:highlight w:val="none"/>
                <w:lang w:eastAsia="zh-CN"/>
              </w:rPr>
              <w:t>（</w:t>
            </w:r>
            <w:r>
              <w:rPr>
                <w:rFonts w:hint="eastAsia" w:ascii="宋体" w:hAnsi="宋体"/>
                <w:color w:val="000000"/>
                <w:sz w:val="24"/>
                <w:szCs w:val="20"/>
                <w:highlight w:val="none"/>
                <w:lang w:val="en-US" w:eastAsia="zh-CN"/>
              </w:rPr>
              <w:t>0-</w:t>
            </w:r>
            <w:r>
              <w:rPr>
                <w:rFonts w:hint="eastAsia" w:ascii="宋体" w:hAnsi="宋体" w:eastAsia="宋体"/>
                <w:color w:val="000000"/>
                <w:sz w:val="24"/>
                <w:szCs w:val="20"/>
                <w:highlight w:val="none"/>
              </w:rPr>
              <w:t>5分</w:t>
            </w:r>
            <w:r>
              <w:rPr>
                <w:rFonts w:hint="eastAsia" w:ascii="宋体" w:hAnsi="宋体"/>
                <w:color w:val="000000"/>
                <w:sz w:val="24"/>
                <w:szCs w:val="20"/>
                <w:highlight w:val="none"/>
                <w:lang w:eastAsia="zh-CN"/>
              </w:rPr>
              <w:t>），</w:t>
            </w:r>
            <w:r>
              <w:rPr>
                <w:rFonts w:hint="eastAsia" w:ascii="宋体" w:hAnsi="宋体"/>
                <w:color w:val="000000"/>
                <w:sz w:val="24"/>
                <w:szCs w:val="20"/>
                <w:highlight w:val="none"/>
                <w:lang w:val="en-US" w:eastAsia="zh-CN"/>
              </w:rPr>
              <w:t>未提供</w:t>
            </w:r>
            <w:r>
              <w:rPr>
                <w:rFonts w:hint="eastAsia" w:ascii="宋体" w:hAnsi="宋体" w:eastAsia="宋体"/>
                <w:color w:val="000000"/>
                <w:sz w:val="24"/>
                <w:szCs w:val="20"/>
                <w:highlight w:val="none"/>
              </w:rPr>
              <w:t>不得分。</w:t>
            </w:r>
          </w:p>
        </w:tc>
        <w:tc>
          <w:tcPr>
            <w:tcW w:w="873" w:type="dxa"/>
            <w:tcBorders>
              <w:top w:val="nil"/>
              <w:left w:val="nil"/>
              <w:bottom w:val="single" w:color="auto" w:sz="8" w:space="0"/>
              <w:right w:val="single" w:color="auto" w:sz="8" w:space="0"/>
            </w:tcBorders>
            <w:shd w:val="clear" w:color="auto" w:fill="auto"/>
            <w:noWrap/>
            <w:vAlign w:val="center"/>
          </w:tcPr>
          <w:p w14:paraId="70E051C8">
            <w:pPr>
              <w:widowControl/>
              <w:jc w:val="center"/>
              <w:rPr>
                <w:rFonts w:hint="default" w:ascii="宋体" w:hAnsi="宋体" w:eastAsia="宋体" w:cs="宋体"/>
                <w:sz w:val="24"/>
                <w:szCs w:val="20"/>
                <w:highlight w:val="none"/>
                <w:lang w:val="en-US" w:eastAsia="zh-CN"/>
              </w:rPr>
            </w:pPr>
            <w:r>
              <w:rPr>
                <w:rFonts w:hint="eastAsia" w:ascii="宋体" w:hAnsi="宋体" w:cs="宋体"/>
                <w:sz w:val="24"/>
                <w:szCs w:val="20"/>
                <w:highlight w:val="none"/>
                <w:lang w:val="en-US" w:eastAsia="zh-CN"/>
              </w:rPr>
              <w:t>15</w:t>
            </w:r>
          </w:p>
        </w:tc>
      </w:tr>
      <w:tr w14:paraId="5EE484F2">
        <w:tblPrEx>
          <w:tblCellMar>
            <w:top w:w="0" w:type="dxa"/>
            <w:left w:w="108" w:type="dxa"/>
            <w:bottom w:w="0" w:type="dxa"/>
            <w:right w:w="108" w:type="dxa"/>
          </w:tblCellMar>
        </w:tblPrEx>
        <w:trPr>
          <w:trHeight w:val="750"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14:paraId="5C721A01">
            <w:pPr>
              <w:widowControl/>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5</w:t>
            </w:r>
          </w:p>
        </w:tc>
        <w:tc>
          <w:tcPr>
            <w:tcW w:w="1517" w:type="dxa"/>
            <w:tcBorders>
              <w:top w:val="nil"/>
              <w:left w:val="nil"/>
              <w:bottom w:val="single" w:color="auto" w:sz="8" w:space="0"/>
              <w:right w:val="single" w:color="auto" w:sz="8" w:space="0"/>
            </w:tcBorders>
            <w:shd w:val="clear" w:color="auto" w:fill="auto"/>
            <w:vAlign w:val="center"/>
          </w:tcPr>
          <w:p w14:paraId="748B1DC8">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sz w:val="24"/>
                <w:szCs w:val="20"/>
                <w:highlight w:val="none"/>
              </w:rPr>
            </w:pPr>
            <w:r>
              <w:rPr>
                <w:rFonts w:hint="eastAsia" w:ascii="宋体" w:hAnsi="宋体" w:eastAsia="宋体"/>
                <w:sz w:val="24"/>
                <w:szCs w:val="20"/>
                <w:highlight w:val="none"/>
              </w:rPr>
              <w:t>供货安装</w:t>
            </w:r>
          </w:p>
          <w:p w14:paraId="144F50C0">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sz w:val="24"/>
                <w:szCs w:val="20"/>
                <w:highlight w:val="none"/>
              </w:rPr>
            </w:pPr>
            <w:r>
              <w:rPr>
                <w:rFonts w:hint="eastAsia" w:ascii="宋体" w:hAnsi="宋体" w:eastAsia="宋体"/>
                <w:sz w:val="24"/>
                <w:szCs w:val="20"/>
                <w:highlight w:val="none"/>
              </w:rPr>
              <w:t>进度</w:t>
            </w:r>
          </w:p>
        </w:tc>
        <w:tc>
          <w:tcPr>
            <w:tcW w:w="6606" w:type="dxa"/>
            <w:tcBorders>
              <w:top w:val="nil"/>
              <w:left w:val="nil"/>
              <w:bottom w:val="single" w:color="auto" w:sz="8" w:space="0"/>
              <w:right w:val="single" w:color="auto" w:sz="8" w:space="0"/>
            </w:tcBorders>
            <w:shd w:val="clear" w:color="auto" w:fill="auto"/>
            <w:vAlign w:val="center"/>
          </w:tcPr>
          <w:p w14:paraId="2D62F26E">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olor w:val="000000"/>
                <w:sz w:val="24"/>
                <w:szCs w:val="20"/>
                <w:highlight w:val="none"/>
              </w:rPr>
            </w:pPr>
            <w:r>
              <w:rPr>
                <w:rFonts w:hint="eastAsia" w:hAnsi="宋体" w:cs="宋体"/>
                <w:sz w:val="24"/>
                <w:szCs w:val="20"/>
                <w:highlight w:val="none"/>
              </w:rPr>
              <w:t>对公司技术力量情况、供货安装进度的安排合理性、现场安全措施的可行性等方面打分；优于项目需求的得</w:t>
            </w:r>
            <w:r>
              <w:rPr>
                <w:rFonts w:hint="eastAsia" w:hAnsi="宋体" w:cs="宋体"/>
                <w:sz w:val="24"/>
                <w:szCs w:val="20"/>
                <w:highlight w:val="none"/>
                <w:lang w:val="en-US" w:eastAsia="zh-CN"/>
              </w:rPr>
              <w:t>6</w:t>
            </w:r>
            <w:r>
              <w:rPr>
                <w:rFonts w:hint="eastAsia" w:hAnsi="宋体" w:cs="宋体"/>
                <w:sz w:val="24"/>
                <w:szCs w:val="20"/>
                <w:highlight w:val="none"/>
              </w:rPr>
              <w:t>.1-</w:t>
            </w:r>
            <w:r>
              <w:rPr>
                <w:rFonts w:hint="eastAsia" w:hAnsi="宋体" w:cs="宋体"/>
                <w:sz w:val="24"/>
                <w:szCs w:val="20"/>
                <w:highlight w:val="none"/>
                <w:lang w:val="en-US" w:eastAsia="zh-CN"/>
              </w:rPr>
              <w:t>8</w:t>
            </w:r>
            <w:r>
              <w:rPr>
                <w:rFonts w:hint="eastAsia" w:hAnsi="宋体" w:cs="宋体"/>
                <w:sz w:val="24"/>
                <w:szCs w:val="20"/>
                <w:highlight w:val="none"/>
              </w:rPr>
              <w:t>分，基本符合项目需求的得</w:t>
            </w:r>
            <w:r>
              <w:rPr>
                <w:rFonts w:hint="eastAsia" w:hAnsi="宋体" w:cs="宋体"/>
                <w:sz w:val="24"/>
                <w:szCs w:val="20"/>
                <w:highlight w:val="none"/>
                <w:lang w:val="en-US" w:eastAsia="zh-CN"/>
              </w:rPr>
              <w:t>3</w:t>
            </w:r>
            <w:r>
              <w:rPr>
                <w:rFonts w:hint="eastAsia" w:hAnsi="宋体" w:cs="宋体"/>
                <w:sz w:val="24"/>
                <w:szCs w:val="20"/>
                <w:highlight w:val="none"/>
              </w:rPr>
              <w:t>.1-</w:t>
            </w:r>
            <w:r>
              <w:rPr>
                <w:rFonts w:hint="eastAsia" w:hAnsi="宋体" w:cs="宋体"/>
                <w:sz w:val="24"/>
                <w:szCs w:val="20"/>
                <w:highlight w:val="none"/>
                <w:lang w:val="en-US" w:eastAsia="zh-CN"/>
              </w:rPr>
              <w:t>6</w:t>
            </w:r>
            <w:r>
              <w:rPr>
                <w:rFonts w:hint="eastAsia" w:hAnsi="宋体" w:cs="宋体"/>
                <w:sz w:val="24"/>
                <w:szCs w:val="20"/>
                <w:highlight w:val="none"/>
              </w:rPr>
              <w:t>分，部分符合项目需求的得0.1-</w:t>
            </w:r>
            <w:r>
              <w:rPr>
                <w:rFonts w:hint="eastAsia" w:hAnsi="宋体" w:cs="宋体"/>
                <w:sz w:val="24"/>
                <w:szCs w:val="20"/>
                <w:highlight w:val="none"/>
                <w:lang w:val="en-US" w:eastAsia="zh-CN"/>
              </w:rPr>
              <w:t>3</w:t>
            </w:r>
            <w:r>
              <w:rPr>
                <w:rFonts w:hint="eastAsia" w:hAnsi="宋体" w:cs="宋体"/>
                <w:sz w:val="24"/>
                <w:szCs w:val="20"/>
                <w:highlight w:val="none"/>
              </w:rPr>
              <w:t>分,不符合项目需求的得0分，共</w:t>
            </w:r>
            <w:r>
              <w:rPr>
                <w:rFonts w:hint="eastAsia" w:hAnsi="宋体" w:cs="宋体"/>
                <w:sz w:val="24"/>
                <w:szCs w:val="20"/>
                <w:highlight w:val="none"/>
                <w:lang w:val="en-US" w:eastAsia="zh-CN"/>
              </w:rPr>
              <w:t>8</w:t>
            </w:r>
            <w:r>
              <w:rPr>
                <w:rFonts w:hint="eastAsia" w:hAnsi="宋体" w:cs="宋体"/>
                <w:sz w:val="24"/>
                <w:szCs w:val="20"/>
                <w:highlight w:val="none"/>
              </w:rPr>
              <w:t>分。</w:t>
            </w:r>
          </w:p>
        </w:tc>
        <w:tc>
          <w:tcPr>
            <w:tcW w:w="873" w:type="dxa"/>
            <w:tcBorders>
              <w:top w:val="nil"/>
              <w:left w:val="nil"/>
              <w:bottom w:val="single" w:color="auto" w:sz="8" w:space="0"/>
              <w:right w:val="single" w:color="auto" w:sz="8" w:space="0"/>
            </w:tcBorders>
            <w:shd w:val="clear" w:color="auto" w:fill="auto"/>
            <w:noWrap/>
            <w:vAlign w:val="center"/>
          </w:tcPr>
          <w:p w14:paraId="5F59E81E">
            <w:pPr>
              <w:widowControl/>
              <w:jc w:val="center"/>
              <w:rPr>
                <w:rFonts w:hint="default" w:ascii="宋体" w:hAnsi="宋体" w:eastAsia="宋体" w:cs="宋体"/>
                <w:sz w:val="24"/>
                <w:szCs w:val="20"/>
                <w:highlight w:val="none"/>
                <w:lang w:val="en-US" w:eastAsia="zh-CN"/>
              </w:rPr>
            </w:pPr>
            <w:r>
              <w:rPr>
                <w:rFonts w:hint="eastAsia" w:ascii="宋体" w:hAnsi="宋体" w:cs="宋体"/>
                <w:sz w:val="24"/>
                <w:szCs w:val="20"/>
                <w:highlight w:val="none"/>
                <w:lang w:val="en-US" w:eastAsia="zh-CN"/>
              </w:rPr>
              <w:t>8</w:t>
            </w:r>
          </w:p>
        </w:tc>
      </w:tr>
      <w:tr w14:paraId="3AEFFD6B">
        <w:tblPrEx>
          <w:tblCellMar>
            <w:top w:w="0" w:type="dxa"/>
            <w:left w:w="108" w:type="dxa"/>
            <w:bottom w:w="0" w:type="dxa"/>
            <w:right w:w="108" w:type="dxa"/>
          </w:tblCellMar>
        </w:tblPrEx>
        <w:trPr>
          <w:trHeight w:val="750"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14:paraId="365CBE99">
            <w:pPr>
              <w:widowControl/>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6</w:t>
            </w:r>
          </w:p>
        </w:tc>
        <w:tc>
          <w:tcPr>
            <w:tcW w:w="1517" w:type="dxa"/>
            <w:tcBorders>
              <w:top w:val="nil"/>
              <w:left w:val="nil"/>
              <w:bottom w:val="single" w:color="auto" w:sz="8" w:space="0"/>
              <w:right w:val="single" w:color="auto" w:sz="8" w:space="0"/>
            </w:tcBorders>
            <w:shd w:val="clear" w:color="auto" w:fill="auto"/>
            <w:vAlign w:val="center"/>
          </w:tcPr>
          <w:p w14:paraId="3AF9646E">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sz w:val="24"/>
                <w:szCs w:val="20"/>
                <w:highlight w:val="none"/>
              </w:rPr>
            </w:pPr>
            <w:r>
              <w:rPr>
                <w:rFonts w:hint="eastAsia" w:ascii="宋体" w:hAnsi="宋体" w:eastAsia="宋体"/>
                <w:sz w:val="24"/>
                <w:szCs w:val="20"/>
                <w:highlight w:val="none"/>
              </w:rPr>
              <w:t>优惠条件</w:t>
            </w:r>
          </w:p>
        </w:tc>
        <w:tc>
          <w:tcPr>
            <w:tcW w:w="6606" w:type="dxa"/>
            <w:tcBorders>
              <w:top w:val="nil"/>
              <w:left w:val="nil"/>
              <w:bottom w:val="single" w:color="auto" w:sz="8" w:space="0"/>
              <w:right w:val="single" w:color="auto" w:sz="8" w:space="0"/>
            </w:tcBorders>
            <w:shd w:val="clear" w:color="auto" w:fill="auto"/>
            <w:vAlign w:val="center"/>
          </w:tcPr>
          <w:p w14:paraId="00D683FE">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olor w:val="000000"/>
                <w:sz w:val="24"/>
                <w:szCs w:val="20"/>
                <w:highlight w:val="none"/>
              </w:rPr>
            </w:pPr>
            <w:r>
              <w:rPr>
                <w:rFonts w:hint="eastAsia" w:ascii="宋体" w:hAnsi="宋体" w:eastAsia="宋体"/>
                <w:color w:val="000000"/>
                <w:sz w:val="24"/>
                <w:szCs w:val="20"/>
                <w:highlight w:val="none"/>
              </w:rPr>
              <w:t>投标文件中明确提供优惠承诺的可行性和优惠性，是否有利于本项目实施的进行打分。（0-</w:t>
            </w:r>
            <w:r>
              <w:rPr>
                <w:rFonts w:hint="eastAsia" w:ascii="宋体" w:hAnsi="宋体" w:eastAsia="宋体"/>
                <w:color w:val="000000"/>
                <w:sz w:val="24"/>
                <w:szCs w:val="20"/>
                <w:highlight w:val="none"/>
                <w:lang w:val="en-US" w:eastAsia="zh-CN"/>
              </w:rPr>
              <w:t>3</w:t>
            </w:r>
            <w:r>
              <w:rPr>
                <w:rFonts w:hint="eastAsia" w:ascii="宋体" w:hAnsi="宋体" w:eastAsia="宋体"/>
                <w:color w:val="000000"/>
                <w:sz w:val="24"/>
                <w:szCs w:val="20"/>
                <w:highlight w:val="none"/>
              </w:rPr>
              <w:t>分） </w:t>
            </w:r>
          </w:p>
        </w:tc>
        <w:tc>
          <w:tcPr>
            <w:tcW w:w="873" w:type="dxa"/>
            <w:tcBorders>
              <w:top w:val="nil"/>
              <w:left w:val="nil"/>
              <w:bottom w:val="single" w:color="auto" w:sz="8" w:space="0"/>
              <w:right w:val="single" w:color="auto" w:sz="8" w:space="0"/>
            </w:tcBorders>
            <w:shd w:val="clear" w:color="auto" w:fill="auto"/>
            <w:noWrap/>
            <w:vAlign w:val="center"/>
          </w:tcPr>
          <w:p w14:paraId="0BA7BDFF">
            <w:pPr>
              <w:widowControl/>
              <w:jc w:val="center"/>
              <w:rPr>
                <w:rFonts w:hint="eastAsia" w:ascii="宋体" w:hAnsi="宋体" w:cs="宋体"/>
                <w:sz w:val="24"/>
                <w:szCs w:val="20"/>
                <w:highlight w:val="none"/>
                <w:lang w:val="en-US" w:eastAsia="zh-CN"/>
              </w:rPr>
            </w:pPr>
            <w:r>
              <w:rPr>
                <w:rFonts w:hint="eastAsia" w:ascii="宋体" w:hAnsi="宋体" w:cs="宋体"/>
                <w:sz w:val="24"/>
                <w:szCs w:val="20"/>
                <w:highlight w:val="none"/>
                <w:lang w:val="en-US" w:eastAsia="zh-CN"/>
              </w:rPr>
              <w:t>3</w:t>
            </w:r>
          </w:p>
        </w:tc>
      </w:tr>
      <w:tr w14:paraId="54884144">
        <w:tblPrEx>
          <w:tblCellMar>
            <w:top w:w="0" w:type="dxa"/>
            <w:left w:w="108" w:type="dxa"/>
            <w:bottom w:w="0" w:type="dxa"/>
            <w:right w:w="108" w:type="dxa"/>
          </w:tblCellMar>
        </w:tblPrEx>
        <w:trPr>
          <w:trHeight w:val="735"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14:paraId="6C083D32">
            <w:pPr>
              <w:widowControl/>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7</w:t>
            </w:r>
          </w:p>
        </w:tc>
        <w:tc>
          <w:tcPr>
            <w:tcW w:w="1517" w:type="dxa"/>
            <w:tcBorders>
              <w:top w:val="nil"/>
              <w:left w:val="nil"/>
              <w:bottom w:val="single" w:color="auto" w:sz="8" w:space="0"/>
              <w:right w:val="single" w:color="auto" w:sz="8" w:space="0"/>
            </w:tcBorders>
            <w:shd w:val="clear" w:color="auto" w:fill="auto"/>
            <w:vAlign w:val="center"/>
          </w:tcPr>
          <w:p w14:paraId="2CE52803">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sz w:val="24"/>
                <w:szCs w:val="20"/>
                <w:highlight w:val="none"/>
                <w:lang w:eastAsia="zh-CN"/>
              </w:rPr>
            </w:pPr>
            <w:r>
              <w:rPr>
                <w:rFonts w:hint="eastAsia" w:ascii="宋体" w:hAnsi="宋体" w:eastAsia="宋体"/>
                <w:sz w:val="24"/>
                <w:szCs w:val="20"/>
                <w:highlight w:val="none"/>
                <w:lang w:eastAsia="zh-CN"/>
              </w:rPr>
              <w:t>售后服务</w:t>
            </w:r>
          </w:p>
        </w:tc>
        <w:tc>
          <w:tcPr>
            <w:tcW w:w="6606" w:type="dxa"/>
            <w:tcBorders>
              <w:top w:val="nil"/>
              <w:left w:val="nil"/>
              <w:bottom w:val="single" w:color="auto" w:sz="8" w:space="0"/>
              <w:right w:val="single" w:color="auto" w:sz="8" w:space="0"/>
            </w:tcBorders>
            <w:shd w:val="clear" w:color="auto" w:fill="auto"/>
            <w:vAlign w:val="center"/>
          </w:tcPr>
          <w:p w14:paraId="616CE09A">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olor w:val="000000"/>
                <w:sz w:val="24"/>
                <w:szCs w:val="20"/>
                <w:highlight w:val="none"/>
              </w:rPr>
            </w:pPr>
            <w:r>
              <w:rPr>
                <w:rFonts w:hint="eastAsia" w:ascii="宋体" w:hAnsi="宋体" w:eastAsia="宋体"/>
                <w:color w:val="000000"/>
                <w:sz w:val="24"/>
                <w:szCs w:val="20"/>
                <w:highlight w:val="none"/>
              </w:rPr>
              <w:t>1、现场响应时间：比较各投标人所提供服务承诺（响应时间、上门服务时间）等情况，评标委员会根据投情况进行</w:t>
            </w:r>
            <w:r>
              <w:rPr>
                <w:rFonts w:hint="eastAsia" w:ascii="宋体" w:hAnsi="宋体"/>
                <w:color w:val="000000"/>
                <w:sz w:val="24"/>
                <w:szCs w:val="20"/>
                <w:highlight w:val="none"/>
                <w:lang w:val="en-US" w:eastAsia="zh-CN"/>
              </w:rPr>
              <w:t>综合评分</w:t>
            </w:r>
            <w:r>
              <w:rPr>
                <w:rFonts w:hint="eastAsia" w:ascii="宋体" w:hAnsi="宋体" w:eastAsia="宋体"/>
                <w:color w:val="000000"/>
                <w:sz w:val="24"/>
                <w:szCs w:val="20"/>
                <w:highlight w:val="none"/>
              </w:rPr>
              <w:t>，优得</w:t>
            </w:r>
            <w:r>
              <w:rPr>
                <w:rFonts w:hint="eastAsia" w:ascii="宋体" w:hAnsi="宋体" w:eastAsia="宋体"/>
                <w:color w:val="000000"/>
                <w:sz w:val="24"/>
                <w:szCs w:val="20"/>
                <w:highlight w:val="none"/>
                <w:lang w:val="en-US" w:eastAsia="zh-CN"/>
              </w:rPr>
              <w:t>2</w:t>
            </w:r>
            <w:r>
              <w:rPr>
                <w:rFonts w:hint="eastAsia" w:ascii="宋体" w:hAnsi="宋体" w:eastAsia="宋体"/>
                <w:color w:val="000000"/>
                <w:sz w:val="24"/>
                <w:szCs w:val="20"/>
                <w:highlight w:val="none"/>
              </w:rPr>
              <w:t>分，良得1分，其次不得分；</w:t>
            </w:r>
          </w:p>
          <w:p w14:paraId="269D8A7B">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olor w:val="000000"/>
                <w:sz w:val="24"/>
                <w:szCs w:val="20"/>
                <w:highlight w:val="none"/>
              </w:rPr>
            </w:pPr>
            <w:r>
              <w:rPr>
                <w:rFonts w:hint="eastAsia" w:ascii="宋体" w:hAnsi="宋体" w:eastAsia="宋体"/>
                <w:color w:val="000000"/>
                <w:sz w:val="24"/>
                <w:szCs w:val="20"/>
                <w:highlight w:val="none"/>
              </w:rPr>
              <w:t>2、承诺按医院的要求提供现场人员培训，并提供详细的培训计划的得 1分，否则不得分。</w:t>
            </w:r>
          </w:p>
          <w:p w14:paraId="1CE3AFF8">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olor w:val="000000"/>
                <w:sz w:val="24"/>
                <w:szCs w:val="20"/>
                <w:highlight w:val="none"/>
              </w:rPr>
            </w:pPr>
            <w:r>
              <w:rPr>
                <w:rFonts w:hint="eastAsia" w:ascii="宋体" w:hAnsi="宋体" w:eastAsia="宋体"/>
                <w:color w:val="000000"/>
                <w:sz w:val="24"/>
                <w:szCs w:val="20"/>
                <w:highlight w:val="none"/>
              </w:rPr>
              <w:t>3、提供较好的银医运维服务系统，得</w:t>
            </w:r>
            <w:r>
              <w:rPr>
                <w:rFonts w:hint="eastAsia" w:ascii="宋体" w:hAnsi="宋体"/>
                <w:color w:val="000000"/>
                <w:sz w:val="24"/>
                <w:szCs w:val="20"/>
                <w:highlight w:val="none"/>
                <w:lang w:val="en-US" w:eastAsia="zh-CN"/>
              </w:rPr>
              <w:t>3</w:t>
            </w:r>
            <w:r>
              <w:rPr>
                <w:rFonts w:hint="eastAsia" w:ascii="宋体" w:hAnsi="宋体" w:eastAsia="宋体"/>
                <w:color w:val="000000"/>
                <w:sz w:val="24"/>
                <w:szCs w:val="20"/>
                <w:highlight w:val="none"/>
              </w:rPr>
              <w:t>分。</w:t>
            </w:r>
          </w:p>
        </w:tc>
        <w:tc>
          <w:tcPr>
            <w:tcW w:w="873" w:type="dxa"/>
            <w:tcBorders>
              <w:top w:val="nil"/>
              <w:left w:val="nil"/>
              <w:bottom w:val="single" w:color="auto" w:sz="8" w:space="0"/>
              <w:right w:val="single" w:color="auto" w:sz="8" w:space="0"/>
            </w:tcBorders>
            <w:shd w:val="clear" w:color="auto" w:fill="auto"/>
            <w:noWrap/>
            <w:vAlign w:val="center"/>
          </w:tcPr>
          <w:p w14:paraId="3932B504">
            <w:pPr>
              <w:widowControl/>
              <w:jc w:val="center"/>
              <w:rPr>
                <w:rFonts w:hint="eastAsia" w:ascii="宋体" w:hAnsi="宋体" w:eastAsia="宋体" w:cs="宋体"/>
                <w:sz w:val="24"/>
                <w:szCs w:val="20"/>
                <w:highlight w:val="none"/>
                <w:lang w:eastAsia="zh-CN"/>
              </w:rPr>
            </w:pPr>
            <w:r>
              <w:rPr>
                <w:rFonts w:hint="eastAsia" w:ascii="宋体" w:hAnsi="宋体" w:cs="宋体"/>
                <w:sz w:val="24"/>
                <w:szCs w:val="20"/>
                <w:highlight w:val="none"/>
                <w:lang w:val="en-US" w:eastAsia="zh-CN"/>
              </w:rPr>
              <w:t>6</w:t>
            </w:r>
          </w:p>
        </w:tc>
      </w:tr>
      <w:tr w14:paraId="7629DD55">
        <w:tblPrEx>
          <w:tblCellMar>
            <w:top w:w="0" w:type="dxa"/>
            <w:left w:w="108" w:type="dxa"/>
            <w:bottom w:w="0" w:type="dxa"/>
            <w:right w:w="108" w:type="dxa"/>
          </w:tblCellMar>
        </w:tblPrEx>
        <w:trPr>
          <w:trHeight w:val="735"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14:paraId="33DC99F9">
            <w:pPr>
              <w:widowControl/>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8</w:t>
            </w:r>
          </w:p>
        </w:tc>
        <w:tc>
          <w:tcPr>
            <w:tcW w:w="1517" w:type="dxa"/>
            <w:tcBorders>
              <w:top w:val="nil"/>
              <w:left w:val="nil"/>
              <w:bottom w:val="single" w:color="auto" w:sz="8" w:space="0"/>
              <w:right w:val="single" w:color="auto" w:sz="8" w:space="0"/>
            </w:tcBorders>
            <w:shd w:val="clear" w:color="auto" w:fill="auto"/>
            <w:vAlign w:val="center"/>
          </w:tcPr>
          <w:p w14:paraId="61E3D5E5">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sz w:val="24"/>
                <w:szCs w:val="20"/>
                <w:highlight w:val="none"/>
              </w:rPr>
            </w:pPr>
            <w:r>
              <w:rPr>
                <w:rFonts w:hint="eastAsia" w:ascii="宋体" w:hAnsi="宋体" w:eastAsia="宋体" w:cs="宋体"/>
                <w:b w:val="0"/>
                <w:bCs/>
                <w:i w:val="0"/>
                <w:color w:val="auto"/>
                <w:kern w:val="0"/>
                <w:sz w:val="24"/>
                <w:szCs w:val="24"/>
                <w:highlight w:val="none"/>
                <w:u w:val="none"/>
                <w:lang w:val="en-US" w:eastAsia="zh-CN" w:bidi="ar"/>
              </w:rPr>
              <w:t>商务</w:t>
            </w:r>
            <w:r>
              <w:rPr>
                <w:rFonts w:hint="default" w:ascii="宋体" w:hAnsi="宋体" w:eastAsia="宋体" w:cs="宋体"/>
                <w:b w:val="0"/>
                <w:bCs/>
                <w:i w:val="0"/>
                <w:color w:val="auto"/>
                <w:kern w:val="0"/>
                <w:sz w:val="24"/>
                <w:szCs w:val="24"/>
                <w:highlight w:val="none"/>
                <w:u w:val="none"/>
                <w:lang w:val="en-US" w:eastAsia="zh-CN" w:bidi="ar"/>
              </w:rPr>
              <w:t>分</w:t>
            </w:r>
          </w:p>
        </w:tc>
        <w:tc>
          <w:tcPr>
            <w:tcW w:w="6606" w:type="dxa"/>
            <w:tcBorders>
              <w:top w:val="nil"/>
              <w:left w:val="nil"/>
              <w:bottom w:val="single" w:color="auto" w:sz="8" w:space="0"/>
              <w:right w:val="single" w:color="auto" w:sz="8" w:space="0"/>
            </w:tcBorders>
            <w:shd w:val="clear" w:color="auto" w:fill="auto"/>
            <w:vAlign w:val="center"/>
          </w:tcPr>
          <w:p w14:paraId="37589AED">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olor w:val="000000"/>
                <w:sz w:val="24"/>
                <w:szCs w:val="20"/>
                <w:highlight w:val="none"/>
              </w:rPr>
            </w:pPr>
            <w:r>
              <w:rPr>
                <w:rFonts w:hint="eastAsia" w:ascii="宋体" w:hAnsi="宋体" w:eastAsia="宋体"/>
                <w:color w:val="000000"/>
                <w:sz w:val="24"/>
                <w:szCs w:val="20"/>
                <w:highlight w:val="none"/>
              </w:rPr>
              <w:t>以合格投标人有效总报价中的最低价为基准价，基准价为</w:t>
            </w:r>
            <w:r>
              <w:rPr>
                <w:rFonts w:hint="eastAsia" w:ascii="宋体" w:hAnsi="宋体" w:eastAsia="宋体"/>
                <w:color w:val="000000"/>
                <w:sz w:val="24"/>
                <w:szCs w:val="20"/>
                <w:highlight w:val="none"/>
                <w:lang w:val="en-US" w:eastAsia="zh-CN"/>
              </w:rPr>
              <w:t>3</w:t>
            </w:r>
            <w:r>
              <w:rPr>
                <w:rFonts w:hint="eastAsia" w:ascii="宋体" w:hAnsi="宋体" w:eastAsia="宋体"/>
                <w:color w:val="000000"/>
                <w:sz w:val="24"/>
                <w:szCs w:val="20"/>
                <w:highlight w:val="none"/>
              </w:rPr>
              <w:t>0分。报价得分=（评标基准价/最终报价）×</w:t>
            </w:r>
            <w:r>
              <w:rPr>
                <w:rFonts w:hint="eastAsia" w:ascii="宋体" w:hAnsi="宋体" w:eastAsia="宋体"/>
                <w:color w:val="000000"/>
                <w:sz w:val="24"/>
                <w:szCs w:val="20"/>
                <w:highlight w:val="none"/>
                <w:lang w:val="en-US" w:eastAsia="zh-CN"/>
              </w:rPr>
              <w:t>3</w:t>
            </w:r>
            <w:r>
              <w:rPr>
                <w:rFonts w:hint="eastAsia" w:ascii="宋体" w:hAnsi="宋体" w:eastAsia="宋体"/>
                <w:color w:val="000000"/>
                <w:sz w:val="24"/>
                <w:szCs w:val="20"/>
                <w:highlight w:val="none"/>
              </w:rPr>
              <w:t>0%×100（小数点后保留2位小数）。注：符合本章第七点政府采购政策的，对报价给予20%的价格扣除，用扣除后的价格参与评审。</w:t>
            </w:r>
          </w:p>
        </w:tc>
        <w:tc>
          <w:tcPr>
            <w:tcW w:w="873" w:type="dxa"/>
            <w:tcBorders>
              <w:top w:val="nil"/>
              <w:left w:val="nil"/>
              <w:bottom w:val="single" w:color="auto" w:sz="8" w:space="0"/>
              <w:right w:val="single" w:color="auto" w:sz="8" w:space="0"/>
            </w:tcBorders>
            <w:shd w:val="clear" w:color="auto" w:fill="auto"/>
            <w:noWrap/>
            <w:vAlign w:val="center"/>
          </w:tcPr>
          <w:p w14:paraId="1B130627">
            <w:pPr>
              <w:keepLines/>
              <w:jc w:val="center"/>
              <w:rPr>
                <w:rFonts w:ascii="宋体" w:hAnsi="宋体" w:cs="宋体"/>
                <w:sz w:val="24"/>
                <w:szCs w:val="20"/>
                <w:highlight w:val="none"/>
              </w:rPr>
            </w:pPr>
            <w:r>
              <w:rPr>
                <w:rFonts w:hint="eastAsia" w:ascii="宋体" w:hAnsi="宋体" w:cs="宋体"/>
                <w:sz w:val="24"/>
                <w:szCs w:val="20"/>
                <w:highlight w:val="none"/>
                <w:lang w:val="en-US" w:eastAsia="zh-CN"/>
              </w:rPr>
              <w:t>3</w:t>
            </w:r>
            <w:r>
              <w:rPr>
                <w:rFonts w:hint="eastAsia" w:ascii="宋体" w:hAnsi="宋体" w:cs="宋体"/>
                <w:sz w:val="24"/>
                <w:szCs w:val="20"/>
                <w:highlight w:val="none"/>
              </w:rPr>
              <w:t>0</w:t>
            </w:r>
          </w:p>
        </w:tc>
      </w:tr>
      <w:tr w14:paraId="5AF5CF10">
        <w:tblPrEx>
          <w:tblCellMar>
            <w:top w:w="0" w:type="dxa"/>
            <w:left w:w="108" w:type="dxa"/>
            <w:bottom w:w="0" w:type="dxa"/>
            <w:right w:w="108" w:type="dxa"/>
          </w:tblCellMar>
        </w:tblPrEx>
        <w:trPr>
          <w:trHeight w:val="560"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14:paraId="60A15D89">
            <w:pPr>
              <w:widowControl/>
              <w:jc w:val="center"/>
              <w:rPr>
                <w:rFonts w:ascii="宋体" w:hAnsi="宋体" w:cs="宋体"/>
                <w:sz w:val="24"/>
                <w:highlight w:val="none"/>
              </w:rPr>
            </w:pPr>
            <w:r>
              <w:rPr>
                <w:rFonts w:hint="eastAsia" w:ascii="宋体" w:hAnsi="宋体" w:cs="宋体"/>
                <w:sz w:val="24"/>
                <w:highlight w:val="none"/>
              </w:rPr>
              <w:t>　</w:t>
            </w:r>
          </w:p>
        </w:tc>
        <w:tc>
          <w:tcPr>
            <w:tcW w:w="1517" w:type="dxa"/>
            <w:tcBorders>
              <w:top w:val="nil"/>
              <w:left w:val="nil"/>
              <w:bottom w:val="single" w:color="auto" w:sz="8" w:space="0"/>
              <w:right w:val="single" w:color="auto" w:sz="8" w:space="0"/>
            </w:tcBorders>
            <w:shd w:val="clear" w:color="auto" w:fill="auto"/>
            <w:vAlign w:val="center"/>
          </w:tcPr>
          <w:p w14:paraId="68A87603">
            <w:pPr>
              <w:spacing w:before="60" w:after="60" w:line="360" w:lineRule="exact"/>
              <w:rPr>
                <w:rFonts w:hint="eastAsia" w:ascii="宋体" w:hAnsi="宋体"/>
                <w:szCs w:val="21"/>
                <w:highlight w:val="none"/>
              </w:rPr>
            </w:pPr>
            <w:r>
              <w:rPr>
                <w:rFonts w:hint="eastAsia" w:ascii="宋体" w:hAnsi="宋体"/>
                <w:szCs w:val="21"/>
                <w:highlight w:val="none"/>
              </w:rPr>
              <w:t>　</w:t>
            </w:r>
          </w:p>
        </w:tc>
        <w:tc>
          <w:tcPr>
            <w:tcW w:w="6606" w:type="dxa"/>
            <w:tcBorders>
              <w:top w:val="nil"/>
              <w:left w:val="nil"/>
              <w:bottom w:val="single" w:color="auto" w:sz="8" w:space="0"/>
              <w:right w:val="single" w:color="auto" w:sz="8" w:space="0"/>
            </w:tcBorders>
            <w:shd w:val="clear" w:color="auto" w:fill="auto"/>
            <w:vAlign w:val="center"/>
          </w:tcPr>
          <w:p w14:paraId="1D438E51">
            <w:pPr>
              <w:widowControl/>
              <w:rPr>
                <w:rFonts w:ascii="宋体" w:hAnsi="宋体" w:cs="宋体"/>
                <w:sz w:val="24"/>
                <w:highlight w:val="none"/>
              </w:rPr>
            </w:pPr>
            <w:r>
              <w:rPr>
                <w:rFonts w:hint="eastAsia" w:ascii="宋体" w:hAnsi="宋体" w:cs="宋体"/>
                <w:sz w:val="24"/>
                <w:highlight w:val="none"/>
              </w:rPr>
              <w:t>　合计</w:t>
            </w:r>
          </w:p>
        </w:tc>
        <w:tc>
          <w:tcPr>
            <w:tcW w:w="873" w:type="dxa"/>
            <w:tcBorders>
              <w:top w:val="nil"/>
              <w:left w:val="nil"/>
              <w:bottom w:val="single" w:color="auto" w:sz="8" w:space="0"/>
              <w:right w:val="single" w:color="auto" w:sz="8" w:space="0"/>
            </w:tcBorders>
            <w:shd w:val="clear" w:color="auto" w:fill="auto"/>
            <w:noWrap/>
            <w:vAlign w:val="center"/>
          </w:tcPr>
          <w:p w14:paraId="448B9863">
            <w:pPr>
              <w:widowControl/>
              <w:jc w:val="center"/>
              <w:rPr>
                <w:rFonts w:ascii="宋体" w:hAnsi="宋体" w:cs="宋体"/>
                <w:sz w:val="24"/>
                <w:highlight w:val="none"/>
              </w:rPr>
            </w:pPr>
            <w:r>
              <w:rPr>
                <w:rFonts w:hint="eastAsia" w:ascii="宋体" w:hAnsi="宋体" w:cs="宋体"/>
                <w:sz w:val="24"/>
                <w:highlight w:val="none"/>
              </w:rPr>
              <w:t>100</w:t>
            </w:r>
          </w:p>
        </w:tc>
      </w:tr>
    </w:tbl>
    <w:p w14:paraId="5CE465CD">
      <w:pPr>
        <w:pStyle w:val="53"/>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7"/>
          <w:rFonts w:hint="eastAsia" w:ascii="宋体" w:hAnsi="宋体" w:eastAsia="宋体" w:cs="宋体"/>
          <w:color w:val="auto"/>
          <w:sz w:val="24"/>
          <w:szCs w:val="24"/>
          <w:highlight w:val="none"/>
          <w:lang w:val="zh-TW"/>
        </w:rPr>
      </w:pPr>
      <w:r>
        <w:rPr>
          <w:rStyle w:val="607"/>
          <w:rFonts w:hint="eastAsia" w:ascii="宋体" w:hAnsi="宋体" w:eastAsia="宋体" w:cs="宋体"/>
          <w:color w:val="auto"/>
          <w:sz w:val="24"/>
          <w:szCs w:val="24"/>
          <w:highlight w:val="none"/>
          <w:lang w:val="en-US" w:eastAsia="zh-CN"/>
        </w:rPr>
        <w:t xml:space="preserve">(1) </w:t>
      </w:r>
      <w:r>
        <w:rPr>
          <w:rStyle w:val="607"/>
          <w:rFonts w:hint="eastAsia" w:ascii="宋体" w:hAnsi="宋体" w:eastAsia="宋体" w:cs="宋体"/>
          <w:color w:val="auto"/>
          <w:sz w:val="24"/>
          <w:szCs w:val="24"/>
          <w:highlight w:val="none"/>
          <w:lang w:val="zh-TW" w:eastAsia="zh-TW"/>
        </w:rPr>
        <w:t>评标委员会根据表格，对各投标单位的商务技术标进行书面审核和评论后，由各专家独立</w:t>
      </w:r>
      <w:r>
        <w:rPr>
          <w:rStyle w:val="607"/>
          <w:rFonts w:hint="eastAsia" w:ascii="宋体" w:hAnsi="宋体" w:eastAsia="宋体" w:cs="宋体"/>
          <w:color w:val="auto"/>
          <w:sz w:val="24"/>
          <w:szCs w:val="24"/>
          <w:highlight w:val="none"/>
        </w:rPr>
        <w:t>评</w:t>
      </w:r>
      <w:r>
        <w:rPr>
          <w:rStyle w:val="607"/>
          <w:rFonts w:hint="eastAsia" w:ascii="宋体" w:hAnsi="宋体" w:eastAsia="宋体" w:cs="宋体"/>
          <w:color w:val="auto"/>
          <w:sz w:val="24"/>
          <w:szCs w:val="24"/>
          <w:highlight w:val="none"/>
          <w:lang w:val="zh-TW" w:eastAsia="zh-TW"/>
        </w:rPr>
        <w:t>分，打分时保留小数</w:t>
      </w:r>
      <w:r>
        <w:rPr>
          <w:rStyle w:val="607"/>
          <w:rFonts w:hint="eastAsia" w:ascii="宋体" w:hAnsi="宋体" w:eastAsia="宋体" w:cs="宋体"/>
          <w:color w:val="auto"/>
          <w:sz w:val="24"/>
          <w:szCs w:val="24"/>
          <w:highlight w:val="none"/>
          <w:lang w:val="zh-TW"/>
        </w:rPr>
        <w:t>1</w:t>
      </w:r>
      <w:r>
        <w:rPr>
          <w:rStyle w:val="607"/>
          <w:rFonts w:hint="eastAsia" w:ascii="宋体" w:hAnsi="宋体" w:eastAsia="宋体" w:cs="宋体"/>
          <w:color w:val="auto"/>
          <w:sz w:val="24"/>
          <w:szCs w:val="24"/>
          <w:highlight w:val="none"/>
          <w:lang w:val="zh-TW" w:eastAsia="zh-TW"/>
        </w:rPr>
        <w:t>位，每人一份评分表，并签名。在统计得分时，如果发现某一单项评分超过评分细则规定的分值范围，则该张评分表无效。投标人商务技术的最终得分为评标专家组成员的有效评分的算术平均值。计算时保留小数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607"/>
          <w:rFonts w:hint="eastAsia" w:ascii="宋体" w:hAnsi="宋体" w:eastAsia="宋体" w:cs="宋体"/>
          <w:color w:val="auto"/>
          <w:sz w:val="24"/>
          <w:szCs w:val="24"/>
          <w:highlight w:val="none"/>
          <w:lang w:val="zh-TW"/>
        </w:rPr>
        <w:t>2</w:t>
      </w:r>
      <w:r>
        <w:rPr>
          <w:rStyle w:val="607"/>
          <w:rFonts w:hint="eastAsia" w:ascii="宋体" w:hAnsi="宋体" w:eastAsia="宋体" w:cs="宋体"/>
          <w:color w:val="auto"/>
          <w:sz w:val="24"/>
          <w:szCs w:val="24"/>
          <w:highlight w:val="none"/>
          <w:lang w:val="zh-TW" w:eastAsia="zh-TW"/>
        </w:rPr>
        <w:t>位</w:t>
      </w:r>
      <w:r>
        <w:rPr>
          <w:rStyle w:val="607"/>
          <w:rFonts w:hint="eastAsia" w:ascii="宋体" w:hAnsi="宋体" w:eastAsia="宋体" w:cs="宋体"/>
          <w:color w:val="auto"/>
          <w:sz w:val="24"/>
          <w:szCs w:val="24"/>
          <w:highlight w:val="none"/>
          <w:lang w:val="zh-TW"/>
        </w:rPr>
        <w:t>。</w:t>
      </w:r>
    </w:p>
    <w:p w14:paraId="1D4F7D67">
      <w:pPr>
        <w:pStyle w:val="53"/>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7"/>
          <w:rFonts w:hint="eastAsia" w:ascii="宋体" w:hAnsi="宋体" w:eastAsia="宋体" w:cs="宋体"/>
          <w:color w:val="auto"/>
          <w:sz w:val="24"/>
          <w:szCs w:val="24"/>
          <w:highlight w:val="none"/>
          <w:lang w:val="zh-TW"/>
        </w:rPr>
      </w:pPr>
      <w:r>
        <w:rPr>
          <w:rStyle w:val="607"/>
          <w:rFonts w:hint="eastAsia" w:ascii="宋体" w:hAnsi="宋体" w:eastAsia="宋体" w:cs="宋体"/>
          <w:color w:val="auto"/>
          <w:sz w:val="24"/>
          <w:szCs w:val="24"/>
          <w:highlight w:val="none"/>
          <w:lang w:val="zh-TW"/>
        </w:rPr>
        <w:t>（2）</w:t>
      </w:r>
      <w:r>
        <w:rPr>
          <w:rStyle w:val="607"/>
          <w:rFonts w:hint="eastAsia" w:ascii="宋体" w:hAnsi="宋体" w:eastAsia="宋体" w:cs="宋体"/>
          <w:color w:val="auto"/>
          <w:sz w:val="24"/>
          <w:szCs w:val="24"/>
          <w:highlight w:val="none"/>
          <w:lang w:val="zh-TW" w:eastAsia="zh-TW"/>
        </w:rPr>
        <w:t>评标委员会全体人员对评分细则和投标文件，充分讨论后，按少数服从多数的原则集体统一评分。</w:t>
      </w:r>
    </w:p>
    <w:p w14:paraId="1B96E6EF">
      <w:pPr>
        <w:pStyle w:val="586"/>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8"/>
          <w:rFonts w:hint="eastAsia" w:ascii="宋体" w:hAnsi="宋体" w:eastAsia="宋体" w:cs="宋体"/>
          <w:b/>
          <w:bCs/>
          <w:color w:val="auto"/>
          <w:szCs w:val="24"/>
          <w:highlight w:val="none"/>
        </w:rPr>
      </w:pPr>
      <w:r>
        <w:rPr>
          <w:rStyle w:val="607"/>
          <w:rFonts w:hint="eastAsia" w:ascii="宋体" w:hAnsi="宋体" w:eastAsia="宋体" w:cs="宋体"/>
          <w:color w:val="auto"/>
          <w:szCs w:val="24"/>
          <w:highlight w:val="none"/>
          <w:lang w:val="zh-TW"/>
        </w:rPr>
        <w:t>（3）</w:t>
      </w:r>
      <w:r>
        <w:rPr>
          <w:rStyle w:val="607"/>
          <w:rFonts w:hint="eastAsia" w:ascii="宋体" w:hAnsi="宋体" w:eastAsia="宋体" w:cs="宋体"/>
          <w:color w:val="auto"/>
          <w:szCs w:val="24"/>
          <w:highlight w:val="none"/>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14:paraId="4340844F">
      <w:pPr>
        <w:pStyle w:val="53"/>
        <w:keepNext w:val="0"/>
        <w:keepLines w:val="0"/>
        <w:pageBreakBefore w:val="0"/>
        <w:kinsoku/>
        <w:wordWrap/>
        <w:overflowPunct/>
        <w:topLinePunct w:val="0"/>
        <w:autoSpaceDE/>
        <w:autoSpaceDN/>
        <w:bidi w:val="0"/>
        <w:adjustRightInd/>
        <w:snapToGrid/>
        <w:spacing w:line="400" w:lineRule="exact"/>
        <w:ind w:left="0" w:leftChars="0" w:right="0" w:rightChars="0" w:firstLine="482" w:firstLineChars="200"/>
        <w:textAlignment w:val="auto"/>
        <w:outlineLvl w:val="9"/>
        <w:rPr>
          <w:rStyle w:val="608"/>
          <w:rFonts w:hint="eastAsia" w:ascii="宋体" w:hAnsi="宋体" w:eastAsia="宋体" w:cs="宋体"/>
          <w:b/>
          <w:bCs/>
          <w:color w:val="auto"/>
          <w:sz w:val="24"/>
          <w:szCs w:val="24"/>
          <w:highlight w:val="none"/>
          <w:lang w:val="zh-TW" w:eastAsia="zh-TW"/>
        </w:rPr>
      </w:pPr>
      <w:r>
        <w:rPr>
          <w:rStyle w:val="608"/>
          <w:rFonts w:hint="eastAsia" w:ascii="宋体" w:hAnsi="宋体" w:eastAsia="宋体" w:cs="宋体"/>
          <w:b/>
          <w:bCs/>
          <w:color w:val="auto"/>
          <w:sz w:val="24"/>
          <w:szCs w:val="24"/>
          <w:highlight w:val="none"/>
          <w:lang w:val="zh-TW" w:eastAsia="zh-CN"/>
        </w:rPr>
        <w:t>（</w:t>
      </w:r>
      <w:r>
        <w:rPr>
          <w:rStyle w:val="608"/>
          <w:rFonts w:hint="eastAsia" w:ascii="宋体" w:hAnsi="宋体" w:eastAsia="宋体" w:cs="宋体"/>
          <w:b/>
          <w:bCs/>
          <w:color w:val="auto"/>
          <w:sz w:val="24"/>
          <w:szCs w:val="24"/>
          <w:highlight w:val="none"/>
          <w:lang w:val="en-US" w:eastAsia="zh-CN"/>
        </w:rPr>
        <w:t>4</w:t>
      </w:r>
      <w:r>
        <w:rPr>
          <w:rStyle w:val="608"/>
          <w:rFonts w:hint="eastAsia" w:ascii="宋体" w:hAnsi="宋体" w:eastAsia="宋体" w:cs="宋体"/>
          <w:b/>
          <w:bCs/>
          <w:color w:val="auto"/>
          <w:sz w:val="24"/>
          <w:szCs w:val="24"/>
          <w:highlight w:val="none"/>
          <w:lang w:val="zh-TW" w:eastAsia="zh-CN"/>
        </w:rPr>
        <w:t>）</w:t>
      </w:r>
      <w:r>
        <w:rPr>
          <w:rStyle w:val="608"/>
          <w:rFonts w:hint="eastAsia" w:ascii="宋体" w:hAnsi="宋体" w:eastAsia="宋体" w:cs="宋体"/>
          <w:b/>
          <w:bCs/>
          <w:color w:val="auto"/>
          <w:sz w:val="24"/>
          <w:szCs w:val="24"/>
          <w:highlight w:val="none"/>
          <w:lang w:val="zh-TW" w:eastAsia="zh-TW"/>
        </w:rPr>
        <w:t>评标委员会将推荐综合评分最高的投标者为中标候选人。</w:t>
      </w:r>
    </w:p>
    <w:p w14:paraId="7018914E">
      <w:pPr>
        <w:pStyle w:val="53"/>
        <w:kinsoku/>
        <w:overflowPunct/>
        <w:bidi w:val="0"/>
        <w:spacing w:line="400" w:lineRule="exact"/>
        <w:ind w:firstLine="0" w:firstLineChars="0"/>
        <w:jc w:val="left"/>
        <w:rPr>
          <w:rStyle w:val="607"/>
          <w:rFonts w:hint="eastAsia" w:ascii="宋体" w:hAnsi="宋体" w:eastAsia="宋体" w:cs="宋体"/>
          <w:b/>
          <w:color w:val="auto"/>
          <w:sz w:val="24"/>
          <w:szCs w:val="24"/>
          <w:highlight w:val="none"/>
          <w:lang w:val="zh-CN"/>
        </w:rPr>
      </w:pPr>
      <w:r>
        <w:rPr>
          <w:rStyle w:val="607"/>
          <w:rFonts w:hint="eastAsia" w:ascii="宋体" w:hAnsi="宋体" w:eastAsia="宋体" w:cs="宋体"/>
          <w:b/>
          <w:color w:val="auto"/>
          <w:sz w:val="24"/>
          <w:szCs w:val="24"/>
          <w:highlight w:val="none"/>
          <w:lang w:val="zh-CN"/>
        </w:rPr>
        <w:t>六、开评标程序</w:t>
      </w:r>
    </w:p>
    <w:p w14:paraId="477E9813">
      <w:pPr>
        <w:pStyle w:val="586"/>
        <w:kinsoku/>
        <w:overflowPunct/>
        <w:bidi w:val="0"/>
        <w:spacing w:line="400" w:lineRule="exact"/>
        <w:ind w:firstLine="422"/>
        <w:rPr>
          <w:rStyle w:val="607"/>
          <w:rFonts w:hint="eastAsia" w:ascii="宋体" w:hAnsi="宋体" w:eastAsia="宋体" w:cs="宋体"/>
          <w:color w:val="auto"/>
          <w:szCs w:val="24"/>
          <w:highlight w:val="none"/>
          <w:lang w:val="zh-CN"/>
        </w:rPr>
      </w:pPr>
      <w:r>
        <w:rPr>
          <w:rStyle w:val="607"/>
          <w:rFonts w:hint="eastAsia" w:ascii="宋体" w:hAnsi="宋体" w:eastAsia="宋体" w:cs="宋体"/>
          <w:color w:val="auto"/>
          <w:szCs w:val="24"/>
          <w:highlight w:val="none"/>
        </w:rPr>
        <w:t>1、</w:t>
      </w:r>
      <w:r>
        <w:rPr>
          <w:rStyle w:val="607"/>
          <w:rFonts w:hint="eastAsia" w:ascii="宋体" w:hAnsi="宋体" w:eastAsia="宋体" w:cs="宋体"/>
          <w:color w:val="auto"/>
          <w:szCs w:val="24"/>
          <w:highlight w:val="none"/>
          <w:lang w:val="zh-TW"/>
        </w:rPr>
        <w:t>工作人员宣布投标截止时间，截止时间以国家授时中心标准时间为准，宣布招标会议开始。</w:t>
      </w:r>
    </w:p>
    <w:p w14:paraId="0B427EF7">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rPr>
        <w:t>2、</w:t>
      </w:r>
      <w:r>
        <w:rPr>
          <w:rStyle w:val="607"/>
          <w:rFonts w:hint="eastAsia" w:ascii="宋体" w:hAnsi="宋体" w:eastAsia="宋体" w:cs="宋体"/>
          <w:color w:val="auto"/>
          <w:szCs w:val="24"/>
          <w:highlight w:val="none"/>
          <w:lang w:val="zh-TW"/>
        </w:rPr>
        <w:t>工作人员确认投标人法定代表人（负责人）或授权委托代理人资格、投标文件递交等情况。</w:t>
      </w:r>
    </w:p>
    <w:p w14:paraId="22AD78A1">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rPr>
        <w:t>3、</w:t>
      </w:r>
      <w:r>
        <w:rPr>
          <w:rStyle w:val="607"/>
          <w:rFonts w:hint="eastAsia" w:ascii="宋体" w:hAnsi="宋体" w:eastAsia="宋体" w:cs="宋体"/>
          <w:color w:val="auto"/>
          <w:szCs w:val="24"/>
          <w:highlight w:val="none"/>
          <w:lang w:val="zh-TW"/>
        </w:rPr>
        <w:t>本项目原则上采用政采云电子招投标开标及评审程序，但有下情形之一的，按以下情况处理：</w:t>
      </w:r>
    </w:p>
    <w:p w14:paraId="18E3D62E">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若投标人的电子投标文件在规定时间内无法解密或解密失败，工作人员将开启该投标人递交的电子备份投标文件，以完成开标。</w:t>
      </w:r>
    </w:p>
    <w:p w14:paraId="63D50488">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rPr>
        <w:t>4、</w:t>
      </w:r>
      <w:r>
        <w:rPr>
          <w:rStyle w:val="607"/>
          <w:rFonts w:hint="eastAsia" w:ascii="宋体" w:hAnsi="宋体" w:eastAsia="宋体" w:cs="宋体"/>
          <w:color w:val="auto"/>
          <w:szCs w:val="24"/>
          <w:highlight w:val="none"/>
          <w:lang w:val="zh-TW"/>
        </w:rPr>
        <w:t>电子投标开标及评审程序</w:t>
      </w:r>
    </w:p>
    <w:p w14:paraId="188A6699">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（1）投标截止时间后，投标人登录政采云平台，用“项目采购-开标评标”功能对电子投标文件进行在线解密。在线解密电子投标文件时间为开标时间起半个小时内。</w:t>
      </w:r>
    </w:p>
    <w:p w14:paraId="17289D95">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（2）评标委员会对商务技术文件进行评审；</w:t>
      </w:r>
    </w:p>
    <w:p w14:paraId="27A720BC">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（3）在系统上商务技术</w:t>
      </w:r>
      <w:r>
        <w:rPr>
          <w:rStyle w:val="607"/>
          <w:rFonts w:hint="eastAsia" w:ascii="宋体" w:hAnsi="宋体" w:eastAsia="宋体" w:cs="宋体"/>
          <w:color w:val="auto"/>
          <w:szCs w:val="24"/>
          <w:highlight w:val="none"/>
        </w:rPr>
        <w:t>文件</w:t>
      </w:r>
      <w:r>
        <w:rPr>
          <w:rStyle w:val="607"/>
          <w:rFonts w:hint="eastAsia" w:ascii="宋体" w:hAnsi="宋体" w:eastAsia="宋体" w:cs="宋体"/>
          <w:color w:val="auto"/>
          <w:szCs w:val="24"/>
          <w:highlight w:val="none"/>
          <w:lang w:val="zh-TW"/>
        </w:rPr>
        <w:t>评审结果；</w:t>
      </w:r>
    </w:p>
    <w:p w14:paraId="75ED895C">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（4）在系统上公开报价开标情况；</w:t>
      </w:r>
    </w:p>
    <w:p w14:paraId="5E7F2753">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（5）评标委员会对报价情况进行评审；</w:t>
      </w:r>
    </w:p>
    <w:p w14:paraId="0F9067B9">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（6）在系统上公布评审结果。</w:t>
      </w:r>
    </w:p>
    <w:p w14:paraId="3154B8B9">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特别说明：政采云公司如对电子化开标及评审程序有调整的，按调整后的程序操作。</w:t>
      </w:r>
    </w:p>
    <w:p w14:paraId="623B8338">
      <w:pPr>
        <w:pStyle w:val="586"/>
        <w:kinsoku/>
        <w:overflowPunct/>
        <w:bidi w:val="0"/>
        <w:spacing w:line="400" w:lineRule="exact"/>
        <w:ind w:firstLine="422"/>
        <w:rPr>
          <w:rFonts w:hint="eastAsia" w:ascii="宋体" w:hAnsi="宋体" w:eastAsia="宋体" w:cs="宋体"/>
          <w:color w:val="auto"/>
          <w:szCs w:val="24"/>
          <w:highlight w:val="none"/>
        </w:rPr>
      </w:pPr>
      <w:r>
        <w:rPr>
          <w:rStyle w:val="607"/>
          <w:rFonts w:hint="eastAsia" w:ascii="宋体" w:hAnsi="宋体" w:eastAsia="宋体" w:cs="宋体"/>
          <w:color w:val="auto"/>
          <w:szCs w:val="24"/>
          <w:highlight w:val="none"/>
        </w:rPr>
        <w:t>5</w:t>
      </w:r>
      <w:r>
        <w:rPr>
          <w:rStyle w:val="607"/>
          <w:rFonts w:hint="eastAsia" w:ascii="宋体" w:hAnsi="宋体" w:eastAsia="宋体" w:cs="宋体"/>
          <w:color w:val="auto"/>
          <w:szCs w:val="24"/>
          <w:highlight w:val="none"/>
          <w:lang w:val="zh-TW"/>
        </w:rPr>
        <w:t>.开标会结束。</w:t>
      </w:r>
    </w:p>
    <w:sectPr>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HYKai U3HK">
    <w:altName w:val="MingLiU-ExtB"/>
    <w:panose1 w:val="00000000000000000000"/>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华文仿宋">
    <w:altName w:val="仿宋"/>
    <w:panose1 w:val="02010600040101010101"/>
    <w:charset w:val="86"/>
    <w:family w:val="auto"/>
    <w:pitch w:val="default"/>
    <w:sig w:usb0="00000000" w:usb1="00000000" w:usb2="00000000" w:usb3="00000000" w:csb0="0004009F" w:csb1="DFD70000"/>
  </w:font>
  <w:font w:name="ヒラギノ角ゴ Pro W3">
    <w:altName w:val="MS Gothic"/>
    <w:panose1 w:val="00000000000000000000"/>
    <w:charset w:val="80"/>
    <w:family w:val="auto"/>
    <w:pitch w:val="default"/>
    <w:sig w:usb0="00000000" w:usb1="00000000" w:usb2="00000012" w:usb3="00000000" w:csb0="0002000D" w:csb1="00000000"/>
  </w:font>
  <w:font w:name="??_GB2312">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231A9">
    <w:pPr>
      <w:pStyle w:val="5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536816">
                          <w:pPr>
                            <w:pStyle w:val="57"/>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D536816">
                    <w:pPr>
                      <w:pStyle w:val="57"/>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p w14:paraId="0CDC86BE">
    <w:pPr>
      <w:pStyle w:val="5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7901A">
    <w:pPr>
      <w:pStyle w:val="57"/>
      <w:framePr w:wrap="around" w:vAnchor="text" w:hAnchor="margin" w:xAlign="center" w:y="1"/>
      <w:rPr>
        <w:rStyle w:val="93"/>
      </w:rPr>
    </w:pPr>
    <w:r>
      <w:fldChar w:fldCharType="begin"/>
    </w:r>
    <w:r>
      <w:rPr>
        <w:rStyle w:val="93"/>
      </w:rPr>
      <w:instrText xml:space="preserve">PAGE  </w:instrText>
    </w:r>
    <w:r>
      <w:fldChar w:fldCharType="separate"/>
    </w:r>
    <w:r>
      <w:rPr>
        <w:rStyle w:val="93"/>
      </w:rPr>
      <w:t>1</w:t>
    </w:r>
    <w:r>
      <w:fldChar w:fldCharType="end"/>
    </w:r>
  </w:p>
  <w:p w14:paraId="30F96C0C">
    <w:pPr>
      <w:pStyle w:val="57"/>
    </w:pPr>
  </w:p>
  <w:p w14:paraId="4D841460"/>
  <w:p w14:paraId="7BFD5EA5"/>
  <w:p w14:paraId="18A580C9"/>
  <w:p w14:paraId="17704D1E"/>
  <w:p w14:paraId="1CC1C3D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9C8DC">
    <w:pPr>
      <w:pStyle w:val="5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1D4979">
                          <w:pPr>
                            <w:pStyle w:val="57"/>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291D4979">
                    <w:pPr>
                      <w:pStyle w:val="57"/>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257FB">
    <w:pPr>
      <w:pStyle w:val="57"/>
      <w:spacing w:before="120" w:after="120"/>
      <w:ind w:firstLine="422"/>
      <w:jc w:val="center"/>
      <w:rPr>
        <w:b/>
        <w:color w:val="984806"/>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25A414">
                          <w:pPr>
                            <w:pStyle w:val="57"/>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5B25A414">
                    <w:pPr>
                      <w:pStyle w:val="57"/>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B5D5F">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07EC0D">
                          <w:pPr>
                            <w:pStyle w:val="57"/>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2307EC0D">
                    <w:pPr>
                      <w:pStyle w:val="57"/>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AAD11">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25449D">
                          <w:pPr>
                            <w:pStyle w:val="57"/>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725449D">
                    <w:pPr>
                      <w:pStyle w:val="57"/>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CAC59">
    <w:pPr>
      <w:pStyle w:val="59"/>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247CA">
    <w:pPr>
      <w:pStyle w:val="59"/>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8FEDE">
    <w:pPr>
      <w:pStyle w:val="5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78FC4"/>
    <w:multiLevelType w:val="singleLevel"/>
    <w:tmpl w:val="99C78FC4"/>
    <w:lvl w:ilvl="0" w:tentative="0">
      <w:start w:val="3"/>
      <w:numFmt w:val="chineseCounting"/>
      <w:suff w:val="space"/>
      <w:lvlText w:val="第%1部分"/>
      <w:lvlJc w:val="left"/>
      <w:rPr>
        <w:rFonts w:hint="eastAsia"/>
      </w:rPr>
    </w:lvl>
  </w:abstractNum>
  <w:abstractNum w:abstractNumId="1">
    <w:nsid w:val="2FF86FF6"/>
    <w:multiLevelType w:val="multilevel"/>
    <w:tmpl w:val="2FF86FF6"/>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pStyle w:val="610"/>
      <w:lvlText w:val="%1.%2.%3"/>
      <w:lvlJc w:val="left"/>
      <w:pPr>
        <w:tabs>
          <w:tab w:val="left" w:pos="142"/>
        </w:tabs>
        <w:ind w:left="851" w:hanging="851"/>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2">
    <w:nsid w:val="3E21619A"/>
    <w:multiLevelType w:val="singleLevel"/>
    <w:tmpl w:val="3E21619A"/>
    <w:lvl w:ilvl="0" w:tentative="0">
      <w:start w:val="1"/>
      <w:numFmt w:val="chineseCounting"/>
      <w:suff w:val="nothing"/>
      <w:lvlText w:val="%1、"/>
      <w:lvlJc w:val="left"/>
      <w:rPr>
        <w:rFonts w:hint="eastAsia"/>
      </w:rPr>
    </w:lvl>
  </w:abstractNum>
  <w:abstractNum w:abstractNumId="3">
    <w:nsid w:val="622880F5"/>
    <w:multiLevelType w:val="singleLevel"/>
    <w:tmpl w:val="622880F5"/>
    <w:lvl w:ilvl="0" w:tentative="0">
      <w:start w:val="5"/>
      <w:numFmt w:val="chineseCounting"/>
      <w:suff w:val="nothing"/>
      <w:lvlText w:val="%1、"/>
      <w:lvlJc w:val="left"/>
    </w:lvl>
  </w:abstractNum>
  <w:abstractNum w:abstractNumId="4">
    <w:nsid w:val="6426958B"/>
    <w:multiLevelType w:val="singleLevel"/>
    <w:tmpl w:val="6426958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MzljODBiNDliMzEyMzFlZWNlN2EzYjU0N2YzMWEifQ=="/>
  </w:docVars>
  <w:rsids>
    <w:rsidRoot w:val="007A5D82"/>
    <w:rsid w:val="00027E82"/>
    <w:rsid w:val="00046B9C"/>
    <w:rsid w:val="000B2DD3"/>
    <w:rsid w:val="000B6D1D"/>
    <w:rsid w:val="000C5583"/>
    <w:rsid w:val="000D1422"/>
    <w:rsid w:val="00105D0F"/>
    <w:rsid w:val="0013265A"/>
    <w:rsid w:val="0015040C"/>
    <w:rsid w:val="001A0CD4"/>
    <w:rsid w:val="001B2290"/>
    <w:rsid w:val="002131C9"/>
    <w:rsid w:val="002272AD"/>
    <w:rsid w:val="00243D83"/>
    <w:rsid w:val="0025204E"/>
    <w:rsid w:val="002903B8"/>
    <w:rsid w:val="0034556A"/>
    <w:rsid w:val="003A42CB"/>
    <w:rsid w:val="003C5EF4"/>
    <w:rsid w:val="00406FB1"/>
    <w:rsid w:val="00415500"/>
    <w:rsid w:val="00430F02"/>
    <w:rsid w:val="00483399"/>
    <w:rsid w:val="0048446F"/>
    <w:rsid w:val="004C66FE"/>
    <w:rsid w:val="005016A3"/>
    <w:rsid w:val="00553F2B"/>
    <w:rsid w:val="00560C55"/>
    <w:rsid w:val="005770C6"/>
    <w:rsid w:val="00592201"/>
    <w:rsid w:val="005D5A89"/>
    <w:rsid w:val="00620CEE"/>
    <w:rsid w:val="006475F9"/>
    <w:rsid w:val="006557B5"/>
    <w:rsid w:val="0067025D"/>
    <w:rsid w:val="006D68BC"/>
    <w:rsid w:val="006F7EC8"/>
    <w:rsid w:val="007221E1"/>
    <w:rsid w:val="007506F2"/>
    <w:rsid w:val="00785368"/>
    <w:rsid w:val="0079676D"/>
    <w:rsid w:val="007A5D82"/>
    <w:rsid w:val="007C3852"/>
    <w:rsid w:val="007F7870"/>
    <w:rsid w:val="00806165"/>
    <w:rsid w:val="00842EA4"/>
    <w:rsid w:val="008618A5"/>
    <w:rsid w:val="0088327D"/>
    <w:rsid w:val="008B6D38"/>
    <w:rsid w:val="008D4084"/>
    <w:rsid w:val="0090511E"/>
    <w:rsid w:val="009175E9"/>
    <w:rsid w:val="00965F66"/>
    <w:rsid w:val="009D3545"/>
    <w:rsid w:val="009F125B"/>
    <w:rsid w:val="009F2638"/>
    <w:rsid w:val="00A30AEF"/>
    <w:rsid w:val="00A74250"/>
    <w:rsid w:val="00AA31C9"/>
    <w:rsid w:val="00AE44FE"/>
    <w:rsid w:val="00B1163D"/>
    <w:rsid w:val="00B2721C"/>
    <w:rsid w:val="00B34A9D"/>
    <w:rsid w:val="00B52669"/>
    <w:rsid w:val="00B63531"/>
    <w:rsid w:val="00B648EC"/>
    <w:rsid w:val="00C23D3C"/>
    <w:rsid w:val="00C36099"/>
    <w:rsid w:val="00C40E2E"/>
    <w:rsid w:val="00C63501"/>
    <w:rsid w:val="00C82DC5"/>
    <w:rsid w:val="00C83E71"/>
    <w:rsid w:val="00C94444"/>
    <w:rsid w:val="00CB7716"/>
    <w:rsid w:val="00CE6FFB"/>
    <w:rsid w:val="00D7121C"/>
    <w:rsid w:val="00D93836"/>
    <w:rsid w:val="00DC0A28"/>
    <w:rsid w:val="00E20DA8"/>
    <w:rsid w:val="00E4621F"/>
    <w:rsid w:val="00EB2895"/>
    <w:rsid w:val="00EC7558"/>
    <w:rsid w:val="00F02364"/>
    <w:rsid w:val="00F41063"/>
    <w:rsid w:val="00FC5D2D"/>
    <w:rsid w:val="011D1ADA"/>
    <w:rsid w:val="014E520E"/>
    <w:rsid w:val="01A65DF4"/>
    <w:rsid w:val="01AA487D"/>
    <w:rsid w:val="01F70F33"/>
    <w:rsid w:val="021777EF"/>
    <w:rsid w:val="02195631"/>
    <w:rsid w:val="02205F46"/>
    <w:rsid w:val="022E21C6"/>
    <w:rsid w:val="02372334"/>
    <w:rsid w:val="023B42B5"/>
    <w:rsid w:val="025564EB"/>
    <w:rsid w:val="02C45A4B"/>
    <w:rsid w:val="02C93EFC"/>
    <w:rsid w:val="02DE09FE"/>
    <w:rsid w:val="02DE46CD"/>
    <w:rsid w:val="0300101E"/>
    <w:rsid w:val="03031D77"/>
    <w:rsid w:val="0319088C"/>
    <w:rsid w:val="03366254"/>
    <w:rsid w:val="0395234B"/>
    <w:rsid w:val="039D113B"/>
    <w:rsid w:val="03D86C66"/>
    <w:rsid w:val="03DD1E88"/>
    <w:rsid w:val="03E13221"/>
    <w:rsid w:val="03EB570F"/>
    <w:rsid w:val="041465B3"/>
    <w:rsid w:val="0427203C"/>
    <w:rsid w:val="04375C55"/>
    <w:rsid w:val="043B3259"/>
    <w:rsid w:val="045C3220"/>
    <w:rsid w:val="04671DFA"/>
    <w:rsid w:val="04836EB7"/>
    <w:rsid w:val="04913A57"/>
    <w:rsid w:val="04A65518"/>
    <w:rsid w:val="04BD70CC"/>
    <w:rsid w:val="04BE22A0"/>
    <w:rsid w:val="04CF49E8"/>
    <w:rsid w:val="04CF6494"/>
    <w:rsid w:val="04E702A5"/>
    <w:rsid w:val="05155495"/>
    <w:rsid w:val="05203D67"/>
    <w:rsid w:val="053509BB"/>
    <w:rsid w:val="05363B99"/>
    <w:rsid w:val="055A008C"/>
    <w:rsid w:val="05A94E9B"/>
    <w:rsid w:val="05B5354F"/>
    <w:rsid w:val="05C77D31"/>
    <w:rsid w:val="05CF34BF"/>
    <w:rsid w:val="05D626FD"/>
    <w:rsid w:val="05E10205"/>
    <w:rsid w:val="05F36976"/>
    <w:rsid w:val="05F80E9F"/>
    <w:rsid w:val="06053772"/>
    <w:rsid w:val="06671DFD"/>
    <w:rsid w:val="06A85729"/>
    <w:rsid w:val="070B6B2B"/>
    <w:rsid w:val="07260087"/>
    <w:rsid w:val="072C7A50"/>
    <w:rsid w:val="072E6C00"/>
    <w:rsid w:val="074A5FE6"/>
    <w:rsid w:val="07534A72"/>
    <w:rsid w:val="07673B86"/>
    <w:rsid w:val="07775D81"/>
    <w:rsid w:val="077765EB"/>
    <w:rsid w:val="07D04F72"/>
    <w:rsid w:val="07F30816"/>
    <w:rsid w:val="084C20C2"/>
    <w:rsid w:val="085146E0"/>
    <w:rsid w:val="085B3EDF"/>
    <w:rsid w:val="086218C9"/>
    <w:rsid w:val="08715170"/>
    <w:rsid w:val="087D2589"/>
    <w:rsid w:val="08970A9A"/>
    <w:rsid w:val="08AD60D8"/>
    <w:rsid w:val="08D35662"/>
    <w:rsid w:val="08EF6EE4"/>
    <w:rsid w:val="09096B03"/>
    <w:rsid w:val="09190EEC"/>
    <w:rsid w:val="093D37A3"/>
    <w:rsid w:val="096D7C5A"/>
    <w:rsid w:val="09796F60"/>
    <w:rsid w:val="098258BB"/>
    <w:rsid w:val="099D5A30"/>
    <w:rsid w:val="09B878D0"/>
    <w:rsid w:val="09CA55FB"/>
    <w:rsid w:val="09E924D2"/>
    <w:rsid w:val="09EB2C7F"/>
    <w:rsid w:val="09EC0BAB"/>
    <w:rsid w:val="0A0C2E66"/>
    <w:rsid w:val="0A146479"/>
    <w:rsid w:val="0A1D3BE9"/>
    <w:rsid w:val="0A4C074B"/>
    <w:rsid w:val="0A6C3C00"/>
    <w:rsid w:val="0A705E7E"/>
    <w:rsid w:val="0A9B375F"/>
    <w:rsid w:val="0AB255E0"/>
    <w:rsid w:val="0AB61948"/>
    <w:rsid w:val="0B085EBE"/>
    <w:rsid w:val="0B1262CC"/>
    <w:rsid w:val="0B1940D3"/>
    <w:rsid w:val="0B5B2301"/>
    <w:rsid w:val="0B5C2651"/>
    <w:rsid w:val="0B786CDF"/>
    <w:rsid w:val="0B901D30"/>
    <w:rsid w:val="0BCA6CFA"/>
    <w:rsid w:val="0BD206EB"/>
    <w:rsid w:val="0BE22D2E"/>
    <w:rsid w:val="0BE23A54"/>
    <w:rsid w:val="0BE76914"/>
    <w:rsid w:val="0C274838"/>
    <w:rsid w:val="0C2F616C"/>
    <w:rsid w:val="0C4563B9"/>
    <w:rsid w:val="0C5E0654"/>
    <w:rsid w:val="0C62612E"/>
    <w:rsid w:val="0C743360"/>
    <w:rsid w:val="0C92386B"/>
    <w:rsid w:val="0CA04CA2"/>
    <w:rsid w:val="0CB85341"/>
    <w:rsid w:val="0CBD485A"/>
    <w:rsid w:val="0CD27274"/>
    <w:rsid w:val="0CE60C5B"/>
    <w:rsid w:val="0CFD24B4"/>
    <w:rsid w:val="0D0117B4"/>
    <w:rsid w:val="0D2E4F2F"/>
    <w:rsid w:val="0D4041EB"/>
    <w:rsid w:val="0D4C180E"/>
    <w:rsid w:val="0D7008B3"/>
    <w:rsid w:val="0DA678BA"/>
    <w:rsid w:val="0DA87D26"/>
    <w:rsid w:val="0DBB1D88"/>
    <w:rsid w:val="0DCE0F79"/>
    <w:rsid w:val="0DDA199C"/>
    <w:rsid w:val="0DDA727B"/>
    <w:rsid w:val="0DDC0EB9"/>
    <w:rsid w:val="0DDD00BB"/>
    <w:rsid w:val="0E125C73"/>
    <w:rsid w:val="0E173B47"/>
    <w:rsid w:val="0E445115"/>
    <w:rsid w:val="0E586E56"/>
    <w:rsid w:val="0E742F20"/>
    <w:rsid w:val="0E965313"/>
    <w:rsid w:val="0EA91E75"/>
    <w:rsid w:val="0EE344B5"/>
    <w:rsid w:val="0F0E6720"/>
    <w:rsid w:val="0F4D3080"/>
    <w:rsid w:val="0F627DA2"/>
    <w:rsid w:val="0F8A67B5"/>
    <w:rsid w:val="0FA461AB"/>
    <w:rsid w:val="0FE663C2"/>
    <w:rsid w:val="0FE718AE"/>
    <w:rsid w:val="0FE81A41"/>
    <w:rsid w:val="0FF504C5"/>
    <w:rsid w:val="10236D77"/>
    <w:rsid w:val="10384BA1"/>
    <w:rsid w:val="103F4D87"/>
    <w:rsid w:val="10523E08"/>
    <w:rsid w:val="105F2958"/>
    <w:rsid w:val="10631D68"/>
    <w:rsid w:val="1064669D"/>
    <w:rsid w:val="10716375"/>
    <w:rsid w:val="107E3BF9"/>
    <w:rsid w:val="11061962"/>
    <w:rsid w:val="1115410E"/>
    <w:rsid w:val="11202823"/>
    <w:rsid w:val="112A1FBA"/>
    <w:rsid w:val="11696F12"/>
    <w:rsid w:val="118F603A"/>
    <w:rsid w:val="119E4B3A"/>
    <w:rsid w:val="11BC311D"/>
    <w:rsid w:val="122E5B1E"/>
    <w:rsid w:val="12370AF5"/>
    <w:rsid w:val="123F44A2"/>
    <w:rsid w:val="12816125"/>
    <w:rsid w:val="128220B6"/>
    <w:rsid w:val="128C7D48"/>
    <w:rsid w:val="12AA3A07"/>
    <w:rsid w:val="12AC6E04"/>
    <w:rsid w:val="12E93547"/>
    <w:rsid w:val="12F3442E"/>
    <w:rsid w:val="1312722E"/>
    <w:rsid w:val="133476EF"/>
    <w:rsid w:val="13411BF9"/>
    <w:rsid w:val="13445791"/>
    <w:rsid w:val="134635DB"/>
    <w:rsid w:val="13646D10"/>
    <w:rsid w:val="139628D8"/>
    <w:rsid w:val="13A36590"/>
    <w:rsid w:val="13D226AF"/>
    <w:rsid w:val="13D34AF5"/>
    <w:rsid w:val="13DB4F92"/>
    <w:rsid w:val="1418000B"/>
    <w:rsid w:val="1427438A"/>
    <w:rsid w:val="14565D1F"/>
    <w:rsid w:val="14787907"/>
    <w:rsid w:val="147F0FFB"/>
    <w:rsid w:val="14806907"/>
    <w:rsid w:val="14A8396E"/>
    <w:rsid w:val="14D44300"/>
    <w:rsid w:val="14D93CB1"/>
    <w:rsid w:val="14DA70D1"/>
    <w:rsid w:val="14EF7961"/>
    <w:rsid w:val="14F56D5A"/>
    <w:rsid w:val="14FB28FE"/>
    <w:rsid w:val="150429F6"/>
    <w:rsid w:val="150D2A54"/>
    <w:rsid w:val="15156A19"/>
    <w:rsid w:val="1572095A"/>
    <w:rsid w:val="15EA5CAE"/>
    <w:rsid w:val="15FA19FE"/>
    <w:rsid w:val="160217CC"/>
    <w:rsid w:val="16027579"/>
    <w:rsid w:val="16171CB4"/>
    <w:rsid w:val="161F16D9"/>
    <w:rsid w:val="16260333"/>
    <w:rsid w:val="1643527D"/>
    <w:rsid w:val="164A11FC"/>
    <w:rsid w:val="164A6903"/>
    <w:rsid w:val="164C095D"/>
    <w:rsid w:val="16623374"/>
    <w:rsid w:val="16632339"/>
    <w:rsid w:val="167A25D1"/>
    <w:rsid w:val="168626AD"/>
    <w:rsid w:val="16AF74C1"/>
    <w:rsid w:val="16B451A1"/>
    <w:rsid w:val="170A73BD"/>
    <w:rsid w:val="174A5A95"/>
    <w:rsid w:val="174F4395"/>
    <w:rsid w:val="176B0DEA"/>
    <w:rsid w:val="1777258E"/>
    <w:rsid w:val="177B2B4C"/>
    <w:rsid w:val="17847968"/>
    <w:rsid w:val="17863144"/>
    <w:rsid w:val="1786425E"/>
    <w:rsid w:val="178A0924"/>
    <w:rsid w:val="17A16F12"/>
    <w:rsid w:val="17BE442F"/>
    <w:rsid w:val="17C54B98"/>
    <w:rsid w:val="17CF4BB8"/>
    <w:rsid w:val="17D21925"/>
    <w:rsid w:val="17DF243D"/>
    <w:rsid w:val="17E84521"/>
    <w:rsid w:val="17EB14FB"/>
    <w:rsid w:val="17FE0027"/>
    <w:rsid w:val="181B0779"/>
    <w:rsid w:val="18400A5E"/>
    <w:rsid w:val="18407A15"/>
    <w:rsid w:val="187E6CAF"/>
    <w:rsid w:val="188633DB"/>
    <w:rsid w:val="188A1F09"/>
    <w:rsid w:val="188D05C7"/>
    <w:rsid w:val="18C73D32"/>
    <w:rsid w:val="18CB2B75"/>
    <w:rsid w:val="18EA4156"/>
    <w:rsid w:val="19024F6A"/>
    <w:rsid w:val="19167623"/>
    <w:rsid w:val="192B4317"/>
    <w:rsid w:val="193E101D"/>
    <w:rsid w:val="19433FC8"/>
    <w:rsid w:val="196561E2"/>
    <w:rsid w:val="19675A6E"/>
    <w:rsid w:val="19775513"/>
    <w:rsid w:val="198F4E4D"/>
    <w:rsid w:val="199B28A1"/>
    <w:rsid w:val="19AD5C55"/>
    <w:rsid w:val="19AE250E"/>
    <w:rsid w:val="19B10BC9"/>
    <w:rsid w:val="19C55B70"/>
    <w:rsid w:val="19D71810"/>
    <w:rsid w:val="19F23284"/>
    <w:rsid w:val="1A034B64"/>
    <w:rsid w:val="1A110FAB"/>
    <w:rsid w:val="1A224AA1"/>
    <w:rsid w:val="1A2528D9"/>
    <w:rsid w:val="1A272330"/>
    <w:rsid w:val="1A2E27C7"/>
    <w:rsid w:val="1A3076E5"/>
    <w:rsid w:val="1A39737E"/>
    <w:rsid w:val="1A791292"/>
    <w:rsid w:val="1AA56983"/>
    <w:rsid w:val="1AAF0325"/>
    <w:rsid w:val="1AD75490"/>
    <w:rsid w:val="1AE338C3"/>
    <w:rsid w:val="1AF31934"/>
    <w:rsid w:val="1AF632E9"/>
    <w:rsid w:val="1AF75459"/>
    <w:rsid w:val="1B1B2C06"/>
    <w:rsid w:val="1B23102F"/>
    <w:rsid w:val="1BB13BF3"/>
    <w:rsid w:val="1BB74F63"/>
    <w:rsid w:val="1BCC09C5"/>
    <w:rsid w:val="1BDE3E04"/>
    <w:rsid w:val="1BE80AAD"/>
    <w:rsid w:val="1BED13FF"/>
    <w:rsid w:val="1BF70361"/>
    <w:rsid w:val="1C00080C"/>
    <w:rsid w:val="1C024CC8"/>
    <w:rsid w:val="1C037EB6"/>
    <w:rsid w:val="1C177518"/>
    <w:rsid w:val="1C2F63A6"/>
    <w:rsid w:val="1C3F2750"/>
    <w:rsid w:val="1C411AC8"/>
    <w:rsid w:val="1C4B0137"/>
    <w:rsid w:val="1C4B41AF"/>
    <w:rsid w:val="1C6177B4"/>
    <w:rsid w:val="1C767F81"/>
    <w:rsid w:val="1C99460C"/>
    <w:rsid w:val="1CA650F5"/>
    <w:rsid w:val="1CBB49C8"/>
    <w:rsid w:val="1CFD2715"/>
    <w:rsid w:val="1D047F18"/>
    <w:rsid w:val="1D3B1492"/>
    <w:rsid w:val="1D3F5CDF"/>
    <w:rsid w:val="1D520FE4"/>
    <w:rsid w:val="1D647783"/>
    <w:rsid w:val="1D8525E2"/>
    <w:rsid w:val="1D884B4B"/>
    <w:rsid w:val="1D9B7143"/>
    <w:rsid w:val="1DA7646F"/>
    <w:rsid w:val="1DC558A4"/>
    <w:rsid w:val="1DD4732B"/>
    <w:rsid w:val="1DE63612"/>
    <w:rsid w:val="1DE85F2E"/>
    <w:rsid w:val="1E19374A"/>
    <w:rsid w:val="1E195BB5"/>
    <w:rsid w:val="1E29538D"/>
    <w:rsid w:val="1E497EFC"/>
    <w:rsid w:val="1E6D4EB4"/>
    <w:rsid w:val="1E7F7B76"/>
    <w:rsid w:val="1E9A38F0"/>
    <w:rsid w:val="1EB9164B"/>
    <w:rsid w:val="1EBA0BB2"/>
    <w:rsid w:val="1EBF0860"/>
    <w:rsid w:val="1EE447BD"/>
    <w:rsid w:val="1EF2097C"/>
    <w:rsid w:val="1F0075A3"/>
    <w:rsid w:val="1F2C0899"/>
    <w:rsid w:val="1F415C80"/>
    <w:rsid w:val="1F7223F2"/>
    <w:rsid w:val="1F9A2B40"/>
    <w:rsid w:val="1FA936A0"/>
    <w:rsid w:val="1FF668C6"/>
    <w:rsid w:val="2002708F"/>
    <w:rsid w:val="201C3760"/>
    <w:rsid w:val="201F3F2C"/>
    <w:rsid w:val="20446D01"/>
    <w:rsid w:val="20632CC8"/>
    <w:rsid w:val="2093656D"/>
    <w:rsid w:val="209D2A8C"/>
    <w:rsid w:val="20A66858"/>
    <w:rsid w:val="20FB015C"/>
    <w:rsid w:val="20FF4B26"/>
    <w:rsid w:val="212649FA"/>
    <w:rsid w:val="212A476B"/>
    <w:rsid w:val="213C6A2D"/>
    <w:rsid w:val="216E0CF5"/>
    <w:rsid w:val="21BA0F46"/>
    <w:rsid w:val="21E830FD"/>
    <w:rsid w:val="221C5BAB"/>
    <w:rsid w:val="223A7C20"/>
    <w:rsid w:val="224A67E6"/>
    <w:rsid w:val="225E5065"/>
    <w:rsid w:val="228418C8"/>
    <w:rsid w:val="229354C1"/>
    <w:rsid w:val="229D030B"/>
    <w:rsid w:val="22C70AE1"/>
    <w:rsid w:val="22D0275F"/>
    <w:rsid w:val="22EB55BE"/>
    <w:rsid w:val="22F05634"/>
    <w:rsid w:val="22F55525"/>
    <w:rsid w:val="232A05DD"/>
    <w:rsid w:val="2331761B"/>
    <w:rsid w:val="23514754"/>
    <w:rsid w:val="23597941"/>
    <w:rsid w:val="235C6A64"/>
    <w:rsid w:val="236465ED"/>
    <w:rsid w:val="237301B7"/>
    <w:rsid w:val="2379206F"/>
    <w:rsid w:val="237F652B"/>
    <w:rsid w:val="23AB13B0"/>
    <w:rsid w:val="23DF2177"/>
    <w:rsid w:val="23FC6428"/>
    <w:rsid w:val="241E3953"/>
    <w:rsid w:val="243C32E8"/>
    <w:rsid w:val="243F212F"/>
    <w:rsid w:val="244E059E"/>
    <w:rsid w:val="245672BE"/>
    <w:rsid w:val="24572DE2"/>
    <w:rsid w:val="24624EEE"/>
    <w:rsid w:val="24912A34"/>
    <w:rsid w:val="2491647C"/>
    <w:rsid w:val="24A64F12"/>
    <w:rsid w:val="24E83286"/>
    <w:rsid w:val="24F82D4B"/>
    <w:rsid w:val="253749C3"/>
    <w:rsid w:val="25757BBB"/>
    <w:rsid w:val="258343F6"/>
    <w:rsid w:val="2585514B"/>
    <w:rsid w:val="258D50FE"/>
    <w:rsid w:val="259C237B"/>
    <w:rsid w:val="25A42B2E"/>
    <w:rsid w:val="25AB2640"/>
    <w:rsid w:val="25AB5457"/>
    <w:rsid w:val="25FF35A5"/>
    <w:rsid w:val="260A34EE"/>
    <w:rsid w:val="262313E5"/>
    <w:rsid w:val="26285253"/>
    <w:rsid w:val="262B36B8"/>
    <w:rsid w:val="265F6A8C"/>
    <w:rsid w:val="26757865"/>
    <w:rsid w:val="26AE111A"/>
    <w:rsid w:val="26C83AAC"/>
    <w:rsid w:val="270840EE"/>
    <w:rsid w:val="27100B77"/>
    <w:rsid w:val="27126367"/>
    <w:rsid w:val="275B048C"/>
    <w:rsid w:val="2760534C"/>
    <w:rsid w:val="278A3C65"/>
    <w:rsid w:val="279B2617"/>
    <w:rsid w:val="27D319B2"/>
    <w:rsid w:val="27DF3186"/>
    <w:rsid w:val="27E005DD"/>
    <w:rsid w:val="27E03436"/>
    <w:rsid w:val="27EA7948"/>
    <w:rsid w:val="280865AB"/>
    <w:rsid w:val="280C0791"/>
    <w:rsid w:val="280C5231"/>
    <w:rsid w:val="281F49DA"/>
    <w:rsid w:val="28806389"/>
    <w:rsid w:val="28883B56"/>
    <w:rsid w:val="28A145D8"/>
    <w:rsid w:val="28A649CC"/>
    <w:rsid w:val="28C33A61"/>
    <w:rsid w:val="28E2443B"/>
    <w:rsid w:val="28EC1DEA"/>
    <w:rsid w:val="28F03C43"/>
    <w:rsid w:val="29164A71"/>
    <w:rsid w:val="294B6114"/>
    <w:rsid w:val="29736E05"/>
    <w:rsid w:val="29B226FB"/>
    <w:rsid w:val="29C6331B"/>
    <w:rsid w:val="29D00C2D"/>
    <w:rsid w:val="29E46F79"/>
    <w:rsid w:val="29E626CA"/>
    <w:rsid w:val="29E9063C"/>
    <w:rsid w:val="29FD7131"/>
    <w:rsid w:val="2A0B74FD"/>
    <w:rsid w:val="2A2C7628"/>
    <w:rsid w:val="2A3740FB"/>
    <w:rsid w:val="2A57342D"/>
    <w:rsid w:val="2A7144D5"/>
    <w:rsid w:val="2AB15EF0"/>
    <w:rsid w:val="2AB8760C"/>
    <w:rsid w:val="2AEA749C"/>
    <w:rsid w:val="2B016278"/>
    <w:rsid w:val="2B101B22"/>
    <w:rsid w:val="2B1B054C"/>
    <w:rsid w:val="2B2D2AC4"/>
    <w:rsid w:val="2B325ED0"/>
    <w:rsid w:val="2B404763"/>
    <w:rsid w:val="2B486B34"/>
    <w:rsid w:val="2B565C2C"/>
    <w:rsid w:val="2B7A3EFC"/>
    <w:rsid w:val="2B81017E"/>
    <w:rsid w:val="2B892E82"/>
    <w:rsid w:val="2B94181A"/>
    <w:rsid w:val="2B9E3498"/>
    <w:rsid w:val="2BBC431E"/>
    <w:rsid w:val="2BD456EC"/>
    <w:rsid w:val="2C0E0411"/>
    <w:rsid w:val="2C2858E8"/>
    <w:rsid w:val="2C2F2FEF"/>
    <w:rsid w:val="2C3E7B0C"/>
    <w:rsid w:val="2C577E1C"/>
    <w:rsid w:val="2C605D23"/>
    <w:rsid w:val="2C657396"/>
    <w:rsid w:val="2C69054D"/>
    <w:rsid w:val="2C814143"/>
    <w:rsid w:val="2C9343C0"/>
    <w:rsid w:val="2C9F626A"/>
    <w:rsid w:val="2CA77679"/>
    <w:rsid w:val="2CB649F5"/>
    <w:rsid w:val="2CC80477"/>
    <w:rsid w:val="2CDA7100"/>
    <w:rsid w:val="2D273E42"/>
    <w:rsid w:val="2D4D757F"/>
    <w:rsid w:val="2D50232D"/>
    <w:rsid w:val="2D602BCE"/>
    <w:rsid w:val="2D6C0E74"/>
    <w:rsid w:val="2D811361"/>
    <w:rsid w:val="2D861736"/>
    <w:rsid w:val="2DAB4BA4"/>
    <w:rsid w:val="2DB25E25"/>
    <w:rsid w:val="2DB7373B"/>
    <w:rsid w:val="2DD22450"/>
    <w:rsid w:val="2DF4125D"/>
    <w:rsid w:val="2E2D23E8"/>
    <w:rsid w:val="2E3B046E"/>
    <w:rsid w:val="2E520C9F"/>
    <w:rsid w:val="2E530A4B"/>
    <w:rsid w:val="2E550B10"/>
    <w:rsid w:val="2EB432C2"/>
    <w:rsid w:val="2EC75D1E"/>
    <w:rsid w:val="2F096EF5"/>
    <w:rsid w:val="2F1C0F54"/>
    <w:rsid w:val="2F5C6AD1"/>
    <w:rsid w:val="2F8B3B64"/>
    <w:rsid w:val="2FAC5150"/>
    <w:rsid w:val="2FC83110"/>
    <w:rsid w:val="30030473"/>
    <w:rsid w:val="302C4798"/>
    <w:rsid w:val="307652E0"/>
    <w:rsid w:val="30BE30B2"/>
    <w:rsid w:val="30DD760C"/>
    <w:rsid w:val="30F037B7"/>
    <w:rsid w:val="31060203"/>
    <w:rsid w:val="310D58F9"/>
    <w:rsid w:val="310E2D9A"/>
    <w:rsid w:val="312A22E4"/>
    <w:rsid w:val="313559B3"/>
    <w:rsid w:val="3149639F"/>
    <w:rsid w:val="314B6E06"/>
    <w:rsid w:val="314F7D17"/>
    <w:rsid w:val="3174455B"/>
    <w:rsid w:val="317B18DA"/>
    <w:rsid w:val="31816B73"/>
    <w:rsid w:val="31851480"/>
    <w:rsid w:val="319028F9"/>
    <w:rsid w:val="31973EDC"/>
    <w:rsid w:val="319C2813"/>
    <w:rsid w:val="31C667C2"/>
    <w:rsid w:val="31C73ED6"/>
    <w:rsid w:val="31E157EA"/>
    <w:rsid w:val="322C2610"/>
    <w:rsid w:val="3241526D"/>
    <w:rsid w:val="3251196A"/>
    <w:rsid w:val="32623B7E"/>
    <w:rsid w:val="326669AD"/>
    <w:rsid w:val="32802FE1"/>
    <w:rsid w:val="32C257D5"/>
    <w:rsid w:val="32D86D2B"/>
    <w:rsid w:val="33547BBB"/>
    <w:rsid w:val="335C64D7"/>
    <w:rsid w:val="33775F59"/>
    <w:rsid w:val="33824DCA"/>
    <w:rsid w:val="3388544D"/>
    <w:rsid w:val="338A0A3C"/>
    <w:rsid w:val="33930D63"/>
    <w:rsid w:val="339E1AB7"/>
    <w:rsid w:val="33A07A69"/>
    <w:rsid w:val="33E70D41"/>
    <w:rsid w:val="340347FD"/>
    <w:rsid w:val="34130690"/>
    <w:rsid w:val="34240224"/>
    <w:rsid w:val="34260863"/>
    <w:rsid w:val="34402037"/>
    <w:rsid w:val="347E62A7"/>
    <w:rsid w:val="348A2042"/>
    <w:rsid w:val="34992D08"/>
    <w:rsid w:val="34AE728B"/>
    <w:rsid w:val="34CD4FBC"/>
    <w:rsid w:val="34E53D8B"/>
    <w:rsid w:val="34FD2414"/>
    <w:rsid w:val="35223B41"/>
    <w:rsid w:val="354B5F5A"/>
    <w:rsid w:val="354F0A7E"/>
    <w:rsid w:val="35845149"/>
    <w:rsid w:val="35901358"/>
    <w:rsid w:val="35FD2BCE"/>
    <w:rsid w:val="36021F40"/>
    <w:rsid w:val="36193CC3"/>
    <w:rsid w:val="36360E94"/>
    <w:rsid w:val="36412735"/>
    <w:rsid w:val="36855DEE"/>
    <w:rsid w:val="368B1519"/>
    <w:rsid w:val="369E781D"/>
    <w:rsid w:val="36CE1B81"/>
    <w:rsid w:val="36FB6483"/>
    <w:rsid w:val="373D2BC0"/>
    <w:rsid w:val="374A6487"/>
    <w:rsid w:val="375740B2"/>
    <w:rsid w:val="37841FFA"/>
    <w:rsid w:val="3791457C"/>
    <w:rsid w:val="37B976AA"/>
    <w:rsid w:val="3809170D"/>
    <w:rsid w:val="380D4601"/>
    <w:rsid w:val="3812716A"/>
    <w:rsid w:val="385C2DCA"/>
    <w:rsid w:val="385C79B7"/>
    <w:rsid w:val="38613D37"/>
    <w:rsid w:val="386D4A46"/>
    <w:rsid w:val="387E7FB6"/>
    <w:rsid w:val="38A23D04"/>
    <w:rsid w:val="38AD7DDF"/>
    <w:rsid w:val="38B25D8F"/>
    <w:rsid w:val="38FA3C19"/>
    <w:rsid w:val="390C3521"/>
    <w:rsid w:val="393F130D"/>
    <w:rsid w:val="39586D27"/>
    <w:rsid w:val="395C7EA8"/>
    <w:rsid w:val="396B5B41"/>
    <w:rsid w:val="3971606B"/>
    <w:rsid w:val="398902C8"/>
    <w:rsid w:val="39A477F1"/>
    <w:rsid w:val="39C14F14"/>
    <w:rsid w:val="39CB65CF"/>
    <w:rsid w:val="3A04428C"/>
    <w:rsid w:val="3A103610"/>
    <w:rsid w:val="3A181A65"/>
    <w:rsid w:val="3A246F8E"/>
    <w:rsid w:val="3A354145"/>
    <w:rsid w:val="3A424688"/>
    <w:rsid w:val="3A551CBF"/>
    <w:rsid w:val="3A752464"/>
    <w:rsid w:val="3A850084"/>
    <w:rsid w:val="3ADE36D2"/>
    <w:rsid w:val="3AE51AD8"/>
    <w:rsid w:val="3AF575F3"/>
    <w:rsid w:val="3B052DAD"/>
    <w:rsid w:val="3B0D13A3"/>
    <w:rsid w:val="3B1C4644"/>
    <w:rsid w:val="3B200A99"/>
    <w:rsid w:val="3B2074F8"/>
    <w:rsid w:val="3B487D3B"/>
    <w:rsid w:val="3B4A3C82"/>
    <w:rsid w:val="3B556612"/>
    <w:rsid w:val="3B5600FB"/>
    <w:rsid w:val="3B61265B"/>
    <w:rsid w:val="3B6479C8"/>
    <w:rsid w:val="3BA00C79"/>
    <w:rsid w:val="3BA745F4"/>
    <w:rsid w:val="3BC865EA"/>
    <w:rsid w:val="3BD7675C"/>
    <w:rsid w:val="3BD85EA8"/>
    <w:rsid w:val="3BEA2540"/>
    <w:rsid w:val="3C047A4D"/>
    <w:rsid w:val="3C227056"/>
    <w:rsid w:val="3C610815"/>
    <w:rsid w:val="3D305709"/>
    <w:rsid w:val="3D68066C"/>
    <w:rsid w:val="3DE27A0D"/>
    <w:rsid w:val="3DFC3BBF"/>
    <w:rsid w:val="3E0620BF"/>
    <w:rsid w:val="3E236A22"/>
    <w:rsid w:val="3E251D20"/>
    <w:rsid w:val="3E4B5A15"/>
    <w:rsid w:val="3E554C90"/>
    <w:rsid w:val="3E570E68"/>
    <w:rsid w:val="3E7D7A5C"/>
    <w:rsid w:val="3E99230E"/>
    <w:rsid w:val="3EB30D2E"/>
    <w:rsid w:val="3EB3129C"/>
    <w:rsid w:val="3EE24830"/>
    <w:rsid w:val="3EE905BF"/>
    <w:rsid w:val="3F165706"/>
    <w:rsid w:val="3F68201C"/>
    <w:rsid w:val="3F7074B3"/>
    <w:rsid w:val="3F742073"/>
    <w:rsid w:val="3FB81167"/>
    <w:rsid w:val="3FDA4591"/>
    <w:rsid w:val="3FE361A5"/>
    <w:rsid w:val="3FF47336"/>
    <w:rsid w:val="3FF930D3"/>
    <w:rsid w:val="3FFF7CB6"/>
    <w:rsid w:val="402152B6"/>
    <w:rsid w:val="4022067D"/>
    <w:rsid w:val="402A6BA5"/>
    <w:rsid w:val="40476EDE"/>
    <w:rsid w:val="404D43F0"/>
    <w:rsid w:val="40650FA5"/>
    <w:rsid w:val="40671860"/>
    <w:rsid w:val="40855658"/>
    <w:rsid w:val="408B26BB"/>
    <w:rsid w:val="408E49B1"/>
    <w:rsid w:val="4097520C"/>
    <w:rsid w:val="40B5573C"/>
    <w:rsid w:val="40B85BD6"/>
    <w:rsid w:val="40D21EC7"/>
    <w:rsid w:val="40D92673"/>
    <w:rsid w:val="40DE568A"/>
    <w:rsid w:val="40F005A0"/>
    <w:rsid w:val="41053DD8"/>
    <w:rsid w:val="410B401A"/>
    <w:rsid w:val="411C7E79"/>
    <w:rsid w:val="41367526"/>
    <w:rsid w:val="413B3A1F"/>
    <w:rsid w:val="413C0389"/>
    <w:rsid w:val="414D2BD4"/>
    <w:rsid w:val="417C2072"/>
    <w:rsid w:val="418A6CCC"/>
    <w:rsid w:val="41943147"/>
    <w:rsid w:val="419C331C"/>
    <w:rsid w:val="41C024C4"/>
    <w:rsid w:val="41C7062A"/>
    <w:rsid w:val="41D05685"/>
    <w:rsid w:val="41E23311"/>
    <w:rsid w:val="41FB080C"/>
    <w:rsid w:val="41FF4189"/>
    <w:rsid w:val="42122CA8"/>
    <w:rsid w:val="421A7063"/>
    <w:rsid w:val="425E3582"/>
    <w:rsid w:val="4266334F"/>
    <w:rsid w:val="427C635A"/>
    <w:rsid w:val="4287094E"/>
    <w:rsid w:val="42A90F16"/>
    <w:rsid w:val="42AC0E5B"/>
    <w:rsid w:val="42D12FBF"/>
    <w:rsid w:val="42F8343A"/>
    <w:rsid w:val="43024664"/>
    <w:rsid w:val="43083F52"/>
    <w:rsid w:val="4362689F"/>
    <w:rsid w:val="43A510A4"/>
    <w:rsid w:val="43C721FD"/>
    <w:rsid w:val="43E97024"/>
    <w:rsid w:val="43F501B0"/>
    <w:rsid w:val="4402095F"/>
    <w:rsid w:val="44170D25"/>
    <w:rsid w:val="443A225E"/>
    <w:rsid w:val="44527CF9"/>
    <w:rsid w:val="4458374E"/>
    <w:rsid w:val="445A24BD"/>
    <w:rsid w:val="44664390"/>
    <w:rsid w:val="447B21BD"/>
    <w:rsid w:val="447F2497"/>
    <w:rsid w:val="44B474C7"/>
    <w:rsid w:val="450179BC"/>
    <w:rsid w:val="45071CEB"/>
    <w:rsid w:val="451D594D"/>
    <w:rsid w:val="452610B1"/>
    <w:rsid w:val="45265639"/>
    <w:rsid w:val="452F5E5E"/>
    <w:rsid w:val="45383B45"/>
    <w:rsid w:val="456D703A"/>
    <w:rsid w:val="45732F05"/>
    <w:rsid w:val="457627D6"/>
    <w:rsid w:val="4583117D"/>
    <w:rsid w:val="45900458"/>
    <w:rsid w:val="45937A62"/>
    <w:rsid w:val="45BF054E"/>
    <w:rsid w:val="45C66EB9"/>
    <w:rsid w:val="45D45AA8"/>
    <w:rsid w:val="45E325BE"/>
    <w:rsid w:val="45E9322E"/>
    <w:rsid w:val="45FA50A9"/>
    <w:rsid w:val="460458BC"/>
    <w:rsid w:val="461E6462"/>
    <w:rsid w:val="462061AB"/>
    <w:rsid w:val="462D1E0F"/>
    <w:rsid w:val="4642004E"/>
    <w:rsid w:val="46617AA3"/>
    <w:rsid w:val="4683165C"/>
    <w:rsid w:val="46984426"/>
    <w:rsid w:val="46A40226"/>
    <w:rsid w:val="46A4073F"/>
    <w:rsid w:val="46B7407C"/>
    <w:rsid w:val="46B90E05"/>
    <w:rsid w:val="46CD6008"/>
    <w:rsid w:val="46D2570C"/>
    <w:rsid w:val="46D45248"/>
    <w:rsid w:val="46FC4043"/>
    <w:rsid w:val="47040115"/>
    <w:rsid w:val="471B0744"/>
    <w:rsid w:val="473379F7"/>
    <w:rsid w:val="474273A5"/>
    <w:rsid w:val="47673289"/>
    <w:rsid w:val="47707058"/>
    <w:rsid w:val="478A49F3"/>
    <w:rsid w:val="47AC01DC"/>
    <w:rsid w:val="47CA0E20"/>
    <w:rsid w:val="47CF2CAA"/>
    <w:rsid w:val="47E37A43"/>
    <w:rsid w:val="481141F7"/>
    <w:rsid w:val="482652C6"/>
    <w:rsid w:val="48364572"/>
    <w:rsid w:val="484D59E2"/>
    <w:rsid w:val="485E33F9"/>
    <w:rsid w:val="48611E7A"/>
    <w:rsid w:val="48642157"/>
    <w:rsid w:val="486F0102"/>
    <w:rsid w:val="48980810"/>
    <w:rsid w:val="48A07DF6"/>
    <w:rsid w:val="48B35A17"/>
    <w:rsid w:val="48C82689"/>
    <w:rsid w:val="48C9177A"/>
    <w:rsid w:val="48CB1A2F"/>
    <w:rsid w:val="48D33E74"/>
    <w:rsid w:val="48ED2EAD"/>
    <w:rsid w:val="48F3457D"/>
    <w:rsid w:val="48F74FE7"/>
    <w:rsid w:val="49174972"/>
    <w:rsid w:val="491B29C2"/>
    <w:rsid w:val="493D183B"/>
    <w:rsid w:val="494663F0"/>
    <w:rsid w:val="496117B7"/>
    <w:rsid w:val="49852803"/>
    <w:rsid w:val="4989364F"/>
    <w:rsid w:val="499C71A3"/>
    <w:rsid w:val="49A23E49"/>
    <w:rsid w:val="49A37CB3"/>
    <w:rsid w:val="49AE34E3"/>
    <w:rsid w:val="49BD5341"/>
    <w:rsid w:val="49BE31C7"/>
    <w:rsid w:val="49DD7115"/>
    <w:rsid w:val="4A001AB6"/>
    <w:rsid w:val="4A121ACE"/>
    <w:rsid w:val="4A260643"/>
    <w:rsid w:val="4A354DC8"/>
    <w:rsid w:val="4A667978"/>
    <w:rsid w:val="4A7B11CA"/>
    <w:rsid w:val="4A9E376C"/>
    <w:rsid w:val="4AB52EC7"/>
    <w:rsid w:val="4ABC3B25"/>
    <w:rsid w:val="4ABD2B10"/>
    <w:rsid w:val="4AED73D2"/>
    <w:rsid w:val="4AF660AB"/>
    <w:rsid w:val="4B270FB0"/>
    <w:rsid w:val="4B2B24FF"/>
    <w:rsid w:val="4B2E7A87"/>
    <w:rsid w:val="4B33301D"/>
    <w:rsid w:val="4B56096D"/>
    <w:rsid w:val="4B771A77"/>
    <w:rsid w:val="4B786751"/>
    <w:rsid w:val="4B8E3B2C"/>
    <w:rsid w:val="4B94409A"/>
    <w:rsid w:val="4BC06C5F"/>
    <w:rsid w:val="4C0C7A0A"/>
    <w:rsid w:val="4C2942E6"/>
    <w:rsid w:val="4C600D95"/>
    <w:rsid w:val="4C8461EF"/>
    <w:rsid w:val="4C8D6888"/>
    <w:rsid w:val="4C983E5B"/>
    <w:rsid w:val="4CB008AD"/>
    <w:rsid w:val="4CB6421D"/>
    <w:rsid w:val="4CE47047"/>
    <w:rsid w:val="4CEA2732"/>
    <w:rsid w:val="4CFB33DC"/>
    <w:rsid w:val="4D3A46AD"/>
    <w:rsid w:val="4D3F7B32"/>
    <w:rsid w:val="4D40643B"/>
    <w:rsid w:val="4D5E01A0"/>
    <w:rsid w:val="4D6C226A"/>
    <w:rsid w:val="4D8E6102"/>
    <w:rsid w:val="4D9E0DEE"/>
    <w:rsid w:val="4DC4631F"/>
    <w:rsid w:val="4DFB70DA"/>
    <w:rsid w:val="4DFF05A3"/>
    <w:rsid w:val="4E3779FB"/>
    <w:rsid w:val="4E411AC2"/>
    <w:rsid w:val="4E456658"/>
    <w:rsid w:val="4E4F4DDD"/>
    <w:rsid w:val="4E4F59A0"/>
    <w:rsid w:val="4E594DDC"/>
    <w:rsid w:val="4E5A2CAE"/>
    <w:rsid w:val="4E662E38"/>
    <w:rsid w:val="4E6A26E4"/>
    <w:rsid w:val="4E6B27DE"/>
    <w:rsid w:val="4E8250D8"/>
    <w:rsid w:val="4E9F25D3"/>
    <w:rsid w:val="4EA96D01"/>
    <w:rsid w:val="4EBF6B80"/>
    <w:rsid w:val="4EC54F0F"/>
    <w:rsid w:val="4ECC2EB6"/>
    <w:rsid w:val="4ED80CDA"/>
    <w:rsid w:val="4F076469"/>
    <w:rsid w:val="4F4B4AED"/>
    <w:rsid w:val="4F510271"/>
    <w:rsid w:val="4F5B730E"/>
    <w:rsid w:val="4F6D2041"/>
    <w:rsid w:val="4F6F73DD"/>
    <w:rsid w:val="4F793C80"/>
    <w:rsid w:val="4F7D256A"/>
    <w:rsid w:val="4F98721B"/>
    <w:rsid w:val="4F9F30CF"/>
    <w:rsid w:val="4FC6669D"/>
    <w:rsid w:val="4FE01DD4"/>
    <w:rsid w:val="4FE106C7"/>
    <w:rsid w:val="4FE405D0"/>
    <w:rsid w:val="500D6C73"/>
    <w:rsid w:val="50252756"/>
    <w:rsid w:val="502B5A5E"/>
    <w:rsid w:val="502D6515"/>
    <w:rsid w:val="50323AE9"/>
    <w:rsid w:val="503C4B5D"/>
    <w:rsid w:val="503D1053"/>
    <w:rsid w:val="503E7050"/>
    <w:rsid w:val="504615CE"/>
    <w:rsid w:val="505D5C1B"/>
    <w:rsid w:val="50641853"/>
    <w:rsid w:val="509D0395"/>
    <w:rsid w:val="50A0273A"/>
    <w:rsid w:val="50C91743"/>
    <w:rsid w:val="50D259E6"/>
    <w:rsid w:val="50DA5799"/>
    <w:rsid w:val="50ED0543"/>
    <w:rsid w:val="51067C16"/>
    <w:rsid w:val="51094E52"/>
    <w:rsid w:val="510B58A3"/>
    <w:rsid w:val="51181152"/>
    <w:rsid w:val="51380850"/>
    <w:rsid w:val="513F7BDE"/>
    <w:rsid w:val="514A6211"/>
    <w:rsid w:val="516952AE"/>
    <w:rsid w:val="51A44805"/>
    <w:rsid w:val="51A759D9"/>
    <w:rsid w:val="51AB7DB1"/>
    <w:rsid w:val="51CC2CB9"/>
    <w:rsid w:val="51CD7467"/>
    <w:rsid w:val="51D7370F"/>
    <w:rsid w:val="51D92902"/>
    <w:rsid w:val="51EF64CB"/>
    <w:rsid w:val="51FA3520"/>
    <w:rsid w:val="52072061"/>
    <w:rsid w:val="52183F03"/>
    <w:rsid w:val="52211ACC"/>
    <w:rsid w:val="523C1EA9"/>
    <w:rsid w:val="527643B4"/>
    <w:rsid w:val="527A5ABC"/>
    <w:rsid w:val="528513A7"/>
    <w:rsid w:val="52964000"/>
    <w:rsid w:val="529C3702"/>
    <w:rsid w:val="52CB7796"/>
    <w:rsid w:val="52CE4979"/>
    <w:rsid w:val="53045BD3"/>
    <w:rsid w:val="530B4D46"/>
    <w:rsid w:val="53563C85"/>
    <w:rsid w:val="536757A3"/>
    <w:rsid w:val="537E241C"/>
    <w:rsid w:val="53D632E4"/>
    <w:rsid w:val="54282718"/>
    <w:rsid w:val="54330E98"/>
    <w:rsid w:val="5439017D"/>
    <w:rsid w:val="54483FF6"/>
    <w:rsid w:val="545A05A8"/>
    <w:rsid w:val="545B188F"/>
    <w:rsid w:val="5460332D"/>
    <w:rsid w:val="547D21C7"/>
    <w:rsid w:val="548B3B61"/>
    <w:rsid w:val="549764E9"/>
    <w:rsid w:val="54F17C19"/>
    <w:rsid w:val="552F7EE9"/>
    <w:rsid w:val="55464338"/>
    <w:rsid w:val="555F7CF5"/>
    <w:rsid w:val="557275F1"/>
    <w:rsid w:val="558C6D44"/>
    <w:rsid w:val="558D7767"/>
    <w:rsid w:val="55930E6F"/>
    <w:rsid w:val="55A311EB"/>
    <w:rsid w:val="55AA00F9"/>
    <w:rsid w:val="55B25162"/>
    <w:rsid w:val="56081F25"/>
    <w:rsid w:val="560B0BE1"/>
    <w:rsid w:val="561B10BC"/>
    <w:rsid w:val="56467876"/>
    <w:rsid w:val="564F52B5"/>
    <w:rsid w:val="567B064F"/>
    <w:rsid w:val="56993567"/>
    <w:rsid w:val="56A47CBB"/>
    <w:rsid w:val="56A675BE"/>
    <w:rsid w:val="56AF34CC"/>
    <w:rsid w:val="56C744F7"/>
    <w:rsid w:val="56D05DB9"/>
    <w:rsid w:val="56FE6B97"/>
    <w:rsid w:val="57024F39"/>
    <w:rsid w:val="57157D19"/>
    <w:rsid w:val="57213F3A"/>
    <w:rsid w:val="572214C9"/>
    <w:rsid w:val="57313DCE"/>
    <w:rsid w:val="574E0484"/>
    <w:rsid w:val="575701A2"/>
    <w:rsid w:val="577547D5"/>
    <w:rsid w:val="57B06A23"/>
    <w:rsid w:val="57CC6D86"/>
    <w:rsid w:val="57D90AFD"/>
    <w:rsid w:val="57EB5E17"/>
    <w:rsid w:val="57FF4827"/>
    <w:rsid w:val="580A3E45"/>
    <w:rsid w:val="581207C5"/>
    <w:rsid w:val="584741FA"/>
    <w:rsid w:val="584E7A49"/>
    <w:rsid w:val="58553E74"/>
    <w:rsid w:val="58A93B50"/>
    <w:rsid w:val="58AB2D49"/>
    <w:rsid w:val="58BB137F"/>
    <w:rsid w:val="58C56C3D"/>
    <w:rsid w:val="590B0514"/>
    <w:rsid w:val="59273E84"/>
    <w:rsid w:val="592F012D"/>
    <w:rsid w:val="59432300"/>
    <w:rsid w:val="594C0608"/>
    <w:rsid w:val="59502101"/>
    <w:rsid w:val="5966741B"/>
    <w:rsid w:val="596B5919"/>
    <w:rsid w:val="597520FE"/>
    <w:rsid w:val="59B67607"/>
    <w:rsid w:val="59D1733B"/>
    <w:rsid w:val="59DF1474"/>
    <w:rsid w:val="59E73D8B"/>
    <w:rsid w:val="59E80876"/>
    <w:rsid w:val="5A1676BE"/>
    <w:rsid w:val="5A4C4641"/>
    <w:rsid w:val="5A4D7B45"/>
    <w:rsid w:val="5A4F7429"/>
    <w:rsid w:val="5A876E27"/>
    <w:rsid w:val="5A940B09"/>
    <w:rsid w:val="5A9F20E1"/>
    <w:rsid w:val="5AA6530C"/>
    <w:rsid w:val="5AA828B1"/>
    <w:rsid w:val="5AAE1FA0"/>
    <w:rsid w:val="5AFC24F2"/>
    <w:rsid w:val="5B137595"/>
    <w:rsid w:val="5B642BCB"/>
    <w:rsid w:val="5B664C64"/>
    <w:rsid w:val="5B8B23A0"/>
    <w:rsid w:val="5B8D5B73"/>
    <w:rsid w:val="5BA02A3D"/>
    <w:rsid w:val="5BAA6BC3"/>
    <w:rsid w:val="5BBD27BC"/>
    <w:rsid w:val="5BC46D00"/>
    <w:rsid w:val="5BE54CAB"/>
    <w:rsid w:val="5BEB433C"/>
    <w:rsid w:val="5C0A21A7"/>
    <w:rsid w:val="5C201622"/>
    <w:rsid w:val="5C4252F4"/>
    <w:rsid w:val="5C636E7B"/>
    <w:rsid w:val="5C7B6323"/>
    <w:rsid w:val="5C8F2F02"/>
    <w:rsid w:val="5CA4234F"/>
    <w:rsid w:val="5CA5626B"/>
    <w:rsid w:val="5CBD5382"/>
    <w:rsid w:val="5CBF5EBC"/>
    <w:rsid w:val="5CC72378"/>
    <w:rsid w:val="5CCF3818"/>
    <w:rsid w:val="5D2607D7"/>
    <w:rsid w:val="5D29334A"/>
    <w:rsid w:val="5D297DC8"/>
    <w:rsid w:val="5D2E7B7A"/>
    <w:rsid w:val="5D304D2C"/>
    <w:rsid w:val="5D456B0D"/>
    <w:rsid w:val="5D770A98"/>
    <w:rsid w:val="5D881A7F"/>
    <w:rsid w:val="5D911830"/>
    <w:rsid w:val="5D9A73ED"/>
    <w:rsid w:val="5DB8095B"/>
    <w:rsid w:val="5DC832EF"/>
    <w:rsid w:val="5DF70310"/>
    <w:rsid w:val="5E162914"/>
    <w:rsid w:val="5E667147"/>
    <w:rsid w:val="5E6946A1"/>
    <w:rsid w:val="5EE60398"/>
    <w:rsid w:val="5EE60DAF"/>
    <w:rsid w:val="5F356D87"/>
    <w:rsid w:val="5F7C22CD"/>
    <w:rsid w:val="5F927AAA"/>
    <w:rsid w:val="5FCA1C81"/>
    <w:rsid w:val="5FF56D40"/>
    <w:rsid w:val="60025593"/>
    <w:rsid w:val="600D6C18"/>
    <w:rsid w:val="60321220"/>
    <w:rsid w:val="60432AC8"/>
    <w:rsid w:val="604B3BBD"/>
    <w:rsid w:val="60620C4F"/>
    <w:rsid w:val="6086434B"/>
    <w:rsid w:val="60B6165D"/>
    <w:rsid w:val="60CF3E67"/>
    <w:rsid w:val="60F819E2"/>
    <w:rsid w:val="61057182"/>
    <w:rsid w:val="618C797C"/>
    <w:rsid w:val="6193127D"/>
    <w:rsid w:val="61AB7A39"/>
    <w:rsid w:val="61BF3F5A"/>
    <w:rsid w:val="61C02766"/>
    <w:rsid w:val="61E61E1C"/>
    <w:rsid w:val="61E7154B"/>
    <w:rsid w:val="62273AA7"/>
    <w:rsid w:val="623F1D75"/>
    <w:rsid w:val="624C7713"/>
    <w:rsid w:val="626A2DA2"/>
    <w:rsid w:val="62710FF3"/>
    <w:rsid w:val="628B3790"/>
    <w:rsid w:val="6299493E"/>
    <w:rsid w:val="629B401A"/>
    <w:rsid w:val="62A860FF"/>
    <w:rsid w:val="62BA31BE"/>
    <w:rsid w:val="62D40F97"/>
    <w:rsid w:val="631651C6"/>
    <w:rsid w:val="63195F09"/>
    <w:rsid w:val="631F28F3"/>
    <w:rsid w:val="63597FCD"/>
    <w:rsid w:val="636001CA"/>
    <w:rsid w:val="63637018"/>
    <w:rsid w:val="636E4DB0"/>
    <w:rsid w:val="637C55C1"/>
    <w:rsid w:val="63B46442"/>
    <w:rsid w:val="63B858D2"/>
    <w:rsid w:val="63BC10F2"/>
    <w:rsid w:val="63FB31A4"/>
    <w:rsid w:val="64445A06"/>
    <w:rsid w:val="64A81F49"/>
    <w:rsid w:val="64D442D4"/>
    <w:rsid w:val="64EB2CED"/>
    <w:rsid w:val="64F0256E"/>
    <w:rsid w:val="64F94851"/>
    <w:rsid w:val="65300EC5"/>
    <w:rsid w:val="65676612"/>
    <w:rsid w:val="65B15EDA"/>
    <w:rsid w:val="65F5183A"/>
    <w:rsid w:val="66094390"/>
    <w:rsid w:val="66373EED"/>
    <w:rsid w:val="664A20FA"/>
    <w:rsid w:val="66700AF6"/>
    <w:rsid w:val="66AB52AA"/>
    <w:rsid w:val="66DE6FE0"/>
    <w:rsid w:val="67067EF1"/>
    <w:rsid w:val="672F6B54"/>
    <w:rsid w:val="673C7338"/>
    <w:rsid w:val="6751313B"/>
    <w:rsid w:val="67637F1F"/>
    <w:rsid w:val="67655AF9"/>
    <w:rsid w:val="67916963"/>
    <w:rsid w:val="67A54EDB"/>
    <w:rsid w:val="67E308B5"/>
    <w:rsid w:val="67E4180D"/>
    <w:rsid w:val="67F47EA3"/>
    <w:rsid w:val="680C6096"/>
    <w:rsid w:val="682866AF"/>
    <w:rsid w:val="682B22EE"/>
    <w:rsid w:val="683A6524"/>
    <w:rsid w:val="686076D6"/>
    <w:rsid w:val="688374A8"/>
    <w:rsid w:val="68BF62C3"/>
    <w:rsid w:val="68C03953"/>
    <w:rsid w:val="68C41247"/>
    <w:rsid w:val="68E66CA0"/>
    <w:rsid w:val="69205D36"/>
    <w:rsid w:val="692F349B"/>
    <w:rsid w:val="69525280"/>
    <w:rsid w:val="69625D21"/>
    <w:rsid w:val="69C168D7"/>
    <w:rsid w:val="69C3368B"/>
    <w:rsid w:val="69C37DEF"/>
    <w:rsid w:val="69D62B98"/>
    <w:rsid w:val="69DB042B"/>
    <w:rsid w:val="69E150CB"/>
    <w:rsid w:val="6A375C7A"/>
    <w:rsid w:val="6A4677DE"/>
    <w:rsid w:val="6A4E00C3"/>
    <w:rsid w:val="6A6F73F0"/>
    <w:rsid w:val="6A7F5594"/>
    <w:rsid w:val="6AA7438C"/>
    <w:rsid w:val="6AD4703F"/>
    <w:rsid w:val="6ADB5EA5"/>
    <w:rsid w:val="6AEA006D"/>
    <w:rsid w:val="6AFC3C20"/>
    <w:rsid w:val="6B166A2F"/>
    <w:rsid w:val="6B4C171B"/>
    <w:rsid w:val="6B7F197D"/>
    <w:rsid w:val="6B82583D"/>
    <w:rsid w:val="6B85617D"/>
    <w:rsid w:val="6B9950CC"/>
    <w:rsid w:val="6BAF2B16"/>
    <w:rsid w:val="6BB86036"/>
    <w:rsid w:val="6BD10196"/>
    <w:rsid w:val="6BEE1CD1"/>
    <w:rsid w:val="6BF74566"/>
    <w:rsid w:val="6C1747D2"/>
    <w:rsid w:val="6C230986"/>
    <w:rsid w:val="6C3D1483"/>
    <w:rsid w:val="6C461A87"/>
    <w:rsid w:val="6CF23782"/>
    <w:rsid w:val="6D024FFB"/>
    <w:rsid w:val="6D0424D2"/>
    <w:rsid w:val="6D067C9B"/>
    <w:rsid w:val="6D0D4301"/>
    <w:rsid w:val="6D293F19"/>
    <w:rsid w:val="6D583B03"/>
    <w:rsid w:val="6D671E98"/>
    <w:rsid w:val="6D957BAF"/>
    <w:rsid w:val="6DA07839"/>
    <w:rsid w:val="6DC13BD8"/>
    <w:rsid w:val="6DC20C5A"/>
    <w:rsid w:val="6DEF5C4F"/>
    <w:rsid w:val="6E056799"/>
    <w:rsid w:val="6E3549E7"/>
    <w:rsid w:val="6E491F3E"/>
    <w:rsid w:val="6E643ED2"/>
    <w:rsid w:val="6E9D72C9"/>
    <w:rsid w:val="6EA069CF"/>
    <w:rsid w:val="6ED65122"/>
    <w:rsid w:val="6ED66053"/>
    <w:rsid w:val="6F267698"/>
    <w:rsid w:val="6F38008C"/>
    <w:rsid w:val="6F712C4D"/>
    <w:rsid w:val="6F960763"/>
    <w:rsid w:val="6F9C0AB7"/>
    <w:rsid w:val="6FA619ED"/>
    <w:rsid w:val="6FCB163B"/>
    <w:rsid w:val="6FD84B68"/>
    <w:rsid w:val="6FD9616A"/>
    <w:rsid w:val="6FE37C6B"/>
    <w:rsid w:val="6FEA5FD6"/>
    <w:rsid w:val="6FED1756"/>
    <w:rsid w:val="6FFC7800"/>
    <w:rsid w:val="700117AB"/>
    <w:rsid w:val="702244AA"/>
    <w:rsid w:val="70315496"/>
    <w:rsid w:val="705769CA"/>
    <w:rsid w:val="705A7508"/>
    <w:rsid w:val="706E71BD"/>
    <w:rsid w:val="70701C4B"/>
    <w:rsid w:val="708E2982"/>
    <w:rsid w:val="70AE2678"/>
    <w:rsid w:val="70DB3D14"/>
    <w:rsid w:val="70E27F93"/>
    <w:rsid w:val="70E86135"/>
    <w:rsid w:val="71242F3A"/>
    <w:rsid w:val="71840BA1"/>
    <w:rsid w:val="718606CD"/>
    <w:rsid w:val="71950047"/>
    <w:rsid w:val="71E25F25"/>
    <w:rsid w:val="71FA2C98"/>
    <w:rsid w:val="72641B0D"/>
    <w:rsid w:val="72676F72"/>
    <w:rsid w:val="726F7C81"/>
    <w:rsid w:val="72807E26"/>
    <w:rsid w:val="728C3623"/>
    <w:rsid w:val="72A024FF"/>
    <w:rsid w:val="72A722C8"/>
    <w:rsid w:val="72AD39B6"/>
    <w:rsid w:val="72D16B6E"/>
    <w:rsid w:val="72FF2E55"/>
    <w:rsid w:val="735E2EF6"/>
    <w:rsid w:val="73831138"/>
    <w:rsid w:val="73976045"/>
    <w:rsid w:val="73A43391"/>
    <w:rsid w:val="73BE0238"/>
    <w:rsid w:val="73C46707"/>
    <w:rsid w:val="73D61DBE"/>
    <w:rsid w:val="73DD5DBE"/>
    <w:rsid w:val="73F3727F"/>
    <w:rsid w:val="74053D0B"/>
    <w:rsid w:val="74135CDD"/>
    <w:rsid w:val="744F37AA"/>
    <w:rsid w:val="746C62BC"/>
    <w:rsid w:val="7475796A"/>
    <w:rsid w:val="748C15BC"/>
    <w:rsid w:val="74CC67F4"/>
    <w:rsid w:val="74F310F6"/>
    <w:rsid w:val="74FD204F"/>
    <w:rsid w:val="74FF0626"/>
    <w:rsid w:val="751E0C7A"/>
    <w:rsid w:val="751F371C"/>
    <w:rsid w:val="752A6F6F"/>
    <w:rsid w:val="75941DF3"/>
    <w:rsid w:val="75954DD4"/>
    <w:rsid w:val="759C6DC0"/>
    <w:rsid w:val="75B65B36"/>
    <w:rsid w:val="75B66081"/>
    <w:rsid w:val="75F04356"/>
    <w:rsid w:val="75F94C86"/>
    <w:rsid w:val="76387C51"/>
    <w:rsid w:val="76480B20"/>
    <w:rsid w:val="76966590"/>
    <w:rsid w:val="76A51677"/>
    <w:rsid w:val="76A74B48"/>
    <w:rsid w:val="76A828E8"/>
    <w:rsid w:val="77020631"/>
    <w:rsid w:val="770479A8"/>
    <w:rsid w:val="7723459B"/>
    <w:rsid w:val="774C6CD5"/>
    <w:rsid w:val="774D0367"/>
    <w:rsid w:val="7750360F"/>
    <w:rsid w:val="775365F7"/>
    <w:rsid w:val="776A08B1"/>
    <w:rsid w:val="777D168E"/>
    <w:rsid w:val="779A2034"/>
    <w:rsid w:val="77AD584D"/>
    <w:rsid w:val="77BD227A"/>
    <w:rsid w:val="77C278B4"/>
    <w:rsid w:val="77CB1F66"/>
    <w:rsid w:val="77F22C55"/>
    <w:rsid w:val="77F24742"/>
    <w:rsid w:val="77F576B8"/>
    <w:rsid w:val="77FD5607"/>
    <w:rsid w:val="781C5BB5"/>
    <w:rsid w:val="78215CC2"/>
    <w:rsid w:val="78392E32"/>
    <w:rsid w:val="78482494"/>
    <w:rsid w:val="784B6342"/>
    <w:rsid w:val="78536C2C"/>
    <w:rsid w:val="787903B0"/>
    <w:rsid w:val="787A3EB4"/>
    <w:rsid w:val="789C3D38"/>
    <w:rsid w:val="78ED26FB"/>
    <w:rsid w:val="78FD0660"/>
    <w:rsid w:val="79003002"/>
    <w:rsid w:val="79195500"/>
    <w:rsid w:val="79331C0A"/>
    <w:rsid w:val="7955157C"/>
    <w:rsid w:val="79844DCF"/>
    <w:rsid w:val="79866B7F"/>
    <w:rsid w:val="798745EF"/>
    <w:rsid w:val="79AB48FE"/>
    <w:rsid w:val="79AD36FA"/>
    <w:rsid w:val="79B1652A"/>
    <w:rsid w:val="79CC1038"/>
    <w:rsid w:val="79F67E12"/>
    <w:rsid w:val="79FF6CB0"/>
    <w:rsid w:val="7A054169"/>
    <w:rsid w:val="7A5B6F19"/>
    <w:rsid w:val="7A6E30D2"/>
    <w:rsid w:val="7A700FB1"/>
    <w:rsid w:val="7A9B413D"/>
    <w:rsid w:val="7AAC7B7E"/>
    <w:rsid w:val="7AB90E57"/>
    <w:rsid w:val="7ADF4527"/>
    <w:rsid w:val="7AE37846"/>
    <w:rsid w:val="7AE47E86"/>
    <w:rsid w:val="7AF2720D"/>
    <w:rsid w:val="7B0C3F15"/>
    <w:rsid w:val="7B291028"/>
    <w:rsid w:val="7B2F5426"/>
    <w:rsid w:val="7B684DCA"/>
    <w:rsid w:val="7B6E279D"/>
    <w:rsid w:val="7B7A2C8B"/>
    <w:rsid w:val="7B7F2637"/>
    <w:rsid w:val="7B852BC5"/>
    <w:rsid w:val="7B8A228A"/>
    <w:rsid w:val="7B9C23BE"/>
    <w:rsid w:val="7BA90981"/>
    <w:rsid w:val="7BC4600E"/>
    <w:rsid w:val="7BFB3926"/>
    <w:rsid w:val="7C0F7337"/>
    <w:rsid w:val="7C274CBE"/>
    <w:rsid w:val="7C392F77"/>
    <w:rsid w:val="7C4A629F"/>
    <w:rsid w:val="7C5E1C65"/>
    <w:rsid w:val="7C6876C8"/>
    <w:rsid w:val="7C727507"/>
    <w:rsid w:val="7C931FE1"/>
    <w:rsid w:val="7CA420AB"/>
    <w:rsid w:val="7CAB28AE"/>
    <w:rsid w:val="7CC71594"/>
    <w:rsid w:val="7CD35696"/>
    <w:rsid w:val="7CDD1473"/>
    <w:rsid w:val="7CF52769"/>
    <w:rsid w:val="7CFD4495"/>
    <w:rsid w:val="7D5702BA"/>
    <w:rsid w:val="7D787D90"/>
    <w:rsid w:val="7D8969B7"/>
    <w:rsid w:val="7DE17BBA"/>
    <w:rsid w:val="7DE215DB"/>
    <w:rsid w:val="7E144E8F"/>
    <w:rsid w:val="7E182D16"/>
    <w:rsid w:val="7E30094B"/>
    <w:rsid w:val="7E654AB8"/>
    <w:rsid w:val="7E704415"/>
    <w:rsid w:val="7EA61EED"/>
    <w:rsid w:val="7EA75F15"/>
    <w:rsid w:val="7EAC5AC6"/>
    <w:rsid w:val="7EDE0C50"/>
    <w:rsid w:val="7EE57C91"/>
    <w:rsid w:val="7EEB62EE"/>
    <w:rsid w:val="7F01354C"/>
    <w:rsid w:val="7F2F6772"/>
    <w:rsid w:val="7F3D57E1"/>
    <w:rsid w:val="7F405587"/>
    <w:rsid w:val="7F575472"/>
    <w:rsid w:val="7F624F6F"/>
    <w:rsid w:val="7F6C64EB"/>
    <w:rsid w:val="7F8B11B0"/>
    <w:rsid w:val="7F8F4F7D"/>
    <w:rsid w:val="7FA155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link w:val="106"/>
    <w:qFormat/>
    <w:uiPriority w:val="9"/>
    <w:pPr>
      <w:keepNext/>
      <w:widowControl/>
      <w:spacing w:line="360" w:lineRule="auto"/>
      <w:jc w:val="center"/>
      <w:outlineLvl w:val="0"/>
    </w:pPr>
    <w:rPr>
      <w:rFonts w:ascii="黑体"/>
      <w:b/>
      <w:kern w:val="0"/>
      <w:sz w:val="32"/>
    </w:rPr>
  </w:style>
  <w:style w:type="paragraph" w:styleId="4">
    <w:name w:val="heading 2"/>
    <w:basedOn w:val="1"/>
    <w:next w:val="1"/>
    <w:link w:val="185"/>
    <w:qFormat/>
    <w:uiPriority w:val="0"/>
    <w:pPr>
      <w:keepNext/>
      <w:keepLines/>
      <w:tabs>
        <w:tab w:val="left" w:pos="706"/>
        <w:tab w:val="left" w:pos="1110"/>
      </w:tabs>
      <w:spacing w:line="360" w:lineRule="auto"/>
      <w:ind w:left="106" w:firstLine="454"/>
      <w:outlineLvl w:val="1"/>
    </w:pPr>
    <w:rPr>
      <w:rFonts w:eastAsia="黑体"/>
      <w:b/>
      <w:sz w:val="21"/>
    </w:rPr>
  </w:style>
  <w:style w:type="paragraph" w:styleId="5">
    <w:name w:val="heading 3"/>
    <w:basedOn w:val="1"/>
    <w:next w:val="1"/>
    <w:link w:val="108"/>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6">
    <w:name w:val="heading 4"/>
    <w:basedOn w:val="1"/>
    <w:next w:val="1"/>
    <w:link w:val="109"/>
    <w:qFormat/>
    <w:uiPriority w:val="0"/>
    <w:pPr>
      <w:tabs>
        <w:tab w:val="left" w:pos="720"/>
      </w:tabs>
      <w:spacing w:before="280" w:after="290" w:line="372" w:lineRule="auto"/>
      <w:outlineLvl w:val="3"/>
    </w:pPr>
    <w:rPr>
      <w:rFonts w:ascii="Arial" w:hAnsi="Arial" w:eastAsia="黑体"/>
    </w:rPr>
  </w:style>
  <w:style w:type="paragraph" w:styleId="7">
    <w:name w:val="heading 5"/>
    <w:basedOn w:val="1"/>
    <w:next w:val="1"/>
    <w:link w:val="110"/>
    <w:qFormat/>
    <w:uiPriority w:val="0"/>
    <w:pPr>
      <w:keepNext/>
      <w:keepLines/>
      <w:spacing w:before="280" w:after="290" w:line="372" w:lineRule="auto"/>
      <w:outlineLvl w:val="4"/>
    </w:pPr>
    <w:rPr>
      <w:b/>
    </w:rPr>
  </w:style>
  <w:style w:type="paragraph" w:styleId="8">
    <w:name w:val="heading 6"/>
    <w:basedOn w:val="1"/>
    <w:next w:val="1"/>
    <w:link w:val="111"/>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9">
    <w:name w:val="heading 7"/>
    <w:basedOn w:val="1"/>
    <w:next w:val="1"/>
    <w:link w:val="112"/>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10">
    <w:name w:val="heading 8"/>
    <w:basedOn w:val="1"/>
    <w:next w:val="1"/>
    <w:link w:val="113"/>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1">
    <w:name w:val="heading 9"/>
    <w:basedOn w:val="1"/>
    <w:next w:val="1"/>
    <w:link w:val="114"/>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90">
    <w:name w:val="Default Paragraph Font"/>
    <w:unhideWhenUsed/>
    <w:qFormat/>
    <w:uiPriority w:val="1"/>
  </w:style>
  <w:style w:type="table" w:default="1" w:styleId="88">
    <w:name w:val="Normal Table"/>
    <w:unhideWhenUsed/>
    <w:qFormat/>
    <w:uiPriority w:val="99"/>
    <w:tblPr>
      <w:tblCellMar>
        <w:top w:w="0" w:type="dxa"/>
        <w:left w:w="108" w:type="dxa"/>
        <w:bottom w:w="0" w:type="dxa"/>
        <w:right w:w="108" w:type="dxa"/>
      </w:tblCellMar>
    </w:tblPr>
  </w:style>
  <w:style w:type="paragraph" w:styleId="2">
    <w:name w:val="macro"/>
    <w:link w:val="33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2"/>
      <w:lang w:val="en-US" w:eastAsia="zh-CN" w:bidi="ar-SA"/>
    </w:rPr>
  </w:style>
  <w:style w:type="paragraph" w:styleId="12">
    <w:name w:val="List 3"/>
    <w:basedOn w:val="1"/>
    <w:qFormat/>
    <w:uiPriority w:val="0"/>
    <w:pPr>
      <w:ind w:left="100" w:leftChars="400" w:hanging="200" w:hangingChars="200"/>
    </w:pPr>
    <w:rPr>
      <w:sz w:val="21"/>
    </w:rPr>
  </w:style>
  <w:style w:type="paragraph" w:styleId="13">
    <w:name w:val="toc 7"/>
    <w:basedOn w:val="1"/>
    <w:next w:val="1"/>
    <w:qFormat/>
    <w:uiPriority w:val="0"/>
    <w:pPr>
      <w:ind w:left="1680"/>
      <w:jc w:val="left"/>
    </w:pPr>
    <w:rPr>
      <w:sz w:val="18"/>
    </w:rPr>
  </w:style>
  <w:style w:type="paragraph" w:styleId="14">
    <w:name w:val="List Number 2"/>
    <w:basedOn w:val="1"/>
    <w:qFormat/>
    <w:uiPriority w:val="0"/>
    <w:pPr>
      <w:tabs>
        <w:tab w:val="left" w:pos="0"/>
      </w:tabs>
      <w:ind w:left="1146" w:hanging="720"/>
    </w:pPr>
    <w:rPr>
      <w:sz w:val="21"/>
    </w:rPr>
  </w:style>
  <w:style w:type="paragraph" w:styleId="15">
    <w:name w:val="table of authorities"/>
    <w:basedOn w:val="1"/>
    <w:next w:val="1"/>
    <w:qFormat/>
    <w:uiPriority w:val="0"/>
    <w:pPr>
      <w:ind w:left="420" w:leftChars="200"/>
    </w:pPr>
    <w:rPr>
      <w:sz w:val="21"/>
    </w:rPr>
  </w:style>
  <w:style w:type="paragraph" w:styleId="16">
    <w:name w:val="Note Heading"/>
    <w:basedOn w:val="1"/>
    <w:next w:val="1"/>
    <w:link w:val="334"/>
    <w:qFormat/>
    <w:uiPriority w:val="0"/>
    <w:pPr>
      <w:jc w:val="center"/>
    </w:pPr>
    <w:rPr>
      <w:rFonts w:asciiTheme="minorHAnsi" w:hAnsiTheme="minorHAnsi" w:eastAsiaTheme="minorEastAsia" w:cstheme="minorBidi"/>
      <w:sz w:val="21"/>
      <w:szCs w:val="22"/>
    </w:rPr>
  </w:style>
  <w:style w:type="paragraph" w:styleId="17">
    <w:name w:val="List Bullet 4"/>
    <w:basedOn w:val="1"/>
    <w:qFormat/>
    <w:uiPriority w:val="0"/>
    <w:pPr>
      <w:tabs>
        <w:tab w:val="left" w:pos="1620"/>
      </w:tabs>
      <w:ind w:left="1620" w:hanging="360"/>
    </w:pPr>
    <w:rPr>
      <w:sz w:val="21"/>
    </w:rPr>
  </w:style>
  <w:style w:type="paragraph" w:styleId="18">
    <w:name w:val="index 8"/>
    <w:basedOn w:val="1"/>
    <w:next w:val="1"/>
    <w:qFormat/>
    <w:uiPriority w:val="0"/>
    <w:pPr>
      <w:ind w:left="1400" w:leftChars="1400"/>
    </w:pPr>
    <w:rPr>
      <w:sz w:val="21"/>
    </w:rPr>
  </w:style>
  <w:style w:type="paragraph" w:styleId="19">
    <w:name w:val="E-mail Signature"/>
    <w:basedOn w:val="1"/>
    <w:link w:val="328"/>
    <w:qFormat/>
    <w:uiPriority w:val="0"/>
    <w:rPr>
      <w:rFonts w:asciiTheme="minorHAnsi" w:hAnsiTheme="minorHAnsi" w:eastAsiaTheme="minorEastAsia" w:cstheme="minorBidi"/>
      <w:sz w:val="21"/>
      <w:szCs w:val="22"/>
    </w:rPr>
  </w:style>
  <w:style w:type="paragraph" w:styleId="20">
    <w:name w:val="List Number"/>
    <w:basedOn w:val="1"/>
    <w:qFormat/>
    <w:uiPriority w:val="0"/>
    <w:pPr>
      <w:tabs>
        <w:tab w:val="left" w:pos="360"/>
      </w:tabs>
      <w:ind w:left="360" w:hanging="360"/>
    </w:pPr>
    <w:rPr>
      <w:sz w:val="21"/>
    </w:rPr>
  </w:style>
  <w:style w:type="paragraph" w:styleId="21">
    <w:name w:val="Normal Indent"/>
    <w:basedOn w:val="1"/>
    <w:next w:val="22"/>
    <w:link w:val="305"/>
    <w:qFormat/>
    <w:uiPriority w:val="0"/>
    <w:pPr>
      <w:widowControl/>
      <w:ind w:firstLine="420"/>
      <w:jc w:val="left"/>
    </w:pPr>
    <w:rPr>
      <w:rFonts w:asciiTheme="minorHAnsi" w:hAnsiTheme="minorHAnsi" w:cstheme="minorBidi"/>
      <w:sz w:val="24"/>
      <w:szCs w:val="22"/>
    </w:rPr>
  </w:style>
  <w:style w:type="paragraph" w:styleId="22">
    <w:name w:val="Body Text Indent"/>
    <w:basedOn w:val="1"/>
    <w:next w:val="1"/>
    <w:link w:val="115"/>
    <w:unhideWhenUsed/>
    <w:qFormat/>
    <w:uiPriority w:val="0"/>
    <w:pPr>
      <w:spacing w:after="120"/>
      <w:ind w:left="420" w:leftChars="200"/>
    </w:pPr>
  </w:style>
  <w:style w:type="paragraph" w:styleId="23">
    <w:name w:val="caption"/>
    <w:basedOn w:val="1"/>
    <w:next w:val="1"/>
    <w:qFormat/>
    <w:uiPriority w:val="0"/>
    <w:rPr>
      <w:rFonts w:ascii="Arial" w:hAnsi="Arial" w:eastAsia="黑体"/>
      <w:sz w:val="20"/>
    </w:rPr>
  </w:style>
  <w:style w:type="paragraph" w:styleId="24">
    <w:name w:val="index 5"/>
    <w:basedOn w:val="1"/>
    <w:next w:val="1"/>
    <w:qFormat/>
    <w:uiPriority w:val="0"/>
    <w:pPr>
      <w:ind w:left="800" w:leftChars="800"/>
    </w:pPr>
    <w:rPr>
      <w:sz w:val="21"/>
    </w:rPr>
  </w:style>
  <w:style w:type="paragraph" w:styleId="25">
    <w:name w:val="List Bullet"/>
    <w:basedOn w:val="1"/>
    <w:qFormat/>
    <w:uiPriority w:val="0"/>
    <w:pPr>
      <w:tabs>
        <w:tab w:val="left" w:pos="735"/>
      </w:tabs>
      <w:ind w:left="735"/>
    </w:pPr>
    <w:rPr>
      <w:sz w:val="21"/>
    </w:rPr>
  </w:style>
  <w:style w:type="paragraph" w:styleId="26">
    <w:name w:val="envelope address"/>
    <w:basedOn w:val="1"/>
    <w:qFormat/>
    <w:uiPriority w:val="0"/>
    <w:pPr>
      <w:snapToGrid w:val="0"/>
      <w:ind w:left="100" w:leftChars="1400"/>
    </w:pPr>
    <w:rPr>
      <w:rFonts w:ascii="Arial" w:hAnsi="Arial"/>
      <w:sz w:val="24"/>
    </w:rPr>
  </w:style>
  <w:style w:type="paragraph" w:styleId="27">
    <w:name w:val="Document Map"/>
    <w:basedOn w:val="1"/>
    <w:link w:val="336"/>
    <w:qFormat/>
    <w:uiPriority w:val="0"/>
    <w:pPr>
      <w:shd w:val="clear" w:color="auto" w:fill="000080"/>
    </w:pPr>
    <w:rPr>
      <w:rFonts w:asciiTheme="minorHAnsi" w:hAnsiTheme="minorHAnsi" w:eastAsiaTheme="minorEastAsia" w:cstheme="minorBidi"/>
      <w:szCs w:val="22"/>
      <w:shd w:val="clear" w:color="auto" w:fill="000080"/>
    </w:rPr>
  </w:style>
  <w:style w:type="paragraph" w:styleId="28">
    <w:name w:val="toa heading"/>
    <w:basedOn w:val="1"/>
    <w:next w:val="1"/>
    <w:qFormat/>
    <w:uiPriority w:val="0"/>
    <w:pPr>
      <w:spacing w:before="120"/>
    </w:pPr>
    <w:rPr>
      <w:rFonts w:ascii="Arial" w:hAnsi="Arial"/>
      <w:sz w:val="24"/>
    </w:rPr>
  </w:style>
  <w:style w:type="paragraph" w:styleId="29">
    <w:name w:val="annotation text"/>
    <w:basedOn w:val="1"/>
    <w:link w:val="121"/>
    <w:unhideWhenUsed/>
    <w:qFormat/>
    <w:uiPriority w:val="0"/>
    <w:pPr>
      <w:jc w:val="left"/>
    </w:pPr>
  </w:style>
  <w:style w:type="paragraph" w:styleId="30">
    <w:name w:val="index 6"/>
    <w:basedOn w:val="1"/>
    <w:next w:val="1"/>
    <w:qFormat/>
    <w:uiPriority w:val="0"/>
    <w:pPr>
      <w:ind w:left="1000" w:leftChars="1000"/>
    </w:pPr>
    <w:rPr>
      <w:sz w:val="21"/>
    </w:rPr>
  </w:style>
  <w:style w:type="paragraph" w:styleId="31">
    <w:name w:val="Salutation"/>
    <w:basedOn w:val="1"/>
    <w:next w:val="1"/>
    <w:link w:val="344"/>
    <w:qFormat/>
    <w:uiPriority w:val="0"/>
    <w:rPr>
      <w:rFonts w:ascii="宋体" w:hAnsiTheme="minorHAnsi" w:eastAsiaTheme="minorEastAsia" w:cstheme="minorBidi"/>
      <w:szCs w:val="22"/>
    </w:rPr>
  </w:style>
  <w:style w:type="paragraph" w:styleId="32">
    <w:name w:val="Body Text 3"/>
    <w:basedOn w:val="1"/>
    <w:link w:val="348"/>
    <w:qFormat/>
    <w:uiPriority w:val="0"/>
    <w:pPr>
      <w:spacing w:after="120"/>
    </w:pPr>
    <w:rPr>
      <w:rFonts w:asciiTheme="minorHAnsi" w:hAnsiTheme="minorHAnsi" w:eastAsiaTheme="minorEastAsia" w:cstheme="minorBidi"/>
      <w:sz w:val="16"/>
      <w:szCs w:val="22"/>
    </w:rPr>
  </w:style>
  <w:style w:type="paragraph" w:styleId="33">
    <w:name w:val="Closing"/>
    <w:basedOn w:val="1"/>
    <w:link w:val="333"/>
    <w:qFormat/>
    <w:uiPriority w:val="0"/>
    <w:pPr>
      <w:ind w:left="100" w:leftChars="2100"/>
    </w:pPr>
    <w:rPr>
      <w:rFonts w:asciiTheme="minorHAnsi" w:hAnsiTheme="minorHAnsi" w:eastAsiaTheme="minorEastAsia" w:cstheme="minorBidi"/>
      <w:sz w:val="21"/>
      <w:szCs w:val="22"/>
    </w:rPr>
  </w:style>
  <w:style w:type="paragraph" w:styleId="34">
    <w:name w:val="List Bullet 3"/>
    <w:basedOn w:val="1"/>
    <w:qFormat/>
    <w:uiPriority w:val="0"/>
    <w:pPr>
      <w:tabs>
        <w:tab w:val="left" w:pos="1200"/>
      </w:tabs>
      <w:ind w:left="1200" w:hanging="360"/>
    </w:pPr>
    <w:rPr>
      <w:sz w:val="21"/>
    </w:rPr>
  </w:style>
  <w:style w:type="paragraph" w:styleId="35">
    <w:name w:val="Body Text"/>
    <w:basedOn w:val="1"/>
    <w:next w:val="36"/>
    <w:link w:val="117"/>
    <w:unhideWhenUsed/>
    <w:qFormat/>
    <w:uiPriority w:val="0"/>
    <w:pPr>
      <w:spacing w:after="120"/>
    </w:pPr>
  </w:style>
  <w:style w:type="paragraph" w:styleId="36">
    <w:name w:val="Body Text First Indent"/>
    <w:basedOn w:val="1"/>
    <w:next w:val="37"/>
    <w:link w:val="340"/>
    <w:qFormat/>
    <w:uiPriority w:val="0"/>
    <w:pPr>
      <w:ind w:firstLine="420" w:firstLineChars="100"/>
    </w:pPr>
    <w:rPr>
      <w:rFonts w:ascii="等线" w:hAnsi="等线" w:eastAsia="等线" w:cstheme="minorBidi"/>
      <w:sz w:val="21"/>
      <w:szCs w:val="22"/>
    </w:rPr>
  </w:style>
  <w:style w:type="paragraph" w:styleId="37">
    <w:name w:val="toc 6"/>
    <w:basedOn w:val="1"/>
    <w:next w:val="1"/>
    <w:qFormat/>
    <w:uiPriority w:val="0"/>
    <w:pPr>
      <w:ind w:left="1400"/>
      <w:jc w:val="left"/>
    </w:pPr>
    <w:rPr>
      <w:sz w:val="18"/>
    </w:rPr>
  </w:style>
  <w:style w:type="paragraph" w:styleId="38">
    <w:name w:val="List Number 3"/>
    <w:basedOn w:val="1"/>
    <w:qFormat/>
    <w:uiPriority w:val="0"/>
    <w:pPr>
      <w:tabs>
        <w:tab w:val="left" w:pos="1200"/>
      </w:tabs>
      <w:ind w:left="1200" w:hanging="360"/>
    </w:pPr>
    <w:rPr>
      <w:sz w:val="21"/>
    </w:rPr>
  </w:style>
  <w:style w:type="paragraph" w:styleId="39">
    <w:name w:val="List 2"/>
    <w:basedOn w:val="1"/>
    <w:qFormat/>
    <w:uiPriority w:val="0"/>
    <w:pPr>
      <w:ind w:left="100" w:leftChars="200" w:hanging="200" w:hangingChars="200"/>
    </w:pPr>
    <w:rPr>
      <w:sz w:val="21"/>
    </w:rPr>
  </w:style>
  <w:style w:type="paragraph" w:styleId="40">
    <w:name w:val="List Continue"/>
    <w:basedOn w:val="1"/>
    <w:qFormat/>
    <w:uiPriority w:val="0"/>
    <w:pPr>
      <w:spacing w:after="120"/>
      <w:ind w:left="420" w:leftChars="200"/>
    </w:pPr>
    <w:rPr>
      <w:sz w:val="21"/>
    </w:rPr>
  </w:style>
  <w:style w:type="paragraph" w:styleId="41">
    <w:name w:val="Block Text"/>
    <w:basedOn w:val="1"/>
    <w:qFormat/>
    <w:uiPriority w:val="0"/>
    <w:pPr>
      <w:spacing w:line="240" w:lineRule="exact"/>
      <w:ind w:left="475" w:leftChars="240" w:right="292" w:rightChars="292" w:firstLine="473"/>
    </w:pPr>
    <w:rPr>
      <w:rFonts w:ascii="宋体" w:hAnsi="宋体"/>
      <w:spacing w:val="-6"/>
      <w:sz w:val="21"/>
    </w:rPr>
  </w:style>
  <w:style w:type="paragraph" w:styleId="42">
    <w:name w:val="List Bullet 2"/>
    <w:basedOn w:val="1"/>
    <w:qFormat/>
    <w:uiPriority w:val="0"/>
    <w:pPr>
      <w:tabs>
        <w:tab w:val="left" w:pos="780"/>
      </w:tabs>
      <w:ind w:left="780" w:hanging="360"/>
    </w:pPr>
    <w:rPr>
      <w:sz w:val="21"/>
    </w:rPr>
  </w:style>
  <w:style w:type="paragraph" w:styleId="43">
    <w:name w:val="HTML Address"/>
    <w:basedOn w:val="1"/>
    <w:link w:val="339"/>
    <w:qFormat/>
    <w:uiPriority w:val="0"/>
    <w:rPr>
      <w:rFonts w:asciiTheme="minorHAnsi" w:hAnsiTheme="minorHAnsi" w:eastAsiaTheme="minorEastAsia" w:cstheme="minorBidi"/>
      <w:i/>
      <w:sz w:val="21"/>
      <w:szCs w:val="22"/>
    </w:rPr>
  </w:style>
  <w:style w:type="paragraph" w:styleId="44">
    <w:name w:val="index 4"/>
    <w:basedOn w:val="1"/>
    <w:next w:val="1"/>
    <w:qFormat/>
    <w:uiPriority w:val="0"/>
    <w:pPr>
      <w:ind w:left="600" w:leftChars="600"/>
    </w:pPr>
    <w:rPr>
      <w:sz w:val="21"/>
    </w:rPr>
  </w:style>
  <w:style w:type="paragraph" w:styleId="45">
    <w:name w:val="toc 5"/>
    <w:basedOn w:val="1"/>
    <w:next w:val="1"/>
    <w:qFormat/>
    <w:uiPriority w:val="0"/>
    <w:pPr>
      <w:ind w:left="1120"/>
      <w:jc w:val="left"/>
    </w:pPr>
    <w:rPr>
      <w:sz w:val="18"/>
    </w:rPr>
  </w:style>
  <w:style w:type="paragraph" w:styleId="46">
    <w:name w:val="toc 3"/>
    <w:basedOn w:val="1"/>
    <w:next w:val="1"/>
    <w:qFormat/>
    <w:uiPriority w:val="0"/>
    <w:pPr>
      <w:ind w:left="560"/>
      <w:jc w:val="left"/>
    </w:pPr>
    <w:rPr>
      <w:i/>
      <w:sz w:val="20"/>
    </w:rPr>
  </w:style>
  <w:style w:type="paragraph" w:styleId="47">
    <w:name w:val="Plain Text"/>
    <w:basedOn w:val="1"/>
    <w:link w:val="332"/>
    <w:qFormat/>
    <w:uiPriority w:val="0"/>
    <w:rPr>
      <w:rFonts w:ascii="宋体" w:hAnsi="Courier New" w:cstheme="minorBidi"/>
      <w:sz w:val="21"/>
      <w:szCs w:val="22"/>
    </w:rPr>
  </w:style>
  <w:style w:type="paragraph" w:styleId="48">
    <w:name w:val="List Bullet 5"/>
    <w:basedOn w:val="1"/>
    <w:qFormat/>
    <w:uiPriority w:val="0"/>
    <w:pPr>
      <w:tabs>
        <w:tab w:val="left" w:pos="2040"/>
      </w:tabs>
      <w:ind w:left="2040" w:hanging="360"/>
    </w:pPr>
    <w:rPr>
      <w:sz w:val="21"/>
    </w:rPr>
  </w:style>
  <w:style w:type="paragraph" w:styleId="49">
    <w:name w:val="List Number 4"/>
    <w:basedOn w:val="1"/>
    <w:qFormat/>
    <w:uiPriority w:val="0"/>
    <w:pPr>
      <w:tabs>
        <w:tab w:val="left" w:pos="1620"/>
      </w:tabs>
      <w:ind w:left="1620" w:hanging="360"/>
    </w:pPr>
    <w:rPr>
      <w:sz w:val="21"/>
    </w:rPr>
  </w:style>
  <w:style w:type="paragraph" w:styleId="50">
    <w:name w:val="toc 8"/>
    <w:basedOn w:val="1"/>
    <w:next w:val="1"/>
    <w:qFormat/>
    <w:uiPriority w:val="0"/>
    <w:pPr>
      <w:ind w:left="1960"/>
      <w:jc w:val="left"/>
    </w:pPr>
    <w:rPr>
      <w:sz w:val="18"/>
    </w:rPr>
  </w:style>
  <w:style w:type="paragraph" w:styleId="51">
    <w:name w:val="index 3"/>
    <w:basedOn w:val="1"/>
    <w:next w:val="1"/>
    <w:qFormat/>
    <w:uiPriority w:val="0"/>
    <w:pPr>
      <w:ind w:left="400" w:leftChars="400"/>
    </w:pPr>
    <w:rPr>
      <w:sz w:val="21"/>
    </w:rPr>
  </w:style>
  <w:style w:type="paragraph" w:styleId="52">
    <w:name w:val="Date"/>
    <w:basedOn w:val="1"/>
    <w:next w:val="1"/>
    <w:link w:val="331"/>
    <w:qFormat/>
    <w:uiPriority w:val="0"/>
    <w:pPr>
      <w:adjustRightInd w:val="0"/>
      <w:jc w:val="right"/>
      <w:textAlignment w:val="baseline"/>
    </w:pPr>
    <w:rPr>
      <w:rFonts w:eastAsia="仿宋_GB2312" w:asciiTheme="minorHAnsi" w:hAnsiTheme="minorHAnsi" w:cstheme="minorBidi"/>
      <w:b/>
      <w:szCs w:val="22"/>
    </w:rPr>
  </w:style>
  <w:style w:type="paragraph" w:styleId="53">
    <w:name w:val="Body Text Indent 2"/>
    <w:basedOn w:val="1"/>
    <w:link w:val="335"/>
    <w:qFormat/>
    <w:uiPriority w:val="0"/>
    <w:pPr>
      <w:spacing w:line="520" w:lineRule="exact"/>
      <w:ind w:firstLine="848" w:firstLineChars="303"/>
    </w:pPr>
    <w:rPr>
      <w:rFonts w:ascii="黑体" w:eastAsia="黑体" w:hAnsiTheme="minorHAnsi" w:cstheme="minorBidi"/>
      <w:szCs w:val="22"/>
    </w:rPr>
  </w:style>
  <w:style w:type="paragraph" w:styleId="54">
    <w:name w:val="endnote text"/>
    <w:basedOn w:val="1"/>
    <w:link w:val="327"/>
    <w:qFormat/>
    <w:uiPriority w:val="0"/>
    <w:pPr>
      <w:snapToGrid w:val="0"/>
    </w:pPr>
    <w:rPr>
      <w:rFonts w:asciiTheme="minorHAnsi" w:hAnsiTheme="minorHAnsi" w:eastAsiaTheme="minorEastAsia" w:cstheme="minorBidi"/>
      <w:sz w:val="21"/>
      <w:szCs w:val="22"/>
    </w:rPr>
  </w:style>
  <w:style w:type="paragraph" w:styleId="55">
    <w:name w:val="List Continue 5"/>
    <w:basedOn w:val="1"/>
    <w:qFormat/>
    <w:uiPriority w:val="0"/>
    <w:pPr>
      <w:spacing w:after="120"/>
      <w:ind w:left="2100" w:leftChars="1000"/>
    </w:pPr>
    <w:rPr>
      <w:sz w:val="21"/>
    </w:rPr>
  </w:style>
  <w:style w:type="paragraph" w:styleId="56">
    <w:name w:val="Balloon Text"/>
    <w:basedOn w:val="1"/>
    <w:next w:val="1"/>
    <w:link w:val="343"/>
    <w:qFormat/>
    <w:uiPriority w:val="99"/>
    <w:rPr>
      <w:rFonts w:asciiTheme="minorHAnsi" w:hAnsiTheme="minorHAnsi" w:eastAsiaTheme="minorEastAsia" w:cstheme="minorBidi"/>
      <w:sz w:val="18"/>
      <w:szCs w:val="22"/>
    </w:rPr>
  </w:style>
  <w:style w:type="paragraph" w:styleId="57">
    <w:name w:val="footer"/>
    <w:basedOn w:val="1"/>
    <w:link w:val="105"/>
    <w:unhideWhenUsed/>
    <w:qFormat/>
    <w:uiPriority w:val="99"/>
    <w:pPr>
      <w:tabs>
        <w:tab w:val="center" w:pos="4153"/>
        <w:tab w:val="right" w:pos="8306"/>
      </w:tabs>
      <w:snapToGrid w:val="0"/>
      <w:jc w:val="left"/>
    </w:pPr>
    <w:rPr>
      <w:sz w:val="18"/>
      <w:szCs w:val="18"/>
    </w:rPr>
  </w:style>
  <w:style w:type="paragraph" w:styleId="58">
    <w:name w:val="envelope return"/>
    <w:basedOn w:val="1"/>
    <w:qFormat/>
    <w:uiPriority w:val="0"/>
    <w:pPr>
      <w:snapToGrid w:val="0"/>
    </w:pPr>
    <w:rPr>
      <w:rFonts w:ascii="Arial" w:hAnsi="Arial"/>
      <w:sz w:val="21"/>
    </w:rPr>
  </w:style>
  <w:style w:type="paragraph" w:styleId="59">
    <w:name w:val="header"/>
    <w:basedOn w:val="1"/>
    <w:link w:val="104"/>
    <w:unhideWhenUsed/>
    <w:qFormat/>
    <w:uiPriority w:val="0"/>
    <w:pPr>
      <w:pBdr>
        <w:bottom w:val="single" w:color="auto" w:sz="6" w:space="1"/>
      </w:pBdr>
      <w:tabs>
        <w:tab w:val="center" w:pos="4153"/>
        <w:tab w:val="right" w:pos="8306"/>
      </w:tabs>
      <w:snapToGrid w:val="0"/>
      <w:jc w:val="center"/>
    </w:pPr>
    <w:rPr>
      <w:sz w:val="18"/>
      <w:szCs w:val="18"/>
    </w:rPr>
  </w:style>
  <w:style w:type="paragraph" w:styleId="60">
    <w:name w:val="Signature"/>
    <w:basedOn w:val="1"/>
    <w:link w:val="347"/>
    <w:qFormat/>
    <w:uiPriority w:val="0"/>
    <w:pPr>
      <w:ind w:left="100" w:leftChars="2100"/>
    </w:pPr>
    <w:rPr>
      <w:rFonts w:asciiTheme="minorHAnsi" w:hAnsiTheme="minorHAnsi" w:eastAsiaTheme="minorEastAsia" w:cstheme="minorBidi"/>
      <w:sz w:val="21"/>
      <w:szCs w:val="22"/>
    </w:rPr>
  </w:style>
  <w:style w:type="paragraph" w:styleId="61">
    <w:name w:val="toc 1"/>
    <w:basedOn w:val="1"/>
    <w:next w:val="1"/>
    <w:qFormat/>
    <w:uiPriority w:val="39"/>
    <w:pPr>
      <w:tabs>
        <w:tab w:val="right" w:leader="dot" w:pos="8364"/>
      </w:tabs>
      <w:spacing w:before="120" w:after="120" w:line="360" w:lineRule="auto"/>
      <w:jc w:val="left"/>
    </w:pPr>
    <w:rPr>
      <w:b/>
      <w:caps/>
      <w:sz w:val="20"/>
    </w:rPr>
  </w:style>
  <w:style w:type="paragraph" w:styleId="62">
    <w:name w:val="List Continue 4"/>
    <w:basedOn w:val="1"/>
    <w:qFormat/>
    <w:uiPriority w:val="0"/>
    <w:pPr>
      <w:spacing w:after="120"/>
      <w:ind w:left="1680" w:leftChars="800"/>
    </w:pPr>
    <w:rPr>
      <w:sz w:val="21"/>
    </w:rPr>
  </w:style>
  <w:style w:type="paragraph" w:styleId="63">
    <w:name w:val="toc 4"/>
    <w:basedOn w:val="1"/>
    <w:next w:val="1"/>
    <w:qFormat/>
    <w:uiPriority w:val="0"/>
    <w:pPr>
      <w:ind w:left="840"/>
      <w:jc w:val="left"/>
    </w:pPr>
    <w:rPr>
      <w:sz w:val="18"/>
    </w:rPr>
  </w:style>
  <w:style w:type="paragraph" w:styleId="64">
    <w:name w:val="index heading"/>
    <w:basedOn w:val="1"/>
    <w:next w:val="65"/>
    <w:qFormat/>
    <w:uiPriority w:val="0"/>
    <w:rPr>
      <w:rFonts w:ascii="Arial" w:hAnsi="Arial"/>
      <w:b/>
      <w:sz w:val="21"/>
    </w:rPr>
  </w:style>
  <w:style w:type="paragraph" w:styleId="65">
    <w:name w:val="index 1"/>
    <w:basedOn w:val="1"/>
    <w:next w:val="1"/>
    <w:unhideWhenUsed/>
    <w:qFormat/>
    <w:uiPriority w:val="0"/>
  </w:style>
  <w:style w:type="paragraph" w:styleId="66">
    <w:name w:val="Subtitle"/>
    <w:basedOn w:val="1"/>
    <w:next w:val="1"/>
    <w:link w:val="349"/>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67">
    <w:name w:val="List Number 5"/>
    <w:basedOn w:val="1"/>
    <w:qFormat/>
    <w:uiPriority w:val="0"/>
    <w:pPr>
      <w:tabs>
        <w:tab w:val="left" w:pos="2040"/>
      </w:tabs>
      <w:ind w:left="2040" w:hanging="360"/>
    </w:pPr>
    <w:rPr>
      <w:sz w:val="21"/>
    </w:rPr>
  </w:style>
  <w:style w:type="paragraph" w:styleId="68">
    <w:name w:val="List"/>
    <w:basedOn w:val="1"/>
    <w:qFormat/>
    <w:uiPriority w:val="0"/>
    <w:pPr>
      <w:ind w:left="200" w:hanging="200" w:hangingChars="200"/>
    </w:pPr>
    <w:rPr>
      <w:sz w:val="21"/>
    </w:rPr>
  </w:style>
  <w:style w:type="paragraph" w:styleId="69">
    <w:name w:val="footnote text"/>
    <w:basedOn w:val="1"/>
    <w:link w:val="350"/>
    <w:qFormat/>
    <w:uiPriority w:val="0"/>
    <w:pPr>
      <w:snapToGrid w:val="0"/>
      <w:jc w:val="left"/>
    </w:pPr>
    <w:rPr>
      <w:rFonts w:asciiTheme="minorHAnsi" w:hAnsiTheme="minorHAnsi" w:eastAsiaTheme="minorEastAsia" w:cstheme="minorBidi"/>
      <w:sz w:val="18"/>
      <w:szCs w:val="22"/>
    </w:rPr>
  </w:style>
  <w:style w:type="paragraph" w:styleId="70">
    <w:name w:val="List 5"/>
    <w:basedOn w:val="1"/>
    <w:qFormat/>
    <w:uiPriority w:val="0"/>
    <w:pPr>
      <w:ind w:left="100" w:leftChars="800" w:hanging="200" w:hangingChars="200"/>
    </w:pPr>
    <w:rPr>
      <w:sz w:val="21"/>
    </w:rPr>
  </w:style>
  <w:style w:type="paragraph" w:styleId="71">
    <w:name w:val="Body Text Indent 3"/>
    <w:basedOn w:val="1"/>
    <w:link w:val="346"/>
    <w:qFormat/>
    <w:uiPriority w:val="0"/>
    <w:pPr>
      <w:spacing w:line="520" w:lineRule="exact"/>
      <w:ind w:firstLine="547"/>
    </w:pPr>
    <w:rPr>
      <w:rFonts w:asciiTheme="minorHAnsi" w:hAnsiTheme="minorHAnsi" w:eastAsiaTheme="minorEastAsia" w:cstheme="minorBidi"/>
      <w:szCs w:val="22"/>
    </w:rPr>
  </w:style>
  <w:style w:type="paragraph" w:styleId="72">
    <w:name w:val="index 7"/>
    <w:basedOn w:val="1"/>
    <w:next w:val="1"/>
    <w:qFormat/>
    <w:uiPriority w:val="0"/>
    <w:pPr>
      <w:ind w:left="1200" w:leftChars="1200"/>
    </w:pPr>
    <w:rPr>
      <w:sz w:val="21"/>
    </w:rPr>
  </w:style>
  <w:style w:type="paragraph" w:styleId="73">
    <w:name w:val="index 9"/>
    <w:basedOn w:val="1"/>
    <w:next w:val="1"/>
    <w:qFormat/>
    <w:uiPriority w:val="0"/>
    <w:pPr>
      <w:ind w:left="1600" w:leftChars="1600"/>
    </w:pPr>
    <w:rPr>
      <w:sz w:val="21"/>
    </w:rPr>
  </w:style>
  <w:style w:type="paragraph" w:styleId="74">
    <w:name w:val="table of figures"/>
    <w:basedOn w:val="1"/>
    <w:next w:val="1"/>
    <w:qFormat/>
    <w:uiPriority w:val="0"/>
    <w:pPr>
      <w:ind w:left="560" w:hanging="560"/>
      <w:jc w:val="left"/>
    </w:pPr>
    <w:rPr>
      <w:smallCaps/>
      <w:sz w:val="20"/>
    </w:rPr>
  </w:style>
  <w:style w:type="paragraph" w:styleId="75">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76">
    <w:name w:val="toc 9"/>
    <w:basedOn w:val="1"/>
    <w:next w:val="1"/>
    <w:qFormat/>
    <w:uiPriority w:val="0"/>
    <w:pPr>
      <w:ind w:left="2240"/>
      <w:jc w:val="left"/>
    </w:pPr>
    <w:rPr>
      <w:sz w:val="18"/>
    </w:rPr>
  </w:style>
  <w:style w:type="paragraph" w:styleId="77">
    <w:name w:val="Body Text 2"/>
    <w:basedOn w:val="1"/>
    <w:link w:val="329"/>
    <w:qFormat/>
    <w:uiPriority w:val="0"/>
    <w:pPr>
      <w:spacing w:after="120" w:line="480" w:lineRule="auto"/>
    </w:pPr>
    <w:rPr>
      <w:rFonts w:asciiTheme="minorHAnsi" w:hAnsiTheme="minorHAnsi" w:eastAsiaTheme="minorEastAsia" w:cstheme="minorBidi"/>
      <w:sz w:val="21"/>
      <w:szCs w:val="22"/>
    </w:rPr>
  </w:style>
  <w:style w:type="paragraph" w:styleId="78">
    <w:name w:val="List 4"/>
    <w:basedOn w:val="1"/>
    <w:qFormat/>
    <w:uiPriority w:val="0"/>
    <w:pPr>
      <w:ind w:left="100" w:leftChars="600" w:hanging="200" w:hangingChars="200"/>
    </w:pPr>
    <w:rPr>
      <w:sz w:val="21"/>
    </w:rPr>
  </w:style>
  <w:style w:type="paragraph" w:styleId="79">
    <w:name w:val="List Continue 2"/>
    <w:basedOn w:val="1"/>
    <w:qFormat/>
    <w:uiPriority w:val="0"/>
    <w:pPr>
      <w:spacing w:after="120"/>
      <w:ind w:left="840" w:leftChars="400"/>
    </w:pPr>
    <w:rPr>
      <w:sz w:val="21"/>
    </w:rPr>
  </w:style>
  <w:style w:type="paragraph" w:styleId="80">
    <w:name w:val="Message Header"/>
    <w:basedOn w:val="1"/>
    <w:link w:val="35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2"/>
      <w:shd w:val="pct20" w:color="auto" w:fill="auto"/>
    </w:rPr>
  </w:style>
  <w:style w:type="paragraph" w:styleId="81">
    <w:name w:val="HTML Preformatted"/>
    <w:basedOn w:val="1"/>
    <w:link w:val="35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 w:val="21"/>
      <w:szCs w:val="22"/>
    </w:rPr>
  </w:style>
  <w:style w:type="paragraph" w:styleId="82">
    <w:name w:val="Normal (Web)"/>
    <w:basedOn w:val="1"/>
    <w:qFormat/>
    <w:uiPriority w:val="99"/>
    <w:pPr>
      <w:widowControl/>
      <w:spacing w:before="100" w:beforeAutospacing="1" w:after="100" w:afterAutospacing="1"/>
      <w:jc w:val="left"/>
    </w:pPr>
    <w:rPr>
      <w:rFonts w:ascii="宋体" w:hAnsi="宋体"/>
      <w:kern w:val="0"/>
      <w:sz w:val="24"/>
    </w:rPr>
  </w:style>
  <w:style w:type="paragraph" w:styleId="83">
    <w:name w:val="List Continue 3"/>
    <w:basedOn w:val="1"/>
    <w:qFormat/>
    <w:uiPriority w:val="0"/>
    <w:pPr>
      <w:spacing w:after="120"/>
      <w:ind w:left="1260" w:leftChars="600"/>
    </w:pPr>
    <w:rPr>
      <w:sz w:val="21"/>
    </w:rPr>
  </w:style>
  <w:style w:type="paragraph" w:styleId="84">
    <w:name w:val="index 2"/>
    <w:basedOn w:val="1"/>
    <w:next w:val="1"/>
    <w:qFormat/>
    <w:uiPriority w:val="0"/>
    <w:pPr>
      <w:ind w:left="200" w:leftChars="200"/>
    </w:pPr>
    <w:rPr>
      <w:sz w:val="21"/>
    </w:rPr>
  </w:style>
  <w:style w:type="paragraph" w:styleId="85">
    <w:name w:val="Title"/>
    <w:basedOn w:val="1"/>
    <w:next w:val="1"/>
    <w:link w:val="342"/>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sz w:val="24"/>
      <w:szCs w:val="22"/>
      <w:lang w:val="en-GB"/>
    </w:rPr>
  </w:style>
  <w:style w:type="paragraph" w:styleId="86">
    <w:name w:val="annotation subject"/>
    <w:basedOn w:val="29"/>
    <w:next w:val="29"/>
    <w:link w:val="353"/>
    <w:qFormat/>
    <w:uiPriority w:val="0"/>
    <w:rPr>
      <w:rFonts w:asciiTheme="minorHAnsi" w:hAnsiTheme="minorHAnsi" w:eastAsiaTheme="minorEastAsia" w:cstheme="minorBidi"/>
      <w:b/>
      <w:sz w:val="21"/>
      <w:szCs w:val="22"/>
    </w:rPr>
  </w:style>
  <w:style w:type="paragraph" w:styleId="87">
    <w:name w:val="Body Text First Indent 2"/>
    <w:basedOn w:val="22"/>
    <w:next w:val="35"/>
    <w:link w:val="341"/>
    <w:qFormat/>
    <w:uiPriority w:val="0"/>
    <w:pPr>
      <w:ind w:firstLine="420" w:firstLineChars="200"/>
    </w:pPr>
    <w:rPr>
      <w:rFonts w:ascii="等线" w:hAnsi="等线" w:eastAsia="等线" w:cstheme="minorBidi"/>
      <w:sz w:val="21"/>
      <w:szCs w:val="22"/>
    </w:rPr>
  </w:style>
  <w:style w:type="table" w:styleId="89">
    <w:name w:val="Table Grid"/>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1">
    <w:name w:val="Strong"/>
    <w:basedOn w:val="90"/>
    <w:qFormat/>
    <w:uiPriority w:val="22"/>
    <w:rPr>
      <w:b/>
    </w:rPr>
  </w:style>
  <w:style w:type="character" w:styleId="92">
    <w:name w:val="endnote reference"/>
    <w:qFormat/>
    <w:uiPriority w:val="0"/>
    <w:rPr>
      <w:vertAlign w:val="superscript"/>
    </w:rPr>
  </w:style>
  <w:style w:type="character" w:styleId="93">
    <w:name w:val="page number"/>
    <w:basedOn w:val="90"/>
    <w:qFormat/>
    <w:uiPriority w:val="0"/>
  </w:style>
  <w:style w:type="character" w:styleId="94">
    <w:name w:val="FollowedHyperlink"/>
    <w:qFormat/>
    <w:uiPriority w:val="0"/>
    <w:rPr>
      <w:color w:val="800080"/>
      <w:u w:val="single"/>
    </w:rPr>
  </w:style>
  <w:style w:type="character" w:styleId="95">
    <w:name w:val="Emphasis"/>
    <w:qFormat/>
    <w:uiPriority w:val="0"/>
    <w:rPr>
      <w:color w:val="CC0000"/>
    </w:rPr>
  </w:style>
  <w:style w:type="character" w:styleId="96">
    <w:name w:val="Hyperlink"/>
    <w:qFormat/>
    <w:uiPriority w:val="99"/>
    <w:rPr>
      <w:color w:val="0000FF"/>
      <w:u w:val="single"/>
    </w:rPr>
  </w:style>
  <w:style w:type="character" w:styleId="97">
    <w:name w:val="annotation reference"/>
    <w:qFormat/>
    <w:uiPriority w:val="0"/>
    <w:rPr>
      <w:sz w:val="21"/>
    </w:rPr>
  </w:style>
  <w:style w:type="character" w:styleId="98">
    <w:name w:val="footnote reference"/>
    <w:qFormat/>
    <w:uiPriority w:val="0"/>
    <w:rPr>
      <w:vertAlign w:val="superscript"/>
    </w:rPr>
  </w:style>
  <w:style w:type="paragraph" w:customStyle="1" w:styleId="99">
    <w:name w:val="表格文字"/>
    <w:basedOn w:val="47"/>
    <w:next w:val="35"/>
    <w:qFormat/>
    <w:uiPriority w:val="0"/>
    <w:pPr>
      <w:adjustRightInd w:val="0"/>
      <w:spacing w:line="420" w:lineRule="atLeast"/>
      <w:textAlignment w:val="baseline"/>
    </w:pPr>
    <w:rPr>
      <w:kern w:val="0"/>
      <w:sz w:val="21"/>
    </w:rPr>
  </w:style>
  <w:style w:type="paragraph" w:customStyle="1" w:styleId="100">
    <w:name w:val="BodyText1I2"/>
    <w:basedOn w:val="101"/>
    <w:next w:val="1"/>
    <w:qFormat/>
    <w:uiPriority w:val="0"/>
    <w:pPr>
      <w:tabs>
        <w:tab w:val="left" w:pos="435"/>
      </w:tabs>
      <w:spacing w:after="120"/>
      <w:ind w:left="420" w:leftChars="200" w:firstLine="420" w:firstLineChars="200"/>
      <w:jc w:val="both"/>
      <w:textAlignment w:val="baseline"/>
    </w:pPr>
    <w:rPr>
      <w:sz w:val="28"/>
    </w:rPr>
  </w:style>
  <w:style w:type="paragraph" w:customStyle="1" w:styleId="101">
    <w:name w:val="BodyTextIndent"/>
    <w:basedOn w:val="1"/>
    <w:qFormat/>
    <w:uiPriority w:val="0"/>
    <w:pPr>
      <w:spacing w:after="120"/>
      <w:ind w:left="420" w:leftChars="200"/>
      <w:jc w:val="both"/>
      <w:textAlignment w:val="baseline"/>
    </w:pPr>
  </w:style>
  <w:style w:type="paragraph" w:customStyle="1" w:styleId="102">
    <w:name w:val="List2"/>
    <w:basedOn w:val="68"/>
    <w:qFormat/>
    <w:uiPriority w:val="0"/>
    <w:pPr>
      <w:spacing w:after="120" w:line="400" w:lineRule="exact"/>
      <w:ind w:left="0" w:firstLine="0" w:firstLineChars="0"/>
    </w:pPr>
    <w:rPr>
      <w:sz w:val="24"/>
      <w:szCs w:val="20"/>
    </w:rPr>
  </w:style>
  <w:style w:type="paragraph" w:customStyle="1" w:styleId="103">
    <w:name w:val="文章正文"/>
    <w:basedOn w:val="1"/>
    <w:qFormat/>
    <w:uiPriority w:val="0"/>
    <w:pPr>
      <w:spacing w:line="360" w:lineRule="auto"/>
      <w:ind w:firstLine="200" w:firstLineChars="200"/>
    </w:pPr>
    <w:rPr>
      <w:sz w:val="24"/>
      <w:szCs w:val="24"/>
    </w:rPr>
  </w:style>
  <w:style w:type="character" w:customStyle="1" w:styleId="104">
    <w:name w:val="页眉 Char"/>
    <w:basedOn w:val="90"/>
    <w:link w:val="59"/>
    <w:qFormat/>
    <w:uiPriority w:val="99"/>
    <w:rPr>
      <w:sz w:val="18"/>
      <w:szCs w:val="18"/>
    </w:rPr>
  </w:style>
  <w:style w:type="character" w:customStyle="1" w:styleId="105">
    <w:name w:val="页脚 Char"/>
    <w:basedOn w:val="90"/>
    <w:link w:val="57"/>
    <w:qFormat/>
    <w:uiPriority w:val="99"/>
    <w:rPr>
      <w:sz w:val="18"/>
      <w:szCs w:val="18"/>
    </w:rPr>
  </w:style>
  <w:style w:type="character" w:customStyle="1" w:styleId="106">
    <w:name w:val="标题 1 Char"/>
    <w:basedOn w:val="90"/>
    <w:link w:val="3"/>
    <w:qFormat/>
    <w:uiPriority w:val="9"/>
    <w:rPr>
      <w:rFonts w:ascii="黑体" w:hAnsi="Calibri" w:eastAsia="宋体" w:cs="Times New Roman"/>
      <w:b/>
      <w:kern w:val="0"/>
      <w:sz w:val="32"/>
      <w:szCs w:val="20"/>
    </w:rPr>
  </w:style>
  <w:style w:type="character" w:customStyle="1" w:styleId="107">
    <w:name w:val="标题 2 Char"/>
    <w:basedOn w:val="90"/>
    <w:qFormat/>
    <w:uiPriority w:val="0"/>
    <w:rPr>
      <w:rFonts w:asciiTheme="majorHAnsi" w:hAnsiTheme="majorHAnsi" w:eastAsiaTheme="majorEastAsia" w:cstheme="majorBidi"/>
      <w:b/>
      <w:bCs/>
      <w:sz w:val="32"/>
      <w:szCs w:val="32"/>
    </w:rPr>
  </w:style>
  <w:style w:type="character" w:customStyle="1" w:styleId="108">
    <w:name w:val="标题 3 Char"/>
    <w:basedOn w:val="90"/>
    <w:link w:val="5"/>
    <w:qFormat/>
    <w:uiPriority w:val="0"/>
    <w:rPr>
      <w:rFonts w:ascii="Calibri" w:hAnsi="Calibri" w:eastAsia="宋体" w:cs="Times New Roman"/>
      <w:b/>
      <w:kern w:val="0"/>
      <w:sz w:val="32"/>
      <w:szCs w:val="20"/>
    </w:rPr>
  </w:style>
  <w:style w:type="character" w:customStyle="1" w:styleId="109">
    <w:name w:val="标题 4 Char"/>
    <w:basedOn w:val="90"/>
    <w:link w:val="6"/>
    <w:qFormat/>
    <w:uiPriority w:val="0"/>
    <w:rPr>
      <w:rFonts w:ascii="Arial" w:hAnsi="Arial" w:eastAsia="黑体" w:cs="Times New Roman"/>
      <w:b/>
      <w:sz w:val="28"/>
      <w:szCs w:val="20"/>
    </w:rPr>
  </w:style>
  <w:style w:type="character" w:customStyle="1" w:styleId="110">
    <w:name w:val="标题 5 Char"/>
    <w:basedOn w:val="90"/>
    <w:link w:val="7"/>
    <w:qFormat/>
    <w:uiPriority w:val="0"/>
    <w:rPr>
      <w:rFonts w:ascii="Calibri" w:hAnsi="Calibri" w:eastAsia="宋体" w:cs="Times New Roman"/>
      <w:b/>
      <w:sz w:val="28"/>
      <w:szCs w:val="20"/>
    </w:rPr>
  </w:style>
  <w:style w:type="character" w:customStyle="1" w:styleId="111">
    <w:name w:val="标题 6 Char"/>
    <w:basedOn w:val="90"/>
    <w:link w:val="8"/>
    <w:qFormat/>
    <w:uiPriority w:val="0"/>
    <w:rPr>
      <w:rFonts w:ascii="Arial" w:hAnsi="Arial" w:eastAsia="黑体" w:cs="Times New Roman"/>
      <w:b/>
      <w:kern w:val="0"/>
      <w:sz w:val="24"/>
      <w:szCs w:val="20"/>
    </w:rPr>
  </w:style>
  <w:style w:type="character" w:customStyle="1" w:styleId="112">
    <w:name w:val="标题 7 Char"/>
    <w:basedOn w:val="90"/>
    <w:link w:val="9"/>
    <w:qFormat/>
    <w:uiPriority w:val="0"/>
    <w:rPr>
      <w:rFonts w:ascii="Calibri" w:hAnsi="Calibri" w:eastAsia="宋体" w:cs="Times New Roman"/>
      <w:b/>
      <w:kern w:val="0"/>
      <w:sz w:val="24"/>
      <w:szCs w:val="20"/>
    </w:rPr>
  </w:style>
  <w:style w:type="character" w:customStyle="1" w:styleId="113">
    <w:name w:val="标题 8 Char"/>
    <w:basedOn w:val="90"/>
    <w:link w:val="10"/>
    <w:qFormat/>
    <w:uiPriority w:val="0"/>
    <w:rPr>
      <w:rFonts w:ascii="Arial" w:hAnsi="Arial" w:eastAsia="黑体" w:cs="Times New Roman"/>
      <w:kern w:val="0"/>
      <w:sz w:val="24"/>
      <w:szCs w:val="20"/>
    </w:rPr>
  </w:style>
  <w:style w:type="character" w:customStyle="1" w:styleId="114">
    <w:name w:val="标题 9 Char"/>
    <w:basedOn w:val="90"/>
    <w:link w:val="11"/>
    <w:qFormat/>
    <w:uiPriority w:val="0"/>
    <w:rPr>
      <w:rFonts w:ascii="Arial" w:hAnsi="Arial" w:eastAsia="黑体" w:cs="Times New Roman"/>
      <w:kern w:val="0"/>
      <w:szCs w:val="20"/>
    </w:rPr>
  </w:style>
  <w:style w:type="character" w:customStyle="1" w:styleId="115">
    <w:name w:val="正文文本缩进 Char"/>
    <w:basedOn w:val="90"/>
    <w:link w:val="22"/>
    <w:qFormat/>
    <w:uiPriority w:val="0"/>
    <w:rPr>
      <w:rFonts w:ascii="Calibri" w:hAnsi="Calibri" w:eastAsia="宋体" w:cs="Times New Roman"/>
      <w:sz w:val="28"/>
      <w:szCs w:val="20"/>
    </w:rPr>
  </w:style>
  <w:style w:type="character" w:customStyle="1" w:styleId="116">
    <w:name w:val="正文首行缩进 2 Char"/>
    <w:basedOn w:val="115"/>
    <w:qFormat/>
    <w:uiPriority w:val="0"/>
    <w:rPr>
      <w:rFonts w:ascii="Calibri" w:hAnsi="Calibri" w:eastAsia="宋体" w:cs="Times New Roman"/>
      <w:sz w:val="28"/>
      <w:szCs w:val="20"/>
    </w:rPr>
  </w:style>
  <w:style w:type="character" w:customStyle="1" w:styleId="117">
    <w:name w:val="正文文本 Char"/>
    <w:basedOn w:val="90"/>
    <w:link w:val="35"/>
    <w:qFormat/>
    <w:uiPriority w:val="0"/>
    <w:rPr>
      <w:rFonts w:ascii="Calibri" w:hAnsi="Calibri" w:eastAsia="宋体" w:cs="Times New Roman"/>
      <w:sz w:val="28"/>
      <w:szCs w:val="20"/>
    </w:rPr>
  </w:style>
  <w:style w:type="character" w:customStyle="1" w:styleId="118">
    <w:name w:val="正文首行缩进 Char"/>
    <w:basedOn w:val="117"/>
    <w:link w:val="119"/>
    <w:qFormat/>
    <w:uiPriority w:val="0"/>
    <w:rPr>
      <w:rFonts w:ascii="Calibri" w:hAnsi="Calibri" w:eastAsia="宋体" w:cs="Times New Roman"/>
      <w:sz w:val="28"/>
      <w:szCs w:val="20"/>
    </w:rPr>
  </w:style>
  <w:style w:type="paragraph" w:customStyle="1" w:styleId="119">
    <w:name w:val="正文首行缩进1"/>
    <w:basedOn w:val="35"/>
    <w:link w:val="118"/>
    <w:qFormat/>
    <w:uiPriority w:val="0"/>
    <w:pPr>
      <w:spacing w:after="0"/>
      <w:ind w:firstLine="420" w:firstLineChars="100"/>
    </w:pPr>
  </w:style>
  <w:style w:type="character" w:customStyle="1" w:styleId="120">
    <w:name w:val="标题 Char"/>
    <w:basedOn w:val="90"/>
    <w:qFormat/>
    <w:uiPriority w:val="0"/>
    <w:rPr>
      <w:rFonts w:eastAsia="宋体" w:asciiTheme="majorHAnsi" w:hAnsiTheme="majorHAnsi" w:cstheme="majorBidi"/>
      <w:b/>
      <w:bCs/>
      <w:sz w:val="32"/>
      <w:szCs w:val="32"/>
    </w:rPr>
  </w:style>
  <w:style w:type="character" w:customStyle="1" w:styleId="121">
    <w:name w:val="批注文字 Char"/>
    <w:basedOn w:val="90"/>
    <w:link w:val="29"/>
    <w:qFormat/>
    <w:uiPriority w:val="0"/>
    <w:rPr>
      <w:rFonts w:ascii="Calibri" w:hAnsi="Calibri" w:eastAsia="宋体" w:cs="Times New Roman"/>
      <w:sz w:val="28"/>
      <w:szCs w:val="20"/>
    </w:rPr>
  </w:style>
  <w:style w:type="character" w:customStyle="1" w:styleId="122">
    <w:name w:val="批注主题 Char"/>
    <w:basedOn w:val="121"/>
    <w:link w:val="123"/>
    <w:qFormat/>
    <w:uiPriority w:val="0"/>
    <w:rPr>
      <w:rFonts w:ascii="Calibri" w:hAnsi="Calibri" w:eastAsia="宋体" w:cs="Times New Roman"/>
      <w:b/>
      <w:bCs/>
      <w:sz w:val="28"/>
      <w:szCs w:val="20"/>
    </w:rPr>
  </w:style>
  <w:style w:type="paragraph" w:customStyle="1" w:styleId="123">
    <w:name w:val="批注主题1"/>
    <w:basedOn w:val="29"/>
    <w:next w:val="29"/>
    <w:link w:val="122"/>
    <w:qFormat/>
    <w:uiPriority w:val="0"/>
    <w:rPr>
      <w:b/>
      <w:bCs/>
    </w:rPr>
  </w:style>
  <w:style w:type="character" w:customStyle="1" w:styleId="124">
    <w:name w:val="宏文本 Char"/>
    <w:basedOn w:val="90"/>
    <w:qFormat/>
    <w:uiPriority w:val="0"/>
    <w:rPr>
      <w:rFonts w:ascii="Courier New" w:hAnsi="Courier New" w:eastAsia="宋体" w:cs="Courier New"/>
      <w:sz w:val="24"/>
      <w:szCs w:val="24"/>
    </w:rPr>
  </w:style>
  <w:style w:type="character" w:customStyle="1" w:styleId="125">
    <w:name w:val="注释标题 Char"/>
    <w:basedOn w:val="90"/>
    <w:qFormat/>
    <w:uiPriority w:val="0"/>
    <w:rPr>
      <w:rFonts w:ascii="Calibri" w:hAnsi="Calibri" w:eastAsia="宋体" w:cs="Times New Roman"/>
      <w:sz w:val="28"/>
      <w:szCs w:val="20"/>
    </w:rPr>
  </w:style>
  <w:style w:type="character" w:customStyle="1" w:styleId="126">
    <w:name w:val="电子邮件签名 Char"/>
    <w:basedOn w:val="90"/>
    <w:qFormat/>
    <w:uiPriority w:val="0"/>
    <w:rPr>
      <w:rFonts w:ascii="Calibri" w:hAnsi="Calibri" w:eastAsia="宋体" w:cs="Times New Roman"/>
      <w:sz w:val="28"/>
      <w:szCs w:val="20"/>
    </w:rPr>
  </w:style>
  <w:style w:type="character" w:customStyle="1" w:styleId="127">
    <w:name w:val="文档结构图 Char"/>
    <w:basedOn w:val="90"/>
    <w:qFormat/>
    <w:uiPriority w:val="0"/>
    <w:rPr>
      <w:rFonts w:ascii="宋体" w:hAnsi="Calibri" w:eastAsia="宋体" w:cs="Times New Roman"/>
      <w:sz w:val="18"/>
      <w:szCs w:val="18"/>
    </w:rPr>
  </w:style>
  <w:style w:type="character" w:customStyle="1" w:styleId="128">
    <w:name w:val="称呼 Char"/>
    <w:basedOn w:val="90"/>
    <w:qFormat/>
    <w:uiPriority w:val="0"/>
    <w:rPr>
      <w:rFonts w:ascii="Calibri" w:hAnsi="Calibri" w:eastAsia="宋体" w:cs="Times New Roman"/>
      <w:sz w:val="28"/>
      <w:szCs w:val="20"/>
    </w:rPr>
  </w:style>
  <w:style w:type="character" w:customStyle="1" w:styleId="129">
    <w:name w:val="正文文本 3 Char"/>
    <w:basedOn w:val="90"/>
    <w:qFormat/>
    <w:uiPriority w:val="0"/>
    <w:rPr>
      <w:rFonts w:ascii="Calibri" w:hAnsi="Calibri" w:eastAsia="宋体" w:cs="Times New Roman"/>
      <w:sz w:val="16"/>
      <w:szCs w:val="16"/>
    </w:rPr>
  </w:style>
  <w:style w:type="character" w:customStyle="1" w:styleId="130">
    <w:name w:val="结束语 Char"/>
    <w:basedOn w:val="90"/>
    <w:qFormat/>
    <w:uiPriority w:val="0"/>
    <w:rPr>
      <w:rFonts w:ascii="Calibri" w:hAnsi="Calibri" w:eastAsia="宋体" w:cs="Times New Roman"/>
      <w:sz w:val="28"/>
      <w:szCs w:val="20"/>
    </w:rPr>
  </w:style>
  <w:style w:type="character" w:customStyle="1" w:styleId="131">
    <w:name w:val="HTML 地址 Char"/>
    <w:basedOn w:val="90"/>
    <w:qFormat/>
    <w:uiPriority w:val="0"/>
    <w:rPr>
      <w:rFonts w:ascii="Calibri" w:hAnsi="Calibri" w:eastAsia="宋体" w:cs="Times New Roman"/>
      <w:i/>
      <w:iCs/>
      <w:sz w:val="28"/>
      <w:szCs w:val="20"/>
    </w:rPr>
  </w:style>
  <w:style w:type="character" w:customStyle="1" w:styleId="132">
    <w:name w:val="纯文本 Char"/>
    <w:basedOn w:val="90"/>
    <w:qFormat/>
    <w:uiPriority w:val="0"/>
    <w:rPr>
      <w:rFonts w:ascii="宋体" w:hAnsi="Courier New" w:eastAsia="宋体" w:cs="Courier New"/>
      <w:szCs w:val="21"/>
    </w:rPr>
  </w:style>
  <w:style w:type="character" w:customStyle="1" w:styleId="133">
    <w:name w:val="日期 Char"/>
    <w:basedOn w:val="90"/>
    <w:qFormat/>
    <w:uiPriority w:val="0"/>
    <w:rPr>
      <w:rFonts w:ascii="Calibri" w:hAnsi="Calibri" w:eastAsia="宋体" w:cs="Times New Roman"/>
      <w:sz w:val="28"/>
      <w:szCs w:val="20"/>
    </w:rPr>
  </w:style>
  <w:style w:type="character" w:customStyle="1" w:styleId="134">
    <w:name w:val="正文文本缩进 2 Char"/>
    <w:basedOn w:val="90"/>
    <w:link w:val="135"/>
    <w:qFormat/>
    <w:uiPriority w:val="0"/>
    <w:rPr>
      <w:rFonts w:ascii="Calibri" w:hAnsi="Calibri" w:eastAsia="宋体" w:cs="Times New Roman"/>
      <w:sz w:val="28"/>
      <w:szCs w:val="20"/>
    </w:rPr>
  </w:style>
  <w:style w:type="paragraph" w:customStyle="1" w:styleId="135">
    <w:name w:val="正文文本缩进 22"/>
    <w:basedOn w:val="1"/>
    <w:link w:val="134"/>
    <w:qFormat/>
    <w:uiPriority w:val="0"/>
    <w:pPr>
      <w:adjustRightInd w:val="0"/>
      <w:spacing w:line="400" w:lineRule="atLeast"/>
      <w:ind w:firstLine="540"/>
      <w:textAlignment w:val="baseline"/>
    </w:pPr>
  </w:style>
  <w:style w:type="character" w:customStyle="1" w:styleId="136">
    <w:name w:val="尾注文本 Char"/>
    <w:basedOn w:val="90"/>
    <w:qFormat/>
    <w:uiPriority w:val="0"/>
    <w:rPr>
      <w:rFonts w:ascii="Calibri" w:hAnsi="Calibri" w:eastAsia="宋体" w:cs="Times New Roman"/>
      <w:sz w:val="28"/>
      <w:szCs w:val="20"/>
    </w:rPr>
  </w:style>
  <w:style w:type="character" w:customStyle="1" w:styleId="137">
    <w:name w:val="批注框文本 Char"/>
    <w:basedOn w:val="90"/>
    <w:qFormat/>
    <w:uiPriority w:val="99"/>
    <w:rPr>
      <w:rFonts w:ascii="Calibri" w:hAnsi="Calibri" w:eastAsia="宋体" w:cs="Times New Roman"/>
      <w:sz w:val="18"/>
      <w:szCs w:val="18"/>
    </w:rPr>
  </w:style>
  <w:style w:type="character" w:customStyle="1" w:styleId="138">
    <w:name w:val="签名 Char"/>
    <w:basedOn w:val="90"/>
    <w:qFormat/>
    <w:uiPriority w:val="0"/>
    <w:rPr>
      <w:rFonts w:ascii="Calibri" w:hAnsi="Calibri" w:eastAsia="宋体" w:cs="Times New Roman"/>
      <w:sz w:val="28"/>
      <w:szCs w:val="20"/>
    </w:rPr>
  </w:style>
  <w:style w:type="character" w:customStyle="1" w:styleId="139">
    <w:name w:val="副标题 Char"/>
    <w:basedOn w:val="90"/>
    <w:qFormat/>
    <w:uiPriority w:val="0"/>
    <w:rPr>
      <w:rFonts w:eastAsia="宋体" w:asciiTheme="majorHAnsi" w:hAnsiTheme="majorHAnsi" w:cstheme="majorBidi"/>
      <w:b/>
      <w:bCs/>
      <w:kern w:val="28"/>
      <w:sz w:val="32"/>
      <w:szCs w:val="32"/>
    </w:rPr>
  </w:style>
  <w:style w:type="character" w:customStyle="1" w:styleId="140">
    <w:name w:val="脚注文本 Char"/>
    <w:basedOn w:val="90"/>
    <w:qFormat/>
    <w:uiPriority w:val="0"/>
    <w:rPr>
      <w:rFonts w:ascii="Calibri" w:hAnsi="Calibri" w:eastAsia="宋体" w:cs="Times New Roman"/>
      <w:sz w:val="18"/>
      <w:szCs w:val="18"/>
    </w:rPr>
  </w:style>
  <w:style w:type="character" w:customStyle="1" w:styleId="141">
    <w:name w:val="正文文本缩进 3 Char"/>
    <w:basedOn w:val="90"/>
    <w:link w:val="142"/>
    <w:qFormat/>
    <w:uiPriority w:val="0"/>
    <w:rPr>
      <w:rFonts w:ascii="Calibri" w:hAnsi="Calibri" w:eastAsia="宋体" w:cs="Times New Roman"/>
      <w:sz w:val="16"/>
      <w:szCs w:val="16"/>
    </w:rPr>
  </w:style>
  <w:style w:type="paragraph" w:customStyle="1" w:styleId="142">
    <w:name w:val="正文文本缩进 31"/>
    <w:basedOn w:val="1"/>
    <w:link w:val="141"/>
    <w:qFormat/>
    <w:uiPriority w:val="0"/>
    <w:pPr>
      <w:spacing w:line="360" w:lineRule="auto"/>
      <w:ind w:firstLine="490" w:firstLineChars="204"/>
    </w:pPr>
    <w:rPr>
      <w:sz w:val="16"/>
      <w:szCs w:val="16"/>
    </w:rPr>
  </w:style>
  <w:style w:type="character" w:customStyle="1" w:styleId="143">
    <w:name w:val="正文文本 2 Char"/>
    <w:basedOn w:val="90"/>
    <w:link w:val="144"/>
    <w:qFormat/>
    <w:uiPriority w:val="0"/>
    <w:rPr>
      <w:rFonts w:ascii="Calibri" w:hAnsi="Calibri" w:eastAsia="宋体" w:cs="Times New Roman"/>
      <w:sz w:val="28"/>
      <w:szCs w:val="20"/>
    </w:rPr>
  </w:style>
  <w:style w:type="paragraph" w:customStyle="1" w:styleId="144">
    <w:name w:val="正文文本 22"/>
    <w:basedOn w:val="1"/>
    <w:link w:val="143"/>
    <w:qFormat/>
    <w:uiPriority w:val="0"/>
    <w:pPr>
      <w:adjustRightInd w:val="0"/>
      <w:ind w:firstLine="510"/>
      <w:jc w:val="left"/>
      <w:textAlignment w:val="baseline"/>
    </w:pPr>
  </w:style>
  <w:style w:type="character" w:customStyle="1" w:styleId="145">
    <w:name w:val="信息标题 Char"/>
    <w:basedOn w:val="90"/>
    <w:qFormat/>
    <w:uiPriority w:val="0"/>
    <w:rPr>
      <w:rFonts w:asciiTheme="majorHAnsi" w:hAnsiTheme="majorHAnsi" w:eastAsiaTheme="majorEastAsia" w:cstheme="majorBidi"/>
      <w:sz w:val="24"/>
      <w:szCs w:val="24"/>
      <w:shd w:val="pct20" w:color="auto" w:fill="auto"/>
    </w:rPr>
  </w:style>
  <w:style w:type="character" w:customStyle="1" w:styleId="146">
    <w:name w:val="HTML 预设格式 Char"/>
    <w:basedOn w:val="90"/>
    <w:link w:val="147"/>
    <w:qFormat/>
    <w:uiPriority w:val="0"/>
    <w:rPr>
      <w:rFonts w:ascii="Courier New" w:hAnsi="Courier New" w:eastAsia="宋体" w:cs="Courier New"/>
      <w:sz w:val="20"/>
      <w:szCs w:val="20"/>
    </w:rPr>
  </w:style>
  <w:style w:type="paragraph" w:customStyle="1" w:styleId="147">
    <w:name w:val="HTML 预设格式1"/>
    <w:basedOn w:val="1"/>
    <w:link w:val="146"/>
    <w:qFormat/>
    <w:uiPriority w:val="0"/>
    <w:rPr>
      <w:rFonts w:ascii="Courier New" w:hAnsi="Courier New" w:cs="Courier New"/>
      <w:sz w:val="20"/>
    </w:rPr>
  </w:style>
  <w:style w:type="character" w:customStyle="1" w:styleId="148">
    <w:name w:val="bemq"/>
    <w:qFormat/>
    <w:uiPriority w:val="0"/>
  </w:style>
  <w:style w:type="character" w:customStyle="1" w:styleId="149">
    <w:name w:val="标题 Char3"/>
    <w:qFormat/>
    <w:uiPriority w:val="0"/>
    <w:rPr>
      <w:b/>
      <w:sz w:val="24"/>
      <w:lang w:val="en-GB"/>
    </w:rPr>
  </w:style>
  <w:style w:type="character" w:customStyle="1" w:styleId="150">
    <w:name w:val="HTML 打字机1"/>
    <w:qFormat/>
    <w:uiPriority w:val="0"/>
    <w:rPr>
      <w:rFonts w:ascii="Courier New" w:hAnsi="Courier New"/>
      <w:sz w:val="20"/>
    </w:rPr>
  </w:style>
  <w:style w:type="character" w:customStyle="1" w:styleId="151">
    <w:name w:val="样式1 Char Char"/>
    <w:link w:val="152"/>
    <w:qFormat/>
    <w:uiPriority w:val="0"/>
    <w:rPr>
      <w:rFonts w:ascii="黑体"/>
      <w:b/>
      <w:sz w:val="32"/>
    </w:rPr>
  </w:style>
  <w:style w:type="paragraph" w:customStyle="1" w:styleId="152">
    <w:name w:val="样式1"/>
    <w:basedOn w:val="3"/>
    <w:link w:val="151"/>
    <w:qFormat/>
    <w:uiPriority w:val="0"/>
    <w:pPr>
      <w:tabs>
        <w:tab w:val="left" w:pos="-839"/>
      </w:tabs>
      <w:ind w:left="1320" w:hanging="1320"/>
    </w:pPr>
    <w:rPr>
      <w:rFonts w:hAnsiTheme="minorHAnsi" w:eastAsiaTheme="minorEastAsia" w:cstheme="minorBidi"/>
      <w:kern w:val="2"/>
      <w:szCs w:val="22"/>
    </w:rPr>
  </w:style>
  <w:style w:type="character" w:customStyle="1" w:styleId="153">
    <w:name w:val="日期 Char1"/>
    <w:qFormat/>
    <w:uiPriority w:val="0"/>
    <w:rPr>
      <w:rFonts w:ascii="Times New Roman" w:hAnsi="Times New Roman" w:eastAsia="宋体"/>
    </w:rPr>
  </w:style>
  <w:style w:type="character" w:customStyle="1" w:styleId="154">
    <w:name w:val="标题 9 字符"/>
    <w:qFormat/>
    <w:uiPriority w:val="0"/>
    <w:rPr>
      <w:rFonts w:ascii="等线 Light" w:hAnsi="等线 Light" w:eastAsia="等线 Light"/>
      <w:kern w:val="2"/>
      <w:sz w:val="21"/>
    </w:rPr>
  </w:style>
  <w:style w:type="character" w:customStyle="1" w:styleId="155">
    <w:name w:val="标题 3 Char Char Char"/>
    <w:qFormat/>
    <w:uiPriority w:val="0"/>
    <w:rPr>
      <w:rFonts w:eastAsia="宋体"/>
      <w:b/>
      <w:kern w:val="2"/>
      <w:sz w:val="32"/>
      <w:lang w:val="en-US" w:eastAsia="zh-CN"/>
    </w:rPr>
  </w:style>
  <w:style w:type="character" w:customStyle="1" w:styleId="156">
    <w:name w:val="正文文本缩进 字符"/>
    <w:qFormat/>
    <w:uiPriority w:val="0"/>
    <w:rPr>
      <w:rFonts w:ascii="Times New Roman" w:hAnsi="Times New Roman" w:eastAsia="宋体"/>
      <w:kern w:val="2"/>
      <w:sz w:val="21"/>
    </w:rPr>
  </w:style>
  <w:style w:type="character" w:customStyle="1" w:styleId="157">
    <w:name w:val="style1 style6 style7"/>
    <w:qFormat/>
    <w:uiPriority w:val="0"/>
  </w:style>
  <w:style w:type="character" w:customStyle="1" w:styleId="158">
    <w:name w:val="h2 Char"/>
    <w:qFormat/>
    <w:uiPriority w:val="0"/>
    <w:rPr>
      <w:rFonts w:ascii="Arial" w:hAnsi="Arial" w:eastAsia="黑体"/>
      <w:color w:val="0000FF"/>
      <w:sz w:val="24"/>
      <w:lang w:val="en-US" w:eastAsia="zh-CN"/>
    </w:rPr>
  </w:style>
  <w:style w:type="character" w:customStyle="1" w:styleId="159">
    <w:name w:val="页脚 字符"/>
    <w:qFormat/>
    <w:uiPriority w:val="0"/>
    <w:rPr>
      <w:kern w:val="2"/>
      <w:sz w:val="18"/>
    </w:rPr>
  </w:style>
  <w:style w:type="character" w:customStyle="1" w:styleId="160">
    <w:name w:val="content3"/>
    <w:qFormat/>
    <w:uiPriority w:val="0"/>
    <w:rPr>
      <w:b/>
      <w:sz w:val="18"/>
    </w:rPr>
  </w:style>
  <w:style w:type="character" w:customStyle="1" w:styleId="161">
    <w:name w:val="street-address"/>
    <w:qFormat/>
    <w:uiPriority w:val="0"/>
  </w:style>
  <w:style w:type="character" w:customStyle="1" w:styleId="162">
    <w:name w:val="正文文本缩进 2 Char1"/>
    <w:qFormat/>
    <w:uiPriority w:val="0"/>
    <w:rPr>
      <w:rFonts w:ascii="黑体" w:eastAsia="黑体"/>
      <w:sz w:val="28"/>
    </w:rPr>
  </w:style>
  <w:style w:type="character" w:customStyle="1" w:styleId="163">
    <w:name w:val="标题 7 字符"/>
    <w:qFormat/>
    <w:uiPriority w:val="0"/>
    <w:rPr>
      <w:rFonts w:ascii="Times New Roman" w:hAnsi="Times New Roman" w:eastAsia="宋体"/>
      <w:b/>
      <w:kern w:val="2"/>
      <w:sz w:val="24"/>
    </w:rPr>
  </w:style>
  <w:style w:type="character" w:customStyle="1" w:styleId="164">
    <w:name w:val="正文（首行缩进两字） + Arial Char Char Char Char Char Char Char Char Char Char Char Char Char Char Char Char Char Char Char Char Char Char Char Char Char Char Char"/>
    <w:qFormat/>
    <w:uiPriority w:val="0"/>
    <w:rPr>
      <w:rFonts w:ascii="Arial" w:hAnsi="Arial" w:eastAsia="宋体"/>
      <w:sz w:val="24"/>
      <w:lang w:val="en-US" w:eastAsia="zh-CN"/>
    </w:rPr>
  </w:style>
  <w:style w:type="character" w:customStyle="1" w:styleId="165">
    <w:name w:val="内文 Char Char"/>
    <w:link w:val="166"/>
    <w:qFormat/>
    <w:uiPriority w:val="0"/>
    <w:rPr>
      <w:rFonts w:ascii="Arial" w:hAnsi="Arial" w:eastAsia="Times New Roman"/>
    </w:rPr>
  </w:style>
  <w:style w:type="paragraph" w:customStyle="1" w:styleId="166">
    <w:name w:val="内文"/>
    <w:link w:val="165"/>
    <w:qFormat/>
    <w:uiPriority w:val="0"/>
    <w:pPr>
      <w:adjustRightInd w:val="0"/>
      <w:snapToGrid w:val="0"/>
      <w:spacing w:line="400" w:lineRule="exact"/>
      <w:ind w:firstLine="200" w:firstLineChars="200"/>
      <w:jc w:val="both"/>
    </w:pPr>
    <w:rPr>
      <w:rFonts w:ascii="Arial" w:hAnsi="Arial" w:eastAsia="Times New Roman" w:cstheme="minorBidi"/>
      <w:kern w:val="2"/>
      <w:sz w:val="21"/>
      <w:szCs w:val="22"/>
      <w:lang w:val="en-US" w:eastAsia="zh-CN" w:bidi="ar-SA"/>
    </w:rPr>
  </w:style>
  <w:style w:type="character" w:customStyle="1" w:styleId="167">
    <w:name w:val="font14news1"/>
    <w:qFormat/>
    <w:uiPriority w:val="0"/>
    <w:rPr>
      <w:color w:val="333333"/>
      <w:sz w:val="21"/>
    </w:rPr>
  </w:style>
  <w:style w:type="character" w:customStyle="1" w:styleId="168">
    <w:name w:val="标题 6 Char1"/>
    <w:qFormat/>
    <w:uiPriority w:val="0"/>
    <w:rPr>
      <w:rFonts w:ascii="Arial" w:hAnsi="Arial" w:eastAsia="黑体"/>
      <w:b/>
      <w:sz w:val="24"/>
      <w:lang w:val="en-US" w:eastAsia="zh-CN"/>
    </w:rPr>
  </w:style>
  <w:style w:type="character" w:customStyle="1" w:styleId="169">
    <w:name w:val="HTML 变量1"/>
    <w:qFormat/>
    <w:uiPriority w:val="0"/>
    <w:rPr>
      <w:i/>
    </w:rPr>
  </w:style>
  <w:style w:type="character" w:customStyle="1" w:styleId="170">
    <w:name w:val="标题 2 Char1"/>
    <w:qFormat/>
    <w:uiPriority w:val="0"/>
    <w:rPr>
      <w:rFonts w:ascii="Arial" w:hAnsi="Arial" w:eastAsia="黑体"/>
      <w:b/>
      <w:sz w:val="32"/>
      <w:lang w:val="en-US" w:eastAsia="zh-CN"/>
    </w:rPr>
  </w:style>
  <w:style w:type="character" w:customStyle="1" w:styleId="171">
    <w:name w:val="样式10 Char"/>
    <w:link w:val="172"/>
    <w:qFormat/>
    <w:uiPriority w:val="0"/>
    <w:rPr>
      <w:b/>
      <w:sz w:val="24"/>
    </w:rPr>
  </w:style>
  <w:style w:type="paragraph" w:customStyle="1" w:styleId="172">
    <w:name w:val="样式10"/>
    <w:basedOn w:val="1"/>
    <w:link w:val="171"/>
    <w:qFormat/>
    <w:uiPriority w:val="0"/>
    <w:pPr>
      <w:spacing w:line="360" w:lineRule="auto"/>
    </w:pPr>
    <w:rPr>
      <w:rFonts w:asciiTheme="minorHAnsi" w:hAnsiTheme="minorHAnsi" w:eastAsiaTheme="minorEastAsia" w:cstheme="minorBidi"/>
      <w:b/>
      <w:sz w:val="24"/>
      <w:szCs w:val="22"/>
    </w:rPr>
  </w:style>
  <w:style w:type="character" w:customStyle="1" w:styleId="173">
    <w:name w:val="注释标题 字符"/>
    <w:qFormat/>
    <w:uiPriority w:val="0"/>
    <w:rPr>
      <w:kern w:val="2"/>
      <w:sz w:val="28"/>
    </w:rPr>
  </w:style>
  <w:style w:type="character" w:customStyle="1" w:styleId="174">
    <w:name w:val="标题 1 Char2"/>
    <w:qFormat/>
    <w:uiPriority w:val="0"/>
    <w:rPr>
      <w:rFonts w:ascii="Arial Unicode MS" w:hAnsi="Arial Unicode MS" w:eastAsia="Arial Unicode MS"/>
      <w:b/>
      <w:kern w:val="36"/>
      <w:sz w:val="48"/>
      <w:lang w:val="en-US" w:eastAsia="zh-CN"/>
    </w:rPr>
  </w:style>
  <w:style w:type="character" w:customStyle="1" w:styleId="175">
    <w:name w:val="Comment Text Char"/>
    <w:qFormat/>
    <w:uiPriority w:val="0"/>
    <w:rPr>
      <w:rFonts w:ascii="Times New Roman" w:hAnsi="Times New Roman" w:eastAsia="宋体"/>
      <w:sz w:val="24"/>
    </w:rPr>
  </w:style>
  <w:style w:type="character" w:customStyle="1" w:styleId="176">
    <w:name w:val="纯文本 字符"/>
    <w:qFormat/>
    <w:uiPriority w:val="0"/>
    <w:rPr>
      <w:rFonts w:ascii="宋体" w:hAnsi="Courier New" w:eastAsia="宋体"/>
      <w:kern w:val="2"/>
      <w:sz w:val="21"/>
    </w:rPr>
  </w:style>
  <w:style w:type="character" w:customStyle="1" w:styleId="177">
    <w:name w:val="页脚 Char2"/>
    <w:qFormat/>
    <w:uiPriority w:val="0"/>
    <w:rPr>
      <w:kern w:val="2"/>
      <w:sz w:val="18"/>
    </w:rPr>
  </w:style>
  <w:style w:type="character" w:customStyle="1" w:styleId="178">
    <w:name w:val="个人撰写风格"/>
    <w:qFormat/>
    <w:uiPriority w:val="0"/>
    <w:rPr>
      <w:rFonts w:ascii="Arial" w:hAnsi="Arial" w:eastAsia="宋体"/>
      <w:color w:val="auto"/>
      <w:sz w:val="20"/>
    </w:rPr>
  </w:style>
  <w:style w:type="character" w:customStyle="1" w:styleId="179">
    <w:name w:val="正文文本缩进 Char1"/>
    <w:qFormat/>
    <w:uiPriority w:val="0"/>
    <w:rPr>
      <w:rFonts w:ascii="宋体" w:hAnsi="宋体" w:eastAsia="宋体"/>
      <w:spacing w:val="-6"/>
      <w:kern w:val="2"/>
      <w:sz w:val="21"/>
      <w:lang w:val="en-US" w:eastAsia="zh-CN"/>
    </w:rPr>
  </w:style>
  <w:style w:type="character" w:customStyle="1" w:styleId="180">
    <w:name w:val="Char Char6"/>
    <w:qFormat/>
    <w:uiPriority w:val="0"/>
    <w:rPr>
      <w:rFonts w:ascii="宋体" w:hAnsi="Courier New" w:eastAsia="宋体"/>
      <w:kern w:val="2"/>
      <w:sz w:val="21"/>
      <w:lang w:val="en-US" w:eastAsia="zh-CN"/>
    </w:rPr>
  </w:style>
  <w:style w:type="character" w:customStyle="1" w:styleId="181">
    <w:name w:val="Char Char"/>
    <w:link w:val="182"/>
    <w:qFormat/>
    <w:uiPriority w:val="0"/>
    <w:rPr>
      <w:rFonts w:eastAsia="仿宋_GB2312"/>
      <w:sz w:val="28"/>
    </w:rPr>
  </w:style>
  <w:style w:type="paragraph" w:customStyle="1" w:styleId="182">
    <w:name w:val="Char12"/>
    <w:basedOn w:val="1"/>
    <w:link w:val="181"/>
    <w:qFormat/>
    <w:uiPriority w:val="0"/>
    <w:rPr>
      <w:rFonts w:eastAsia="仿宋_GB2312" w:asciiTheme="minorHAnsi" w:hAnsiTheme="minorHAnsi" w:cstheme="minorBidi"/>
      <w:szCs w:val="22"/>
    </w:rPr>
  </w:style>
  <w:style w:type="character" w:customStyle="1" w:styleId="183">
    <w:name w:val="Plain Text Char"/>
    <w:qFormat/>
    <w:uiPriority w:val="0"/>
    <w:rPr>
      <w:rFonts w:ascii="宋体" w:hAnsi="Courier New" w:eastAsia="宋体"/>
      <w:kern w:val="2"/>
      <w:sz w:val="21"/>
      <w:lang w:val="en-US" w:eastAsia="zh-CN"/>
    </w:rPr>
  </w:style>
  <w:style w:type="character" w:customStyle="1" w:styleId="184">
    <w:name w:val="zbggmain"/>
    <w:qFormat/>
    <w:uiPriority w:val="0"/>
  </w:style>
  <w:style w:type="character" w:customStyle="1" w:styleId="185">
    <w:name w:val="标题 2 Char2"/>
    <w:link w:val="4"/>
    <w:qFormat/>
    <w:uiPriority w:val="0"/>
    <w:rPr>
      <w:rFonts w:ascii="Arial" w:hAnsi="Arial" w:eastAsia="黑体" w:cs="Times New Roman"/>
      <w:b/>
      <w:szCs w:val="20"/>
    </w:rPr>
  </w:style>
  <w:style w:type="character" w:customStyle="1" w:styleId="186">
    <w:name w:val="8953"/>
    <w:qFormat/>
    <w:uiPriority w:val="0"/>
  </w:style>
  <w:style w:type="character" w:customStyle="1" w:styleId="187">
    <w:name w:val="H1 Char"/>
    <w:qFormat/>
    <w:uiPriority w:val="0"/>
    <w:rPr>
      <w:rFonts w:ascii="Arial Unicode MS" w:hAnsi="Arial Unicode MS" w:eastAsia="Arial Unicode MS"/>
      <w:b/>
      <w:kern w:val="36"/>
      <w:sz w:val="48"/>
      <w:lang w:val="en-US" w:eastAsia="zh-CN"/>
    </w:rPr>
  </w:style>
  <w:style w:type="character" w:customStyle="1" w:styleId="188">
    <w:name w:val="样式 标题 3Heading 3 Char1Heading 3 Char Char列表编号33 bullet2ERM... Char"/>
    <w:link w:val="189"/>
    <w:qFormat/>
    <w:uiPriority w:val="0"/>
    <w:rPr>
      <w:b/>
    </w:rPr>
  </w:style>
  <w:style w:type="paragraph" w:customStyle="1" w:styleId="189">
    <w:name w:val="样式 标题 3Heading 3 Char1Heading 3 Char Char列表编号33 bullet2ERM..."/>
    <w:basedOn w:val="5"/>
    <w:link w:val="188"/>
    <w:qFormat/>
    <w:uiPriority w:val="0"/>
    <w:pPr>
      <w:widowControl w:val="0"/>
      <w:tabs>
        <w:tab w:val="clear" w:pos="720"/>
      </w:tabs>
      <w:adjustRightInd w:val="0"/>
      <w:snapToGrid w:val="0"/>
      <w:spacing w:before="0" w:after="0"/>
      <w:ind w:left="0" w:firstLine="0"/>
      <w:jc w:val="both"/>
    </w:pPr>
    <w:rPr>
      <w:rFonts w:asciiTheme="minorHAnsi" w:hAnsiTheme="minorHAnsi" w:eastAsiaTheme="minorEastAsia" w:cstheme="minorBidi"/>
      <w:kern w:val="2"/>
      <w:sz w:val="21"/>
      <w:szCs w:val="22"/>
    </w:rPr>
  </w:style>
  <w:style w:type="character" w:customStyle="1" w:styleId="190">
    <w:name w:val="Char Char12"/>
    <w:qFormat/>
    <w:uiPriority w:val="0"/>
    <w:rPr>
      <w:rFonts w:ascii="Arial" w:hAnsi="Arial" w:eastAsia="黑体"/>
      <w:b/>
      <w:sz w:val="24"/>
    </w:rPr>
  </w:style>
  <w:style w:type="character" w:customStyle="1" w:styleId="191">
    <w:name w:val="页眉 Char1"/>
    <w:qFormat/>
    <w:uiPriority w:val="0"/>
    <w:rPr>
      <w:rFonts w:eastAsia="宋体"/>
      <w:kern w:val="2"/>
      <w:sz w:val="18"/>
      <w:lang w:val="en-US" w:eastAsia="zh-CN"/>
    </w:rPr>
  </w:style>
  <w:style w:type="character" w:customStyle="1" w:styleId="192">
    <w:name w:val="正文文本缩进 2 字符"/>
    <w:qFormat/>
    <w:uiPriority w:val="0"/>
    <w:rPr>
      <w:rFonts w:ascii="Times New Roman" w:hAnsi="Times New Roman" w:eastAsia="宋体"/>
      <w:kern w:val="2"/>
      <w:sz w:val="21"/>
    </w:rPr>
  </w:style>
  <w:style w:type="character" w:customStyle="1" w:styleId="193">
    <w:name w:val="页眉 Char2"/>
    <w:qFormat/>
    <w:uiPriority w:val="0"/>
    <w:rPr>
      <w:kern w:val="2"/>
      <w:sz w:val="18"/>
    </w:rPr>
  </w:style>
  <w:style w:type="character" w:customStyle="1" w:styleId="194">
    <w:name w:val="批注主题 Char1"/>
    <w:qFormat/>
    <w:uiPriority w:val="0"/>
    <w:rPr>
      <w:b/>
    </w:rPr>
  </w:style>
  <w:style w:type="character" w:customStyle="1" w:styleId="195">
    <w:name w:val="qclx"/>
    <w:qFormat/>
    <w:uiPriority w:val="0"/>
  </w:style>
  <w:style w:type="character" w:customStyle="1" w:styleId="196">
    <w:name w:val="even Char Char"/>
    <w:qFormat/>
    <w:uiPriority w:val="0"/>
    <w:rPr>
      <w:rFonts w:ascii="Times New Roman" w:hAnsi="Times New Roman" w:eastAsia="宋体"/>
      <w:sz w:val="18"/>
    </w:rPr>
  </w:style>
  <w:style w:type="character" w:customStyle="1" w:styleId="197">
    <w:name w:val="正文文本缩进 3 Char1"/>
    <w:qFormat/>
    <w:uiPriority w:val="0"/>
    <w:rPr>
      <w:sz w:val="28"/>
    </w:rPr>
  </w:style>
  <w:style w:type="character" w:customStyle="1" w:styleId="198">
    <w:name w:val="信息标题 字符"/>
    <w:qFormat/>
    <w:uiPriority w:val="0"/>
    <w:rPr>
      <w:rFonts w:ascii="等线 Light" w:hAnsi="等线 Light" w:eastAsia="等线 Light"/>
      <w:kern w:val="2"/>
      <w:sz w:val="24"/>
      <w:shd w:val="pct20" w:color="auto" w:fill="auto"/>
    </w:rPr>
  </w:style>
  <w:style w:type="character" w:customStyle="1" w:styleId="199">
    <w:name w:val="标题 5 字符"/>
    <w:qFormat/>
    <w:uiPriority w:val="0"/>
    <w:rPr>
      <w:rFonts w:ascii="Times New Roman" w:hAnsi="Times New Roman" w:eastAsia="宋体"/>
      <w:b/>
      <w:kern w:val="2"/>
      <w:sz w:val="28"/>
    </w:rPr>
  </w:style>
  <w:style w:type="character" w:customStyle="1" w:styleId="200">
    <w:name w:val="HTML 预设格式 Char2"/>
    <w:qFormat/>
    <w:uiPriority w:val="0"/>
    <w:rPr>
      <w:rFonts w:ascii="黑体" w:hAnsi="Courier New" w:eastAsia="黑体"/>
    </w:rPr>
  </w:style>
  <w:style w:type="character" w:customStyle="1" w:styleId="201">
    <w:name w:val="p7"/>
    <w:qFormat/>
    <w:uiPriority w:val="0"/>
  </w:style>
  <w:style w:type="character" w:customStyle="1" w:styleId="202">
    <w:name w:val="签名 字符"/>
    <w:qFormat/>
    <w:uiPriority w:val="0"/>
    <w:rPr>
      <w:kern w:val="2"/>
      <w:sz w:val="28"/>
    </w:rPr>
  </w:style>
  <w:style w:type="character" w:customStyle="1" w:styleId="203">
    <w:name w:val="批注文字 Char1"/>
    <w:qFormat/>
    <w:uiPriority w:val="0"/>
    <w:rPr>
      <w:rFonts w:eastAsia="宋体"/>
      <w:kern w:val="2"/>
      <w:sz w:val="21"/>
      <w:lang w:val="en-US" w:eastAsia="zh-CN"/>
    </w:rPr>
  </w:style>
  <w:style w:type="character" w:customStyle="1" w:styleId="204">
    <w:name w:val="文档结构图 Char1"/>
    <w:qFormat/>
    <w:uiPriority w:val="0"/>
    <w:rPr>
      <w:rFonts w:eastAsia="宋体"/>
      <w:kern w:val="2"/>
      <w:sz w:val="21"/>
      <w:lang w:val="en-US" w:eastAsia="zh-CN"/>
    </w:rPr>
  </w:style>
  <w:style w:type="character" w:customStyle="1" w:styleId="205">
    <w:name w:val="纯文本 Char1"/>
    <w:qFormat/>
    <w:uiPriority w:val="0"/>
    <w:rPr>
      <w:rFonts w:ascii="宋体" w:hAnsi="Courier New" w:eastAsia="宋体"/>
      <w:kern w:val="2"/>
      <w:sz w:val="21"/>
    </w:rPr>
  </w:style>
  <w:style w:type="character" w:customStyle="1" w:styleId="206">
    <w:name w:val="无间隔 Char"/>
    <w:link w:val="207"/>
    <w:qFormat/>
    <w:locked/>
    <w:uiPriority w:val="0"/>
    <w:rPr>
      <w:rFonts w:ascii="宋体" w:hAnsi="宋体"/>
      <w:szCs w:val="24"/>
    </w:rPr>
  </w:style>
  <w:style w:type="paragraph" w:customStyle="1" w:styleId="207">
    <w:name w:val="无间隔1"/>
    <w:basedOn w:val="1"/>
    <w:link w:val="206"/>
    <w:qFormat/>
    <w:uiPriority w:val="0"/>
    <w:rPr>
      <w:rFonts w:ascii="宋体" w:hAnsi="宋体" w:eastAsiaTheme="minorEastAsia" w:cstheme="minorBidi"/>
      <w:sz w:val="21"/>
      <w:szCs w:val="24"/>
    </w:rPr>
  </w:style>
  <w:style w:type="character" w:customStyle="1" w:styleId="208">
    <w:name w:val="HTML 引文1"/>
    <w:qFormat/>
    <w:uiPriority w:val="0"/>
    <w:rPr>
      <w:i/>
    </w:rPr>
  </w:style>
  <w:style w:type="character" w:customStyle="1" w:styleId="209">
    <w:name w:val="Char Char13"/>
    <w:qFormat/>
    <w:uiPriority w:val="0"/>
    <w:rPr>
      <w:rFonts w:ascii="Times New Roman" w:hAnsi="Times New Roman" w:eastAsia="宋体"/>
      <w:b/>
      <w:sz w:val="28"/>
    </w:rPr>
  </w:style>
  <w:style w:type="character" w:customStyle="1" w:styleId="210">
    <w:name w:val="brown1"/>
    <w:qFormat/>
    <w:uiPriority w:val="0"/>
    <w:rPr>
      <w:color w:val="80786A"/>
    </w:rPr>
  </w:style>
  <w:style w:type="character" w:customStyle="1" w:styleId="211">
    <w:name w:val="正文首行缩进 2 字符"/>
    <w:basedOn w:val="212"/>
    <w:qFormat/>
    <w:uiPriority w:val="0"/>
    <w:rPr>
      <w:rFonts w:ascii="黑体" w:eastAsia="黑体"/>
      <w:sz w:val="28"/>
    </w:rPr>
  </w:style>
  <w:style w:type="character" w:customStyle="1" w:styleId="212">
    <w:name w:val="正文文本缩进 Char2"/>
    <w:qFormat/>
    <w:uiPriority w:val="0"/>
    <w:rPr>
      <w:rFonts w:ascii="黑体" w:eastAsia="黑体"/>
      <w:sz w:val="28"/>
    </w:rPr>
  </w:style>
  <w:style w:type="character" w:customStyle="1" w:styleId="213">
    <w:name w:val="正文非缩进 Char"/>
    <w:qFormat/>
    <w:uiPriority w:val="0"/>
    <w:rPr>
      <w:rFonts w:ascii="宋体" w:eastAsia="宋体"/>
      <w:snapToGrid w:val="0"/>
      <w:color w:val="000000"/>
      <w:kern w:val="28"/>
      <w:sz w:val="28"/>
      <w:lang w:val="en-US" w:eastAsia="zh-CN"/>
    </w:rPr>
  </w:style>
  <w:style w:type="character" w:customStyle="1" w:styleId="214">
    <w:name w:val="标题 1 1 Char"/>
    <w:qFormat/>
    <w:uiPriority w:val="0"/>
    <w:rPr>
      <w:rFonts w:ascii="Times New Roman" w:hAnsi="Times New Roman" w:eastAsia="宋体"/>
      <w:b/>
      <w:kern w:val="44"/>
      <w:sz w:val="44"/>
    </w:rPr>
  </w:style>
  <w:style w:type="character" w:customStyle="1" w:styleId="215">
    <w:name w:val="z-窗体底端 Char"/>
    <w:qFormat/>
    <w:uiPriority w:val="0"/>
    <w:rPr>
      <w:rFonts w:ascii="Arial" w:hAnsi="Arial"/>
      <w:vanish/>
      <w:sz w:val="16"/>
    </w:rPr>
  </w:style>
  <w:style w:type="paragraph" w:customStyle="1" w:styleId="216">
    <w:name w:val="z-窗体底端1"/>
    <w:basedOn w:val="1"/>
    <w:next w:val="1"/>
    <w:link w:val="382"/>
    <w:qFormat/>
    <w:uiPriority w:val="0"/>
    <w:pPr>
      <w:pBdr>
        <w:top w:val="single" w:color="auto" w:sz="6" w:space="1"/>
      </w:pBdr>
      <w:jc w:val="center"/>
    </w:pPr>
    <w:rPr>
      <w:rFonts w:ascii="Arial" w:hAnsi="Arial" w:eastAsiaTheme="minorEastAsia" w:cstheme="minorBidi"/>
      <w:vanish/>
      <w:sz w:val="16"/>
      <w:szCs w:val="22"/>
    </w:rPr>
  </w:style>
  <w:style w:type="character" w:customStyle="1" w:styleId="217">
    <w:name w:val="font161"/>
    <w:qFormat/>
    <w:uiPriority w:val="0"/>
    <w:rPr>
      <w:b/>
      <w:sz w:val="32"/>
    </w:rPr>
  </w:style>
  <w:style w:type="character" w:customStyle="1" w:styleId="218">
    <w:name w:val="脚注文本 字符"/>
    <w:qFormat/>
    <w:uiPriority w:val="0"/>
    <w:rPr>
      <w:kern w:val="2"/>
      <w:sz w:val="18"/>
    </w:rPr>
  </w:style>
  <w:style w:type="character" w:customStyle="1" w:styleId="219">
    <w:name w:val="HTML 代码1"/>
    <w:qFormat/>
    <w:uiPriority w:val="0"/>
    <w:rPr>
      <w:rFonts w:ascii="Courier New" w:hAnsi="Courier New"/>
      <w:sz w:val="20"/>
    </w:rPr>
  </w:style>
  <w:style w:type="character" w:customStyle="1" w:styleId="220">
    <w:name w:val="标题 Char2"/>
    <w:qFormat/>
    <w:uiPriority w:val="0"/>
    <w:rPr>
      <w:rFonts w:ascii="Arial" w:hAnsi="Arial" w:eastAsia="宋体"/>
      <w:b/>
      <w:sz w:val="32"/>
      <w:lang w:val="en-US" w:eastAsia="zh-CN"/>
    </w:rPr>
  </w:style>
  <w:style w:type="character" w:customStyle="1" w:styleId="221">
    <w:name w:val="正文文本 Char2"/>
    <w:qFormat/>
    <w:uiPriority w:val="0"/>
    <w:rPr>
      <w:sz w:val="24"/>
    </w:rPr>
  </w:style>
  <w:style w:type="character" w:customStyle="1" w:styleId="222">
    <w:name w:val="lemmatitleh11"/>
    <w:qFormat/>
    <w:uiPriority w:val="0"/>
  </w:style>
  <w:style w:type="character" w:customStyle="1" w:styleId="223">
    <w:name w:val="Char Char16"/>
    <w:qFormat/>
    <w:uiPriority w:val="0"/>
    <w:rPr>
      <w:kern w:val="2"/>
      <w:sz w:val="18"/>
    </w:rPr>
  </w:style>
  <w:style w:type="character" w:customStyle="1" w:styleId="224">
    <w:name w:val="正文首行缩进 Char1"/>
    <w:qFormat/>
    <w:uiPriority w:val="0"/>
    <w:rPr>
      <w:rFonts w:ascii="等线" w:hAnsi="等线" w:eastAsia="等线"/>
    </w:rPr>
  </w:style>
  <w:style w:type="character" w:customStyle="1" w:styleId="225">
    <w:name w:val="Char Char17"/>
    <w:qFormat/>
    <w:uiPriority w:val="0"/>
    <w:rPr>
      <w:kern w:val="2"/>
      <w:sz w:val="18"/>
    </w:rPr>
  </w:style>
  <w:style w:type="character" w:customStyle="1" w:styleId="226">
    <w:name w:val="font31"/>
    <w:basedOn w:val="90"/>
    <w:qFormat/>
    <w:uiPriority w:val="0"/>
    <w:rPr>
      <w:rFonts w:hint="eastAsia" w:ascii="宋体" w:hAnsi="宋体" w:eastAsia="宋体"/>
      <w:color w:val="0000FF"/>
      <w:sz w:val="21"/>
      <w:u w:val="none"/>
      <w:vertAlign w:val="superscript"/>
    </w:rPr>
  </w:style>
  <w:style w:type="character" w:customStyle="1" w:styleId="227">
    <w:name w:val="标题 4 Char1"/>
    <w:qFormat/>
    <w:uiPriority w:val="0"/>
    <w:rPr>
      <w:rFonts w:ascii="Arial" w:hAnsi="Arial" w:eastAsia="黑体"/>
      <w:b/>
      <w:kern w:val="2"/>
      <w:sz w:val="28"/>
      <w:lang w:val="en-US" w:eastAsia="zh-CN"/>
    </w:rPr>
  </w:style>
  <w:style w:type="character" w:customStyle="1" w:styleId="228">
    <w:name w:val="p141"/>
    <w:qFormat/>
    <w:uiPriority w:val="0"/>
    <w:rPr>
      <w:sz w:val="21"/>
      <w:szCs w:val="21"/>
    </w:rPr>
  </w:style>
  <w:style w:type="character" w:customStyle="1" w:styleId="229">
    <w:name w:val="批注引用1"/>
    <w:qFormat/>
    <w:uiPriority w:val="0"/>
    <w:rPr>
      <w:sz w:val="21"/>
    </w:rPr>
  </w:style>
  <w:style w:type="character" w:customStyle="1" w:styleId="230">
    <w:name w:val="发布"/>
    <w:qFormat/>
    <w:uiPriority w:val="0"/>
    <w:rPr>
      <w:rFonts w:ascii="黑体" w:eastAsia="黑体"/>
      <w:spacing w:val="22"/>
      <w:w w:val="100"/>
      <w:position w:val="3"/>
      <w:sz w:val="28"/>
    </w:rPr>
  </w:style>
  <w:style w:type="character" w:customStyle="1" w:styleId="231">
    <w:name w:val="j23x"/>
    <w:qFormat/>
    <w:uiPriority w:val="0"/>
  </w:style>
  <w:style w:type="character" w:customStyle="1" w:styleId="232">
    <w:name w:val="纯文本 Char2"/>
    <w:qFormat/>
    <w:uiPriority w:val="0"/>
    <w:rPr>
      <w:rFonts w:ascii="宋体" w:hAnsi="Courier New" w:eastAsia="宋体"/>
      <w:kern w:val="2"/>
      <w:sz w:val="21"/>
      <w:lang w:val="en-US" w:eastAsia="zh-CN"/>
    </w:rPr>
  </w:style>
  <w:style w:type="character" w:customStyle="1" w:styleId="233">
    <w:name w:val="567r"/>
    <w:qFormat/>
    <w:uiPriority w:val="0"/>
  </w:style>
  <w:style w:type="character" w:customStyle="1" w:styleId="234">
    <w:name w:val="文档结构图 字符"/>
    <w:qFormat/>
    <w:uiPriority w:val="0"/>
    <w:rPr>
      <w:rFonts w:ascii="Microsoft YaHei UI" w:hAnsi="Times New Roman" w:eastAsia="Microsoft YaHei UI"/>
      <w:kern w:val="2"/>
      <w:sz w:val="18"/>
    </w:rPr>
  </w:style>
  <w:style w:type="character" w:customStyle="1" w:styleId="235">
    <w:name w:val="正文文本 2 字符"/>
    <w:qFormat/>
    <w:uiPriority w:val="0"/>
    <w:rPr>
      <w:kern w:val="2"/>
      <w:sz w:val="28"/>
    </w:rPr>
  </w:style>
  <w:style w:type="character" w:customStyle="1" w:styleId="236">
    <w:name w:val="font01"/>
    <w:basedOn w:val="90"/>
    <w:qFormat/>
    <w:uiPriority w:val="0"/>
    <w:rPr>
      <w:rFonts w:hint="eastAsia" w:ascii="宋体" w:hAnsi="宋体" w:eastAsia="宋体" w:cs="宋体"/>
      <w:color w:val="000000"/>
      <w:sz w:val="22"/>
      <w:szCs w:val="22"/>
      <w:u w:val="none"/>
    </w:rPr>
  </w:style>
  <w:style w:type="character" w:customStyle="1" w:styleId="237">
    <w:name w:val="Title Char"/>
    <w:qFormat/>
    <w:uiPriority w:val="0"/>
    <w:rPr>
      <w:rFonts w:ascii="Arial" w:hAnsi="Arial" w:eastAsia="宋体"/>
      <w:b/>
      <w:kern w:val="2"/>
      <w:sz w:val="32"/>
      <w:lang w:val="en-US" w:eastAsia="zh-CN"/>
    </w:rPr>
  </w:style>
  <w:style w:type="character" w:customStyle="1" w:styleId="238">
    <w:name w:val="宏文本 字符"/>
    <w:qFormat/>
    <w:uiPriority w:val="0"/>
    <w:rPr>
      <w:rFonts w:ascii="Courier New" w:hAnsi="Courier New"/>
      <w:kern w:val="2"/>
      <w:sz w:val="24"/>
    </w:rPr>
  </w:style>
  <w:style w:type="character" w:customStyle="1" w:styleId="239">
    <w:name w:val="Char Char22"/>
    <w:qFormat/>
    <w:uiPriority w:val="0"/>
    <w:rPr>
      <w:rFonts w:ascii="Arial" w:hAnsi="Arial" w:eastAsia="黑体"/>
      <w:b/>
      <w:kern w:val="2"/>
      <w:sz w:val="32"/>
      <w:lang w:val="en-US" w:eastAsia="zh-CN"/>
    </w:rPr>
  </w:style>
  <w:style w:type="character" w:customStyle="1" w:styleId="240">
    <w:name w:val="尾注文本 字符"/>
    <w:qFormat/>
    <w:uiPriority w:val="0"/>
    <w:rPr>
      <w:kern w:val="2"/>
      <w:sz w:val="28"/>
    </w:rPr>
  </w:style>
  <w:style w:type="character" w:customStyle="1" w:styleId="241">
    <w:name w:val="副标题 Char1"/>
    <w:qFormat/>
    <w:uiPriority w:val="0"/>
    <w:rPr>
      <w:rFonts w:ascii="Calibri Light" w:hAnsi="Calibri Light" w:eastAsia="宋体"/>
      <w:b/>
      <w:kern w:val="28"/>
      <w:sz w:val="32"/>
    </w:rPr>
  </w:style>
  <w:style w:type="character" w:customStyle="1" w:styleId="242">
    <w:name w:val="正文文本 Char1"/>
    <w:qFormat/>
    <w:uiPriority w:val="0"/>
    <w:rPr>
      <w:rFonts w:ascii="宋体" w:hAnsi="宋体" w:eastAsia="宋体"/>
      <w:spacing w:val="-6"/>
      <w:kern w:val="2"/>
      <w:sz w:val="21"/>
      <w:lang w:val="en-US" w:eastAsia="zh-CN"/>
    </w:rPr>
  </w:style>
  <w:style w:type="character" w:customStyle="1" w:styleId="243">
    <w:name w:val="HTML 缩写1"/>
    <w:qFormat/>
    <w:uiPriority w:val="0"/>
  </w:style>
  <w:style w:type="character" w:customStyle="1" w:styleId="244">
    <w:name w:val="标题 1 Char1"/>
    <w:qFormat/>
    <w:uiPriority w:val="0"/>
    <w:rPr>
      <w:rFonts w:eastAsia="宋体"/>
      <w:b/>
      <w:kern w:val="44"/>
      <w:sz w:val="44"/>
      <w:lang w:val="en-US" w:eastAsia="zh-CN"/>
    </w:rPr>
  </w:style>
  <w:style w:type="character" w:customStyle="1" w:styleId="245">
    <w:name w:val="15"/>
    <w:qFormat/>
    <w:uiPriority w:val="0"/>
  </w:style>
  <w:style w:type="character" w:customStyle="1" w:styleId="246">
    <w:name w:val="样式 正文文本 Char"/>
    <w:link w:val="247"/>
    <w:qFormat/>
    <w:uiPriority w:val="0"/>
    <w:rPr>
      <w:rFonts w:ascii="Arial" w:hAnsi="Arial"/>
      <w:color w:val="000000"/>
    </w:rPr>
  </w:style>
  <w:style w:type="paragraph" w:customStyle="1" w:styleId="247">
    <w:name w:val="样式 正文文本"/>
    <w:basedOn w:val="1"/>
    <w:link w:val="246"/>
    <w:qFormat/>
    <w:uiPriority w:val="0"/>
    <w:pPr>
      <w:adjustRightInd w:val="0"/>
      <w:snapToGrid w:val="0"/>
      <w:spacing w:line="400" w:lineRule="exact"/>
      <w:ind w:firstLine="200" w:firstLineChars="200"/>
    </w:pPr>
    <w:rPr>
      <w:rFonts w:ascii="Arial" w:hAnsi="Arial" w:eastAsiaTheme="minorEastAsia" w:cstheme="minorBidi"/>
      <w:color w:val="000000"/>
      <w:sz w:val="21"/>
      <w:szCs w:val="22"/>
    </w:rPr>
  </w:style>
  <w:style w:type="character" w:customStyle="1" w:styleId="248">
    <w:name w:val="正文格式 Char"/>
    <w:link w:val="249"/>
    <w:qFormat/>
    <w:uiPriority w:val="0"/>
    <w:rPr>
      <w:rFonts w:ascii="Times New Roman" w:hAnsi="Times New Roman"/>
      <w:sz w:val="24"/>
    </w:rPr>
  </w:style>
  <w:style w:type="paragraph" w:customStyle="1" w:styleId="249">
    <w:name w:val="正文格式"/>
    <w:basedOn w:val="1"/>
    <w:link w:val="248"/>
    <w:qFormat/>
    <w:uiPriority w:val="0"/>
    <w:pPr>
      <w:widowControl/>
      <w:adjustRightInd w:val="0"/>
      <w:spacing w:line="480" w:lineRule="atLeast"/>
      <w:ind w:firstLine="482"/>
      <w:textAlignment w:val="baseline"/>
    </w:pPr>
    <w:rPr>
      <w:rFonts w:ascii="Times New Roman" w:hAnsi="Times New Roman" w:eastAsiaTheme="minorEastAsia" w:cstheme="minorBidi"/>
      <w:sz w:val="24"/>
      <w:szCs w:val="22"/>
    </w:rPr>
  </w:style>
  <w:style w:type="character" w:customStyle="1" w:styleId="250">
    <w:name w:val="bulletintext1"/>
    <w:qFormat/>
    <w:uiPriority w:val="0"/>
    <w:rPr>
      <w:color w:val="000000"/>
      <w:sz w:val="18"/>
    </w:rPr>
  </w:style>
  <w:style w:type="character" w:customStyle="1" w:styleId="251">
    <w:name w:val="fonts11"/>
    <w:qFormat/>
    <w:uiPriority w:val="0"/>
    <w:rPr>
      <w:sz w:val="18"/>
    </w:rPr>
  </w:style>
  <w:style w:type="character" w:customStyle="1" w:styleId="252">
    <w:name w:val="locality"/>
    <w:qFormat/>
    <w:uiPriority w:val="0"/>
  </w:style>
  <w:style w:type="character" w:customStyle="1" w:styleId="253">
    <w:name w:val="标题 3 字符"/>
    <w:qFormat/>
    <w:uiPriority w:val="0"/>
    <w:rPr>
      <w:rFonts w:ascii="Times New Roman" w:hAnsi="Times New Roman" w:eastAsia="宋体"/>
      <w:b/>
      <w:kern w:val="2"/>
      <w:sz w:val="32"/>
    </w:rPr>
  </w:style>
  <w:style w:type="character" w:customStyle="1" w:styleId="254">
    <w:name w:val="标题 8 字符"/>
    <w:qFormat/>
    <w:uiPriority w:val="0"/>
    <w:rPr>
      <w:rFonts w:ascii="等线 Light" w:hAnsi="等线 Light" w:eastAsia="等线 Light"/>
      <w:kern w:val="2"/>
      <w:sz w:val="24"/>
    </w:rPr>
  </w:style>
  <w:style w:type="character" w:customStyle="1" w:styleId="255">
    <w:name w:val="批注主题 字符"/>
    <w:qFormat/>
    <w:uiPriority w:val="0"/>
    <w:rPr>
      <w:b/>
      <w:kern w:val="2"/>
      <w:sz w:val="28"/>
    </w:rPr>
  </w:style>
  <w:style w:type="character" w:customStyle="1" w:styleId="256">
    <w:name w:val="H3 Char"/>
    <w:qFormat/>
    <w:uiPriority w:val="0"/>
    <w:rPr>
      <w:rFonts w:eastAsia="宋体"/>
      <w:b/>
      <w:kern w:val="2"/>
      <w:sz w:val="32"/>
      <w:lang w:val="en-US" w:eastAsia="zh-CN"/>
    </w:rPr>
  </w:style>
  <w:style w:type="character" w:customStyle="1" w:styleId="257">
    <w:name w:val="标题 9 Char1"/>
    <w:qFormat/>
    <w:uiPriority w:val="0"/>
    <w:rPr>
      <w:rFonts w:ascii="Arial" w:hAnsi="Arial" w:eastAsia="黑体"/>
      <w:sz w:val="21"/>
      <w:lang w:val="en-US" w:eastAsia="zh-CN"/>
    </w:rPr>
  </w:style>
  <w:style w:type="character" w:customStyle="1" w:styleId="258">
    <w:name w:val="公文正文 Char"/>
    <w:link w:val="259"/>
    <w:qFormat/>
    <w:uiPriority w:val="0"/>
    <w:rPr>
      <w:rFonts w:ascii="仿宋_GB2312" w:eastAsia="仿宋_GB2312"/>
      <w:sz w:val="24"/>
    </w:rPr>
  </w:style>
  <w:style w:type="paragraph" w:customStyle="1" w:styleId="259">
    <w:name w:val="公文正文"/>
    <w:basedOn w:val="1"/>
    <w:link w:val="258"/>
    <w:qFormat/>
    <w:uiPriority w:val="0"/>
    <w:pPr>
      <w:spacing w:before="156" w:line="360" w:lineRule="auto"/>
      <w:ind w:firstLine="360" w:firstLineChars="200"/>
    </w:pPr>
    <w:rPr>
      <w:rFonts w:ascii="仿宋_GB2312" w:eastAsia="仿宋_GB2312" w:hAnsiTheme="minorHAnsi" w:cstheme="minorBidi"/>
      <w:sz w:val="24"/>
      <w:szCs w:val="22"/>
    </w:rPr>
  </w:style>
  <w:style w:type="character" w:customStyle="1" w:styleId="260">
    <w:name w:val="正文文本缩进 3 字符"/>
    <w:qFormat/>
    <w:uiPriority w:val="0"/>
    <w:rPr>
      <w:rFonts w:ascii="Times New Roman" w:hAnsi="Times New Roman" w:eastAsia="宋体"/>
      <w:kern w:val="2"/>
      <w:sz w:val="16"/>
    </w:rPr>
  </w:style>
  <w:style w:type="character" w:customStyle="1" w:styleId="261">
    <w:name w:val="my Char"/>
    <w:link w:val="262"/>
    <w:qFormat/>
    <w:uiPriority w:val="0"/>
    <w:rPr>
      <w:rFonts w:ascii="宋体" w:hAnsi="宋体"/>
      <w:sz w:val="24"/>
    </w:rPr>
  </w:style>
  <w:style w:type="paragraph" w:customStyle="1" w:styleId="262">
    <w:name w:val="my"/>
    <w:basedOn w:val="1"/>
    <w:link w:val="261"/>
    <w:qFormat/>
    <w:uiPriority w:val="0"/>
    <w:pPr>
      <w:widowControl/>
      <w:tabs>
        <w:tab w:val="left" w:pos="0"/>
        <w:tab w:val="left" w:pos="5823"/>
      </w:tabs>
      <w:adjustRightInd w:val="0"/>
      <w:ind w:firstLine="480" w:firstLineChars="200"/>
    </w:pPr>
    <w:rPr>
      <w:rFonts w:ascii="宋体" w:hAnsi="宋体" w:eastAsiaTheme="minorEastAsia" w:cstheme="minorBidi"/>
      <w:sz w:val="24"/>
      <w:szCs w:val="22"/>
    </w:rPr>
  </w:style>
  <w:style w:type="character" w:customStyle="1" w:styleId="263">
    <w:name w:val="info1"/>
    <w:qFormat/>
    <w:uiPriority w:val="99"/>
    <w:rPr>
      <w:color w:val="000000"/>
      <w:spacing w:val="15"/>
      <w:sz w:val="24"/>
    </w:rPr>
  </w:style>
  <w:style w:type="character" w:customStyle="1" w:styleId="264">
    <w:name w:val="正文文本 2 Char1"/>
    <w:qFormat/>
    <w:uiPriority w:val="0"/>
  </w:style>
  <w:style w:type="character" w:customStyle="1" w:styleId="265">
    <w:name w:val="HTML 预设格式 Char1"/>
    <w:qFormat/>
    <w:uiPriority w:val="0"/>
    <w:rPr>
      <w:rFonts w:ascii="Courier New" w:hAnsi="Courier New" w:eastAsia="宋体"/>
      <w:kern w:val="2"/>
    </w:rPr>
  </w:style>
  <w:style w:type="character" w:customStyle="1" w:styleId="266">
    <w:name w:val="电子邮件签名 字符"/>
    <w:qFormat/>
    <w:uiPriority w:val="0"/>
    <w:rPr>
      <w:kern w:val="2"/>
      <w:sz w:val="28"/>
    </w:rPr>
  </w:style>
  <w:style w:type="character" w:customStyle="1" w:styleId="267">
    <w:name w:val="称呼 字符"/>
    <w:qFormat/>
    <w:uiPriority w:val="0"/>
    <w:rPr>
      <w:kern w:val="2"/>
      <w:sz w:val="28"/>
    </w:rPr>
  </w:style>
  <w:style w:type="character" w:customStyle="1" w:styleId="268">
    <w:name w:val="标题 4 Char Char Char Char Char Char"/>
    <w:qFormat/>
    <w:uiPriority w:val="0"/>
    <w:rPr>
      <w:rFonts w:eastAsia="宋体"/>
      <w:kern w:val="2"/>
      <w:sz w:val="24"/>
      <w:lang w:val="en-US" w:eastAsia="zh-CN"/>
    </w:rPr>
  </w:style>
  <w:style w:type="character" w:customStyle="1" w:styleId="269">
    <w:name w:val="标题 6 字符"/>
    <w:qFormat/>
    <w:uiPriority w:val="0"/>
    <w:rPr>
      <w:rFonts w:ascii="等线 Light" w:hAnsi="等线 Light" w:eastAsia="等线 Light"/>
      <w:b/>
      <w:kern w:val="2"/>
      <w:sz w:val="24"/>
    </w:rPr>
  </w:style>
  <w:style w:type="character" w:customStyle="1" w:styleId="270">
    <w:name w:val="标题 7 Char1"/>
    <w:qFormat/>
    <w:uiPriority w:val="0"/>
    <w:rPr>
      <w:rFonts w:eastAsia="宋体"/>
      <w:b/>
      <w:sz w:val="24"/>
      <w:lang w:val="en-US" w:eastAsia="zh-CN"/>
    </w:rPr>
  </w:style>
  <w:style w:type="character" w:customStyle="1" w:styleId="271">
    <w:name w:val="副标题 字符"/>
    <w:qFormat/>
    <w:uiPriority w:val="0"/>
    <w:rPr>
      <w:rFonts w:ascii="等线 Light" w:hAnsi="等线 Light"/>
      <w:b/>
      <w:kern w:val="28"/>
      <w:sz w:val="32"/>
    </w:rPr>
  </w:style>
  <w:style w:type="character" w:customStyle="1" w:styleId="272">
    <w:name w:val="font21"/>
    <w:basedOn w:val="90"/>
    <w:qFormat/>
    <w:uiPriority w:val="0"/>
    <w:rPr>
      <w:rFonts w:hint="eastAsia" w:ascii="宋体" w:hAnsi="宋体" w:eastAsia="宋体"/>
      <w:color w:val="FF0000"/>
      <w:sz w:val="21"/>
      <w:u w:val="none"/>
      <w:vertAlign w:val="superscript"/>
    </w:rPr>
  </w:style>
  <w:style w:type="character" w:customStyle="1" w:styleId="273">
    <w:name w:val="font41"/>
    <w:basedOn w:val="90"/>
    <w:qFormat/>
    <w:uiPriority w:val="0"/>
    <w:rPr>
      <w:rFonts w:hint="eastAsia" w:ascii="宋体" w:hAnsi="宋体" w:eastAsia="宋体" w:cs="宋体"/>
      <w:color w:val="000000"/>
      <w:sz w:val="20"/>
      <w:szCs w:val="20"/>
      <w:u w:val="none"/>
    </w:rPr>
  </w:style>
  <w:style w:type="character" w:customStyle="1" w:styleId="274">
    <w:name w:val="结束语 字符"/>
    <w:qFormat/>
    <w:uiPriority w:val="0"/>
    <w:rPr>
      <w:kern w:val="2"/>
      <w:sz w:val="28"/>
    </w:rPr>
  </w:style>
  <w:style w:type="character" w:customStyle="1" w:styleId="275">
    <w:name w:val="彩色列表 - 着色 1 字符"/>
    <w:link w:val="276"/>
    <w:qFormat/>
    <w:uiPriority w:val="0"/>
  </w:style>
  <w:style w:type="paragraph" w:customStyle="1" w:styleId="276">
    <w:name w:val="彩色列表 - 着色 12"/>
    <w:basedOn w:val="1"/>
    <w:link w:val="275"/>
    <w:qFormat/>
    <w:uiPriority w:val="0"/>
    <w:pPr>
      <w:ind w:firstLine="420" w:firstLineChars="200"/>
    </w:pPr>
    <w:rPr>
      <w:rFonts w:asciiTheme="minorHAnsi" w:hAnsiTheme="minorHAnsi" w:eastAsiaTheme="minorEastAsia" w:cstheme="minorBidi"/>
      <w:sz w:val="21"/>
      <w:szCs w:val="22"/>
    </w:rPr>
  </w:style>
  <w:style w:type="character" w:customStyle="1" w:styleId="277">
    <w:name w:val="正文文本 3 Char1"/>
    <w:qFormat/>
    <w:uiPriority w:val="0"/>
    <w:rPr>
      <w:rFonts w:eastAsia="宋体"/>
      <w:color w:val="FF0000"/>
      <w:kern w:val="2"/>
      <w:sz w:val="24"/>
      <w:lang w:val="en-US" w:eastAsia="zh-CN"/>
    </w:rPr>
  </w:style>
  <w:style w:type="character" w:customStyle="1" w:styleId="278">
    <w:name w:val="纯文本 Char3"/>
    <w:qFormat/>
    <w:uiPriority w:val="0"/>
    <w:rPr>
      <w:rFonts w:ascii="宋体" w:hAnsi="Courier New" w:eastAsia="宋体"/>
    </w:rPr>
  </w:style>
  <w:style w:type="character" w:customStyle="1" w:styleId="279">
    <w:name w:val="个人答复风格"/>
    <w:qFormat/>
    <w:uiPriority w:val="0"/>
    <w:rPr>
      <w:rFonts w:ascii="Arial" w:hAnsi="Arial" w:eastAsia="宋体"/>
      <w:color w:val="auto"/>
      <w:sz w:val="20"/>
    </w:rPr>
  </w:style>
  <w:style w:type="character" w:customStyle="1" w:styleId="280">
    <w:name w:val="标题 3 Char1"/>
    <w:qFormat/>
    <w:uiPriority w:val="0"/>
    <w:rPr>
      <w:rFonts w:eastAsia="宋体"/>
      <w:b/>
      <w:kern w:val="2"/>
      <w:sz w:val="32"/>
      <w:lang w:val="en-US" w:eastAsia="zh-CN"/>
    </w:rPr>
  </w:style>
  <w:style w:type="character" w:customStyle="1" w:styleId="281">
    <w:name w:val="脚注文本 Char1"/>
    <w:qFormat/>
    <w:uiPriority w:val="0"/>
    <w:rPr>
      <w:rFonts w:eastAsia="宋体"/>
      <w:kern w:val="2"/>
      <w:sz w:val="18"/>
      <w:lang w:val="en-US" w:eastAsia="zh-CN"/>
    </w:rPr>
  </w:style>
  <w:style w:type="character" w:customStyle="1" w:styleId="282">
    <w:name w:val="无格式表格 31"/>
    <w:qFormat/>
    <w:uiPriority w:val="0"/>
    <w:rPr>
      <w:i/>
      <w:color w:val="808080"/>
    </w:rPr>
  </w:style>
  <w:style w:type="character" w:customStyle="1" w:styleId="283">
    <w:name w:val="HTML 键盘1"/>
    <w:qFormat/>
    <w:uiPriority w:val="0"/>
    <w:rPr>
      <w:rFonts w:ascii="Courier New" w:hAnsi="Courier New"/>
      <w:sz w:val="20"/>
    </w:rPr>
  </w:style>
  <w:style w:type="character" w:customStyle="1" w:styleId="284">
    <w:name w:val="标题 Char1"/>
    <w:qFormat/>
    <w:uiPriority w:val="0"/>
    <w:rPr>
      <w:rFonts w:ascii="Cambria" w:hAnsi="Cambria" w:eastAsia="宋体"/>
      <w:b/>
      <w:sz w:val="32"/>
    </w:rPr>
  </w:style>
  <w:style w:type="character" w:customStyle="1" w:styleId="285">
    <w:name w:val="样式8 字符"/>
    <w:link w:val="286"/>
    <w:qFormat/>
    <w:uiPriority w:val="0"/>
    <w:rPr>
      <w:rFonts w:ascii="Times New Roman" w:hAnsi="Times New Roman"/>
      <w:sz w:val="24"/>
      <w:szCs w:val="27"/>
    </w:rPr>
  </w:style>
  <w:style w:type="paragraph" w:customStyle="1" w:styleId="286">
    <w:name w:val="样式8"/>
    <w:basedOn w:val="287"/>
    <w:link w:val="285"/>
    <w:qFormat/>
    <w:uiPriority w:val="0"/>
    <w:pPr>
      <w:tabs>
        <w:tab w:val="left" w:pos="1301"/>
        <w:tab w:val="left" w:pos="6043"/>
      </w:tabs>
      <w:ind w:right="0" w:rightChars="0"/>
    </w:pPr>
    <w:rPr>
      <w:rFonts w:eastAsiaTheme="minorEastAsia" w:cstheme="minorBidi"/>
    </w:rPr>
  </w:style>
  <w:style w:type="paragraph" w:customStyle="1" w:styleId="287">
    <w:name w:val="样式6"/>
    <w:basedOn w:val="1"/>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288">
    <w:name w:val="font11"/>
    <w:basedOn w:val="90"/>
    <w:qFormat/>
    <w:uiPriority w:val="0"/>
    <w:rPr>
      <w:rFonts w:hint="eastAsia" w:ascii="宋体" w:hAnsi="宋体" w:eastAsia="宋体"/>
      <w:color w:val="000000"/>
      <w:sz w:val="21"/>
      <w:u w:val="none"/>
      <w:vertAlign w:val="superscript"/>
    </w:rPr>
  </w:style>
  <w:style w:type="character" w:customStyle="1" w:styleId="289">
    <w:name w:val="页脚 Char1"/>
    <w:qFormat/>
    <w:uiPriority w:val="0"/>
    <w:rPr>
      <w:rFonts w:eastAsia="宋体"/>
      <w:kern w:val="2"/>
      <w:sz w:val="18"/>
      <w:lang w:val="en-US" w:eastAsia="zh-CN"/>
    </w:rPr>
  </w:style>
  <w:style w:type="character" w:customStyle="1" w:styleId="290">
    <w:name w:val="country-name"/>
    <w:qFormat/>
    <w:uiPriority w:val="0"/>
  </w:style>
  <w:style w:type="character" w:customStyle="1" w:styleId="291">
    <w:name w:val="HTML 样本1"/>
    <w:qFormat/>
    <w:uiPriority w:val="0"/>
    <w:rPr>
      <w:rFonts w:ascii="Courier New" w:hAnsi="Courier New"/>
    </w:rPr>
  </w:style>
  <w:style w:type="character" w:customStyle="1" w:styleId="292">
    <w:name w:val="标题 4 字符"/>
    <w:qFormat/>
    <w:uiPriority w:val="0"/>
    <w:rPr>
      <w:rFonts w:ascii="等线 Light" w:hAnsi="等线 Light" w:eastAsia="等线 Light"/>
      <w:b/>
      <w:kern w:val="2"/>
      <w:sz w:val="28"/>
    </w:rPr>
  </w:style>
  <w:style w:type="character" w:customStyle="1" w:styleId="293">
    <w:name w:val="zbggmain style9"/>
    <w:qFormat/>
    <w:uiPriority w:val="0"/>
  </w:style>
  <w:style w:type="character" w:customStyle="1" w:styleId="294">
    <w:name w:val="标题 1 Char Char"/>
    <w:qFormat/>
    <w:uiPriority w:val="0"/>
    <w:rPr>
      <w:rFonts w:ascii="Arial" w:hAnsi="Arial" w:eastAsia="黑体"/>
      <w:kern w:val="44"/>
      <w:sz w:val="24"/>
      <w:lang w:val="en-US" w:eastAsia="zh-CN"/>
    </w:rPr>
  </w:style>
  <w:style w:type="character" w:customStyle="1" w:styleId="295">
    <w:name w:val="批注框文本 Char1"/>
    <w:qFormat/>
    <w:uiPriority w:val="0"/>
    <w:rPr>
      <w:rFonts w:eastAsia="宋体"/>
      <w:kern w:val="2"/>
      <w:sz w:val="18"/>
      <w:lang w:val="en-US" w:eastAsia="zh-CN"/>
    </w:rPr>
  </w:style>
  <w:style w:type="character" w:customStyle="1" w:styleId="296">
    <w:name w:val="HTML 地址 字符"/>
    <w:qFormat/>
    <w:uiPriority w:val="0"/>
    <w:rPr>
      <w:i/>
      <w:kern w:val="2"/>
      <w:sz w:val="28"/>
    </w:rPr>
  </w:style>
  <w:style w:type="character" w:customStyle="1" w:styleId="297">
    <w:name w:val="正文文本 字符"/>
    <w:qFormat/>
    <w:uiPriority w:val="0"/>
    <w:rPr>
      <w:rFonts w:ascii="Times New Roman" w:hAnsi="Times New Roman" w:eastAsia="宋体"/>
      <w:kern w:val="2"/>
      <w:sz w:val="21"/>
    </w:rPr>
  </w:style>
  <w:style w:type="character" w:customStyle="1" w:styleId="298">
    <w:name w:val="页眉 字符"/>
    <w:qFormat/>
    <w:uiPriority w:val="0"/>
    <w:rPr>
      <w:kern w:val="2"/>
      <w:sz w:val="18"/>
    </w:rPr>
  </w:style>
  <w:style w:type="character" w:customStyle="1" w:styleId="299">
    <w:name w:val="标题 5 Char1"/>
    <w:qFormat/>
    <w:uiPriority w:val="0"/>
    <w:rPr>
      <w:rFonts w:eastAsia="宋体"/>
      <w:b/>
      <w:sz w:val="28"/>
      <w:lang w:val="en-US" w:eastAsia="zh-CN"/>
    </w:rPr>
  </w:style>
  <w:style w:type="character" w:customStyle="1" w:styleId="300">
    <w:name w:val="正文文字4 Char Char"/>
    <w:qFormat/>
    <w:uiPriority w:val="0"/>
    <w:rPr>
      <w:rFonts w:ascii="宋体" w:hAnsi="宋体" w:eastAsia="宋体"/>
      <w:spacing w:val="-6"/>
      <w:kern w:val="2"/>
      <w:sz w:val="21"/>
      <w:lang w:val="en-US" w:eastAsia="zh-CN"/>
    </w:rPr>
  </w:style>
  <w:style w:type="character" w:customStyle="1" w:styleId="301">
    <w:name w:val="z-窗体顶端 Char"/>
    <w:link w:val="302"/>
    <w:qFormat/>
    <w:uiPriority w:val="0"/>
    <w:rPr>
      <w:rFonts w:ascii="Arial" w:hAnsi="Arial"/>
      <w:vanish/>
      <w:sz w:val="16"/>
    </w:rPr>
  </w:style>
  <w:style w:type="paragraph" w:customStyle="1" w:styleId="302">
    <w:name w:val="z-窗体顶端1"/>
    <w:basedOn w:val="1"/>
    <w:next w:val="1"/>
    <w:link w:val="301"/>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03">
    <w:name w:val="正文文本 3 字符"/>
    <w:qFormat/>
    <w:uiPriority w:val="0"/>
    <w:rPr>
      <w:kern w:val="2"/>
      <w:sz w:val="16"/>
    </w:rPr>
  </w:style>
  <w:style w:type="character" w:customStyle="1" w:styleId="304">
    <w:name w:val="s81i"/>
    <w:qFormat/>
    <w:uiPriority w:val="0"/>
  </w:style>
  <w:style w:type="character" w:customStyle="1" w:styleId="305">
    <w:name w:val="正文缩进 Char"/>
    <w:link w:val="21"/>
    <w:qFormat/>
    <w:uiPriority w:val="0"/>
    <w:rPr>
      <w:rFonts w:eastAsia="宋体"/>
      <w:sz w:val="24"/>
    </w:rPr>
  </w:style>
  <w:style w:type="character" w:customStyle="1" w:styleId="306">
    <w:name w:val="Char Char23"/>
    <w:qFormat/>
    <w:uiPriority w:val="0"/>
    <w:rPr>
      <w:rFonts w:eastAsia="宋体"/>
      <w:b/>
      <w:kern w:val="44"/>
      <w:sz w:val="44"/>
      <w:lang w:val="en-US" w:eastAsia="zh-CN"/>
    </w:rPr>
  </w:style>
  <w:style w:type="character" w:customStyle="1" w:styleId="307">
    <w:name w:val="apple-converted-space"/>
    <w:qFormat/>
    <w:uiPriority w:val="0"/>
  </w:style>
  <w:style w:type="character" w:customStyle="1" w:styleId="308">
    <w:name w:val="highlight1"/>
    <w:qFormat/>
    <w:uiPriority w:val="0"/>
    <w:rPr>
      <w:color w:val="FF0000"/>
    </w:rPr>
  </w:style>
  <w:style w:type="character" w:customStyle="1" w:styleId="309">
    <w:name w:val="正文2 Char Char"/>
    <w:qFormat/>
    <w:uiPriority w:val="0"/>
    <w:rPr>
      <w:rFonts w:eastAsia="宋体"/>
      <w:kern w:val="2"/>
      <w:sz w:val="24"/>
      <w:lang w:val="en-US" w:eastAsia="zh-CN"/>
    </w:rPr>
  </w:style>
  <w:style w:type="character" w:customStyle="1" w:styleId="310">
    <w:name w:val="标题1"/>
    <w:qFormat/>
    <w:uiPriority w:val="0"/>
    <w:rPr>
      <w:b/>
      <w:sz w:val="28"/>
    </w:rPr>
  </w:style>
  <w:style w:type="character" w:customStyle="1" w:styleId="311">
    <w:name w:val="正文2 Char"/>
    <w:link w:val="312"/>
    <w:qFormat/>
    <w:uiPriority w:val="0"/>
    <w:rPr>
      <w:rFonts w:eastAsia="宋体"/>
      <w:sz w:val="24"/>
    </w:rPr>
  </w:style>
  <w:style w:type="paragraph" w:customStyle="1" w:styleId="312">
    <w:name w:val="正文2"/>
    <w:basedOn w:val="1"/>
    <w:link w:val="311"/>
    <w:qFormat/>
    <w:uiPriority w:val="0"/>
    <w:pPr>
      <w:spacing w:before="156" w:line="360" w:lineRule="auto"/>
      <w:ind w:firstLine="510" w:firstLineChars="200"/>
    </w:pPr>
    <w:rPr>
      <w:rFonts w:asciiTheme="minorHAnsi" w:hAnsiTheme="minorHAnsi" w:cstheme="minorBidi"/>
      <w:sz w:val="24"/>
      <w:szCs w:val="22"/>
    </w:rPr>
  </w:style>
  <w:style w:type="character" w:customStyle="1" w:styleId="313">
    <w:name w:val="HTML 定义1"/>
    <w:qFormat/>
    <w:uiPriority w:val="0"/>
    <w:rPr>
      <w:i/>
    </w:rPr>
  </w:style>
  <w:style w:type="character" w:customStyle="1" w:styleId="314">
    <w:name w:val="批注框文本 字符"/>
    <w:qFormat/>
    <w:uiPriority w:val="0"/>
    <w:rPr>
      <w:rFonts w:ascii="Times New Roman" w:hAnsi="Times New Roman" w:eastAsia="宋体"/>
      <w:kern w:val="2"/>
      <w:sz w:val="18"/>
    </w:rPr>
  </w:style>
  <w:style w:type="character" w:customStyle="1" w:styleId="315">
    <w:name w:val="75pk"/>
    <w:qFormat/>
    <w:uiPriority w:val="0"/>
  </w:style>
  <w:style w:type="character" w:customStyle="1" w:styleId="316">
    <w:name w:val="z-窗体底端 字符"/>
    <w:qFormat/>
    <w:uiPriority w:val="0"/>
    <w:rPr>
      <w:rFonts w:ascii="Arial" w:hAnsi="Arial"/>
      <w:vanish/>
      <w:kern w:val="2"/>
      <w:sz w:val="16"/>
    </w:rPr>
  </w:style>
  <w:style w:type="character" w:customStyle="1" w:styleId="317">
    <w:name w:val="页码1"/>
    <w:qFormat/>
    <w:uiPriority w:val="0"/>
  </w:style>
  <w:style w:type="character" w:customStyle="1" w:styleId="318">
    <w:name w:val="Char Char21"/>
    <w:qFormat/>
    <w:uiPriority w:val="0"/>
    <w:rPr>
      <w:rFonts w:eastAsia="楷体_GB2312"/>
      <w:kern w:val="2"/>
      <w:sz w:val="28"/>
      <w:lang w:val="en-US" w:eastAsia="zh-CN"/>
    </w:rPr>
  </w:style>
  <w:style w:type="character" w:customStyle="1" w:styleId="319">
    <w:name w:val="列出段落 字符"/>
    <w:qFormat/>
    <w:uiPriority w:val="0"/>
    <w:rPr>
      <w:kern w:val="2"/>
      <w:sz w:val="21"/>
    </w:rPr>
  </w:style>
  <w:style w:type="character" w:customStyle="1" w:styleId="320">
    <w:name w:val="批注文字 字符"/>
    <w:qFormat/>
    <w:uiPriority w:val="0"/>
    <w:rPr>
      <w:kern w:val="2"/>
      <w:sz w:val="28"/>
    </w:rPr>
  </w:style>
  <w:style w:type="character" w:customStyle="1" w:styleId="321">
    <w:name w:val="日期 Char2"/>
    <w:qFormat/>
    <w:uiPriority w:val="0"/>
    <w:rPr>
      <w:rFonts w:eastAsia="仿宋_GB2312"/>
      <w:b/>
      <w:sz w:val="28"/>
    </w:rPr>
  </w:style>
  <w:style w:type="character" w:customStyle="1" w:styleId="322">
    <w:name w:val="z-窗体顶端 Char1"/>
    <w:qFormat/>
    <w:uiPriority w:val="0"/>
    <w:rPr>
      <w:rFonts w:ascii="Arial" w:hAnsi="Arial"/>
      <w:vanish/>
      <w:sz w:val="16"/>
    </w:rPr>
  </w:style>
  <w:style w:type="paragraph" w:customStyle="1" w:styleId="323">
    <w:name w:val="z-窗体顶端2"/>
    <w:basedOn w:val="1"/>
    <w:next w:val="1"/>
    <w:link w:val="459"/>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24">
    <w:name w:val="标题 1 1 Char1"/>
    <w:qFormat/>
    <w:uiPriority w:val="0"/>
    <w:rPr>
      <w:rFonts w:ascii="Times New Roman" w:hAnsi="Times New Roman" w:eastAsia="宋体"/>
      <w:b/>
      <w:kern w:val="44"/>
      <w:sz w:val="44"/>
    </w:rPr>
  </w:style>
  <w:style w:type="character" w:customStyle="1" w:styleId="325">
    <w:name w:val="标题 8 Char1"/>
    <w:qFormat/>
    <w:uiPriority w:val="0"/>
    <w:rPr>
      <w:rFonts w:ascii="Arial" w:hAnsi="Arial" w:eastAsia="黑体"/>
      <w:sz w:val="24"/>
      <w:lang w:val="en-US" w:eastAsia="zh-CN"/>
    </w:rPr>
  </w:style>
  <w:style w:type="character" w:customStyle="1" w:styleId="326">
    <w:name w:val="font61"/>
    <w:qFormat/>
    <w:uiPriority w:val="0"/>
    <w:rPr>
      <w:rFonts w:hint="eastAsia" w:ascii="宋体" w:hAnsi="宋体" w:eastAsia="宋体" w:cs="宋体"/>
      <w:color w:val="000000"/>
      <w:sz w:val="20"/>
      <w:szCs w:val="20"/>
      <w:u w:val="none"/>
    </w:rPr>
  </w:style>
  <w:style w:type="character" w:customStyle="1" w:styleId="327">
    <w:name w:val="尾注文本 Char1"/>
    <w:basedOn w:val="90"/>
    <w:link w:val="54"/>
    <w:qFormat/>
    <w:uiPriority w:val="0"/>
  </w:style>
  <w:style w:type="character" w:customStyle="1" w:styleId="328">
    <w:name w:val="电子邮件签名 Char1"/>
    <w:basedOn w:val="90"/>
    <w:link w:val="19"/>
    <w:qFormat/>
    <w:uiPriority w:val="0"/>
  </w:style>
  <w:style w:type="character" w:customStyle="1" w:styleId="329">
    <w:name w:val="正文文本 2 Char2"/>
    <w:basedOn w:val="90"/>
    <w:link w:val="77"/>
    <w:qFormat/>
    <w:uiPriority w:val="0"/>
  </w:style>
  <w:style w:type="character" w:customStyle="1" w:styleId="330">
    <w:name w:val="正文文本 Char3"/>
    <w:basedOn w:val="90"/>
    <w:semiHidden/>
    <w:qFormat/>
    <w:uiPriority w:val="99"/>
    <w:rPr>
      <w:rFonts w:ascii="Calibri" w:hAnsi="Calibri" w:eastAsia="宋体" w:cs="Times New Roman"/>
      <w:sz w:val="28"/>
      <w:szCs w:val="20"/>
    </w:rPr>
  </w:style>
  <w:style w:type="character" w:customStyle="1" w:styleId="331">
    <w:name w:val="日期 Char3"/>
    <w:basedOn w:val="90"/>
    <w:link w:val="52"/>
    <w:qFormat/>
    <w:uiPriority w:val="0"/>
    <w:rPr>
      <w:rFonts w:eastAsia="仿宋_GB2312"/>
      <w:b/>
      <w:sz w:val="28"/>
    </w:rPr>
  </w:style>
  <w:style w:type="character" w:customStyle="1" w:styleId="332">
    <w:name w:val="纯文本 Char4"/>
    <w:basedOn w:val="90"/>
    <w:link w:val="47"/>
    <w:qFormat/>
    <w:uiPriority w:val="0"/>
    <w:rPr>
      <w:rFonts w:ascii="宋体" w:hAnsi="Courier New" w:eastAsia="宋体"/>
    </w:rPr>
  </w:style>
  <w:style w:type="character" w:customStyle="1" w:styleId="333">
    <w:name w:val="结束语 Char1"/>
    <w:basedOn w:val="90"/>
    <w:link w:val="33"/>
    <w:qFormat/>
    <w:uiPriority w:val="0"/>
  </w:style>
  <w:style w:type="character" w:customStyle="1" w:styleId="334">
    <w:name w:val="注释标题 Char1"/>
    <w:basedOn w:val="90"/>
    <w:link w:val="16"/>
    <w:qFormat/>
    <w:uiPriority w:val="0"/>
  </w:style>
  <w:style w:type="character" w:customStyle="1" w:styleId="335">
    <w:name w:val="正文文本缩进 2 Char2"/>
    <w:basedOn w:val="90"/>
    <w:link w:val="53"/>
    <w:qFormat/>
    <w:uiPriority w:val="0"/>
    <w:rPr>
      <w:rFonts w:ascii="黑体" w:eastAsia="黑体"/>
      <w:sz w:val="28"/>
    </w:rPr>
  </w:style>
  <w:style w:type="character" w:customStyle="1" w:styleId="336">
    <w:name w:val="文档结构图 Char2"/>
    <w:basedOn w:val="90"/>
    <w:link w:val="27"/>
    <w:qFormat/>
    <w:uiPriority w:val="0"/>
    <w:rPr>
      <w:sz w:val="28"/>
      <w:shd w:val="clear" w:color="auto" w:fill="000080"/>
    </w:rPr>
  </w:style>
  <w:style w:type="character" w:customStyle="1" w:styleId="337">
    <w:name w:val="正文文本缩进 Char3"/>
    <w:basedOn w:val="90"/>
    <w:semiHidden/>
    <w:qFormat/>
    <w:uiPriority w:val="99"/>
    <w:rPr>
      <w:rFonts w:ascii="Calibri" w:hAnsi="Calibri" w:eastAsia="宋体" w:cs="Times New Roman"/>
      <w:sz w:val="28"/>
      <w:szCs w:val="20"/>
    </w:rPr>
  </w:style>
  <w:style w:type="character" w:customStyle="1" w:styleId="338">
    <w:name w:val="宏文本 Char1"/>
    <w:basedOn w:val="90"/>
    <w:link w:val="2"/>
    <w:qFormat/>
    <w:uiPriority w:val="0"/>
    <w:rPr>
      <w:rFonts w:ascii="Courier New" w:hAnsi="Courier New"/>
      <w:sz w:val="24"/>
    </w:rPr>
  </w:style>
  <w:style w:type="character" w:customStyle="1" w:styleId="339">
    <w:name w:val="HTML 地址 Char1"/>
    <w:basedOn w:val="90"/>
    <w:link w:val="43"/>
    <w:qFormat/>
    <w:uiPriority w:val="0"/>
    <w:rPr>
      <w:i/>
    </w:rPr>
  </w:style>
  <w:style w:type="character" w:customStyle="1" w:styleId="340">
    <w:name w:val="正文首行缩进 Char2"/>
    <w:basedOn w:val="330"/>
    <w:link w:val="36"/>
    <w:qFormat/>
    <w:uiPriority w:val="0"/>
    <w:rPr>
      <w:rFonts w:ascii="等线" w:hAnsi="等线" w:eastAsia="等线" w:cs="Times New Roman"/>
      <w:sz w:val="28"/>
      <w:szCs w:val="20"/>
    </w:rPr>
  </w:style>
  <w:style w:type="character" w:customStyle="1" w:styleId="341">
    <w:name w:val="正文首行缩进 2 Char1"/>
    <w:basedOn w:val="337"/>
    <w:link w:val="87"/>
    <w:qFormat/>
    <w:uiPriority w:val="0"/>
    <w:rPr>
      <w:rFonts w:ascii="等线" w:hAnsi="等线" w:eastAsia="等线" w:cs="Times New Roman"/>
      <w:sz w:val="28"/>
      <w:szCs w:val="20"/>
    </w:rPr>
  </w:style>
  <w:style w:type="character" w:customStyle="1" w:styleId="342">
    <w:name w:val="标题 Char4"/>
    <w:basedOn w:val="90"/>
    <w:link w:val="85"/>
    <w:qFormat/>
    <w:uiPriority w:val="0"/>
    <w:rPr>
      <w:b/>
      <w:sz w:val="24"/>
      <w:lang w:val="en-GB"/>
    </w:rPr>
  </w:style>
  <w:style w:type="character" w:customStyle="1" w:styleId="343">
    <w:name w:val="批注框文本 Char2"/>
    <w:basedOn w:val="90"/>
    <w:link w:val="56"/>
    <w:qFormat/>
    <w:uiPriority w:val="99"/>
    <w:rPr>
      <w:sz w:val="18"/>
    </w:rPr>
  </w:style>
  <w:style w:type="character" w:customStyle="1" w:styleId="344">
    <w:name w:val="称呼 Char1"/>
    <w:basedOn w:val="90"/>
    <w:link w:val="31"/>
    <w:qFormat/>
    <w:uiPriority w:val="0"/>
    <w:rPr>
      <w:rFonts w:ascii="宋体"/>
      <w:sz w:val="28"/>
    </w:rPr>
  </w:style>
  <w:style w:type="character" w:customStyle="1" w:styleId="345">
    <w:name w:val="批注文字 Char2"/>
    <w:basedOn w:val="90"/>
    <w:semiHidden/>
    <w:qFormat/>
    <w:uiPriority w:val="99"/>
    <w:rPr>
      <w:rFonts w:ascii="Calibri" w:hAnsi="Calibri" w:eastAsia="宋体" w:cs="Times New Roman"/>
      <w:sz w:val="28"/>
      <w:szCs w:val="20"/>
    </w:rPr>
  </w:style>
  <w:style w:type="character" w:customStyle="1" w:styleId="346">
    <w:name w:val="正文文本缩进 3 Char2"/>
    <w:basedOn w:val="90"/>
    <w:link w:val="71"/>
    <w:qFormat/>
    <w:uiPriority w:val="0"/>
    <w:rPr>
      <w:sz w:val="28"/>
    </w:rPr>
  </w:style>
  <w:style w:type="character" w:customStyle="1" w:styleId="347">
    <w:name w:val="签名 Char1"/>
    <w:basedOn w:val="90"/>
    <w:link w:val="60"/>
    <w:qFormat/>
    <w:uiPriority w:val="0"/>
  </w:style>
  <w:style w:type="character" w:customStyle="1" w:styleId="348">
    <w:name w:val="正文文本 3 Char2"/>
    <w:basedOn w:val="90"/>
    <w:link w:val="32"/>
    <w:qFormat/>
    <w:uiPriority w:val="0"/>
    <w:rPr>
      <w:sz w:val="16"/>
    </w:rPr>
  </w:style>
  <w:style w:type="character" w:customStyle="1" w:styleId="349">
    <w:name w:val="副标题 Char2"/>
    <w:basedOn w:val="90"/>
    <w:link w:val="66"/>
    <w:qFormat/>
    <w:uiPriority w:val="0"/>
    <w:rPr>
      <w:rFonts w:ascii="Cambria" w:hAnsi="Cambria"/>
      <w:b/>
      <w:kern w:val="28"/>
      <w:sz w:val="32"/>
    </w:rPr>
  </w:style>
  <w:style w:type="character" w:customStyle="1" w:styleId="350">
    <w:name w:val="脚注文本 Char2"/>
    <w:basedOn w:val="90"/>
    <w:link w:val="69"/>
    <w:qFormat/>
    <w:uiPriority w:val="0"/>
    <w:rPr>
      <w:sz w:val="18"/>
    </w:rPr>
  </w:style>
  <w:style w:type="character" w:customStyle="1" w:styleId="351">
    <w:name w:val="信息标题 Char1"/>
    <w:basedOn w:val="90"/>
    <w:link w:val="80"/>
    <w:qFormat/>
    <w:uiPriority w:val="0"/>
    <w:rPr>
      <w:rFonts w:ascii="Arial" w:hAnsi="Arial"/>
      <w:sz w:val="24"/>
      <w:shd w:val="pct20" w:color="auto" w:fill="auto"/>
    </w:rPr>
  </w:style>
  <w:style w:type="character" w:customStyle="1" w:styleId="352">
    <w:name w:val="HTML 预设格式 Char3"/>
    <w:basedOn w:val="90"/>
    <w:link w:val="81"/>
    <w:qFormat/>
    <w:uiPriority w:val="0"/>
    <w:rPr>
      <w:rFonts w:ascii="黑体" w:hAnsi="Courier New" w:eastAsia="黑体"/>
    </w:rPr>
  </w:style>
  <w:style w:type="character" w:customStyle="1" w:styleId="353">
    <w:name w:val="批注主题 Char2"/>
    <w:basedOn w:val="345"/>
    <w:link w:val="86"/>
    <w:qFormat/>
    <w:uiPriority w:val="0"/>
    <w:rPr>
      <w:rFonts w:ascii="Calibri" w:hAnsi="Calibri" w:eastAsia="宋体" w:cs="Times New Roman"/>
      <w:b/>
      <w:sz w:val="28"/>
      <w:szCs w:val="20"/>
    </w:rPr>
  </w:style>
  <w:style w:type="paragraph" w:customStyle="1" w:styleId="354">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355">
    <w:name w:val="xl39"/>
    <w:basedOn w:val="1"/>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56">
    <w:name w:val="6'"/>
    <w:basedOn w:val="1"/>
    <w:qFormat/>
    <w:uiPriority w:val="0"/>
    <w:pPr>
      <w:autoSpaceDE w:val="0"/>
      <w:autoSpaceDN w:val="0"/>
      <w:adjustRightInd w:val="0"/>
      <w:snapToGrid w:val="0"/>
      <w:spacing w:line="320" w:lineRule="exact"/>
      <w:textAlignment w:val="baseline"/>
    </w:pPr>
    <w:rPr>
      <w:spacing w:val="20"/>
      <w:kern w:val="28"/>
      <w:sz w:val="21"/>
    </w:rPr>
  </w:style>
  <w:style w:type="paragraph" w:customStyle="1" w:styleId="357">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358">
    <w:name w:val="三级条标题"/>
    <w:basedOn w:val="359"/>
    <w:next w:val="360"/>
    <w:qFormat/>
    <w:uiPriority w:val="0"/>
    <w:pPr>
      <w:tabs>
        <w:tab w:val="left" w:pos="360"/>
        <w:tab w:val="left" w:pos="720"/>
        <w:tab w:val="left" w:pos="3600"/>
      </w:tabs>
      <w:ind w:left="2100" w:hanging="420"/>
      <w:jc w:val="left"/>
      <w:outlineLvl w:val="4"/>
    </w:pPr>
    <w:rPr>
      <w:rFonts w:ascii="Times New Roman"/>
      <w:sz w:val="20"/>
    </w:rPr>
  </w:style>
  <w:style w:type="paragraph" w:customStyle="1" w:styleId="359">
    <w:name w:val="二级条标题"/>
    <w:basedOn w:val="1"/>
    <w:next w:val="360"/>
    <w:qFormat/>
    <w:uiPriority w:val="0"/>
    <w:pPr>
      <w:widowControl/>
      <w:tabs>
        <w:tab w:val="left" w:pos="360"/>
      </w:tabs>
      <w:outlineLvl w:val="3"/>
    </w:pPr>
    <w:rPr>
      <w:rFonts w:ascii="黑体" w:eastAsia="黑体"/>
      <w:kern w:val="0"/>
      <w:sz w:val="21"/>
    </w:rPr>
  </w:style>
  <w:style w:type="paragraph" w:customStyle="1" w:styleId="360">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361">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362">
    <w:name w:val="样式 居中"/>
    <w:basedOn w:val="1"/>
    <w:qFormat/>
    <w:uiPriority w:val="0"/>
    <w:pPr>
      <w:spacing w:line="360" w:lineRule="auto"/>
      <w:jc w:val="center"/>
    </w:pPr>
    <w:rPr>
      <w:sz w:val="21"/>
    </w:rPr>
  </w:style>
  <w:style w:type="paragraph" w:customStyle="1" w:styleId="363">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4">
    <w:name w:val="正文文本缩进1"/>
    <w:basedOn w:val="1"/>
    <w:qFormat/>
    <w:uiPriority w:val="0"/>
    <w:pPr>
      <w:spacing w:after="120"/>
      <w:ind w:left="420" w:leftChars="200"/>
    </w:pPr>
    <w:rPr>
      <w:sz w:val="21"/>
    </w:rPr>
  </w:style>
  <w:style w:type="paragraph" w:customStyle="1" w:styleId="365">
    <w:name w:val="编号列项（三级）"/>
    <w:qFormat/>
    <w:uiPriority w:val="0"/>
    <w:pPr>
      <w:ind w:left="800" w:leftChars="600" w:hanging="200" w:hangingChars="200"/>
    </w:pPr>
    <w:rPr>
      <w:rFonts w:ascii="宋体" w:hAnsi="Calibri" w:eastAsia="宋体" w:cs="Times New Roman"/>
      <w:lang w:val="en-US" w:eastAsia="zh-CN" w:bidi="ar-SA"/>
    </w:rPr>
  </w:style>
  <w:style w:type="paragraph" w:customStyle="1" w:styleId="366">
    <w:name w:val="正文文本缩进 21"/>
    <w:basedOn w:val="1"/>
    <w:qFormat/>
    <w:uiPriority w:val="0"/>
    <w:pPr>
      <w:adjustRightInd w:val="0"/>
      <w:spacing w:line="400" w:lineRule="atLeast"/>
      <w:ind w:firstLine="540"/>
      <w:textAlignment w:val="baseline"/>
    </w:pPr>
    <w:rPr>
      <w:rFonts w:ascii="宋体"/>
      <w:kern w:val="0"/>
      <w:sz w:val="24"/>
    </w:rPr>
  </w:style>
  <w:style w:type="paragraph" w:customStyle="1" w:styleId="367">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68">
    <w:name w:val="表名A"/>
    <w:basedOn w:val="1"/>
    <w:qFormat/>
    <w:uiPriority w:val="0"/>
    <w:pPr>
      <w:widowControl/>
      <w:tabs>
        <w:tab w:val="left" w:pos="0"/>
      </w:tabs>
      <w:adjustRightInd w:val="0"/>
      <w:snapToGrid w:val="0"/>
      <w:spacing w:beforeLines="80" w:afterLines="20"/>
    </w:pPr>
    <w:rPr>
      <w:b/>
      <w:snapToGrid w:val="0"/>
      <w:kern w:val="0"/>
      <w:sz w:val="21"/>
    </w:rPr>
  </w:style>
  <w:style w:type="paragraph" w:customStyle="1" w:styleId="369">
    <w:name w:val="样式 正文（首行缩进两字） + 首行缩进:  2 字符"/>
    <w:basedOn w:val="21"/>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370">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71">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2">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373">
    <w:name w:val="文档结构图1"/>
    <w:basedOn w:val="1"/>
    <w:qFormat/>
    <w:uiPriority w:val="0"/>
    <w:pPr>
      <w:shd w:val="clear" w:color="auto" w:fill="000080"/>
    </w:pPr>
    <w:rPr>
      <w:kern w:val="0"/>
      <w:sz w:val="20"/>
      <w:shd w:val="clear" w:color="auto" w:fill="000080"/>
    </w:rPr>
  </w:style>
  <w:style w:type="paragraph" w:customStyle="1" w:styleId="374">
    <w:name w:val="简单回函地址"/>
    <w:basedOn w:val="1"/>
    <w:qFormat/>
    <w:uiPriority w:val="0"/>
    <w:pPr>
      <w:adjustRightInd w:val="0"/>
      <w:spacing w:line="312" w:lineRule="atLeast"/>
      <w:textAlignment w:val="baseline"/>
    </w:pPr>
    <w:rPr>
      <w:kern w:val="0"/>
      <w:sz w:val="21"/>
    </w:rPr>
  </w:style>
  <w:style w:type="paragraph" w:customStyle="1" w:styleId="375">
    <w:name w:val="Char Char Char Char Char Char3 Char Char Char Char Char Char Char"/>
    <w:basedOn w:val="1"/>
    <w:next w:val="1"/>
    <w:qFormat/>
    <w:uiPriority w:val="0"/>
    <w:rPr>
      <w:rFonts w:eastAsia="黑体"/>
    </w:rPr>
  </w:style>
  <w:style w:type="paragraph" w:customStyle="1" w:styleId="376">
    <w:name w:val="彩色列表 - 强调文字颜色 11"/>
    <w:basedOn w:val="1"/>
    <w:qFormat/>
    <w:uiPriority w:val="0"/>
    <w:pPr>
      <w:spacing w:before="100" w:beforeAutospacing="1" w:after="100" w:afterAutospacing="1" w:line="300" w:lineRule="auto"/>
      <w:ind w:firstLine="420" w:firstLineChars="200"/>
    </w:pPr>
    <w:rPr>
      <w:sz w:val="21"/>
    </w:rPr>
  </w:style>
  <w:style w:type="paragraph" w:customStyle="1" w:styleId="377">
    <w:name w:val="0"/>
    <w:basedOn w:val="1"/>
    <w:qFormat/>
    <w:uiPriority w:val="0"/>
    <w:pPr>
      <w:widowControl/>
    </w:pPr>
    <w:rPr>
      <w:kern w:val="0"/>
      <w:sz w:val="21"/>
    </w:rPr>
  </w:style>
  <w:style w:type="paragraph" w:customStyle="1" w:styleId="378">
    <w:name w:val="正文21"/>
    <w:basedOn w:val="1"/>
    <w:qFormat/>
    <w:uiPriority w:val="0"/>
    <w:pPr>
      <w:adjustRightInd w:val="0"/>
      <w:spacing w:line="420" w:lineRule="atLeast"/>
      <w:textAlignment w:val="baseline"/>
    </w:pPr>
    <w:rPr>
      <w:kern w:val="0"/>
      <w:sz w:val="21"/>
    </w:rPr>
  </w:style>
  <w:style w:type="paragraph" w:customStyle="1" w:styleId="379">
    <w:name w:val="标准书脚_偶数页"/>
    <w:qFormat/>
    <w:uiPriority w:val="0"/>
    <w:pPr>
      <w:spacing w:before="120"/>
    </w:pPr>
    <w:rPr>
      <w:rFonts w:ascii="Calibri" w:hAnsi="Calibri" w:eastAsia="宋体" w:cs="Times New Roman"/>
      <w:sz w:val="18"/>
      <w:lang w:val="en-US" w:eastAsia="zh-CN" w:bidi="ar-SA"/>
    </w:rPr>
  </w:style>
  <w:style w:type="paragraph" w:customStyle="1" w:styleId="380">
    <w:name w:val="目次、索引正文"/>
    <w:qFormat/>
    <w:uiPriority w:val="0"/>
    <w:pPr>
      <w:spacing w:line="320" w:lineRule="exact"/>
      <w:jc w:val="both"/>
    </w:pPr>
    <w:rPr>
      <w:rFonts w:ascii="宋体" w:hAnsi="Calibri" w:eastAsia="宋体" w:cs="Times New Roman"/>
      <w:lang w:val="en-US" w:eastAsia="zh-CN" w:bidi="ar-SA"/>
    </w:rPr>
  </w:style>
  <w:style w:type="paragraph" w:customStyle="1" w:styleId="381">
    <w:name w:val="网格表 31"/>
    <w:basedOn w:val="3"/>
    <w:next w:val="1"/>
    <w:qFormat/>
    <w:uiPriority w:val="0"/>
    <w:pPr>
      <w:keepLines/>
      <w:spacing w:before="480" w:line="276" w:lineRule="auto"/>
      <w:jc w:val="left"/>
      <w:outlineLvl w:val="9"/>
    </w:pPr>
    <w:rPr>
      <w:rFonts w:ascii="Cambria" w:hAnsi="Cambria"/>
      <w:color w:val="365F91"/>
      <w:sz w:val="28"/>
    </w:rPr>
  </w:style>
  <w:style w:type="character" w:customStyle="1" w:styleId="382">
    <w:name w:val="z-窗体底端 Char1"/>
    <w:basedOn w:val="90"/>
    <w:link w:val="216"/>
    <w:qFormat/>
    <w:uiPriority w:val="0"/>
    <w:rPr>
      <w:rFonts w:ascii="Arial" w:hAnsi="Arial"/>
      <w:vanish/>
      <w:sz w:val="16"/>
    </w:rPr>
  </w:style>
  <w:style w:type="paragraph" w:customStyle="1" w:styleId="383">
    <w:name w:val="正文表标题"/>
    <w:next w:val="360"/>
    <w:qFormat/>
    <w:uiPriority w:val="0"/>
    <w:pPr>
      <w:jc w:val="center"/>
    </w:pPr>
    <w:rPr>
      <w:rFonts w:ascii="黑体" w:hAnsi="Calibri" w:eastAsia="黑体" w:cs="Times New Roman"/>
      <w:sz w:val="21"/>
      <w:lang w:val="en-US" w:eastAsia="zh-CN" w:bidi="ar-SA"/>
    </w:rPr>
  </w:style>
  <w:style w:type="paragraph" w:customStyle="1" w:styleId="384">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38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86">
    <w:name w:val="网格表 32"/>
    <w:basedOn w:val="3"/>
    <w:next w:val="1"/>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387">
    <w:name w:val="四级条标题"/>
    <w:basedOn w:val="358"/>
    <w:next w:val="360"/>
    <w:qFormat/>
    <w:uiPriority w:val="0"/>
    <w:pPr>
      <w:ind w:left="0" w:firstLine="0"/>
      <w:outlineLvl w:val="5"/>
    </w:pPr>
  </w:style>
  <w:style w:type="paragraph" w:customStyle="1" w:styleId="388">
    <w:name w:val="xl5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389">
    <w:name w:val="font8"/>
    <w:basedOn w:val="1"/>
    <w:qFormat/>
    <w:uiPriority w:val="0"/>
    <w:pPr>
      <w:widowControl/>
      <w:spacing w:before="100" w:beforeAutospacing="1" w:after="100" w:afterAutospacing="1"/>
    </w:pPr>
    <w:rPr>
      <w:rFonts w:eastAsia="Arial Unicode MS"/>
      <w:kern w:val="0"/>
      <w:sz w:val="24"/>
    </w:rPr>
  </w:style>
  <w:style w:type="paragraph" w:customStyle="1" w:styleId="390">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91">
    <w:name w:val="彩色列表 - 着色 11"/>
    <w:basedOn w:val="1"/>
    <w:qFormat/>
    <w:uiPriority w:val="0"/>
    <w:pPr>
      <w:widowControl/>
      <w:ind w:firstLine="420" w:firstLineChars="200"/>
      <w:jc w:val="left"/>
    </w:pPr>
    <w:rPr>
      <w:rFonts w:ascii="宋体" w:hAnsi="宋体"/>
      <w:kern w:val="0"/>
      <w:sz w:val="24"/>
    </w:rPr>
  </w:style>
  <w:style w:type="paragraph" w:customStyle="1" w:styleId="392">
    <w:name w:val="Char Char20"/>
    <w:basedOn w:val="1"/>
    <w:qFormat/>
    <w:uiPriority w:val="0"/>
    <w:pPr>
      <w:snapToGrid w:val="0"/>
      <w:spacing w:afterLines="30" w:line="360" w:lineRule="auto"/>
      <w:ind w:firstLine="200" w:firstLineChars="200"/>
    </w:pPr>
    <w:rPr>
      <w:sz w:val="21"/>
    </w:rPr>
  </w:style>
  <w:style w:type="paragraph" w:customStyle="1" w:styleId="393">
    <w:name w:val="附录一级条标题"/>
    <w:basedOn w:val="394"/>
    <w:next w:val="360"/>
    <w:qFormat/>
    <w:uiPriority w:val="0"/>
    <w:pPr>
      <w:tabs>
        <w:tab w:val="left" w:pos="720"/>
        <w:tab w:val="left" w:pos="840"/>
        <w:tab w:val="left" w:pos="1440"/>
      </w:tabs>
      <w:autoSpaceDN w:val="0"/>
      <w:ind w:left="0" w:firstLine="0"/>
      <w:outlineLvl w:val="2"/>
    </w:pPr>
  </w:style>
  <w:style w:type="paragraph" w:customStyle="1" w:styleId="394">
    <w:name w:val="附录章标题"/>
    <w:next w:val="360"/>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395">
    <w:name w:val="表格3"/>
    <w:basedOn w:val="1"/>
    <w:qFormat/>
    <w:uiPriority w:val="0"/>
    <w:pPr>
      <w:adjustRightInd w:val="0"/>
      <w:spacing w:line="420" w:lineRule="atLeast"/>
      <w:textAlignment w:val="baseline"/>
    </w:pPr>
    <w:rPr>
      <w:rFonts w:eastAsia="楷体"/>
      <w:kern w:val="0"/>
      <w:sz w:val="21"/>
    </w:rPr>
  </w:style>
  <w:style w:type="paragraph" w:customStyle="1" w:styleId="396">
    <w:name w:val="样式 一号 加粗 居中"/>
    <w:basedOn w:val="1"/>
    <w:qFormat/>
    <w:uiPriority w:val="0"/>
    <w:pPr>
      <w:jc w:val="center"/>
    </w:pPr>
    <w:rPr>
      <w:sz w:val="52"/>
    </w:rPr>
  </w:style>
  <w:style w:type="paragraph" w:customStyle="1" w:styleId="397">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398">
    <w:name w:val="字母编号列项（一级）"/>
    <w:qFormat/>
    <w:uiPriority w:val="0"/>
    <w:pPr>
      <w:ind w:left="840" w:leftChars="200" w:hanging="420" w:hangingChars="200"/>
      <w:jc w:val="both"/>
    </w:pPr>
    <w:rPr>
      <w:rFonts w:ascii="宋体" w:hAnsi="Calibri" w:eastAsia="宋体" w:cs="Times New Roman"/>
      <w:lang w:val="en-US" w:eastAsia="zh-CN" w:bidi="ar-SA"/>
    </w:rPr>
  </w:style>
  <w:style w:type="paragraph" w:customStyle="1" w:styleId="399">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400">
    <w:name w:val="表格文字居中"/>
    <w:basedOn w:val="1"/>
    <w:qFormat/>
    <w:uiPriority w:val="0"/>
    <w:pPr>
      <w:adjustRightInd w:val="0"/>
      <w:snapToGrid w:val="0"/>
      <w:textAlignment w:val="center"/>
    </w:pPr>
    <w:rPr>
      <w:rFonts w:ascii="宋体"/>
      <w:snapToGrid w:val="0"/>
      <w:spacing w:val="12"/>
      <w:kern w:val="0"/>
      <w:sz w:val="21"/>
    </w:rPr>
  </w:style>
  <w:style w:type="paragraph" w:customStyle="1" w:styleId="401">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402">
    <w:name w:val="正文缩进2"/>
    <w:basedOn w:val="1"/>
    <w:qFormat/>
    <w:uiPriority w:val="0"/>
    <w:pPr>
      <w:ind w:firstLine="420"/>
    </w:pPr>
    <w:rPr>
      <w:sz w:val="21"/>
    </w:rPr>
  </w:style>
  <w:style w:type="paragraph" w:customStyle="1" w:styleId="403">
    <w:name w:val="表头"/>
    <w:basedOn w:val="404"/>
    <w:qFormat/>
    <w:uiPriority w:val="0"/>
    <w:pPr>
      <w:spacing w:before="120" w:after="60"/>
    </w:pPr>
    <w:rPr>
      <w:rFonts w:ascii="黑体" w:eastAsia="黑体"/>
      <w:b/>
    </w:rPr>
  </w:style>
  <w:style w:type="paragraph" w:customStyle="1" w:styleId="404">
    <w:name w:val="表格方字"/>
    <w:basedOn w:val="1"/>
    <w:qFormat/>
    <w:uiPriority w:val="0"/>
    <w:pPr>
      <w:adjustRightInd w:val="0"/>
      <w:spacing w:line="420" w:lineRule="atLeast"/>
      <w:textAlignment w:val="baseline"/>
    </w:pPr>
    <w:rPr>
      <w:kern w:val="0"/>
      <w:sz w:val="21"/>
    </w:rPr>
  </w:style>
  <w:style w:type="paragraph" w:customStyle="1" w:styleId="405">
    <w:name w:val="正文段"/>
    <w:basedOn w:val="1"/>
    <w:qFormat/>
    <w:uiPriority w:val="0"/>
    <w:pPr>
      <w:widowControl/>
      <w:snapToGrid w:val="0"/>
      <w:spacing w:afterLines="50"/>
      <w:ind w:firstLine="200" w:firstLineChars="200"/>
    </w:pPr>
    <w:rPr>
      <w:kern w:val="0"/>
      <w:sz w:val="24"/>
    </w:rPr>
  </w:style>
  <w:style w:type="paragraph" w:customStyle="1" w:styleId="406">
    <w:name w:val="正文A Char Char Char"/>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07">
    <w:name w:val="列项●（二级）"/>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408">
    <w:name w:val="xl560"/>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09">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10">
    <w:name w:val="xl557"/>
    <w:basedOn w:val="1"/>
    <w:qFormat/>
    <w:uiPriority w:val="0"/>
    <w:pPr>
      <w:widowControl/>
      <w:spacing w:before="100" w:beforeAutospacing="1" w:after="100" w:afterAutospacing="1"/>
      <w:jc w:val="left"/>
    </w:pPr>
    <w:rPr>
      <w:rFonts w:ascii="宋体" w:hAnsi="宋体"/>
      <w:color w:val="FF0000"/>
      <w:kern w:val="0"/>
      <w:sz w:val="20"/>
    </w:rPr>
  </w:style>
  <w:style w:type="paragraph" w:customStyle="1" w:styleId="411">
    <w:name w:val="1"/>
    <w:basedOn w:val="1"/>
    <w:qFormat/>
    <w:uiPriority w:val="0"/>
    <w:pPr>
      <w:adjustRightInd w:val="0"/>
      <w:spacing w:before="360" w:after="240" w:line="420" w:lineRule="atLeast"/>
      <w:ind w:firstLine="454"/>
      <w:textAlignment w:val="baseline"/>
    </w:pPr>
    <w:rPr>
      <w:b/>
      <w:kern w:val="0"/>
      <w:sz w:val="21"/>
    </w:rPr>
  </w:style>
  <w:style w:type="paragraph" w:customStyle="1" w:styleId="412">
    <w:name w:val="附录四级条标题"/>
    <w:basedOn w:val="413"/>
    <w:next w:val="360"/>
    <w:qFormat/>
    <w:uiPriority w:val="0"/>
    <w:pPr>
      <w:tabs>
        <w:tab w:val="left" w:pos="720"/>
        <w:tab w:val="left" w:pos="840"/>
        <w:tab w:val="left" w:pos="1440"/>
      </w:tabs>
      <w:outlineLvl w:val="5"/>
    </w:pPr>
  </w:style>
  <w:style w:type="paragraph" w:customStyle="1" w:styleId="413">
    <w:name w:val="附录三级条标题"/>
    <w:basedOn w:val="414"/>
    <w:next w:val="360"/>
    <w:qFormat/>
    <w:uiPriority w:val="0"/>
    <w:pPr>
      <w:tabs>
        <w:tab w:val="left" w:pos="720"/>
        <w:tab w:val="left" w:pos="840"/>
        <w:tab w:val="left" w:pos="1440"/>
      </w:tabs>
      <w:outlineLvl w:val="4"/>
    </w:pPr>
  </w:style>
  <w:style w:type="paragraph" w:customStyle="1" w:styleId="414">
    <w:name w:val="附录二级条标题"/>
    <w:basedOn w:val="393"/>
    <w:next w:val="360"/>
    <w:qFormat/>
    <w:uiPriority w:val="0"/>
    <w:pPr>
      <w:outlineLvl w:val="3"/>
    </w:pPr>
  </w:style>
  <w:style w:type="paragraph" w:customStyle="1" w:styleId="415">
    <w:name w:val="引文目录标题1"/>
    <w:basedOn w:val="1"/>
    <w:next w:val="1"/>
    <w:qFormat/>
    <w:uiPriority w:val="0"/>
    <w:pPr>
      <w:spacing w:before="120"/>
    </w:pPr>
    <w:rPr>
      <w:rFonts w:ascii="Arial" w:hAnsi="Arial"/>
      <w:sz w:val="24"/>
    </w:rPr>
  </w:style>
  <w:style w:type="paragraph" w:customStyle="1" w:styleId="416">
    <w:name w:val="Char Char Char Char Char Char Char Char Char"/>
    <w:basedOn w:val="1"/>
    <w:qFormat/>
    <w:uiPriority w:val="0"/>
    <w:pPr>
      <w:widowControl/>
      <w:spacing w:after="160" w:line="240" w:lineRule="exact"/>
      <w:jc w:val="left"/>
    </w:pPr>
    <w:rPr>
      <w:sz w:val="21"/>
    </w:rPr>
  </w:style>
  <w:style w:type="paragraph" w:customStyle="1" w:styleId="417">
    <w:name w:val="默认段落字体 Para Char Char Char Char"/>
    <w:basedOn w:val="1"/>
    <w:qFormat/>
    <w:uiPriority w:val="0"/>
    <w:pPr>
      <w:spacing w:line="360" w:lineRule="auto"/>
      <w:ind w:firstLine="200" w:firstLineChars="200"/>
    </w:pPr>
    <w:rPr>
      <w:rFonts w:ascii="宋体" w:hAnsi="宋体"/>
      <w:sz w:val="24"/>
    </w:rPr>
  </w:style>
  <w:style w:type="paragraph" w:customStyle="1" w:styleId="418">
    <w:name w:val="Char Char Char1 Char"/>
    <w:basedOn w:val="1"/>
    <w:next w:val="1"/>
    <w:qFormat/>
    <w:uiPriority w:val="0"/>
    <w:rPr>
      <w:sz w:val="21"/>
    </w:rPr>
  </w:style>
  <w:style w:type="paragraph" w:customStyle="1" w:styleId="419">
    <w:name w:val="列出段落3"/>
    <w:basedOn w:val="1"/>
    <w:qFormat/>
    <w:uiPriority w:val="0"/>
    <w:pPr>
      <w:spacing w:before="100" w:beforeAutospacing="1" w:after="100" w:afterAutospacing="1" w:line="300" w:lineRule="auto"/>
      <w:ind w:firstLine="420" w:firstLineChars="200"/>
    </w:pPr>
    <w:rPr>
      <w:sz w:val="21"/>
    </w:rPr>
  </w:style>
  <w:style w:type="paragraph" w:customStyle="1" w:styleId="42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421">
    <w:name w:val="实施日期"/>
    <w:basedOn w:val="422"/>
    <w:qFormat/>
    <w:uiPriority w:val="0"/>
    <w:pPr>
      <w:jc w:val="right"/>
    </w:pPr>
  </w:style>
  <w:style w:type="paragraph" w:customStyle="1" w:styleId="422">
    <w:name w:val="发布日期"/>
    <w:qFormat/>
    <w:uiPriority w:val="0"/>
    <w:rPr>
      <w:rFonts w:ascii="Calibri" w:hAnsi="Calibri" w:eastAsia="黑体" w:cs="Times New Roman"/>
      <w:sz w:val="28"/>
      <w:lang w:val="en-US" w:eastAsia="zh-CN" w:bidi="ar-SA"/>
    </w:rPr>
  </w:style>
  <w:style w:type="paragraph" w:customStyle="1" w:styleId="423">
    <w:name w:val="一般格式"/>
    <w:basedOn w:val="1"/>
    <w:qFormat/>
    <w:uiPriority w:val="0"/>
    <w:pPr>
      <w:spacing w:line="360" w:lineRule="auto"/>
      <w:ind w:firstLine="200" w:firstLineChars="200"/>
    </w:pPr>
    <w:rPr>
      <w:sz w:val="24"/>
    </w:rPr>
  </w:style>
  <w:style w:type="paragraph" w:customStyle="1" w:styleId="424">
    <w:name w:val="附录图标题"/>
    <w:next w:val="360"/>
    <w:qFormat/>
    <w:uiPriority w:val="0"/>
    <w:pPr>
      <w:tabs>
        <w:tab w:val="left" w:pos="360"/>
      </w:tabs>
      <w:jc w:val="center"/>
    </w:pPr>
    <w:rPr>
      <w:rFonts w:ascii="黑体" w:hAnsi="Calibri" w:eastAsia="黑体" w:cs="Times New Roman"/>
      <w:sz w:val="21"/>
      <w:lang w:val="en-US" w:eastAsia="zh-CN" w:bidi="ar-SA"/>
    </w:rPr>
  </w:style>
  <w:style w:type="paragraph" w:customStyle="1" w:styleId="425">
    <w:name w:val="1.4"/>
    <w:basedOn w:val="1"/>
    <w:qFormat/>
    <w:uiPriority w:val="0"/>
    <w:pPr>
      <w:widowControl/>
      <w:spacing w:line="288" w:lineRule="auto"/>
      <w:ind w:left="3" w:firstLine="503"/>
    </w:pPr>
    <w:rPr>
      <w:rFonts w:ascii="宋体" w:hAnsi="宋体"/>
      <w:kern w:val="0"/>
      <w:sz w:val="24"/>
    </w:rPr>
  </w:style>
  <w:style w:type="paragraph" w:customStyle="1" w:styleId="426">
    <w:name w:val="正文3"/>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427">
    <w:name w:val="p17"/>
    <w:basedOn w:val="1"/>
    <w:qFormat/>
    <w:uiPriority w:val="0"/>
    <w:pPr>
      <w:widowControl/>
      <w:spacing w:before="100" w:after="100" w:line="432" w:lineRule="auto"/>
      <w:jc w:val="left"/>
    </w:pPr>
    <w:rPr>
      <w:rFonts w:ascii="宋体" w:hAnsi="宋体"/>
      <w:kern w:val="0"/>
      <w:sz w:val="27"/>
    </w:rPr>
  </w:style>
  <w:style w:type="paragraph" w:customStyle="1" w:styleId="428">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429">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30">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31">
    <w:name w:val="正文缩进3"/>
    <w:basedOn w:val="1"/>
    <w:qFormat/>
    <w:uiPriority w:val="0"/>
    <w:pPr>
      <w:ind w:firstLine="420"/>
    </w:pPr>
    <w:rPr>
      <w:sz w:val="21"/>
    </w:rPr>
  </w:style>
  <w:style w:type="paragraph" w:customStyle="1" w:styleId="432">
    <w:name w:val="五级条标题"/>
    <w:basedOn w:val="387"/>
    <w:next w:val="360"/>
    <w:qFormat/>
    <w:uiPriority w:val="0"/>
    <w:pPr>
      <w:outlineLvl w:val="6"/>
    </w:pPr>
  </w:style>
  <w:style w:type="paragraph" w:customStyle="1" w:styleId="433">
    <w:name w:val="正文文本 31"/>
    <w:basedOn w:val="1"/>
    <w:qFormat/>
    <w:uiPriority w:val="0"/>
    <w:rPr>
      <w:rFonts w:eastAsia="隶书"/>
      <w:kern w:val="0"/>
      <w:sz w:val="24"/>
    </w:rPr>
  </w:style>
  <w:style w:type="paragraph" w:customStyle="1" w:styleId="434">
    <w:name w:val="杭州页脚"/>
    <w:basedOn w:val="1"/>
    <w:qFormat/>
    <w:uiPriority w:val="0"/>
    <w:pPr>
      <w:tabs>
        <w:tab w:val="left" w:pos="340"/>
      </w:tabs>
      <w:adjustRightInd w:val="0"/>
      <w:snapToGrid w:val="0"/>
      <w:ind w:left="340" w:hanging="340"/>
    </w:pPr>
    <w:rPr>
      <w:rFonts w:eastAsia="HYKai U3HK"/>
      <w:sz w:val="20"/>
    </w:rPr>
  </w:style>
  <w:style w:type="paragraph" w:customStyle="1" w:styleId="435">
    <w:name w:val="xl38"/>
    <w:basedOn w:val="1"/>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36">
    <w:name w:val="p16"/>
    <w:basedOn w:val="1"/>
    <w:qFormat/>
    <w:uiPriority w:val="0"/>
    <w:pPr>
      <w:widowControl/>
      <w:spacing w:before="100" w:beforeAutospacing="1" w:after="100" w:afterAutospacing="1"/>
      <w:jc w:val="left"/>
    </w:pPr>
    <w:rPr>
      <w:rFonts w:ascii="宋体" w:hAnsi="宋体"/>
      <w:kern w:val="0"/>
      <w:sz w:val="24"/>
    </w:rPr>
  </w:style>
  <w:style w:type="paragraph" w:customStyle="1" w:styleId="437">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438">
    <w:name w:val="Char Char Char"/>
    <w:basedOn w:val="1"/>
    <w:qFormat/>
    <w:uiPriority w:val="0"/>
    <w:pPr>
      <w:spacing w:line="360" w:lineRule="auto"/>
      <w:ind w:firstLine="200" w:firstLineChars="200"/>
    </w:pPr>
    <w:rPr>
      <w:rFonts w:ascii="宋体" w:hAnsi="宋体"/>
      <w:sz w:val="24"/>
    </w:rPr>
  </w:style>
  <w:style w:type="paragraph" w:customStyle="1" w:styleId="439">
    <w:name w:val="样式 标题 3 + (中文) 黑体 小四 非加粗 段前: 7.8 磅 段后: 0 磅 行距: 固定值 20 磅"/>
    <w:basedOn w:val="5"/>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440">
    <w:name w:val="纯文本1"/>
    <w:basedOn w:val="1"/>
    <w:qFormat/>
    <w:uiPriority w:val="0"/>
    <w:pPr>
      <w:widowControl/>
      <w:jc w:val="left"/>
    </w:pPr>
    <w:rPr>
      <w:rFonts w:ascii="宋体" w:hAnsi="Courier New"/>
      <w:kern w:val="0"/>
      <w:sz w:val="20"/>
    </w:rPr>
  </w:style>
  <w:style w:type="paragraph" w:customStyle="1" w:styleId="441">
    <w:name w:val="列出段落1"/>
    <w:basedOn w:val="1"/>
    <w:qFormat/>
    <w:uiPriority w:val="0"/>
    <w:pPr>
      <w:ind w:firstLine="420" w:firstLineChars="200"/>
    </w:pPr>
    <w:rPr>
      <w:sz w:val="21"/>
    </w:rPr>
  </w:style>
  <w:style w:type="paragraph" w:customStyle="1" w:styleId="442">
    <w:name w:val="正文文本 21"/>
    <w:basedOn w:val="1"/>
    <w:qFormat/>
    <w:uiPriority w:val="0"/>
    <w:pPr>
      <w:adjustRightInd w:val="0"/>
      <w:spacing w:line="300" w:lineRule="auto"/>
      <w:jc w:val="center"/>
    </w:pPr>
    <w:rPr>
      <w:rFonts w:hint="eastAsia" w:ascii="宋体" w:hAnsi="宋体"/>
      <w:sz w:val="24"/>
    </w:rPr>
  </w:style>
  <w:style w:type="paragraph" w:customStyle="1" w:styleId="443">
    <w:name w:val="表格文字2"/>
    <w:basedOn w:val="1"/>
    <w:qFormat/>
    <w:uiPriority w:val="0"/>
    <w:rPr>
      <w:spacing w:val="-4"/>
      <w:sz w:val="24"/>
    </w:rPr>
  </w:style>
  <w:style w:type="paragraph" w:customStyle="1" w:styleId="444">
    <w:name w:val="图表左对齐"/>
    <w:basedOn w:val="1"/>
    <w:qFormat/>
    <w:uiPriority w:val="0"/>
    <w:pPr>
      <w:spacing w:line="360" w:lineRule="exact"/>
      <w:jc w:val="left"/>
    </w:pPr>
    <w:rPr>
      <w:spacing w:val="-10"/>
      <w:sz w:val="24"/>
    </w:rPr>
  </w:style>
  <w:style w:type="paragraph" w:customStyle="1" w:styleId="445">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46">
    <w:name w:val="样式 标题 2 + Times New Roman 四号 非加粗 段前: 5 磅 段后: 0 磅 行距: 固定值 20..."/>
    <w:basedOn w:val="4"/>
    <w:qFormat/>
    <w:uiPriority w:val="0"/>
    <w:pPr>
      <w:tabs>
        <w:tab w:val="clear" w:pos="706"/>
      </w:tabs>
      <w:spacing w:before="100" w:line="400" w:lineRule="exact"/>
      <w:ind w:left="0" w:firstLine="0"/>
    </w:pPr>
    <w:rPr>
      <w:rFonts w:ascii="Times New Roman" w:hAnsi="Times New Roman"/>
      <w:b w:val="0"/>
      <w:kern w:val="0"/>
      <w:sz w:val="28"/>
    </w:rPr>
  </w:style>
  <w:style w:type="paragraph" w:customStyle="1" w:styleId="447">
    <w:name w:val="Char Char Char Char Char Char Char"/>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448">
    <w:name w:val="正文1"/>
    <w:basedOn w:val="1"/>
    <w:qFormat/>
    <w:uiPriority w:val="0"/>
    <w:pPr>
      <w:autoSpaceDE w:val="0"/>
      <w:autoSpaceDN w:val="0"/>
      <w:adjustRightInd w:val="0"/>
      <w:spacing w:before="120" w:line="360" w:lineRule="auto"/>
      <w:ind w:left="1366" w:hanging="686"/>
      <w:textAlignment w:val="baseline"/>
    </w:pPr>
    <w:rPr>
      <w:sz w:val="21"/>
    </w:rPr>
  </w:style>
  <w:style w:type="paragraph" w:customStyle="1" w:styleId="449">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50">
    <w:name w:val="纯文本3"/>
    <w:basedOn w:val="1"/>
    <w:qFormat/>
    <w:uiPriority w:val="0"/>
    <w:pPr>
      <w:widowControl/>
      <w:jc w:val="left"/>
    </w:pPr>
    <w:rPr>
      <w:rFonts w:ascii="宋体" w:hAnsi="Courier New"/>
      <w:kern w:val="0"/>
      <w:sz w:val="20"/>
    </w:rPr>
  </w:style>
  <w:style w:type="paragraph" w:customStyle="1" w:styleId="451">
    <w:name w:val="表格6"/>
    <w:basedOn w:val="1"/>
    <w:qFormat/>
    <w:uiPriority w:val="0"/>
    <w:pPr>
      <w:adjustRightInd w:val="0"/>
      <w:spacing w:line="420" w:lineRule="atLeast"/>
      <w:ind w:left="737"/>
      <w:textAlignment w:val="baseline"/>
    </w:pPr>
    <w:rPr>
      <w:rFonts w:ascii="宋体"/>
      <w:kern w:val="0"/>
      <w:sz w:val="21"/>
    </w:rPr>
  </w:style>
  <w:style w:type="paragraph" w:customStyle="1" w:styleId="452">
    <w:name w:val="reader-word-layer reader-word-s1-8"/>
    <w:basedOn w:val="1"/>
    <w:qFormat/>
    <w:uiPriority w:val="0"/>
    <w:pPr>
      <w:widowControl/>
      <w:spacing w:before="100" w:beforeAutospacing="1" w:after="100" w:afterAutospacing="1"/>
      <w:jc w:val="left"/>
    </w:pPr>
    <w:rPr>
      <w:rFonts w:ascii="宋体" w:hAnsi="宋体"/>
      <w:kern w:val="0"/>
      <w:sz w:val="24"/>
    </w:rPr>
  </w:style>
  <w:style w:type="paragraph" w:customStyle="1" w:styleId="453">
    <w:name w:val="默认段落字体 Para Char Char Char Char Char Char Char Char Char Char Char Char Char"/>
    <w:basedOn w:val="1"/>
    <w:qFormat/>
    <w:uiPriority w:val="0"/>
    <w:rPr>
      <w:sz w:val="21"/>
    </w:rPr>
  </w:style>
  <w:style w:type="paragraph" w:customStyle="1" w:styleId="454">
    <w:name w:val="修订1"/>
    <w:qFormat/>
    <w:uiPriority w:val="0"/>
    <w:rPr>
      <w:rFonts w:ascii="宋体" w:hAnsi="Calibri" w:eastAsia="宋体" w:cs="Times New Roman"/>
      <w:kern w:val="2"/>
      <w:sz w:val="28"/>
      <w:lang w:val="en-US" w:eastAsia="zh-CN" w:bidi="ar-SA"/>
    </w:rPr>
  </w:style>
  <w:style w:type="paragraph" w:customStyle="1" w:styleId="455">
    <w:name w:val="xl5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456">
    <w:name w:val="列项◆（三级）"/>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457">
    <w:name w:val="目录3"/>
    <w:basedOn w:val="1"/>
    <w:qFormat/>
    <w:uiPriority w:val="0"/>
    <w:pPr>
      <w:adjustRightInd w:val="0"/>
      <w:spacing w:line="420" w:lineRule="atLeast"/>
      <w:ind w:left="454"/>
      <w:textAlignment w:val="baseline"/>
    </w:pPr>
    <w:rPr>
      <w:kern w:val="0"/>
      <w:sz w:val="21"/>
    </w:rPr>
  </w:style>
  <w:style w:type="paragraph" w:customStyle="1" w:styleId="458">
    <w:name w:val="默认段落字体 Para Char Char Char Char Char Char Char Char Char1 Char Char Char Char"/>
    <w:basedOn w:val="1"/>
    <w:qFormat/>
    <w:uiPriority w:val="0"/>
    <w:rPr>
      <w:rFonts w:ascii="Tahoma" w:hAnsi="Tahoma"/>
      <w:sz w:val="24"/>
    </w:rPr>
  </w:style>
  <w:style w:type="character" w:customStyle="1" w:styleId="459">
    <w:name w:val="z-窗体顶端 Char2"/>
    <w:basedOn w:val="90"/>
    <w:link w:val="323"/>
    <w:qFormat/>
    <w:uiPriority w:val="0"/>
    <w:rPr>
      <w:rFonts w:ascii="Arial" w:hAnsi="Arial"/>
      <w:vanish/>
      <w:sz w:val="16"/>
    </w:rPr>
  </w:style>
  <w:style w:type="paragraph" w:customStyle="1" w:styleId="46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61">
    <w:name w:val="样式3"/>
    <w:basedOn w:val="5"/>
    <w:qFormat/>
    <w:uiPriority w:val="0"/>
    <w:pPr>
      <w:widowControl w:val="0"/>
      <w:tabs>
        <w:tab w:val="clear" w:pos="720"/>
      </w:tabs>
      <w:ind w:left="0" w:firstLine="0"/>
      <w:jc w:val="both"/>
    </w:pPr>
    <w:rPr>
      <w:b w:val="0"/>
      <w:kern w:val="2"/>
      <w:sz w:val="24"/>
    </w:rPr>
  </w:style>
  <w:style w:type="paragraph" w:customStyle="1" w:styleId="462">
    <w:name w:val="样式 居中 行距: 固定值 60 磅"/>
    <w:basedOn w:val="1"/>
    <w:qFormat/>
    <w:uiPriority w:val="0"/>
    <w:pPr>
      <w:spacing w:line="360" w:lineRule="auto"/>
      <w:jc w:val="center"/>
    </w:pPr>
    <w:rPr>
      <w:sz w:val="21"/>
    </w:rPr>
  </w:style>
  <w:style w:type="paragraph" w:customStyle="1" w:styleId="463">
    <w:name w:val="其他发布部门"/>
    <w:basedOn w:val="464"/>
    <w:qFormat/>
    <w:uiPriority w:val="0"/>
    <w:pPr>
      <w:spacing w:line="0" w:lineRule="atLeast"/>
    </w:pPr>
    <w:rPr>
      <w:rFonts w:ascii="黑体" w:eastAsia="黑体"/>
      <w:b w:val="0"/>
    </w:rPr>
  </w:style>
  <w:style w:type="paragraph" w:customStyle="1" w:styleId="464">
    <w:name w:val="发布部门"/>
    <w:next w:val="360"/>
    <w:qFormat/>
    <w:uiPriority w:val="0"/>
    <w:pPr>
      <w:jc w:val="center"/>
    </w:pPr>
    <w:rPr>
      <w:rFonts w:ascii="宋体" w:hAnsi="Calibri" w:eastAsia="宋体" w:cs="Times New Roman"/>
      <w:b/>
      <w:spacing w:val="20"/>
      <w:w w:val="135"/>
      <w:sz w:val="36"/>
      <w:lang w:val="en-US" w:eastAsia="zh-CN" w:bidi="ar-SA"/>
    </w:rPr>
  </w:style>
  <w:style w:type="paragraph" w:customStyle="1" w:styleId="465">
    <w:name w:val="示例"/>
    <w:next w:val="360"/>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466">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467">
    <w:name w:val="样式 标题 1 + 黑体 三号 非加粗 居中 段前: 6 磅 段后: 6 磅 行距: 固定值 20 磅"/>
    <w:basedOn w:val="3"/>
    <w:qFormat/>
    <w:uiPriority w:val="0"/>
    <w:pPr>
      <w:keepLines/>
      <w:widowControl w:val="0"/>
      <w:spacing w:before="120" w:after="120" w:line="400" w:lineRule="exact"/>
      <w:jc w:val="both"/>
    </w:pPr>
    <w:rPr>
      <w:rFonts w:hAnsi="黑体" w:eastAsia="黑体"/>
      <w:b w:val="0"/>
      <w:kern w:val="44"/>
    </w:rPr>
  </w:style>
  <w:style w:type="paragraph" w:customStyle="1" w:styleId="468">
    <w:name w:val="标题2"/>
    <w:basedOn w:val="1"/>
    <w:qFormat/>
    <w:uiPriority w:val="0"/>
    <w:rPr>
      <w:rFonts w:ascii="宋体" w:hAnsi="宋体"/>
      <w:b/>
      <w:sz w:val="21"/>
    </w:rPr>
  </w:style>
  <w:style w:type="paragraph" w:customStyle="1" w:styleId="469">
    <w:name w:val="Char"/>
    <w:basedOn w:val="1"/>
    <w:qFormat/>
    <w:uiPriority w:val="0"/>
    <w:rPr>
      <w:rFonts w:ascii="仿宋_GB2312" w:eastAsia="仿宋_GB2312"/>
      <w:b/>
      <w:sz w:val="32"/>
    </w:rPr>
  </w:style>
  <w:style w:type="paragraph" w:customStyle="1" w:styleId="470">
    <w:name w:val="无间隔2"/>
    <w:qFormat/>
    <w:uiPriority w:val="0"/>
    <w:rPr>
      <w:rFonts w:ascii="Calibri" w:hAnsi="Calibri" w:eastAsia="宋体" w:cs="Times New Roman"/>
      <w:sz w:val="22"/>
      <w:lang w:val="en-US" w:eastAsia="en-US" w:bidi="ar-SA"/>
    </w:rPr>
  </w:style>
  <w:style w:type="paragraph" w:customStyle="1" w:styleId="471">
    <w:name w:val="xl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472">
    <w:name w:val="Char Char Char 字元 字元"/>
    <w:basedOn w:val="1"/>
    <w:qFormat/>
    <w:uiPriority w:val="0"/>
    <w:rPr>
      <w:rFonts w:ascii="Tahoma" w:hAnsi="Tahoma"/>
      <w:sz w:val="24"/>
    </w:rPr>
  </w:style>
  <w:style w:type="paragraph" w:customStyle="1" w:styleId="473">
    <w:name w:val="标准书眉_偶数页"/>
    <w:basedOn w:val="1"/>
    <w:next w:val="1"/>
    <w:qFormat/>
    <w:uiPriority w:val="0"/>
    <w:pPr>
      <w:widowControl/>
      <w:tabs>
        <w:tab w:val="center" w:pos="4154"/>
        <w:tab w:val="right" w:pos="8306"/>
      </w:tabs>
      <w:spacing w:after="120"/>
    </w:pPr>
    <w:rPr>
      <w:kern w:val="0"/>
      <w:sz w:val="21"/>
    </w:rPr>
  </w:style>
  <w:style w:type="paragraph" w:customStyle="1" w:styleId="47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475">
    <w:name w:val="样式 正文缩进 + 首行缩进:  2 字符"/>
    <w:basedOn w:val="476"/>
    <w:qFormat/>
    <w:uiPriority w:val="99"/>
    <w:pPr>
      <w:spacing w:line="360" w:lineRule="auto"/>
      <w:ind w:firstLine="200"/>
    </w:pPr>
    <w:rPr>
      <w:rFonts w:ascii="Calibri" w:hAnsi="Calibri"/>
      <w:sz w:val="24"/>
      <w:szCs w:val="24"/>
    </w:rPr>
  </w:style>
  <w:style w:type="paragraph" w:customStyle="1" w:styleId="476">
    <w:name w:val="正文缩进_0"/>
    <w:basedOn w:val="371"/>
    <w:qFormat/>
    <w:uiPriority w:val="0"/>
    <w:pPr>
      <w:ind w:firstLine="420"/>
    </w:pPr>
    <w:rPr>
      <w:rFonts w:ascii="Times New Roman" w:hAnsi="Times New Roman"/>
      <w:kern w:val="0"/>
      <w:szCs w:val="20"/>
    </w:rPr>
  </w:style>
  <w:style w:type="paragraph" w:customStyle="1" w:styleId="477">
    <w:name w:val="列出段落2"/>
    <w:basedOn w:val="1"/>
    <w:qFormat/>
    <w:uiPriority w:val="0"/>
    <w:pPr>
      <w:spacing w:before="100" w:beforeAutospacing="1" w:after="100" w:afterAutospacing="1" w:line="300" w:lineRule="auto"/>
      <w:ind w:firstLine="420" w:firstLineChars="200"/>
    </w:pPr>
    <w:rPr>
      <w:sz w:val="21"/>
    </w:rPr>
  </w:style>
  <w:style w:type="paragraph" w:customStyle="1" w:styleId="478">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479">
    <w:name w:val="font1"/>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80">
    <w:name w:val="表格"/>
    <w:basedOn w:val="1"/>
    <w:qFormat/>
    <w:uiPriority w:val="0"/>
    <w:pPr>
      <w:textAlignment w:val="center"/>
    </w:pPr>
    <w:rPr>
      <w:rFonts w:ascii="华文细黑" w:hAnsi="华文细黑"/>
      <w:kern w:val="0"/>
      <w:sz w:val="21"/>
    </w:rPr>
  </w:style>
  <w:style w:type="paragraph" w:customStyle="1" w:styleId="481">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482">
    <w:name w:val="图表脚注"/>
    <w:next w:val="360"/>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83">
    <w:name w:val="末级"/>
    <w:basedOn w:val="1"/>
    <w:qFormat/>
    <w:uiPriority w:val="0"/>
    <w:pPr>
      <w:tabs>
        <w:tab w:val="left" w:pos="851"/>
      </w:tabs>
      <w:spacing w:line="360" w:lineRule="auto"/>
      <w:ind w:firstLine="510"/>
    </w:pPr>
    <w:rPr>
      <w:sz w:val="24"/>
    </w:rPr>
  </w:style>
  <w:style w:type="paragraph" w:customStyle="1" w:styleId="484">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485">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486">
    <w:name w:val="bold_10"/>
    <w:basedOn w:val="1"/>
    <w:next w:val="1"/>
    <w:qFormat/>
    <w:uiPriority w:val="0"/>
    <w:pPr>
      <w:widowControl/>
    </w:pPr>
    <w:rPr>
      <w:rFonts w:ascii="Arial" w:hAnsi="Arial"/>
      <w:b/>
      <w:kern w:val="0"/>
      <w:sz w:val="20"/>
      <w:lang w:val="en-AU"/>
    </w:rPr>
  </w:style>
  <w:style w:type="paragraph" w:customStyle="1" w:styleId="48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8">
    <w:name w:val="p18"/>
    <w:basedOn w:val="1"/>
    <w:qFormat/>
    <w:uiPriority w:val="99"/>
    <w:pPr>
      <w:widowControl/>
      <w:spacing w:line="500" w:lineRule="atLeast"/>
      <w:ind w:firstLine="420"/>
    </w:pPr>
    <w:rPr>
      <w:kern w:val="0"/>
      <w:szCs w:val="28"/>
    </w:rPr>
  </w:style>
  <w:style w:type="paragraph" w:customStyle="1" w:styleId="489">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490">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491">
    <w:name w:val="xl32"/>
    <w:basedOn w:val="1"/>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492">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493">
    <w:name w:val="Char Char3"/>
    <w:basedOn w:val="27"/>
    <w:qFormat/>
    <w:uiPriority w:val="0"/>
    <w:rPr>
      <w:rFonts w:ascii="Tahoma" w:hAnsi="Tahoma"/>
      <w:sz w:val="24"/>
    </w:rPr>
  </w:style>
  <w:style w:type="paragraph" w:customStyle="1" w:styleId="494">
    <w:name w:val="多级符号2"/>
    <w:basedOn w:val="495"/>
    <w:qFormat/>
    <w:uiPriority w:val="0"/>
    <w:pPr>
      <w:outlineLvl w:val="9"/>
    </w:pPr>
    <w:rPr>
      <w:b w:val="0"/>
      <w:sz w:val="24"/>
    </w:rPr>
  </w:style>
  <w:style w:type="paragraph" w:customStyle="1" w:styleId="495">
    <w:name w:val="多级符号1"/>
    <w:basedOn w:val="1"/>
    <w:next w:val="1"/>
    <w:qFormat/>
    <w:uiPriority w:val="0"/>
    <w:pPr>
      <w:spacing w:line="360" w:lineRule="auto"/>
      <w:jc w:val="left"/>
      <w:outlineLvl w:val="0"/>
    </w:pPr>
    <w:rPr>
      <w:rFonts w:eastAsia="仿宋_GB2312"/>
      <w:b/>
      <w:sz w:val="30"/>
    </w:rPr>
  </w:style>
  <w:style w:type="paragraph" w:customStyle="1" w:styleId="496">
    <w:name w:val="reader-word-layer reader-word-s1-9"/>
    <w:basedOn w:val="1"/>
    <w:qFormat/>
    <w:uiPriority w:val="0"/>
    <w:pPr>
      <w:widowControl/>
      <w:spacing w:before="100" w:beforeAutospacing="1" w:after="100" w:afterAutospacing="1"/>
      <w:jc w:val="left"/>
    </w:pPr>
    <w:rPr>
      <w:rFonts w:ascii="宋体" w:hAnsi="宋体"/>
      <w:kern w:val="0"/>
      <w:sz w:val="24"/>
    </w:rPr>
  </w:style>
  <w:style w:type="paragraph" w:customStyle="1" w:styleId="497">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49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9">
    <w:name w:val="彩色底纹 - 着色 11"/>
    <w:qFormat/>
    <w:uiPriority w:val="0"/>
    <w:rPr>
      <w:rFonts w:ascii="Calibri" w:hAnsi="Calibri" w:eastAsia="宋体" w:cs="Times New Roman"/>
      <w:kern w:val="2"/>
      <w:sz w:val="21"/>
      <w:lang w:val="en-US" w:eastAsia="zh-CN" w:bidi="ar-SA"/>
    </w:rPr>
  </w:style>
  <w:style w:type="paragraph" w:customStyle="1" w:styleId="500">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01">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502">
    <w:name w:val="xl558"/>
    <w:basedOn w:val="1"/>
    <w:qFormat/>
    <w:uiPriority w:val="0"/>
    <w:pPr>
      <w:widowControl/>
      <w:spacing w:before="100" w:beforeAutospacing="1" w:after="100" w:afterAutospacing="1"/>
      <w:jc w:val="left"/>
    </w:pPr>
    <w:rPr>
      <w:rFonts w:ascii="宋体" w:hAnsi="宋体"/>
      <w:kern w:val="0"/>
      <w:sz w:val="20"/>
    </w:rPr>
  </w:style>
  <w:style w:type="paragraph" w:customStyle="1" w:styleId="503">
    <w:name w:val="Table textB"/>
    <w:basedOn w:val="1"/>
    <w:next w:val="1"/>
    <w:qFormat/>
    <w:uiPriority w:val="0"/>
    <w:pPr>
      <w:widowControl/>
      <w:spacing w:before="80" w:after="80"/>
      <w:jc w:val="center"/>
    </w:pPr>
    <w:rPr>
      <w:rFonts w:ascii="Arial" w:hAnsi="Arial"/>
      <w:b/>
      <w:spacing w:val="-5"/>
      <w:kern w:val="0"/>
      <w:sz w:val="18"/>
    </w:rPr>
  </w:style>
  <w:style w:type="paragraph" w:customStyle="1" w:styleId="504">
    <w:name w:val="封面标准代替信息"/>
    <w:basedOn w:val="505"/>
    <w:qFormat/>
    <w:uiPriority w:val="0"/>
    <w:pPr>
      <w:spacing w:before="57"/>
    </w:pPr>
    <w:rPr>
      <w:rFonts w:ascii="宋体"/>
      <w:sz w:val="21"/>
    </w:rPr>
  </w:style>
  <w:style w:type="paragraph" w:customStyle="1" w:styleId="505">
    <w:name w:val="封面标准号2"/>
    <w:basedOn w:val="506"/>
    <w:qFormat/>
    <w:uiPriority w:val="0"/>
    <w:pPr>
      <w:adjustRightInd w:val="0"/>
      <w:spacing w:before="357" w:line="280" w:lineRule="exact"/>
    </w:pPr>
  </w:style>
  <w:style w:type="paragraph" w:customStyle="1" w:styleId="506">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07">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508">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09">
    <w:name w:val="目次、标准名称标题"/>
    <w:basedOn w:val="1"/>
    <w:next w:val="360"/>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510">
    <w:name w:val="表中"/>
    <w:basedOn w:val="1"/>
    <w:qFormat/>
    <w:uiPriority w:val="0"/>
    <w:pPr>
      <w:autoSpaceDE w:val="0"/>
      <w:autoSpaceDN w:val="0"/>
      <w:adjustRightInd w:val="0"/>
      <w:spacing w:line="360" w:lineRule="atLeast"/>
    </w:pPr>
    <w:rPr>
      <w:rFonts w:ascii="宋体"/>
      <w:kern w:val="0"/>
      <w:sz w:val="21"/>
    </w:rPr>
  </w:style>
  <w:style w:type="paragraph" w:customStyle="1" w:styleId="511">
    <w:name w:val="1 Char Char Char"/>
    <w:basedOn w:val="1"/>
    <w:next w:val="5"/>
    <w:qFormat/>
    <w:uiPriority w:val="0"/>
    <w:pPr>
      <w:spacing w:line="500" w:lineRule="exact"/>
      <w:ind w:firstLine="200"/>
      <w:jc w:val="center"/>
    </w:pPr>
    <w:rPr>
      <w:rFonts w:ascii="仿宋_GB2312" w:hAnsi="Arial" w:eastAsia="仿宋_GB2312"/>
      <w:sz w:val="32"/>
    </w:rPr>
  </w:style>
  <w:style w:type="paragraph" w:customStyle="1" w:styleId="512">
    <w:name w:val="样式2"/>
    <w:basedOn w:val="74"/>
    <w:qFormat/>
    <w:uiPriority w:val="0"/>
    <w:pPr>
      <w:ind w:left="200" w:leftChars="200" w:hanging="200" w:hangingChars="200"/>
      <w:jc w:val="both"/>
    </w:pPr>
    <w:rPr>
      <w:rFonts w:ascii="Times New Roman" w:hAnsi="Times New Roman"/>
      <w:smallCaps w:val="0"/>
      <w:sz w:val="21"/>
    </w:rPr>
  </w:style>
  <w:style w:type="paragraph" w:customStyle="1" w:styleId="513">
    <w:name w:val="样式 标题 4 + 五号"/>
    <w:basedOn w:val="6"/>
    <w:qFormat/>
    <w:uiPriority w:val="0"/>
    <w:rPr>
      <w:kern w:val="0"/>
      <w:sz w:val="21"/>
    </w:rPr>
  </w:style>
  <w:style w:type="paragraph" w:customStyle="1" w:styleId="51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515">
    <w:name w:val="字元 字元 Char Char Char 字元 字元 Char 字元 字元 Char Char 字元 字元1 Char Char Char Char Char Char 字元 字元"/>
    <w:basedOn w:val="1"/>
    <w:qFormat/>
    <w:uiPriority w:val="0"/>
    <w:rPr>
      <w:rFonts w:ascii="Tahoma" w:hAnsi="Tahoma"/>
      <w:sz w:val="24"/>
    </w:rPr>
  </w:style>
  <w:style w:type="paragraph" w:customStyle="1" w:styleId="516">
    <w:name w:val="Default"/>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517">
    <w:name w:val="Char11"/>
    <w:basedOn w:val="1"/>
    <w:qFormat/>
    <w:uiPriority w:val="0"/>
    <w:pPr>
      <w:widowControl/>
      <w:spacing w:after="160" w:line="240" w:lineRule="exact"/>
      <w:jc w:val="left"/>
    </w:pPr>
    <w:rPr>
      <w:rFonts w:ascii="Tahoma" w:hAnsi="Tahoma"/>
      <w:kern w:val="0"/>
      <w:sz w:val="24"/>
      <w:lang w:eastAsia="en-US"/>
    </w:rPr>
  </w:style>
  <w:style w:type="paragraph" w:customStyle="1" w:styleId="518">
    <w:name w:val="数字编号列项（二级）"/>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19">
    <w:name w:val="Char Char Char1 Char Char Char Char Char Char Char Char Char Char Char Char Char"/>
    <w:basedOn w:val="1"/>
    <w:qFormat/>
    <w:uiPriority w:val="0"/>
    <w:rPr>
      <w:rFonts w:ascii="Tahoma" w:hAnsi="Tahoma"/>
      <w:sz w:val="24"/>
    </w:rPr>
  </w:style>
  <w:style w:type="paragraph" w:customStyle="1" w:styleId="520">
    <w:name w:val="参考文献、索引标题"/>
    <w:basedOn w:val="449"/>
    <w:next w:val="1"/>
    <w:qFormat/>
    <w:uiPriority w:val="0"/>
    <w:pPr>
      <w:spacing w:after="200"/>
    </w:pPr>
    <w:rPr>
      <w:sz w:val="21"/>
    </w:rPr>
  </w:style>
  <w:style w:type="paragraph" w:customStyle="1" w:styleId="521">
    <w:name w:val="xl36"/>
    <w:basedOn w:val="1"/>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22">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23">
    <w:name w:val="纯文本2"/>
    <w:basedOn w:val="1"/>
    <w:qFormat/>
    <w:uiPriority w:val="0"/>
    <w:pPr>
      <w:adjustRightInd w:val="0"/>
      <w:spacing w:line="360" w:lineRule="atLeast"/>
      <w:textAlignment w:val="baseline"/>
    </w:pPr>
    <w:rPr>
      <w:rFonts w:ascii="宋体" w:hAnsi="Courier New"/>
    </w:rPr>
  </w:style>
  <w:style w:type="paragraph" w:customStyle="1" w:styleId="524">
    <w:name w:val="Körper"/>
    <w:basedOn w:val="1"/>
    <w:qFormat/>
    <w:uiPriority w:val="0"/>
    <w:pPr>
      <w:widowControl/>
      <w:spacing w:before="120" w:line="240" w:lineRule="exact"/>
    </w:pPr>
    <w:rPr>
      <w:rFonts w:ascii="Arial" w:hAnsi="Arial"/>
      <w:kern w:val="0"/>
      <w:sz w:val="20"/>
      <w:lang w:val="de-DE" w:eastAsia="de-DE"/>
    </w:rPr>
  </w:style>
  <w:style w:type="paragraph" w:customStyle="1" w:styleId="525">
    <w:name w:val="2"/>
    <w:basedOn w:val="1"/>
    <w:qFormat/>
    <w:uiPriority w:val="0"/>
    <w:rPr>
      <w:rFonts w:ascii="Tahoma" w:hAnsi="Tahoma"/>
      <w:sz w:val="24"/>
    </w:rPr>
  </w:style>
  <w:style w:type="paragraph" w:customStyle="1" w:styleId="526">
    <w:name w:val="正文2 Char Char Char Char Char Char Char Char Char Char Char Char1 Char Char Char Char Char Char Char Char1 Char Char Char Char Char Char"/>
    <w:basedOn w:val="1"/>
    <w:qFormat/>
    <w:uiPriority w:val="0"/>
    <w:pPr>
      <w:widowControl/>
      <w:spacing w:line="400" w:lineRule="exact"/>
    </w:pPr>
    <w:rPr>
      <w:rFonts w:ascii="Verdana" w:hAnsi="Verdana" w:eastAsia="楷体_GB2312"/>
      <w:kern w:val="0"/>
      <w:lang w:eastAsia="en-US"/>
    </w:rPr>
  </w:style>
  <w:style w:type="paragraph" w:customStyle="1" w:styleId="527">
    <w:name w:val="金宏发行正文 Char"/>
    <w:basedOn w:val="1"/>
    <w:qFormat/>
    <w:uiPriority w:val="99"/>
    <w:pPr>
      <w:spacing w:line="500" w:lineRule="atLeast"/>
      <w:ind w:firstLine="560" w:firstLineChars="200"/>
    </w:pPr>
    <w:rPr>
      <w:rFonts w:ascii="Times New Roman" w:hAnsi="Times New Roman" w:eastAsia="仿宋_GB2312"/>
      <w:szCs w:val="28"/>
    </w:rPr>
  </w:style>
  <w:style w:type="paragraph" w:customStyle="1" w:styleId="528">
    <w:name w:val="样式 三号 加粗 居中"/>
    <w:basedOn w:val="1"/>
    <w:qFormat/>
    <w:uiPriority w:val="0"/>
    <w:pPr>
      <w:spacing w:line="360" w:lineRule="auto"/>
      <w:jc w:val="center"/>
    </w:pPr>
    <w:rPr>
      <w:b/>
      <w:sz w:val="32"/>
    </w:rPr>
  </w:style>
  <w:style w:type="paragraph" w:customStyle="1" w:styleId="529">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530">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53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2">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3">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534">
    <w:name w:val="修订2"/>
    <w:qFormat/>
    <w:uiPriority w:val="0"/>
    <w:rPr>
      <w:rFonts w:ascii="Calibri" w:hAnsi="Calibri" w:eastAsia="宋体" w:cs="Times New Roman"/>
      <w:kern w:val="2"/>
      <w:sz w:val="28"/>
      <w:lang w:val="en-US" w:eastAsia="zh-CN" w:bidi="ar-SA"/>
    </w:rPr>
  </w:style>
  <w:style w:type="paragraph" w:customStyle="1" w:styleId="535">
    <w:name w:val="标题4"/>
    <w:basedOn w:val="1"/>
    <w:qFormat/>
    <w:uiPriority w:val="0"/>
    <w:rPr>
      <w:rFonts w:eastAsia="仿宋_GB2312"/>
      <w:sz w:val="32"/>
    </w:rPr>
  </w:style>
  <w:style w:type="paragraph" w:customStyle="1" w:styleId="536">
    <w:name w:val="3级"/>
    <w:basedOn w:val="1"/>
    <w:qFormat/>
    <w:uiPriority w:val="0"/>
    <w:pPr>
      <w:snapToGrid w:val="0"/>
      <w:spacing w:afterLines="30" w:line="360" w:lineRule="auto"/>
      <w:ind w:firstLine="200" w:firstLineChars="200"/>
    </w:pPr>
    <w:rPr>
      <w:rFonts w:ascii="宋体" w:hAnsi="Tahoma"/>
      <w:b/>
      <w:color w:val="0000FF"/>
    </w:rPr>
  </w:style>
  <w:style w:type="paragraph" w:customStyle="1" w:styleId="537">
    <w:name w:val="章标题"/>
    <w:next w:val="360"/>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538">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39">
    <w:name w:val="图表小四中对齐"/>
    <w:basedOn w:val="1"/>
    <w:qFormat/>
    <w:uiPriority w:val="0"/>
    <w:pPr>
      <w:adjustRightInd w:val="0"/>
      <w:spacing w:line="360" w:lineRule="exact"/>
      <w:jc w:val="center"/>
      <w:textAlignment w:val="baseline"/>
    </w:pPr>
    <w:rPr>
      <w:color w:val="000000"/>
      <w:spacing w:val="-10"/>
      <w:sz w:val="24"/>
    </w:rPr>
  </w:style>
  <w:style w:type="paragraph" w:customStyle="1" w:styleId="540">
    <w:name w:val="标准书眉一"/>
    <w:qFormat/>
    <w:uiPriority w:val="0"/>
    <w:pPr>
      <w:jc w:val="both"/>
    </w:pPr>
    <w:rPr>
      <w:rFonts w:ascii="Calibri" w:hAnsi="Calibri" w:eastAsia="宋体" w:cs="Times New Roman"/>
      <w:lang w:val="en-US" w:eastAsia="zh-CN" w:bidi="ar-SA"/>
    </w:rPr>
  </w:style>
  <w:style w:type="paragraph" w:customStyle="1" w:styleId="541">
    <w:name w:val="Char Char Char Char Char Char3 Char Char Char Char Char Char Char Char Char Char"/>
    <w:basedOn w:val="1"/>
    <w:next w:val="1"/>
    <w:qFormat/>
    <w:uiPriority w:val="0"/>
    <w:rPr>
      <w:rFonts w:eastAsia="黑体"/>
    </w:rPr>
  </w:style>
  <w:style w:type="paragraph" w:customStyle="1" w:styleId="542">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43">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544">
    <w:name w:val="Char Char Char Char1"/>
    <w:basedOn w:val="1"/>
    <w:qFormat/>
    <w:uiPriority w:val="0"/>
    <w:rPr>
      <w:sz w:val="21"/>
    </w:rPr>
  </w:style>
  <w:style w:type="paragraph" w:customStyle="1" w:styleId="545">
    <w:name w:val="表文C"/>
    <w:basedOn w:val="1"/>
    <w:qFormat/>
    <w:uiPriority w:val="0"/>
    <w:pPr>
      <w:widowControl/>
      <w:tabs>
        <w:tab w:val="left" w:pos="0"/>
      </w:tabs>
      <w:adjustRightInd w:val="0"/>
      <w:snapToGrid w:val="0"/>
    </w:pPr>
    <w:rPr>
      <w:snapToGrid w:val="0"/>
      <w:kern w:val="0"/>
      <w:sz w:val="21"/>
    </w:rPr>
  </w:style>
  <w:style w:type="paragraph" w:customStyle="1" w:styleId="546">
    <w:name w:val="_Style 3"/>
    <w:qFormat/>
    <w:uiPriority w:val="0"/>
    <w:rPr>
      <w:rFonts w:ascii="Calibri" w:hAnsi="Calibri" w:eastAsia="宋体" w:cs="Times New Roman"/>
      <w:sz w:val="22"/>
      <w:szCs w:val="22"/>
      <w:lang w:val="en-US" w:eastAsia="zh-CN" w:bidi="ar-SA"/>
    </w:rPr>
  </w:style>
  <w:style w:type="paragraph" w:customStyle="1" w:styleId="547">
    <w:name w:val="font0"/>
    <w:basedOn w:val="1"/>
    <w:qFormat/>
    <w:uiPriority w:val="0"/>
    <w:pPr>
      <w:widowControl/>
      <w:spacing w:before="100" w:beforeAutospacing="1" w:after="100" w:afterAutospacing="1"/>
    </w:pPr>
    <w:rPr>
      <w:rFonts w:hint="eastAsia" w:ascii="宋体" w:hAnsi="宋体"/>
      <w:kern w:val="0"/>
      <w:sz w:val="24"/>
    </w:rPr>
  </w:style>
  <w:style w:type="paragraph" w:customStyle="1" w:styleId="548">
    <w:name w:val="一级条标题"/>
    <w:next w:val="360"/>
    <w:qFormat/>
    <w:uiPriority w:val="0"/>
    <w:pPr>
      <w:outlineLvl w:val="2"/>
    </w:pPr>
    <w:rPr>
      <w:rFonts w:ascii="Calibri" w:hAnsi="Calibri" w:eastAsia="黑体" w:cs="Times New Roman"/>
      <w:sz w:val="21"/>
      <w:lang w:val="en-US" w:eastAsia="zh-CN" w:bidi="ar-SA"/>
    </w:rPr>
  </w:style>
  <w:style w:type="paragraph" w:customStyle="1" w:styleId="549">
    <w:name w:val="注×："/>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50">
    <w:name w:val="投标正文"/>
    <w:basedOn w:val="1"/>
    <w:qFormat/>
    <w:uiPriority w:val="0"/>
    <w:pPr>
      <w:spacing w:line="360" w:lineRule="auto"/>
      <w:ind w:left="100" w:firstLine="480" w:firstLineChars="200"/>
    </w:pPr>
    <w:rPr>
      <w:sz w:val="24"/>
      <w:szCs w:val="24"/>
    </w:rPr>
  </w:style>
  <w:style w:type="paragraph" w:customStyle="1" w:styleId="551">
    <w:name w:val="标题 0"/>
    <w:basedOn w:val="3"/>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552">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53">
    <w:name w:val="条文脚注"/>
    <w:basedOn w:val="69"/>
    <w:qFormat/>
    <w:uiPriority w:val="0"/>
    <w:pPr>
      <w:ind w:left="780" w:leftChars="200" w:hanging="360" w:hangingChars="200"/>
      <w:jc w:val="both"/>
    </w:pPr>
    <w:rPr>
      <w:rFonts w:ascii="宋体"/>
    </w:rPr>
  </w:style>
  <w:style w:type="paragraph" w:customStyle="1" w:styleId="554">
    <w:name w:val="HTML 地址1"/>
    <w:basedOn w:val="1"/>
    <w:qFormat/>
    <w:uiPriority w:val="0"/>
    <w:rPr>
      <w:i/>
      <w:kern w:val="0"/>
      <w:sz w:val="20"/>
    </w:rPr>
  </w:style>
  <w:style w:type="paragraph" w:customStyle="1" w:styleId="555">
    <w:name w:val="表格5"/>
    <w:basedOn w:val="556"/>
    <w:qFormat/>
    <w:uiPriority w:val="0"/>
    <w:pPr>
      <w:ind w:left="1021" w:hanging="284"/>
    </w:pPr>
    <w:rPr>
      <w:rFonts w:ascii="宋体"/>
    </w:rPr>
  </w:style>
  <w:style w:type="paragraph" w:customStyle="1" w:styleId="556">
    <w:name w:val="表格2"/>
    <w:basedOn w:val="1"/>
    <w:qFormat/>
    <w:uiPriority w:val="0"/>
    <w:pPr>
      <w:adjustRightInd w:val="0"/>
      <w:spacing w:line="420" w:lineRule="atLeast"/>
      <w:ind w:left="284" w:firstLine="454"/>
      <w:textAlignment w:val="baseline"/>
    </w:pPr>
    <w:rPr>
      <w:kern w:val="0"/>
      <w:sz w:val="21"/>
    </w:rPr>
  </w:style>
  <w:style w:type="paragraph" w:customStyle="1" w:styleId="557">
    <w:name w:val="_Style 10"/>
    <w:basedOn w:val="1"/>
    <w:next w:val="1"/>
    <w:qFormat/>
    <w:uiPriority w:val="0"/>
    <w:rPr>
      <w:sz w:val="21"/>
    </w:rPr>
  </w:style>
  <w:style w:type="paragraph" w:customStyle="1" w:styleId="558">
    <w:name w:val="Char1"/>
    <w:basedOn w:val="1"/>
    <w:qFormat/>
    <w:uiPriority w:val="0"/>
    <w:rPr>
      <w:rFonts w:ascii="仿宋_GB2312" w:eastAsia="仿宋_GB2312"/>
      <w:b/>
      <w:sz w:val="32"/>
    </w:rPr>
  </w:style>
  <w:style w:type="paragraph" w:customStyle="1" w:styleId="559">
    <w:name w:val="Char Char Char Char Char Char Char Char Char Char Char Char1 Char"/>
    <w:basedOn w:val="27"/>
    <w:qFormat/>
    <w:uiPriority w:val="0"/>
    <w:rPr>
      <w:rFonts w:ascii="等线" w:hAnsi="等线"/>
      <w:sz w:val="21"/>
    </w:rPr>
  </w:style>
  <w:style w:type="paragraph" w:customStyle="1" w:styleId="560">
    <w:name w:val="Char Char2"/>
    <w:basedOn w:val="1"/>
    <w:qFormat/>
    <w:uiPriority w:val="0"/>
    <w:rPr>
      <w:rFonts w:ascii="Tahoma" w:hAnsi="Tahoma"/>
      <w:sz w:val="24"/>
    </w:rPr>
  </w:style>
  <w:style w:type="paragraph" w:customStyle="1" w:styleId="561">
    <w:name w:val="目录1"/>
    <w:basedOn w:val="1"/>
    <w:qFormat/>
    <w:uiPriority w:val="0"/>
    <w:pPr>
      <w:adjustRightInd w:val="0"/>
      <w:spacing w:line="420" w:lineRule="atLeast"/>
      <w:textAlignment w:val="baseline"/>
    </w:pPr>
    <w:rPr>
      <w:rFonts w:eastAsia="黑体"/>
      <w:b/>
      <w:kern w:val="0"/>
      <w:sz w:val="21"/>
    </w:rPr>
  </w:style>
  <w:style w:type="paragraph" w:customStyle="1" w:styleId="562">
    <w:name w:val="收件单位"/>
    <w:basedOn w:val="1"/>
    <w:qFormat/>
    <w:uiPriority w:val="0"/>
    <w:pPr>
      <w:tabs>
        <w:tab w:val="left" w:pos="1365"/>
      </w:tabs>
      <w:spacing w:beforeLines="100"/>
    </w:pPr>
    <w:rPr>
      <w:rFonts w:eastAsia="华文仿宋"/>
      <w:sz w:val="30"/>
    </w:rPr>
  </w:style>
  <w:style w:type="paragraph" w:customStyle="1" w:styleId="563">
    <w:name w:val="表内居中"/>
    <w:qFormat/>
    <w:uiPriority w:val="0"/>
    <w:pPr>
      <w:jc w:val="center"/>
    </w:pPr>
    <w:rPr>
      <w:rFonts w:ascii="Calibri" w:hAnsi="Calibri" w:eastAsia="宋体" w:cs="Times New Roman"/>
      <w:lang w:val="en-US" w:eastAsia="zh-CN" w:bidi="ar-SA"/>
    </w:rPr>
  </w:style>
  <w:style w:type="paragraph" w:customStyle="1" w:styleId="564">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65">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566">
    <w:name w:val="封面正文"/>
    <w:qFormat/>
    <w:uiPriority w:val="0"/>
    <w:pPr>
      <w:jc w:val="both"/>
    </w:pPr>
    <w:rPr>
      <w:rFonts w:ascii="Calibri" w:hAnsi="Calibri" w:eastAsia="宋体" w:cs="Times New Roman"/>
      <w:lang w:val="en-US" w:eastAsia="zh-CN" w:bidi="ar-SA"/>
    </w:rPr>
  </w:style>
  <w:style w:type="paragraph" w:customStyle="1" w:styleId="567">
    <w:name w:val="表格1"/>
    <w:basedOn w:val="1"/>
    <w:qFormat/>
    <w:uiPriority w:val="0"/>
    <w:pPr>
      <w:adjustRightInd w:val="0"/>
      <w:spacing w:line="420" w:lineRule="atLeast"/>
      <w:ind w:left="284"/>
      <w:textAlignment w:val="baseline"/>
    </w:pPr>
    <w:rPr>
      <w:kern w:val="0"/>
      <w:sz w:val="21"/>
    </w:rPr>
  </w:style>
  <w:style w:type="paragraph" w:customStyle="1" w:styleId="56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69">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570">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71">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572">
    <w:name w:val="附录表标题"/>
    <w:next w:val="360"/>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573">
    <w:name w:val="_Style 32"/>
    <w:basedOn w:val="1"/>
    <w:next w:val="441"/>
    <w:qFormat/>
    <w:uiPriority w:val="34"/>
    <w:pPr>
      <w:ind w:firstLine="420" w:firstLineChars="200"/>
    </w:pPr>
  </w:style>
  <w:style w:type="paragraph" w:customStyle="1" w:styleId="574">
    <w:name w:val="日期1"/>
    <w:basedOn w:val="1"/>
    <w:next w:val="1"/>
    <w:qFormat/>
    <w:uiPriority w:val="0"/>
    <w:pPr>
      <w:ind w:left="100" w:leftChars="2500"/>
    </w:pPr>
    <w:rPr>
      <w:kern w:val="0"/>
      <w:sz w:val="20"/>
    </w:rPr>
  </w:style>
  <w:style w:type="paragraph" w:customStyle="1" w:styleId="575">
    <w:name w:val="xl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576">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77">
    <w:name w:val="font6"/>
    <w:basedOn w:val="1"/>
    <w:qFormat/>
    <w:uiPriority w:val="0"/>
    <w:pPr>
      <w:widowControl/>
      <w:spacing w:before="100" w:beforeAutospacing="1" w:after="100" w:afterAutospacing="1"/>
    </w:pPr>
    <w:rPr>
      <w:rFonts w:hint="eastAsia" w:ascii="宋体" w:hAnsi="宋体"/>
      <w:b/>
      <w:kern w:val="0"/>
      <w:sz w:val="36"/>
      <w:u w:val="single"/>
    </w:rPr>
  </w:style>
  <w:style w:type="paragraph" w:customStyle="1" w:styleId="578">
    <w:name w:val="列项——（一级）"/>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579">
    <w:name w:val="19"/>
    <w:basedOn w:val="1"/>
    <w:qFormat/>
    <w:uiPriority w:val="0"/>
    <w:pPr>
      <w:widowControl/>
      <w:snapToGrid w:val="0"/>
      <w:spacing w:before="100" w:beforeAutospacing="1" w:after="120" w:line="360" w:lineRule="atLeast"/>
      <w:jc w:val="left"/>
    </w:pPr>
    <w:rPr>
      <w:rFonts w:ascii="宋体" w:hAnsi="宋体"/>
      <w:kern w:val="0"/>
    </w:rPr>
  </w:style>
  <w:style w:type="paragraph" w:customStyle="1" w:styleId="580">
    <w:name w:val="附录五级条标题"/>
    <w:basedOn w:val="412"/>
    <w:next w:val="360"/>
    <w:qFormat/>
    <w:uiPriority w:val="0"/>
    <w:pPr>
      <w:outlineLvl w:val="6"/>
    </w:pPr>
  </w:style>
  <w:style w:type="paragraph" w:customStyle="1" w:styleId="581">
    <w:name w:val="彩色底纹 - 强调文字颜色 11"/>
    <w:qFormat/>
    <w:uiPriority w:val="0"/>
    <w:rPr>
      <w:rFonts w:ascii="Calibri" w:hAnsi="Calibri" w:eastAsia="宋体" w:cs="Times New Roman"/>
      <w:kern w:val="2"/>
      <w:sz w:val="21"/>
      <w:lang w:val="en-US" w:eastAsia="zh-CN" w:bidi="ar-SA"/>
    </w:rPr>
  </w:style>
  <w:style w:type="paragraph" w:customStyle="1" w:styleId="582">
    <w:name w:val="xl559"/>
    <w:basedOn w:val="1"/>
    <w:qFormat/>
    <w:uiPriority w:val="0"/>
    <w:pPr>
      <w:widowControl/>
      <w:spacing w:before="100" w:beforeAutospacing="1" w:after="100" w:afterAutospacing="1"/>
      <w:jc w:val="center"/>
    </w:pPr>
    <w:rPr>
      <w:rFonts w:ascii="宋体" w:hAnsi="宋体"/>
      <w:color w:val="000000"/>
      <w:kern w:val="0"/>
      <w:sz w:val="20"/>
    </w:rPr>
  </w:style>
  <w:style w:type="paragraph" w:customStyle="1" w:styleId="583">
    <w:name w:val="正文内"/>
    <w:basedOn w:val="1"/>
    <w:qFormat/>
    <w:uiPriority w:val="0"/>
    <w:pPr>
      <w:spacing w:line="400" w:lineRule="exact"/>
      <w:ind w:firstLine="200" w:firstLineChars="200"/>
    </w:pPr>
    <w:rPr>
      <w:rFonts w:ascii="宋体" w:hAnsi="宋体"/>
      <w:sz w:val="21"/>
    </w:rPr>
  </w:style>
  <w:style w:type="paragraph" w:customStyle="1" w:styleId="584">
    <w:name w:val="表"/>
    <w:basedOn w:val="1"/>
    <w:qFormat/>
    <w:uiPriority w:val="0"/>
    <w:pPr>
      <w:spacing w:line="360" w:lineRule="auto"/>
      <w:jc w:val="center"/>
    </w:pPr>
    <w:rPr>
      <w:color w:val="000000"/>
      <w:sz w:val="21"/>
    </w:rPr>
  </w:style>
  <w:style w:type="paragraph" w:customStyle="1" w:styleId="585">
    <w:name w:val="附录标识"/>
    <w:basedOn w:val="449"/>
    <w:qFormat/>
    <w:uiPriority w:val="0"/>
    <w:pPr>
      <w:tabs>
        <w:tab w:val="left" w:pos="720"/>
        <w:tab w:val="left" w:pos="6405"/>
      </w:tabs>
      <w:spacing w:after="200"/>
      <w:ind w:left="360" w:hanging="360"/>
    </w:pPr>
    <w:rPr>
      <w:sz w:val="21"/>
    </w:rPr>
  </w:style>
  <w:style w:type="paragraph" w:customStyle="1" w:styleId="586">
    <w:name w:val="正文 A"/>
    <w:qFormat/>
    <w:uiPriority w:val="0"/>
    <w:rPr>
      <w:rFonts w:ascii="Calibri" w:hAnsi="Calibri" w:eastAsia="ヒラギノ角ゴ Pro W3" w:cs="Times New Roman"/>
      <w:color w:val="000000"/>
      <w:sz w:val="24"/>
      <w:lang w:val="en-US" w:eastAsia="zh-CN" w:bidi="ar-SA"/>
    </w:rPr>
  </w:style>
  <w:style w:type="paragraph" w:customStyle="1" w:styleId="587">
    <w:name w:val="标题C"/>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5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89">
    <w:name w:val="默认段落字体 Para Char"/>
    <w:basedOn w:val="1"/>
    <w:qFormat/>
    <w:uiPriority w:val="0"/>
    <w:pPr>
      <w:tabs>
        <w:tab w:val="left" w:pos="425"/>
      </w:tabs>
      <w:ind w:left="425" w:hanging="425"/>
    </w:pPr>
    <w:rPr>
      <w:sz w:val="21"/>
    </w:rPr>
  </w:style>
  <w:style w:type="paragraph" w:customStyle="1" w:styleId="590">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91">
    <w:name w:val="_Style 40"/>
    <w:basedOn w:val="1"/>
    <w:qFormat/>
    <w:uiPriority w:val="0"/>
    <w:rPr>
      <w:sz w:val="21"/>
    </w:rPr>
  </w:style>
  <w:style w:type="paragraph" w:customStyle="1" w:styleId="592">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593">
    <w:name w:val="注："/>
    <w:next w:val="360"/>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94">
    <w:name w:val="font7"/>
    <w:basedOn w:val="1"/>
    <w:qFormat/>
    <w:uiPriority w:val="0"/>
    <w:pPr>
      <w:widowControl/>
      <w:spacing w:before="100" w:beforeAutospacing="1" w:after="100" w:afterAutospacing="1"/>
    </w:pPr>
    <w:rPr>
      <w:rFonts w:hint="eastAsia" w:ascii="宋体" w:hAnsi="宋体"/>
      <w:kern w:val="0"/>
      <w:sz w:val="24"/>
    </w:rPr>
  </w:style>
  <w:style w:type="paragraph" w:customStyle="1" w:styleId="595">
    <w:name w:val="彩色列表 - 强调文字颜色 12"/>
    <w:basedOn w:val="1"/>
    <w:qFormat/>
    <w:uiPriority w:val="0"/>
    <w:pPr>
      <w:ind w:firstLine="420" w:firstLineChars="200"/>
    </w:pPr>
    <w:rPr>
      <w:sz w:val="21"/>
    </w:rPr>
  </w:style>
  <w:style w:type="paragraph" w:customStyle="1" w:styleId="596">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597">
    <w:name w:val="xl37"/>
    <w:basedOn w:val="1"/>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98">
    <w:name w:val="正文样式"/>
    <w:basedOn w:val="1"/>
    <w:qFormat/>
    <w:uiPriority w:val="0"/>
    <w:pPr>
      <w:ind w:firstLine="480" w:firstLineChars="200"/>
    </w:pPr>
    <w:rPr>
      <w:rFonts w:eastAsia="华文仿宋"/>
      <w:szCs w:val="24"/>
    </w:rPr>
  </w:style>
  <w:style w:type="paragraph" w:customStyle="1" w:styleId="599">
    <w:name w:val="标题D"/>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600">
    <w:name w:val="正文图标题"/>
    <w:next w:val="360"/>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601">
    <w:name w:val="表格一"/>
    <w:basedOn w:val="1"/>
    <w:qFormat/>
    <w:uiPriority w:val="0"/>
    <w:pPr>
      <w:spacing w:line="240" w:lineRule="exact"/>
      <w:ind w:left="105" w:leftChars="50"/>
    </w:pPr>
    <w:rPr>
      <w:sz w:val="18"/>
    </w:rPr>
  </w:style>
  <w:style w:type="paragraph" w:customStyle="1" w:styleId="602">
    <w:name w:val="[Normal]"/>
    <w:qFormat/>
    <w:uiPriority w:val="0"/>
    <w:rPr>
      <w:rFonts w:ascii="宋体" w:hAnsi="宋体" w:eastAsia="宋体" w:cs="Times New Roman"/>
      <w:sz w:val="24"/>
      <w:szCs w:val="22"/>
      <w:lang w:val="zh-CN" w:eastAsia="zh-CN" w:bidi="ar-SA"/>
    </w:rPr>
  </w:style>
  <w:style w:type="paragraph" w:customStyle="1" w:styleId="603">
    <w:name w:val="moban"/>
    <w:basedOn w:val="1"/>
    <w:qFormat/>
    <w:uiPriority w:val="0"/>
    <w:pPr>
      <w:pBdr>
        <w:bottom w:val="single" w:color="auto" w:sz="4" w:space="5"/>
      </w:pBdr>
      <w:spacing w:line="360" w:lineRule="auto"/>
    </w:pPr>
  </w:style>
  <w:style w:type="character" w:customStyle="1" w:styleId="604">
    <w:name w:val="large1"/>
    <w:qFormat/>
    <w:uiPriority w:val="0"/>
    <w:rPr>
      <w:rFonts w:hint="eastAsia" w:ascii="宋体" w:hAnsi="宋体" w:eastAsia="宋体"/>
      <w:sz w:val="21"/>
      <w:szCs w:val="21"/>
    </w:rPr>
  </w:style>
  <w:style w:type="paragraph" w:customStyle="1" w:styleId="605">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paragraph" w:customStyle="1" w:styleId="606">
    <w:name w:val="Table Paragraph"/>
    <w:basedOn w:val="1"/>
    <w:qFormat/>
    <w:uiPriority w:val="1"/>
    <w:rPr>
      <w:rFonts w:ascii="宋体" w:hAnsi="宋体" w:cs="宋体"/>
      <w:lang w:val="zh-CN" w:bidi="zh-CN"/>
    </w:rPr>
  </w:style>
  <w:style w:type="character" w:customStyle="1" w:styleId="607">
    <w:name w:val="Hyperlink.3"/>
    <w:basedOn w:val="608"/>
    <w:qFormat/>
    <w:uiPriority w:val="99"/>
    <w:rPr>
      <w:rFonts w:ascii="宋体" w:hAnsi="宋体" w:eastAsia="宋体" w:cs="宋体"/>
      <w:lang w:val="en-US"/>
    </w:rPr>
  </w:style>
  <w:style w:type="character" w:customStyle="1" w:styleId="608">
    <w:name w:val="无"/>
    <w:qFormat/>
    <w:uiPriority w:val="99"/>
  </w:style>
  <w:style w:type="paragraph" w:customStyle="1" w:styleId="60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0">
    <w:name w:val="标题3"/>
    <w:basedOn w:val="5"/>
    <w:qFormat/>
    <w:uiPriority w:val="0"/>
    <w:pPr>
      <w:numPr>
        <w:ilvl w:val="2"/>
        <w:numId w:val="1"/>
      </w:numPr>
      <w:adjustRightInd w:val="0"/>
      <w:snapToGrid w:val="0"/>
      <w:spacing w:before="200" w:after="200"/>
    </w:pPr>
    <w:rPr>
      <w:rFonts w:ascii="Times New Roman" w:hAnsi="Times New Roman"/>
      <w:snapToGrid w:val="0"/>
      <w:sz w:val="30"/>
    </w:rPr>
  </w:style>
  <w:style w:type="paragraph" w:customStyle="1" w:styleId="611">
    <w:name w:val="国普正文"/>
    <w:basedOn w:val="1"/>
    <w:qFormat/>
    <w:uiPriority w:val="0"/>
    <w:pPr>
      <w:spacing w:line="360" w:lineRule="auto"/>
      <w:ind w:firstLine="600" w:firstLineChars="200"/>
    </w:pPr>
    <w:rPr>
      <w:rFonts w:ascii="仿宋_GB2312" w:eastAsia="仿宋_GB2312"/>
      <w:sz w:val="30"/>
      <w:szCs w:val="30"/>
    </w:rPr>
  </w:style>
  <w:style w:type="paragraph" w:customStyle="1" w:styleId="612">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613">
    <w:name w:val="默认"/>
    <w:qFormat/>
    <w:uiPriority w:val="0"/>
    <w:rPr>
      <w:rFonts w:ascii="Arial Unicode MS" w:hAnsi="Arial Unicode MS" w:eastAsia="Arial Unicode MS" w:cs="Arial Unicode MS"/>
      <w:color w:val="000000"/>
      <w:sz w:val="22"/>
      <w:szCs w:val="22"/>
      <w:lang w:val="zh-TW" w:eastAsia="zh-TW" w:bidi="ar-SA"/>
    </w:rPr>
  </w:style>
  <w:style w:type="paragraph" w:customStyle="1" w:styleId="614">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5">
    <w:name w:val="_Style 1"/>
    <w:qFormat/>
    <w:uiPriority w:val="0"/>
    <w:rPr>
      <w:rFonts w:ascii="Calibri" w:hAnsi="Calibri" w:eastAsia="宋体" w:cs="Times New Roman"/>
      <w:kern w:val="2"/>
      <w:sz w:val="28"/>
      <w:szCs w:val="22"/>
      <w:lang w:val="en-US" w:eastAsia="zh-CN" w:bidi="ar-SA"/>
    </w:rPr>
  </w:style>
  <w:style w:type="paragraph" w:customStyle="1" w:styleId="616">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617">
    <w:name w:val="List Paragraph"/>
    <w:basedOn w:val="1"/>
    <w:qFormat/>
    <w:uiPriority w:val="99"/>
    <w:pPr>
      <w:ind w:firstLine="420" w:firstLineChars="200"/>
    </w:pPr>
  </w:style>
  <w:style w:type="character" w:customStyle="1" w:styleId="618">
    <w:name w:val="font101"/>
    <w:basedOn w:val="9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16B34-28DB-4D1E-9906-8BD5974CAE5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69</Pages>
  <Words>31829</Words>
  <Characters>34598</Characters>
  <Lines>299</Lines>
  <Paragraphs>84</Paragraphs>
  <TotalTime>31</TotalTime>
  <ScaleCrop>false</ScaleCrop>
  <LinksUpToDate>false</LinksUpToDate>
  <CharactersWithSpaces>35207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2020-07-14T03:29:00Z</dcterms:created>
  <dc:creator>yht</dc:creator>
  <cp:lastModifiedBy>Administrator</cp:lastModifiedBy>
  <cp:lastPrinted>2022-12-01T02:43:00Z</cp:lastPrinted>
  <dcterms:modified xsi:type="dcterms:W3CDTF">2024-10-28T07:00:17Z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840FEE720ABF411BA78E9DBB0AB2D1AE_13</vt:lpwstr>
  </property>
  <property fmtid="{D5CDD505-2E9C-101B-9397-08002B2CF9AE}" pid="4" name="commondata">
    <vt:lpwstr>eyJoZGlkIjoiNmRkMjM0YzBkMTQyODhiY2M3ZWU5ZTE4NTFhMDAxMGUifQ==</vt:lpwstr>
  </property>
</Properties>
</file>