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F3336">
      <w:pPr>
        <w:snapToGrid w:val="0"/>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衢州市柯城区贝蓓儿儿童康复指导中心提升改造工程设备采购</w:t>
      </w:r>
    </w:p>
    <w:p w14:paraId="4C370B4E">
      <w:pPr>
        <w:snapToGrid w:val="0"/>
        <w:jc w:val="center"/>
        <w:rPr>
          <w:rFonts w:hint="eastAsia" w:ascii="宋体" w:hAnsi="宋体" w:eastAsia="宋体" w:cs="宋体"/>
          <w:color w:val="auto"/>
          <w:szCs w:val="21"/>
          <w:highlight w:val="none"/>
        </w:rPr>
      </w:pPr>
    </w:p>
    <w:p w14:paraId="4C14B4C3">
      <w:pPr>
        <w:snapToGrid w:val="0"/>
        <w:jc w:val="center"/>
        <w:rPr>
          <w:rFonts w:hint="eastAsia" w:ascii="宋体" w:hAnsi="宋体" w:eastAsia="宋体" w:cs="宋体"/>
          <w:color w:val="auto"/>
          <w:sz w:val="24"/>
          <w:szCs w:val="21"/>
          <w:highlight w:val="none"/>
        </w:rPr>
      </w:pPr>
    </w:p>
    <w:p w14:paraId="328E9732">
      <w:pPr>
        <w:snapToGrid w:val="0"/>
        <w:jc w:val="center"/>
        <w:rPr>
          <w:rFonts w:hint="eastAsia" w:ascii="宋体" w:hAnsi="宋体" w:eastAsia="宋体" w:cs="宋体"/>
          <w:color w:val="auto"/>
          <w:sz w:val="24"/>
          <w:szCs w:val="21"/>
          <w:highlight w:val="none"/>
        </w:rPr>
      </w:pPr>
    </w:p>
    <w:p w14:paraId="715EA0CB">
      <w:pPr>
        <w:snapToGrid w:val="0"/>
        <w:jc w:val="center"/>
        <w:rPr>
          <w:rFonts w:hint="eastAsia" w:ascii="宋体" w:hAnsi="宋体" w:eastAsia="宋体" w:cs="宋体"/>
          <w:color w:val="auto"/>
          <w:sz w:val="24"/>
          <w:szCs w:val="21"/>
          <w:highlight w:val="none"/>
        </w:rPr>
      </w:pPr>
    </w:p>
    <w:p w14:paraId="688BB0C0">
      <w:pPr>
        <w:snapToGrid w:val="0"/>
        <w:jc w:val="center"/>
        <w:rPr>
          <w:rFonts w:hint="eastAsia" w:ascii="宋体" w:hAnsi="宋体" w:eastAsia="宋体" w:cs="宋体"/>
          <w:color w:val="auto"/>
          <w:sz w:val="24"/>
          <w:szCs w:val="21"/>
          <w:highlight w:val="none"/>
        </w:rPr>
      </w:pPr>
    </w:p>
    <w:p w14:paraId="63B63299">
      <w:pPr>
        <w:snapToGrid w:val="0"/>
        <w:jc w:val="center"/>
        <w:rPr>
          <w:rFonts w:hint="eastAsia" w:ascii="宋体" w:hAnsi="宋体" w:eastAsia="宋体" w:cs="宋体"/>
          <w:color w:val="auto"/>
          <w:sz w:val="24"/>
          <w:szCs w:val="21"/>
          <w:highlight w:val="none"/>
        </w:rPr>
      </w:pPr>
    </w:p>
    <w:p w14:paraId="78D01590">
      <w:pPr>
        <w:tabs>
          <w:tab w:val="center" w:pos="4480"/>
          <w:tab w:val="left" w:pos="7724"/>
        </w:tabs>
        <w:spacing w:line="360" w:lineRule="auto"/>
        <w:jc w:val="center"/>
        <w:rPr>
          <w:rFonts w:hint="eastAsia" w:ascii="宋体" w:hAnsi="宋体" w:eastAsia="宋体" w:cs="宋体"/>
          <w:b/>
          <w:bCs/>
          <w:color w:val="auto"/>
          <w:sz w:val="72"/>
          <w:szCs w:val="96"/>
          <w:highlight w:val="none"/>
        </w:rPr>
      </w:pPr>
      <w:r>
        <w:rPr>
          <w:rFonts w:hint="eastAsia" w:ascii="宋体" w:hAnsi="宋体" w:eastAsia="宋体" w:cs="宋体"/>
          <w:b/>
          <w:bCs/>
          <w:color w:val="auto"/>
          <w:sz w:val="72"/>
          <w:highlight w:val="none"/>
          <w:lang w:val="en-US" w:eastAsia="zh-CN"/>
        </w:rPr>
        <w:t>公开招标</w:t>
      </w:r>
      <w:r>
        <w:rPr>
          <w:rFonts w:hint="eastAsia" w:ascii="宋体" w:hAnsi="宋体" w:eastAsia="宋体" w:cs="宋体"/>
          <w:b/>
          <w:bCs/>
          <w:color w:val="auto"/>
          <w:sz w:val="72"/>
          <w:highlight w:val="none"/>
          <w:lang w:val="zh-CN"/>
        </w:rPr>
        <w:t>文件</w:t>
      </w:r>
    </w:p>
    <w:p w14:paraId="1914C2B5">
      <w:pPr>
        <w:jc w:val="center"/>
        <w:rPr>
          <w:rFonts w:hint="eastAsia" w:ascii="宋体" w:hAnsi="宋体" w:eastAsia="宋体" w:cs="宋体"/>
          <w:color w:val="auto"/>
          <w:szCs w:val="21"/>
          <w:highlight w:val="none"/>
        </w:rPr>
      </w:pPr>
    </w:p>
    <w:p w14:paraId="0065A69B">
      <w:pPr>
        <w:jc w:val="center"/>
        <w:rPr>
          <w:rFonts w:hint="eastAsia" w:ascii="宋体" w:hAnsi="宋体" w:eastAsia="宋体" w:cs="宋体"/>
          <w:color w:val="auto"/>
          <w:szCs w:val="21"/>
          <w:highlight w:val="none"/>
        </w:rPr>
      </w:pPr>
    </w:p>
    <w:p w14:paraId="4D9BB11A">
      <w:pPr>
        <w:pStyle w:val="2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（线上电子标）</w:t>
      </w:r>
    </w:p>
    <w:p w14:paraId="040D7BEA">
      <w:pPr>
        <w:pStyle w:val="28"/>
        <w:jc w:val="center"/>
        <w:rPr>
          <w:rFonts w:hint="eastAsia" w:ascii="宋体" w:hAnsi="宋体" w:eastAsia="宋体" w:cs="宋体"/>
          <w:color w:val="auto"/>
          <w:highlight w:val="none"/>
        </w:rPr>
      </w:pPr>
    </w:p>
    <w:p w14:paraId="6F149B6D">
      <w:pPr>
        <w:tabs>
          <w:tab w:val="left" w:pos="6258"/>
        </w:tabs>
        <w:jc w:val="center"/>
        <w:rPr>
          <w:rFonts w:hint="eastAsia" w:ascii="宋体" w:hAnsi="宋体" w:eastAsia="宋体" w:cs="宋体"/>
          <w:color w:val="auto"/>
          <w:szCs w:val="21"/>
          <w:highlight w:val="none"/>
        </w:rPr>
      </w:pPr>
    </w:p>
    <w:p w14:paraId="7CDFED61">
      <w:pPr>
        <w:tabs>
          <w:tab w:val="left" w:pos="6258"/>
        </w:tabs>
        <w:jc w:val="center"/>
        <w:rPr>
          <w:rFonts w:hint="eastAsia" w:ascii="宋体" w:hAnsi="宋体" w:eastAsia="宋体" w:cs="宋体"/>
          <w:color w:val="auto"/>
          <w:szCs w:val="21"/>
          <w:highlight w:val="none"/>
        </w:rPr>
      </w:pPr>
    </w:p>
    <w:p w14:paraId="69F1EC6D">
      <w:pPr>
        <w:tabs>
          <w:tab w:val="left" w:pos="6258"/>
        </w:tabs>
        <w:jc w:val="center"/>
        <w:rPr>
          <w:rFonts w:hint="eastAsia" w:ascii="宋体" w:hAnsi="宋体" w:eastAsia="宋体" w:cs="宋体"/>
          <w:color w:val="auto"/>
          <w:szCs w:val="21"/>
          <w:highlight w:val="none"/>
        </w:rPr>
      </w:pPr>
    </w:p>
    <w:p w14:paraId="583EF001">
      <w:pPr>
        <w:pStyle w:val="28"/>
        <w:rPr>
          <w:rFonts w:hint="eastAsia" w:ascii="宋体" w:hAnsi="宋体" w:eastAsia="宋体" w:cs="宋体"/>
          <w:color w:val="auto"/>
          <w:highlight w:val="none"/>
        </w:rPr>
      </w:pPr>
    </w:p>
    <w:p w14:paraId="27D0A796">
      <w:pPr>
        <w:tabs>
          <w:tab w:val="left" w:pos="6258"/>
        </w:tabs>
        <w:jc w:val="center"/>
        <w:rPr>
          <w:rFonts w:hint="eastAsia" w:ascii="宋体" w:hAnsi="宋体" w:eastAsia="宋体" w:cs="宋体"/>
          <w:color w:val="auto"/>
          <w:szCs w:val="21"/>
          <w:highlight w:val="none"/>
        </w:rPr>
      </w:pPr>
    </w:p>
    <w:p w14:paraId="13B39D05">
      <w:pPr>
        <w:tabs>
          <w:tab w:val="left" w:pos="6258"/>
        </w:tabs>
        <w:jc w:val="center"/>
        <w:rPr>
          <w:rFonts w:hint="eastAsia" w:ascii="宋体" w:hAnsi="宋体" w:eastAsia="宋体" w:cs="宋体"/>
          <w:color w:val="auto"/>
          <w:szCs w:val="21"/>
          <w:highlight w:val="none"/>
        </w:rPr>
      </w:pPr>
    </w:p>
    <w:p w14:paraId="61E2394B">
      <w:pPr>
        <w:tabs>
          <w:tab w:val="left" w:pos="6258"/>
        </w:tabs>
        <w:jc w:val="center"/>
        <w:rPr>
          <w:rFonts w:hint="eastAsia" w:ascii="宋体" w:hAnsi="宋体" w:eastAsia="宋体" w:cs="宋体"/>
          <w:color w:val="auto"/>
          <w:szCs w:val="21"/>
          <w:highlight w:val="none"/>
        </w:rPr>
      </w:pPr>
    </w:p>
    <w:p w14:paraId="2992746C">
      <w:pPr>
        <w:tabs>
          <w:tab w:val="left" w:pos="6258"/>
        </w:tabs>
        <w:jc w:val="center"/>
        <w:rPr>
          <w:rFonts w:hint="eastAsia" w:ascii="宋体" w:hAnsi="宋体" w:eastAsia="宋体" w:cs="宋体"/>
          <w:color w:val="auto"/>
          <w:szCs w:val="21"/>
          <w:highlight w:val="none"/>
        </w:rPr>
      </w:pPr>
    </w:p>
    <w:p w14:paraId="375F9D0C">
      <w:pPr>
        <w:tabs>
          <w:tab w:val="left" w:pos="6258"/>
        </w:tabs>
        <w:jc w:val="center"/>
        <w:rPr>
          <w:rFonts w:hint="eastAsia" w:ascii="宋体" w:hAnsi="宋体" w:eastAsia="宋体" w:cs="宋体"/>
          <w:color w:val="auto"/>
          <w:szCs w:val="21"/>
          <w:highlight w:val="none"/>
        </w:rPr>
      </w:pPr>
    </w:p>
    <w:p w14:paraId="767BD5F6">
      <w:pPr>
        <w:tabs>
          <w:tab w:val="left" w:pos="6258"/>
        </w:tabs>
        <w:jc w:val="center"/>
        <w:rPr>
          <w:rFonts w:hint="eastAsia" w:ascii="宋体" w:hAnsi="宋体" w:eastAsia="宋体" w:cs="宋体"/>
          <w:color w:val="auto"/>
          <w:szCs w:val="21"/>
          <w:highlight w:val="none"/>
        </w:rPr>
      </w:pPr>
    </w:p>
    <w:p w14:paraId="57E95D92">
      <w:pPr>
        <w:tabs>
          <w:tab w:val="left" w:pos="6258"/>
        </w:tabs>
        <w:jc w:val="center"/>
        <w:rPr>
          <w:rFonts w:hint="eastAsia" w:ascii="宋体" w:hAnsi="宋体" w:eastAsia="宋体" w:cs="宋体"/>
          <w:color w:val="auto"/>
          <w:szCs w:val="21"/>
          <w:highlight w:val="none"/>
        </w:rPr>
      </w:pPr>
    </w:p>
    <w:tbl>
      <w:tblPr>
        <w:tblStyle w:val="23"/>
        <w:tblW w:w="0" w:type="auto"/>
        <w:jc w:val="center"/>
        <w:tblLayout w:type="fixed"/>
        <w:tblCellMar>
          <w:top w:w="0" w:type="dxa"/>
          <w:left w:w="108" w:type="dxa"/>
          <w:bottom w:w="0" w:type="dxa"/>
          <w:right w:w="108" w:type="dxa"/>
        </w:tblCellMar>
      </w:tblPr>
      <w:tblGrid>
        <w:gridCol w:w="1707"/>
        <w:gridCol w:w="6353"/>
      </w:tblGrid>
      <w:tr w14:paraId="3AA66C9F">
        <w:tblPrEx>
          <w:tblCellMar>
            <w:top w:w="0" w:type="dxa"/>
            <w:left w:w="108" w:type="dxa"/>
            <w:bottom w:w="0" w:type="dxa"/>
            <w:right w:w="108" w:type="dxa"/>
          </w:tblCellMar>
        </w:tblPrEx>
        <w:trPr>
          <w:trHeight w:val="753" w:hRule="atLeast"/>
          <w:jc w:val="center"/>
        </w:trPr>
        <w:tc>
          <w:tcPr>
            <w:tcW w:w="1707" w:type="dxa"/>
            <w:noWrap w:val="0"/>
            <w:vAlign w:val="center"/>
          </w:tcPr>
          <w:p w14:paraId="02AC4FD2">
            <w:pPr>
              <w:adjustRightInd w:val="0"/>
              <w:snapToGrid w:val="0"/>
              <w:spacing w:line="360" w:lineRule="auto"/>
              <w:ind w:right="-105" w:rightChars="-50"/>
              <w:jc w:val="right"/>
              <w:rPr>
                <w:rFonts w:hint="eastAsia" w:ascii="宋体" w:hAnsi="宋体" w:eastAsia="宋体" w:cs="宋体"/>
                <w:color w:val="auto"/>
                <w:sz w:val="32"/>
                <w:szCs w:val="32"/>
                <w:highlight w:val="none"/>
                <w:lang w:val="zh-CN"/>
              </w:rPr>
            </w:pPr>
          </w:p>
          <w:p w14:paraId="197C0A4B">
            <w:pPr>
              <w:adjustRightInd w:val="0"/>
              <w:snapToGrid w:val="0"/>
              <w:spacing w:line="360" w:lineRule="auto"/>
              <w:ind w:right="-105" w:rightChars="-50"/>
              <w:jc w:val="righ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zh-CN"/>
              </w:rPr>
              <w:t>项目编号:</w:t>
            </w:r>
          </w:p>
        </w:tc>
        <w:tc>
          <w:tcPr>
            <w:tcW w:w="6353" w:type="dxa"/>
            <w:noWrap w:val="0"/>
            <w:vAlign w:val="center"/>
          </w:tcPr>
          <w:p w14:paraId="429A5B09">
            <w:pPr>
              <w:adjustRightInd w:val="0"/>
              <w:snapToGrid w:val="0"/>
              <w:spacing w:line="360" w:lineRule="auto"/>
              <w:rPr>
                <w:rFonts w:hint="eastAsia" w:ascii="宋体" w:hAnsi="宋体" w:eastAsia="宋体" w:cs="宋体"/>
                <w:color w:val="auto"/>
                <w:kern w:val="2"/>
                <w:sz w:val="32"/>
                <w:szCs w:val="28"/>
                <w:highlight w:val="none"/>
                <w:lang w:eastAsia="zh-CN"/>
              </w:rPr>
            </w:pPr>
          </w:p>
          <w:p w14:paraId="566785C8">
            <w:pPr>
              <w:adjustRightInd w:val="0"/>
              <w:snapToGrid w:val="0"/>
              <w:spacing w:line="360" w:lineRule="auto"/>
              <w:rPr>
                <w:rFonts w:hint="eastAsia" w:ascii="宋体" w:hAnsi="宋体" w:eastAsia="宋体" w:cs="宋体"/>
                <w:color w:val="auto"/>
                <w:sz w:val="32"/>
                <w:szCs w:val="32"/>
                <w:highlight w:val="none"/>
                <w:lang w:val="en-US" w:eastAsia="zh-CN"/>
              </w:rPr>
            </w:pPr>
            <w:r>
              <w:rPr>
                <w:rFonts w:hint="eastAsia" w:ascii="宋体" w:hAnsi="宋体" w:cs="宋体"/>
                <w:color w:val="auto"/>
                <w:kern w:val="2"/>
                <w:sz w:val="32"/>
                <w:szCs w:val="28"/>
                <w:highlight w:val="none"/>
                <w:lang w:eastAsia="zh-CN"/>
              </w:rPr>
              <w:t>ZJJSCG-2024016</w:t>
            </w:r>
          </w:p>
        </w:tc>
      </w:tr>
      <w:tr w14:paraId="54D130DD">
        <w:tblPrEx>
          <w:tblCellMar>
            <w:top w:w="0" w:type="dxa"/>
            <w:left w:w="108" w:type="dxa"/>
            <w:bottom w:w="0" w:type="dxa"/>
            <w:right w:w="108" w:type="dxa"/>
          </w:tblCellMar>
        </w:tblPrEx>
        <w:trPr>
          <w:trHeight w:val="753" w:hRule="atLeast"/>
          <w:jc w:val="center"/>
        </w:trPr>
        <w:tc>
          <w:tcPr>
            <w:tcW w:w="1707" w:type="dxa"/>
            <w:noWrap w:val="0"/>
            <w:vAlign w:val="center"/>
          </w:tcPr>
          <w:p w14:paraId="6ABE3124">
            <w:pPr>
              <w:adjustRightInd w:val="0"/>
              <w:snapToGrid w:val="0"/>
              <w:spacing w:line="360" w:lineRule="auto"/>
              <w:ind w:right="-105" w:rightChars="-50"/>
              <w:jc w:val="right"/>
              <w:rPr>
                <w:rFonts w:hint="eastAsia" w:ascii="宋体" w:hAnsi="宋体" w:eastAsia="宋体" w:cs="宋体"/>
                <w:color w:val="auto"/>
                <w:sz w:val="32"/>
                <w:szCs w:val="11"/>
                <w:highlight w:val="none"/>
                <w:lang w:val="zh-CN"/>
              </w:rPr>
            </w:pPr>
            <w:r>
              <w:rPr>
                <w:rFonts w:hint="eastAsia" w:ascii="宋体" w:hAnsi="宋体" w:eastAsia="宋体" w:cs="宋体"/>
                <w:color w:val="auto"/>
                <w:sz w:val="32"/>
                <w:szCs w:val="32"/>
                <w:highlight w:val="none"/>
                <w:lang w:val="en-US" w:eastAsia="zh-CN"/>
              </w:rPr>
              <w:t>招标</w:t>
            </w:r>
            <w:r>
              <w:rPr>
                <w:rFonts w:hint="eastAsia" w:ascii="宋体" w:hAnsi="宋体" w:eastAsia="宋体" w:cs="宋体"/>
                <w:color w:val="auto"/>
                <w:sz w:val="32"/>
                <w:szCs w:val="32"/>
                <w:highlight w:val="none"/>
                <w:lang w:val="zh-CN"/>
              </w:rPr>
              <w:t>单位:</w:t>
            </w:r>
          </w:p>
        </w:tc>
        <w:tc>
          <w:tcPr>
            <w:tcW w:w="6353" w:type="dxa"/>
            <w:noWrap w:val="0"/>
            <w:vAlign w:val="center"/>
          </w:tcPr>
          <w:p w14:paraId="6BDCB9FE">
            <w:pPr>
              <w:adjustRightInd w:val="0"/>
              <w:snapToGrid w:val="0"/>
              <w:spacing w:line="360" w:lineRule="auto"/>
              <w:rPr>
                <w:rFonts w:hint="eastAsia" w:ascii="宋体" w:hAnsi="宋体" w:eastAsia="宋体" w:cs="宋体"/>
                <w:color w:val="auto"/>
                <w:sz w:val="32"/>
                <w:szCs w:val="32"/>
                <w:highlight w:val="none"/>
                <w:lang w:val="zh-CN"/>
              </w:rPr>
            </w:pPr>
            <w:r>
              <w:rPr>
                <w:rFonts w:hint="eastAsia" w:ascii="宋体" w:hAnsi="宋体" w:cs="宋体"/>
                <w:color w:val="auto"/>
                <w:kern w:val="2"/>
                <w:sz w:val="32"/>
                <w:szCs w:val="28"/>
                <w:highlight w:val="none"/>
                <w:lang w:eastAsia="zh-CN"/>
              </w:rPr>
              <w:t>衢州市柯城区残疾人联合会</w:t>
            </w:r>
          </w:p>
        </w:tc>
      </w:tr>
      <w:tr w14:paraId="49A32B14">
        <w:tblPrEx>
          <w:tblCellMar>
            <w:top w:w="0" w:type="dxa"/>
            <w:left w:w="108" w:type="dxa"/>
            <w:bottom w:w="0" w:type="dxa"/>
            <w:right w:w="108" w:type="dxa"/>
          </w:tblCellMar>
        </w:tblPrEx>
        <w:trPr>
          <w:trHeight w:val="753" w:hRule="atLeast"/>
          <w:jc w:val="center"/>
        </w:trPr>
        <w:tc>
          <w:tcPr>
            <w:tcW w:w="1707" w:type="dxa"/>
            <w:noWrap w:val="0"/>
            <w:vAlign w:val="center"/>
          </w:tcPr>
          <w:p w14:paraId="3F666EAF">
            <w:pPr>
              <w:adjustRightInd w:val="0"/>
              <w:snapToGrid w:val="0"/>
              <w:spacing w:line="360" w:lineRule="auto"/>
              <w:ind w:right="-105" w:rightChars="-50"/>
              <w:jc w:val="right"/>
              <w:rPr>
                <w:rFonts w:hint="eastAsia" w:ascii="宋体" w:hAnsi="宋体" w:eastAsia="宋体" w:cs="宋体"/>
                <w:color w:val="auto"/>
                <w:sz w:val="32"/>
                <w:szCs w:val="11"/>
                <w:highlight w:val="none"/>
                <w:lang w:val="zh-CN"/>
              </w:rPr>
            </w:pPr>
            <w:r>
              <w:rPr>
                <w:rFonts w:hint="eastAsia" w:ascii="宋体" w:hAnsi="宋体" w:eastAsia="宋体" w:cs="宋体"/>
                <w:color w:val="auto"/>
                <w:sz w:val="32"/>
                <w:szCs w:val="32"/>
                <w:highlight w:val="none"/>
                <w:lang w:val="zh-CN"/>
              </w:rPr>
              <w:t>代理机构:</w:t>
            </w:r>
          </w:p>
        </w:tc>
        <w:tc>
          <w:tcPr>
            <w:tcW w:w="6353" w:type="dxa"/>
            <w:noWrap w:val="0"/>
            <w:vAlign w:val="center"/>
          </w:tcPr>
          <w:p w14:paraId="3770731F">
            <w:pPr>
              <w:adjustRightInd w:val="0"/>
              <w:snapToGrid w:val="0"/>
              <w:spacing w:line="360" w:lineRule="auto"/>
              <w:rPr>
                <w:rFonts w:hint="eastAsia" w:ascii="宋体" w:hAnsi="宋体" w:eastAsia="宋体" w:cs="宋体"/>
                <w:color w:val="auto"/>
                <w:sz w:val="32"/>
                <w:szCs w:val="32"/>
                <w:highlight w:val="none"/>
                <w:lang w:val="zh-CN"/>
              </w:rPr>
            </w:pPr>
            <w:r>
              <w:rPr>
                <w:rFonts w:hint="eastAsia" w:ascii="宋体" w:hAnsi="宋体" w:cs="宋体"/>
                <w:color w:val="auto"/>
                <w:sz w:val="32"/>
                <w:szCs w:val="32"/>
                <w:highlight w:val="none"/>
                <w:lang w:val="zh-CN"/>
              </w:rPr>
              <w:t>浙江聚尚工程项目管理有限公司</w:t>
            </w:r>
          </w:p>
        </w:tc>
      </w:tr>
      <w:tr w14:paraId="51E28887">
        <w:tblPrEx>
          <w:tblCellMar>
            <w:top w:w="0" w:type="dxa"/>
            <w:left w:w="108" w:type="dxa"/>
            <w:bottom w:w="0" w:type="dxa"/>
            <w:right w:w="108" w:type="dxa"/>
          </w:tblCellMar>
        </w:tblPrEx>
        <w:trPr>
          <w:trHeight w:val="753" w:hRule="atLeast"/>
          <w:jc w:val="center"/>
        </w:trPr>
        <w:tc>
          <w:tcPr>
            <w:tcW w:w="8060" w:type="dxa"/>
            <w:gridSpan w:val="2"/>
            <w:noWrap w:val="0"/>
            <w:vAlign w:val="center"/>
          </w:tcPr>
          <w:p w14:paraId="10E135B9">
            <w:pPr>
              <w:adjustRightInd w:val="0"/>
              <w:snapToGrid w:val="0"/>
              <w:spacing w:line="360" w:lineRule="auto"/>
              <w:jc w:val="center"/>
              <w:rPr>
                <w:rFonts w:hint="eastAsia" w:ascii="宋体" w:hAnsi="宋体" w:eastAsia="宋体" w:cs="宋体"/>
                <w:color w:val="auto"/>
                <w:sz w:val="36"/>
                <w:highlight w:val="none"/>
              </w:rPr>
            </w:pPr>
            <w:r>
              <w:rPr>
                <w:rFonts w:hint="eastAsia" w:ascii="宋体" w:hAnsi="宋体" w:cs="宋体"/>
                <w:color w:val="auto"/>
                <w:sz w:val="32"/>
                <w:szCs w:val="36"/>
                <w:highlight w:val="none"/>
                <w:lang w:val="en-US" w:eastAsia="zh-CN"/>
              </w:rPr>
              <w:t>二〇二四</w:t>
            </w:r>
            <w:r>
              <w:rPr>
                <w:rFonts w:hint="eastAsia" w:ascii="宋体" w:hAnsi="宋体" w:eastAsia="宋体" w:cs="宋体"/>
                <w:color w:val="auto"/>
                <w:sz w:val="32"/>
                <w:szCs w:val="36"/>
                <w:highlight w:val="none"/>
                <w:lang w:val="zh-CN"/>
              </w:rPr>
              <w:t>年</w:t>
            </w:r>
            <w:r>
              <w:rPr>
                <w:rFonts w:hint="eastAsia" w:ascii="宋体" w:hAnsi="宋体" w:cs="宋体"/>
                <w:color w:val="auto"/>
                <w:sz w:val="32"/>
                <w:szCs w:val="36"/>
                <w:highlight w:val="none"/>
                <w:lang w:val="en-US" w:eastAsia="zh-CN"/>
              </w:rPr>
              <w:t>十</w:t>
            </w:r>
            <w:r>
              <w:rPr>
                <w:rFonts w:hint="eastAsia" w:ascii="宋体" w:hAnsi="宋体" w:eastAsia="宋体" w:cs="宋体"/>
                <w:color w:val="auto"/>
                <w:sz w:val="32"/>
                <w:szCs w:val="36"/>
                <w:highlight w:val="none"/>
              </w:rPr>
              <w:t>月</w:t>
            </w:r>
          </w:p>
        </w:tc>
      </w:tr>
    </w:tbl>
    <w:p w14:paraId="43F5525F">
      <w:pPr>
        <w:keepNext w:val="0"/>
        <w:keepLines w:val="0"/>
        <w:pageBreakBefore w:val="0"/>
        <w:widowControl w:val="0"/>
        <w:kinsoku/>
        <w:wordWrap/>
        <w:overflowPunct/>
        <w:topLinePunct w:val="0"/>
        <w:autoSpaceDE/>
        <w:autoSpaceDN/>
        <w:bidi w:val="0"/>
        <w:adjustRightInd/>
        <w:snapToGrid/>
        <w:spacing w:before="637" w:beforeLines="200" w:line="600" w:lineRule="exact"/>
        <w:jc w:val="both"/>
        <w:textAlignment w:val="auto"/>
        <w:rPr>
          <w:rFonts w:hint="eastAsia" w:ascii="宋体" w:hAnsi="宋体" w:eastAsia="宋体" w:cs="宋体"/>
          <w:b/>
          <w:bCs/>
          <w:color w:val="auto"/>
          <w:sz w:val="44"/>
          <w:szCs w:val="44"/>
          <w:highlight w:val="none"/>
        </w:rPr>
      </w:pPr>
    </w:p>
    <w:p w14:paraId="4E28F17D">
      <w:pPr>
        <w:keepNext w:val="0"/>
        <w:keepLines w:val="0"/>
        <w:pageBreakBefore w:val="0"/>
        <w:widowControl w:val="0"/>
        <w:kinsoku/>
        <w:wordWrap/>
        <w:overflowPunct/>
        <w:topLinePunct w:val="0"/>
        <w:autoSpaceDE/>
        <w:autoSpaceDN/>
        <w:bidi w:val="0"/>
        <w:adjustRightInd/>
        <w:snapToGrid/>
        <w:spacing w:before="637" w:beforeLines="200" w:line="600" w:lineRule="exact"/>
        <w:jc w:val="center"/>
        <w:textAlignment w:val="auto"/>
        <w:rPr>
          <w:rFonts w:hint="eastAsia" w:ascii="宋体" w:hAnsi="宋体" w:eastAsia="宋体" w:cs="宋体"/>
          <w:b/>
          <w:bCs/>
          <w:color w:val="auto"/>
          <w:sz w:val="44"/>
          <w:szCs w:val="44"/>
          <w:highlight w:val="none"/>
        </w:rPr>
        <w:sectPr>
          <w:headerReference r:id="rId3" w:type="default"/>
          <w:footerReference r:id="rId4" w:type="default"/>
          <w:pgSz w:w="11906" w:h="16838"/>
          <w:pgMar w:top="1440" w:right="1429" w:bottom="1440" w:left="1236" w:header="851" w:footer="850" w:gutter="0"/>
          <w:pgNumType w:fmt="decimal" w:start="1"/>
          <w:cols w:space="0" w:num="1"/>
          <w:docGrid w:linePitch="312" w:charSpace="0"/>
        </w:sectPr>
      </w:pPr>
    </w:p>
    <w:p w14:paraId="686D31D0">
      <w:pPr>
        <w:keepNext w:val="0"/>
        <w:keepLines w:val="0"/>
        <w:pageBreakBefore w:val="0"/>
        <w:widowControl w:val="0"/>
        <w:kinsoku/>
        <w:wordWrap/>
        <w:overflowPunct/>
        <w:topLinePunct w:val="0"/>
        <w:autoSpaceDE/>
        <w:autoSpaceDN/>
        <w:bidi w:val="0"/>
        <w:adjustRightInd/>
        <w:snapToGrid/>
        <w:spacing w:before="637" w:beforeLines="200" w:line="600" w:lineRule="exact"/>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7CF1D19B">
      <w:pPr>
        <w:spacing w:line="600" w:lineRule="exact"/>
        <w:jc w:val="center"/>
        <w:rPr>
          <w:rFonts w:hint="eastAsia" w:ascii="宋体" w:hAnsi="宋体" w:eastAsia="宋体" w:cs="宋体"/>
          <w:b/>
          <w:bCs/>
          <w:color w:val="auto"/>
          <w:sz w:val="32"/>
          <w:szCs w:val="32"/>
          <w:highlight w:val="none"/>
        </w:rPr>
      </w:pPr>
    </w:p>
    <w:p w14:paraId="4CDE7F45">
      <w:pPr>
        <w:pStyle w:val="30"/>
        <w:tabs>
          <w:tab w:val="right" w:leader="dot" w:pos="946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_Toc15588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p>
    <w:p w14:paraId="5B90FCF3">
      <w:pPr>
        <w:pStyle w:val="30"/>
        <w:tabs>
          <w:tab w:val="right" w:leader="dot" w:pos="946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第二章投标人须知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fldChar w:fldCharType="end"/>
      </w:r>
    </w:p>
    <w:p w14:paraId="14CEA56E">
      <w:pPr>
        <w:pStyle w:val="30"/>
        <w:tabs>
          <w:tab w:val="right" w:leader="dot" w:pos="946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_Toc5518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第三章招标内容及要求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fldChar w:fldCharType="end"/>
      </w:r>
    </w:p>
    <w:p w14:paraId="0DF60B15">
      <w:pPr>
        <w:pStyle w:val="30"/>
        <w:tabs>
          <w:tab w:val="right" w:leader="dot" w:pos="946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_Toc12166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第四章合同主要条款</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14:paraId="6C494F64">
      <w:pPr>
        <w:pStyle w:val="30"/>
        <w:tabs>
          <w:tab w:val="right" w:leader="dot" w:pos="946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_Toc11240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第五章评标原则及方法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9</w:t>
      </w:r>
    </w:p>
    <w:p w14:paraId="02F629C5">
      <w:pPr>
        <w:pStyle w:val="30"/>
        <w:tabs>
          <w:tab w:val="right" w:leader="dot" w:pos="9460"/>
        </w:tabs>
        <w:rPr>
          <w:rFonts w:hint="default" w:ascii="宋体" w:hAnsi="宋体" w:eastAsia="宋体" w:cs="宋体"/>
          <w:color w:val="auto"/>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_Toc4631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42</w:t>
      </w:r>
    </w:p>
    <w:p w14:paraId="5ED38E1B">
      <w:pPr>
        <w:spacing w:line="480" w:lineRule="auto"/>
        <w:rPr>
          <w:rFonts w:hint="eastAsia" w:ascii="宋体" w:hAnsi="宋体" w:eastAsia="宋体" w:cs="宋体"/>
          <w:b/>
          <w:bCs/>
          <w:color w:val="auto"/>
          <w:sz w:val="24"/>
          <w:highlight w:val="none"/>
        </w:rPr>
      </w:pPr>
    </w:p>
    <w:p w14:paraId="6FEAA377">
      <w:pPr>
        <w:pStyle w:val="30"/>
        <w:tabs>
          <w:tab w:val="right" w:leader="dot" w:pos="10206"/>
        </w:tabs>
        <w:rPr>
          <w:rFonts w:hint="eastAsia" w:ascii="宋体" w:hAnsi="宋体" w:eastAsia="宋体" w:cs="宋体"/>
          <w:color w:val="auto"/>
          <w:highlight w:val="none"/>
        </w:rPr>
      </w:pPr>
    </w:p>
    <w:p w14:paraId="06A15539">
      <w:pPr>
        <w:pStyle w:val="21"/>
        <w:rPr>
          <w:rFonts w:hint="eastAsia" w:ascii="宋体" w:hAnsi="宋体" w:eastAsia="宋体" w:cs="宋体"/>
          <w:color w:val="auto"/>
          <w:highlight w:val="none"/>
        </w:rPr>
      </w:pPr>
    </w:p>
    <w:p w14:paraId="3A56ADF8">
      <w:pPr>
        <w:pStyle w:val="2"/>
        <w:jc w:val="both"/>
        <w:rPr>
          <w:rFonts w:hint="eastAsia" w:ascii="宋体" w:hAnsi="宋体" w:eastAsia="宋体" w:cs="宋体"/>
          <w:color w:val="auto"/>
          <w:sz w:val="22"/>
          <w:szCs w:val="22"/>
          <w:highlight w:val="none"/>
        </w:rPr>
      </w:pPr>
    </w:p>
    <w:p w14:paraId="65F92B93">
      <w:pPr>
        <w:rPr>
          <w:rFonts w:hint="eastAsia" w:ascii="宋体" w:hAnsi="宋体" w:eastAsia="宋体" w:cs="宋体"/>
          <w:color w:val="auto"/>
          <w:sz w:val="22"/>
          <w:szCs w:val="22"/>
          <w:highlight w:val="none"/>
        </w:rPr>
      </w:pPr>
    </w:p>
    <w:p w14:paraId="01DE614B">
      <w:pPr>
        <w:rPr>
          <w:rFonts w:hint="eastAsia" w:ascii="宋体" w:hAnsi="宋体" w:eastAsia="宋体" w:cs="宋体"/>
          <w:color w:val="auto"/>
          <w:sz w:val="22"/>
          <w:szCs w:val="22"/>
          <w:highlight w:val="none"/>
        </w:rPr>
      </w:pPr>
    </w:p>
    <w:p w14:paraId="6F9800AD">
      <w:pPr>
        <w:rPr>
          <w:rFonts w:hint="eastAsia" w:ascii="宋体" w:hAnsi="宋体" w:eastAsia="宋体" w:cs="宋体"/>
          <w:color w:val="auto"/>
          <w:sz w:val="22"/>
          <w:szCs w:val="22"/>
          <w:highlight w:val="none"/>
        </w:rPr>
      </w:pPr>
    </w:p>
    <w:p w14:paraId="1F7E7661">
      <w:pPr>
        <w:tabs>
          <w:tab w:val="left" w:pos="8894"/>
        </w:tabs>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ab/>
      </w:r>
    </w:p>
    <w:p w14:paraId="4021ECFE">
      <w:pPr>
        <w:rPr>
          <w:rFonts w:hint="eastAsia" w:ascii="宋体" w:hAnsi="宋体" w:eastAsia="宋体" w:cs="宋体"/>
          <w:color w:val="auto"/>
          <w:sz w:val="22"/>
          <w:szCs w:val="22"/>
          <w:highlight w:val="none"/>
        </w:rPr>
      </w:pPr>
    </w:p>
    <w:p w14:paraId="4A7F930C">
      <w:pPr>
        <w:rPr>
          <w:rFonts w:hint="eastAsia" w:ascii="宋体" w:hAnsi="宋体" w:eastAsia="宋体" w:cs="宋体"/>
          <w:color w:val="auto"/>
          <w:sz w:val="22"/>
          <w:szCs w:val="22"/>
          <w:highlight w:val="none"/>
        </w:rPr>
      </w:pPr>
    </w:p>
    <w:p w14:paraId="0FAE1414">
      <w:pPr>
        <w:rPr>
          <w:rFonts w:hint="eastAsia" w:ascii="宋体" w:hAnsi="宋体" w:eastAsia="宋体" w:cs="宋体"/>
          <w:color w:val="auto"/>
          <w:sz w:val="22"/>
          <w:szCs w:val="22"/>
          <w:highlight w:val="none"/>
        </w:rPr>
      </w:pPr>
    </w:p>
    <w:p w14:paraId="7E2D7F95">
      <w:pPr>
        <w:rPr>
          <w:rFonts w:hint="eastAsia" w:ascii="宋体" w:hAnsi="宋体" w:eastAsia="宋体" w:cs="宋体"/>
          <w:color w:val="auto"/>
          <w:sz w:val="22"/>
          <w:szCs w:val="22"/>
          <w:highlight w:val="none"/>
        </w:rPr>
      </w:pPr>
    </w:p>
    <w:p w14:paraId="5B3E6837">
      <w:pPr>
        <w:rPr>
          <w:rFonts w:hint="eastAsia" w:ascii="宋体" w:hAnsi="宋体" w:eastAsia="宋体" w:cs="宋体"/>
          <w:color w:val="auto"/>
          <w:sz w:val="22"/>
          <w:szCs w:val="22"/>
          <w:highlight w:val="none"/>
        </w:rPr>
      </w:pPr>
    </w:p>
    <w:p w14:paraId="1EEB510A">
      <w:pPr>
        <w:rPr>
          <w:rFonts w:hint="eastAsia" w:ascii="宋体" w:hAnsi="宋体" w:eastAsia="宋体" w:cs="宋体"/>
          <w:color w:val="auto"/>
          <w:sz w:val="22"/>
          <w:szCs w:val="22"/>
          <w:highlight w:val="none"/>
        </w:rPr>
      </w:pPr>
    </w:p>
    <w:p w14:paraId="0002AE79">
      <w:pPr>
        <w:rPr>
          <w:rFonts w:hint="eastAsia" w:ascii="宋体" w:hAnsi="宋体" w:eastAsia="宋体" w:cs="宋体"/>
          <w:color w:val="auto"/>
          <w:sz w:val="22"/>
          <w:szCs w:val="22"/>
          <w:highlight w:val="none"/>
        </w:rPr>
      </w:pPr>
    </w:p>
    <w:p w14:paraId="2B9F42A5">
      <w:pPr>
        <w:rPr>
          <w:rFonts w:hint="eastAsia" w:ascii="宋体" w:hAnsi="宋体" w:eastAsia="宋体" w:cs="宋体"/>
          <w:color w:val="auto"/>
          <w:sz w:val="22"/>
          <w:szCs w:val="22"/>
          <w:highlight w:val="none"/>
        </w:rPr>
      </w:pPr>
    </w:p>
    <w:p w14:paraId="018A852B">
      <w:pPr>
        <w:rPr>
          <w:rFonts w:hint="eastAsia" w:ascii="宋体" w:hAnsi="宋体" w:eastAsia="宋体" w:cs="宋体"/>
          <w:color w:val="auto"/>
          <w:sz w:val="22"/>
          <w:szCs w:val="22"/>
          <w:highlight w:val="none"/>
        </w:rPr>
      </w:pPr>
    </w:p>
    <w:p w14:paraId="4345B4E0">
      <w:pPr>
        <w:rPr>
          <w:rFonts w:hint="eastAsia" w:ascii="宋体" w:hAnsi="宋体" w:eastAsia="宋体" w:cs="宋体"/>
          <w:color w:val="auto"/>
          <w:sz w:val="22"/>
          <w:szCs w:val="22"/>
          <w:highlight w:val="none"/>
        </w:rPr>
      </w:pPr>
    </w:p>
    <w:p w14:paraId="525BC102">
      <w:pPr>
        <w:rPr>
          <w:rFonts w:hint="eastAsia" w:ascii="宋体" w:hAnsi="宋体" w:eastAsia="宋体" w:cs="宋体"/>
          <w:color w:val="auto"/>
          <w:sz w:val="22"/>
          <w:szCs w:val="22"/>
          <w:highlight w:val="none"/>
        </w:rPr>
      </w:pPr>
    </w:p>
    <w:p w14:paraId="6EA10DC9">
      <w:pPr>
        <w:rPr>
          <w:rFonts w:hint="eastAsia" w:ascii="宋体" w:hAnsi="宋体" w:eastAsia="宋体" w:cs="宋体"/>
          <w:color w:val="auto"/>
          <w:sz w:val="22"/>
          <w:szCs w:val="22"/>
          <w:highlight w:val="none"/>
        </w:rPr>
      </w:pPr>
    </w:p>
    <w:p w14:paraId="2825A5AF">
      <w:pPr>
        <w:rPr>
          <w:rFonts w:hint="eastAsia" w:ascii="宋体" w:hAnsi="宋体" w:eastAsia="宋体" w:cs="宋体"/>
          <w:color w:val="auto"/>
          <w:sz w:val="22"/>
          <w:szCs w:val="22"/>
          <w:highlight w:val="none"/>
        </w:rPr>
      </w:pPr>
    </w:p>
    <w:p w14:paraId="43ED4FC6">
      <w:pPr>
        <w:pStyle w:val="28"/>
        <w:rPr>
          <w:rFonts w:hint="eastAsia" w:ascii="宋体" w:hAnsi="宋体" w:eastAsia="宋体" w:cs="宋体"/>
          <w:color w:val="auto"/>
          <w:sz w:val="22"/>
          <w:szCs w:val="22"/>
          <w:highlight w:val="none"/>
        </w:rPr>
      </w:pPr>
    </w:p>
    <w:p w14:paraId="4AF71F74">
      <w:pPr>
        <w:pStyle w:val="28"/>
        <w:rPr>
          <w:rFonts w:hint="eastAsia" w:ascii="宋体" w:hAnsi="宋体" w:eastAsia="宋体" w:cs="宋体"/>
          <w:color w:val="auto"/>
          <w:sz w:val="22"/>
          <w:szCs w:val="22"/>
          <w:highlight w:val="none"/>
        </w:rPr>
      </w:pPr>
    </w:p>
    <w:p w14:paraId="66982EEE">
      <w:pPr>
        <w:pStyle w:val="28"/>
        <w:rPr>
          <w:rFonts w:hint="eastAsia" w:ascii="宋体" w:hAnsi="宋体" w:eastAsia="宋体" w:cs="宋体"/>
          <w:color w:val="auto"/>
          <w:sz w:val="22"/>
          <w:szCs w:val="22"/>
          <w:highlight w:val="none"/>
        </w:rPr>
      </w:pPr>
    </w:p>
    <w:p w14:paraId="5A6E73A3">
      <w:pPr>
        <w:pStyle w:val="28"/>
        <w:rPr>
          <w:rFonts w:hint="eastAsia" w:ascii="宋体" w:hAnsi="宋体" w:eastAsia="宋体" w:cs="宋体"/>
          <w:color w:val="auto"/>
          <w:sz w:val="22"/>
          <w:szCs w:val="22"/>
          <w:highlight w:val="none"/>
        </w:rPr>
      </w:pPr>
    </w:p>
    <w:p w14:paraId="3B0E6EA1">
      <w:pPr>
        <w:pStyle w:val="28"/>
        <w:rPr>
          <w:rFonts w:hint="eastAsia" w:ascii="宋体" w:hAnsi="宋体" w:eastAsia="宋体" w:cs="宋体"/>
          <w:color w:val="auto"/>
          <w:sz w:val="22"/>
          <w:szCs w:val="22"/>
          <w:highlight w:val="none"/>
        </w:rPr>
      </w:pPr>
    </w:p>
    <w:p w14:paraId="1DF1168D">
      <w:pPr>
        <w:pStyle w:val="28"/>
        <w:rPr>
          <w:rFonts w:hint="eastAsia" w:ascii="宋体" w:hAnsi="宋体" w:eastAsia="宋体" w:cs="宋体"/>
          <w:color w:val="auto"/>
          <w:sz w:val="22"/>
          <w:szCs w:val="22"/>
          <w:highlight w:val="none"/>
        </w:rPr>
      </w:pPr>
    </w:p>
    <w:p w14:paraId="3E9CCBFA">
      <w:pPr>
        <w:pStyle w:val="28"/>
        <w:rPr>
          <w:rFonts w:hint="eastAsia" w:ascii="宋体" w:hAnsi="宋体" w:eastAsia="宋体" w:cs="宋体"/>
          <w:color w:val="auto"/>
          <w:sz w:val="22"/>
          <w:szCs w:val="22"/>
          <w:highlight w:val="none"/>
        </w:rPr>
      </w:pPr>
    </w:p>
    <w:p w14:paraId="3B261BBC">
      <w:pPr>
        <w:pStyle w:val="28"/>
        <w:rPr>
          <w:rFonts w:hint="eastAsia" w:ascii="宋体" w:hAnsi="宋体" w:eastAsia="宋体" w:cs="宋体"/>
          <w:color w:val="auto"/>
          <w:sz w:val="22"/>
          <w:szCs w:val="22"/>
          <w:highlight w:val="none"/>
        </w:rPr>
      </w:pPr>
    </w:p>
    <w:p w14:paraId="2D7AD44A">
      <w:pPr>
        <w:pStyle w:val="28"/>
        <w:rPr>
          <w:rFonts w:hint="eastAsia" w:ascii="宋体" w:hAnsi="宋体" w:eastAsia="宋体" w:cs="宋体"/>
          <w:color w:val="auto"/>
          <w:sz w:val="22"/>
          <w:szCs w:val="22"/>
          <w:highlight w:val="none"/>
        </w:rPr>
      </w:pPr>
    </w:p>
    <w:p w14:paraId="2AFD56AD">
      <w:pPr>
        <w:pStyle w:val="28"/>
        <w:rPr>
          <w:rFonts w:hint="eastAsia" w:ascii="宋体" w:hAnsi="宋体" w:eastAsia="宋体" w:cs="宋体"/>
          <w:color w:val="auto"/>
          <w:sz w:val="22"/>
          <w:szCs w:val="22"/>
          <w:highlight w:val="none"/>
        </w:rPr>
      </w:pPr>
    </w:p>
    <w:p w14:paraId="35D3DF01">
      <w:pPr>
        <w:pStyle w:val="28"/>
        <w:rPr>
          <w:rFonts w:hint="eastAsia" w:ascii="宋体" w:hAnsi="宋体" w:eastAsia="宋体" w:cs="宋体"/>
          <w:color w:val="auto"/>
          <w:sz w:val="22"/>
          <w:szCs w:val="22"/>
          <w:highlight w:val="none"/>
        </w:rPr>
      </w:pPr>
    </w:p>
    <w:p w14:paraId="0B772278">
      <w:pPr>
        <w:pStyle w:val="28"/>
        <w:rPr>
          <w:rFonts w:hint="eastAsia" w:ascii="宋体" w:hAnsi="宋体" w:eastAsia="宋体" w:cs="宋体"/>
          <w:color w:val="auto"/>
          <w:sz w:val="22"/>
          <w:szCs w:val="22"/>
          <w:highlight w:val="none"/>
        </w:rPr>
      </w:pPr>
    </w:p>
    <w:p w14:paraId="7CFCC788">
      <w:pPr>
        <w:keepNext w:val="0"/>
        <w:keepLines w:val="0"/>
        <w:pageBreakBefore w:val="0"/>
        <w:widowControl w:val="0"/>
        <w:numPr>
          <w:ilvl w:val="0"/>
          <w:numId w:val="1"/>
        </w:numPr>
        <w:kinsoku/>
        <w:wordWrap/>
        <w:overflowPunct/>
        <w:topLinePunct w:val="0"/>
        <w:autoSpaceDE/>
        <w:autoSpaceDN/>
        <w:bidi w:val="0"/>
        <w:adjustRightInd/>
        <w:snapToGrid/>
        <w:spacing w:before="478" w:beforeLines="150" w:after="160" w:afterLines="50" w:line="440" w:lineRule="exact"/>
        <w:ind w:left="0" w:leftChars="0" w:firstLine="0" w:firstLineChars="0"/>
        <w:jc w:val="center"/>
        <w:textAlignment w:val="auto"/>
        <w:rPr>
          <w:rFonts w:ascii="仿宋_GB2312" w:hAnsi="宋体" w:eastAsia="仿宋_GB2312" w:cs="宋体"/>
          <w:b/>
          <w:color w:val="auto"/>
          <w:sz w:val="32"/>
          <w:szCs w:val="32"/>
          <w:highlight w:val="none"/>
        </w:rPr>
      </w:pPr>
      <w:bookmarkStart w:id="0" w:name="_Toc30291"/>
      <w:bookmarkStart w:id="1" w:name="OLE_LINK3"/>
      <w:bookmarkStart w:id="2" w:name="_Toc15588"/>
      <w:r>
        <w:rPr>
          <w:rFonts w:hint="eastAsia" w:ascii="宋体" w:hAnsi="宋体" w:eastAsia="宋体" w:cs="宋体"/>
          <w:b/>
          <w:bCs/>
          <w:color w:val="auto"/>
          <w:sz w:val="32"/>
          <w:szCs w:val="32"/>
          <w:highlight w:val="none"/>
        </w:rPr>
        <w:t>招标公告</w:t>
      </w:r>
      <w:bookmarkEnd w:id="0"/>
      <w:bookmarkEnd w:id="1"/>
      <w:bookmarkEnd w:id="2"/>
      <w:bookmarkStart w:id="3" w:name="_Toc245191310"/>
      <w:bookmarkStart w:id="4" w:name="_Toc19851"/>
      <w:bookmarkStart w:id="5" w:name="_Toc246261261"/>
      <w:bookmarkStart w:id="6" w:name="_Toc222114875"/>
      <w:bookmarkStart w:id="7" w:name="_Toc249758860"/>
      <w:bookmarkStart w:id="8" w:name="_Toc262049414"/>
      <w:bookmarkStart w:id="9" w:name="_Toc239145350"/>
      <w:bookmarkStart w:id="10" w:name="_Toc221374622"/>
      <w:bookmarkStart w:id="11" w:name="_Toc221356882"/>
      <w:bookmarkStart w:id="12" w:name="_Toc245722277"/>
      <w:bookmarkStart w:id="13" w:name="_Toc410031812"/>
      <w:bookmarkStart w:id="14" w:name="_Toc249758708"/>
      <w:bookmarkStart w:id="15" w:name="_Toc221356947"/>
      <w:bookmarkStart w:id="16" w:name="_Toc223715994"/>
      <w:bookmarkStart w:id="17" w:name="_Toc241404198"/>
      <w:bookmarkStart w:id="18" w:name="_Toc2510"/>
      <w:bookmarkStart w:id="19" w:name="_Toc221423615"/>
      <w:bookmarkStart w:id="20" w:name="_Toc262105499"/>
    </w:p>
    <w:p w14:paraId="07CFABA5">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szCs w:val="24"/>
          <w:highlight w:val="none"/>
          <w:lang w:eastAsia="zh-CN"/>
        </w:rPr>
      </w:pPr>
      <w:r>
        <w:rPr>
          <w:rFonts w:ascii="仿宋" w:hAnsi="仿宋" w:eastAsia="仿宋" w:cs="仿宋"/>
          <w:color w:val="auto"/>
          <w:sz w:val="24"/>
          <w:szCs w:val="24"/>
          <w:highlight w:val="none"/>
        </w:rPr>
        <w:t>项目概况</w:t>
      </w:r>
      <w:r>
        <w:rPr>
          <w:rFonts w:hint="eastAsia" w:ascii="仿宋" w:hAnsi="仿宋" w:eastAsia="仿宋" w:cs="仿宋"/>
          <w:color w:val="auto"/>
          <w:sz w:val="24"/>
          <w:szCs w:val="24"/>
          <w:highlight w:val="none"/>
          <w:lang w:eastAsia="zh-CN"/>
        </w:rPr>
        <w:t>：</w:t>
      </w:r>
    </w:p>
    <w:p w14:paraId="3B8E3F16">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u w:val="single"/>
          <w:lang w:val="en-US" w:eastAsia="zh-CN"/>
        </w:rPr>
        <w:t>衢州市柯城区贝蓓儿儿童康复指导中心提升改造工程设备采购</w:t>
      </w:r>
      <w:r>
        <w:rPr>
          <w:rFonts w:ascii="仿宋" w:hAnsi="仿宋" w:eastAsia="仿宋" w:cs="仿宋"/>
          <w:color w:val="auto"/>
          <w:sz w:val="24"/>
          <w:szCs w:val="24"/>
          <w:highlight w:val="none"/>
        </w:rPr>
        <w:t>的潜在投标人应在</w:t>
      </w:r>
      <w:r>
        <w:rPr>
          <w:rFonts w:ascii="仿宋" w:hAnsi="仿宋" w:eastAsia="仿宋" w:cs="仿宋"/>
          <w:color w:val="auto"/>
          <w:sz w:val="24"/>
          <w:szCs w:val="24"/>
          <w:highlight w:val="none"/>
          <w:u w:val="single"/>
        </w:rPr>
        <w:t>政采云平台</w:t>
      </w:r>
      <w:r>
        <w:rPr>
          <w:rFonts w:ascii="仿宋" w:hAnsi="仿宋" w:eastAsia="仿宋" w:cs="仿宋"/>
          <w:color w:val="auto"/>
          <w:sz w:val="24"/>
          <w:szCs w:val="24"/>
          <w:highlight w:val="none"/>
        </w:rPr>
        <w:t>获取（下载）招标文件，并于</w:t>
      </w:r>
      <w:r>
        <w:rPr>
          <w:rFonts w:hint="eastAsia" w:ascii="仿宋" w:hAnsi="仿宋" w:eastAsia="仿宋" w:cs="仿宋"/>
          <w:color w:val="auto"/>
          <w:sz w:val="24"/>
          <w:szCs w:val="24"/>
          <w:highlight w:val="none"/>
          <w:u w:val="single"/>
          <w:lang w:eastAsia="zh-CN"/>
        </w:rPr>
        <w:t>2024</w:t>
      </w:r>
      <w:r>
        <w:rPr>
          <w:rFonts w:ascii="仿宋" w:hAnsi="仿宋" w:eastAsia="仿宋" w:cs="仿宋"/>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10</w:t>
      </w:r>
      <w:r>
        <w:rPr>
          <w:rFonts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24</w:t>
      </w:r>
      <w:r>
        <w:rPr>
          <w:rFonts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val="en-US" w:eastAsia="zh-CN"/>
        </w:rPr>
        <w:t>14</w:t>
      </w:r>
      <w:r>
        <w:rPr>
          <w:rFonts w:ascii="仿宋" w:hAnsi="仿宋" w:eastAsia="仿宋" w:cs="仿宋"/>
          <w:bCs/>
          <w:color w:val="auto"/>
          <w:sz w:val="24"/>
          <w:szCs w:val="24"/>
          <w:highlight w:val="none"/>
          <w:u w:val="single"/>
        </w:rPr>
        <w:t>点</w:t>
      </w:r>
      <w:r>
        <w:rPr>
          <w:rFonts w:hint="eastAsia" w:ascii="仿宋" w:hAnsi="仿宋" w:eastAsia="仿宋" w:cs="仿宋"/>
          <w:bCs/>
          <w:color w:val="auto"/>
          <w:sz w:val="24"/>
          <w:szCs w:val="24"/>
          <w:highlight w:val="none"/>
          <w:u w:val="single"/>
          <w:lang w:val="en-US" w:eastAsia="zh-CN"/>
        </w:rPr>
        <w:t>30</w:t>
      </w:r>
      <w:r>
        <w:rPr>
          <w:rFonts w:ascii="仿宋" w:hAnsi="仿宋" w:eastAsia="仿宋" w:cs="仿宋"/>
          <w:bCs/>
          <w:color w:val="auto"/>
          <w:sz w:val="24"/>
          <w:szCs w:val="24"/>
          <w:highlight w:val="none"/>
          <w:u w:val="single"/>
        </w:rPr>
        <w:t>分（</w:t>
      </w:r>
      <w:r>
        <w:rPr>
          <w:rFonts w:ascii="仿宋" w:hAnsi="仿宋" w:eastAsia="仿宋" w:cs="仿宋"/>
          <w:bCs/>
          <w:color w:val="auto"/>
          <w:sz w:val="24"/>
          <w:szCs w:val="24"/>
          <w:highlight w:val="none"/>
        </w:rPr>
        <w:t>北京时间）前递交（上传）投标文件</w:t>
      </w:r>
      <w:r>
        <w:rPr>
          <w:rFonts w:ascii="仿宋" w:hAnsi="仿宋" w:eastAsia="仿宋" w:cs="仿宋"/>
          <w:color w:val="auto"/>
          <w:sz w:val="24"/>
          <w:szCs w:val="24"/>
          <w:highlight w:val="none"/>
        </w:rPr>
        <w:t>。</w:t>
      </w:r>
    </w:p>
    <w:p w14:paraId="5C746BB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一、</w:t>
      </w:r>
      <w:r>
        <w:rPr>
          <w:rFonts w:hint="eastAsia" w:ascii="宋体" w:hAnsi="宋体" w:cs="宋体"/>
          <w:b w:val="0"/>
          <w:bCs w:val="0"/>
          <w:color w:val="auto"/>
          <w:sz w:val="24"/>
          <w:szCs w:val="24"/>
          <w:highlight w:val="none"/>
          <w:lang w:val="en-US" w:eastAsia="zh-CN"/>
        </w:rPr>
        <w:t>项目情况</w:t>
      </w:r>
    </w:p>
    <w:p w14:paraId="2B57CCBF">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采购编号：</w:t>
      </w:r>
      <w:r>
        <w:rPr>
          <w:rFonts w:hint="eastAsia" w:ascii="宋体" w:hAnsi="宋体" w:cs="宋体"/>
          <w:b w:val="0"/>
          <w:bCs w:val="0"/>
          <w:color w:val="auto"/>
          <w:sz w:val="24"/>
          <w:szCs w:val="24"/>
          <w:highlight w:val="none"/>
          <w:lang w:val="en-US" w:eastAsia="zh-CN"/>
        </w:rPr>
        <w:t>ZJJSCG-2024016</w:t>
      </w:r>
    </w:p>
    <w:p w14:paraId="0AB510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采购组织类型：分散采购委托</w:t>
      </w:r>
    </w:p>
    <w:p w14:paraId="4D718BB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采购方式: 公开招标</w:t>
      </w:r>
    </w:p>
    <w:p w14:paraId="6A9962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w:t>
      </w:r>
      <w:r>
        <w:rPr>
          <w:rFonts w:hint="eastAsia" w:ascii="宋体" w:hAnsi="宋体" w:cs="宋体"/>
          <w:b w:val="0"/>
          <w:bCs w:val="0"/>
          <w:color w:val="auto"/>
          <w:sz w:val="24"/>
          <w:szCs w:val="24"/>
          <w:highlight w:val="none"/>
          <w:lang w:val="en-US" w:eastAsia="zh-CN"/>
        </w:rPr>
        <w:t>需求</w:t>
      </w:r>
      <w:r>
        <w:rPr>
          <w:rFonts w:hint="eastAsia" w:ascii="宋体" w:hAnsi="宋体" w:eastAsia="宋体" w:cs="宋体"/>
          <w:b w:val="0"/>
          <w:bCs w:val="0"/>
          <w:color w:val="auto"/>
          <w:sz w:val="24"/>
          <w:szCs w:val="24"/>
          <w:highlight w:val="none"/>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3"/>
        <w:gridCol w:w="913"/>
        <w:gridCol w:w="1162"/>
        <w:gridCol w:w="1639"/>
        <w:gridCol w:w="2586"/>
      </w:tblGrid>
      <w:tr w14:paraId="5D8A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083" w:type="dxa"/>
            <w:noWrap w:val="0"/>
            <w:vAlign w:val="center"/>
          </w:tcPr>
          <w:p w14:paraId="32CA0605">
            <w:pPr>
              <w:keepNext w:val="0"/>
              <w:keepLines w:val="0"/>
              <w:pageBreakBefore w:val="0"/>
              <w:kinsoku/>
              <w:wordWrap/>
              <w:topLinePunct w:val="0"/>
              <w:bidi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913" w:type="dxa"/>
            <w:noWrap w:val="0"/>
            <w:vAlign w:val="center"/>
          </w:tcPr>
          <w:p w14:paraId="53DAC17B">
            <w:pPr>
              <w:keepNext w:val="0"/>
              <w:keepLines w:val="0"/>
              <w:pageBreakBefore w:val="0"/>
              <w:kinsoku/>
              <w:wordWrap/>
              <w:topLinePunct w:val="0"/>
              <w:bidi w:val="0"/>
              <w:snapToGrid w:val="0"/>
              <w:spacing w:line="4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w:t>
            </w:r>
          </w:p>
        </w:tc>
        <w:tc>
          <w:tcPr>
            <w:tcW w:w="1162" w:type="dxa"/>
            <w:noWrap w:val="0"/>
            <w:vAlign w:val="center"/>
          </w:tcPr>
          <w:p w14:paraId="34F32261">
            <w:pPr>
              <w:keepNext w:val="0"/>
              <w:keepLines w:val="0"/>
              <w:pageBreakBefore w:val="0"/>
              <w:kinsoku/>
              <w:wordWrap/>
              <w:topLinePunct w:val="0"/>
              <w:bidi w:val="0"/>
              <w:snapToGrid w:val="0"/>
              <w:spacing w:line="40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w:t>
            </w:r>
          </w:p>
        </w:tc>
        <w:tc>
          <w:tcPr>
            <w:tcW w:w="1639" w:type="dxa"/>
            <w:noWrap w:val="0"/>
            <w:vAlign w:val="center"/>
          </w:tcPr>
          <w:p w14:paraId="4A340202">
            <w:pPr>
              <w:keepNext w:val="0"/>
              <w:keepLines w:val="0"/>
              <w:pageBreakBefore w:val="0"/>
              <w:kinsoku/>
              <w:wordWrap/>
              <w:topLinePunct w:val="0"/>
              <w:bidi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采购预算价</w:t>
            </w:r>
          </w:p>
        </w:tc>
        <w:tc>
          <w:tcPr>
            <w:tcW w:w="2586" w:type="dxa"/>
            <w:noWrap w:val="0"/>
            <w:vAlign w:val="center"/>
          </w:tcPr>
          <w:p w14:paraId="2BB5779D">
            <w:pPr>
              <w:keepNext w:val="0"/>
              <w:keepLines w:val="0"/>
              <w:pageBreakBefore w:val="0"/>
              <w:kinsoku/>
              <w:wordWrap/>
              <w:topLinePunct w:val="0"/>
              <w:bidi w:val="0"/>
              <w:snapToGrid w:val="0"/>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项目概况</w:t>
            </w:r>
          </w:p>
        </w:tc>
      </w:tr>
      <w:tr w14:paraId="653E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083" w:type="dxa"/>
            <w:noWrap w:val="0"/>
            <w:vAlign w:val="center"/>
          </w:tcPr>
          <w:p w14:paraId="796ADBC0">
            <w:pPr>
              <w:pStyle w:val="21"/>
              <w:keepNext w:val="0"/>
              <w:keepLines w:val="0"/>
              <w:pageBreakBefore w:val="0"/>
              <w:kinsoku/>
              <w:wordWrap/>
              <w:topLinePunct w:val="0"/>
              <w:bidi w:val="0"/>
              <w:spacing w:after="0" w:line="400" w:lineRule="exact"/>
              <w:ind w:left="0" w:lef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衢州市柯城区贝蓓儿儿童康复指导中心提升改造工程设备采购</w:t>
            </w:r>
          </w:p>
        </w:tc>
        <w:tc>
          <w:tcPr>
            <w:tcW w:w="913" w:type="dxa"/>
            <w:noWrap w:val="0"/>
            <w:vAlign w:val="center"/>
          </w:tcPr>
          <w:p w14:paraId="60E8BED1">
            <w:pPr>
              <w:keepNext w:val="0"/>
              <w:keepLines w:val="0"/>
              <w:pageBreakBefore w:val="0"/>
              <w:kinsoku/>
              <w:wordWrap/>
              <w:topLinePunct w:val="0"/>
              <w:bidi w:val="0"/>
              <w:snapToGrid w:val="0"/>
              <w:spacing w:line="40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162" w:type="dxa"/>
            <w:noWrap w:val="0"/>
            <w:vAlign w:val="center"/>
          </w:tcPr>
          <w:p w14:paraId="5144C46C">
            <w:pPr>
              <w:keepNext w:val="0"/>
              <w:keepLines w:val="0"/>
              <w:pageBreakBefore w:val="0"/>
              <w:kinsoku/>
              <w:wordWrap/>
              <w:topLinePunct w:val="0"/>
              <w:bidi w:val="0"/>
              <w:snapToGrid w:val="0"/>
              <w:spacing w:line="40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批</w:t>
            </w:r>
          </w:p>
        </w:tc>
        <w:tc>
          <w:tcPr>
            <w:tcW w:w="1639" w:type="dxa"/>
            <w:noWrap w:val="0"/>
            <w:vAlign w:val="center"/>
          </w:tcPr>
          <w:p w14:paraId="396F18A9">
            <w:pPr>
              <w:keepNext w:val="0"/>
              <w:keepLines w:val="0"/>
              <w:pageBreakBefore w:val="0"/>
              <w:kinsoku/>
              <w:wordWrap/>
              <w:topLinePunct w:val="0"/>
              <w:bidi w:val="0"/>
              <w:snapToGrid w:val="0"/>
              <w:spacing w:line="400" w:lineRule="exact"/>
              <w:jc w:val="center"/>
              <w:textAlignment w:val="auto"/>
              <w:outlineLvl w:val="9"/>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657450</w:t>
            </w:r>
            <w:r>
              <w:rPr>
                <w:rFonts w:hint="eastAsia" w:ascii="宋体" w:hAnsi="宋体" w:eastAsia="宋体" w:cs="宋体"/>
                <w:color w:val="auto"/>
                <w:sz w:val="24"/>
                <w:szCs w:val="24"/>
                <w:highlight w:val="none"/>
                <w:lang w:val="en-US" w:eastAsia="zh-CN"/>
              </w:rPr>
              <w:t>元</w:t>
            </w:r>
          </w:p>
        </w:tc>
        <w:tc>
          <w:tcPr>
            <w:tcW w:w="2586" w:type="dxa"/>
            <w:noWrap w:val="0"/>
            <w:vAlign w:val="center"/>
          </w:tcPr>
          <w:p w14:paraId="3D440DE1">
            <w:pPr>
              <w:keepNext w:val="0"/>
              <w:keepLines w:val="0"/>
              <w:pageBreakBefore w:val="0"/>
              <w:kinsoku/>
              <w:wordWrap/>
              <w:topLinePunct w:val="0"/>
              <w:bidi w:val="0"/>
              <w:snapToGrid w:val="0"/>
              <w:spacing w:line="40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详见本采购文件第三章招标内容及要求</w:t>
            </w:r>
          </w:p>
        </w:tc>
      </w:tr>
    </w:tbl>
    <w:p w14:paraId="0E2F8D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工期</w:t>
      </w:r>
      <w:r>
        <w:rPr>
          <w:rFonts w:hint="eastAsia" w:ascii="宋体" w:hAnsi="宋体" w:eastAsia="宋体" w:cs="宋体"/>
          <w:b w:val="0"/>
          <w:bCs w:val="0"/>
          <w:color w:val="auto"/>
          <w:sz w:val="24"/>
          <w:szCs w:val="24"/>
          <w:highlight w:val="none"/>
          <w:lang w:val="zh-CN"/>
        </w:rPr>
        <w:t>：合同签订之日起30天内完成供货。</w:t>
      </w:r>
    </w:p>
    <w:p w14:paraId="74AEEC43">
      <w:pPr>
        <w:keepNext w:val="0"/>
        <w:keepLines w:val="0"/>
        <w:pageBreakBefore w:val="0"/>
        <w:kinsoku/>
        <w:wordWrap/>
        <w:topLinePunct w:val="0"/>
        <w:bidi w:val="0"/>
        <w:spacing w:line="400" w:lineRule="exact"/>
        <w:ind w:firstLine="455" w:firstLineChars="189"/>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、合格投标人的资格要求：</w:t>
      </w:r>
    </w:p>
    <w:p w14:paraId="54762553">
      <w:pPr>
        <w:keepNext w:val="0"/>
        <w:keepLines w:val="0"/>
        <w:pageBreakBefore w:val="0"/>
        <w:kinsoku/>
        <w:topLinePunct w:val="0"/>
        <w:bidi w:val="0"/>
        <w:spacing w:line="400" w:lineRule="exact"/>
        <w:ind w:firstLine="451" w:firstLineChars="188"/>
        <w:textAlignment w:val="auto"/>
        <w:rPr>
          <w:rFonts w:hint="eastAsia" w:ascii="宋体" w:hAnsi="宋体" w:eastAsia="宋体" w:cs="宋体"/>
          <w:color w:val="auto"/>
          <w:sz w:val="24"/>
          <w:szCs w:val="24"/>
          <w:highlight w:val="none"/>
        </w:rPr>
      </w:pPr>
      <w:bookmarkStart w:id="21" w:name="B18_投标供应商的资格要求"/>
      <w:r>
        <w:rPr>
          <w:rFonts w:hint="eastAsia" w:ascii="宋体" w:hAnsi="宋体" w:eastAsia="宋体" w:cs="宋体"/>
          <w:color w:val="auto"/>
          <w:sz w:val="24"/>
          <w:szCs w:val="24"/>
          <w:highlight w:val="none"/>
        </w:rPr>
        <w:t>1.</w:t>
      </w:r>
      <w:bookmarkEnd w:id="21"/>
      <w:r>
        <w:rPr>
          <w:rFonts w:hint="eastAsia" w:ascii="宋体" w:hAnsi="宋体" w:eastAsia="宋体" w:cs="宋体"/>
          <w:color w:val="auto"/>
          <w:sz w:val="24"/>
          <w:szCs w:val="24"/>
          <w:highlight w:val="none"/>
        </w:rPr>
        <w:t>满足《中华人民共和国政府采购法》第二十二条规定；且必须为未被列入“信用中国”网站(www.creditchina.gov.cn)、中国政府采购网(www.ccgp.gov.cn)渠道信用记录失信被执行人、重大税收违法案件当事人名单、政府采购严重违法失信行为记录名单的投标人。</w:t>
      </w:r>
    </w:p>
    <w:p w14:paraId="04314CC2">
      <w:pPr>
        <w:keepNext w:val="0"/>
        <w:keepLines w:val="0"/>
        <w:pageBreakBefore w:val="0"/>
        <w:kinsoku/>
        <w:topLinePunct w:val="0"/>
        <w:bidi w:val="0"/>
        <w:spacing w:line="400" w:lineRule="exact"/>
        <w:ind w:firstLine="451" w:firstLineChars="18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2.单位负责人为同一人或者存在直接控股、管理关系的不同投标人，不得参加同一合同项下的政府采购活动。</w:t>
      </w:r>
    </w:p>
    <w:p w14:paraId="1C7821CE">
      <w:pPr>
        <w:keepNext w:val="0"/>
        <w:keepLines w:val="0"/>
        <w:pageBreakBefore w:val="0"/>
        <w:kinsoku/>
        <w:topLinePunct w:val="0"/>
        <w:bidi w:val="0"/>
        <w:spacing w:line="400" w:lineRule="exact"/>
        <w:ind w:firstLine="451" w:firstLineChars="188"/>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val="zh-CN"/>
        </w:rPr>
        <w:t>.落实政府采购政策需满足的资格要求：本项目专门面向中、小、微型企业</w:t>
      </w:r>
      <w:r>
        <w:rPr>
          <w:rFonts w:hint="eastAsia" w:ascii="宋体" w:hAnsi="宋体" w:eastAsia="宋体" w:cs="宋体"/>
          <w:color w:val="auto"/>
          <w:sz w:val="24"/>
          <w:szCs w:val="24"/>
          <w:highlight w:val="none"/>
          <w:lang w:val="zh-CN" w:eastAsia="zh-CN"/>
        </w:rPr>
        <w:t>（其它未列明行业）</w:t>
      </w:r>
      <w:r>
        <w:rPr>
          <w:rFonts w:hint="eastAsia" w:ascii="宋体" w:hAnsi="宋体" w:eastAsia="宋体" w:cs="宋体"/>
          <w:color w:val="auto"/>
          <w:sz w:val="24"/>
          <w:szCs w:val="24"/>
          <w:highlight w:val="none"/>
          <w:lang w:val="zh-CN"/>
        </w:rPr>
        <w:t>。</w:t>
      </w:r>
    </w:p>
    <w:p w14:paraId="44C600C4">
      <w:pPr>
        <w:keepNext w:val="0"/>
        <w:keepLines w:val="0"/>
        <w:pageBreakBefore w:val="0"/>
        <w:kinsoku/>
        <w:topLinePunct w:val="0"/>
        <w:bidi w:val="0"/>
        <w:spacing w:line="400" w:lineRule="exact"/>
        <w:ind w:firstLine="451" w:firstLineChars="18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本项目不接受联合体投标</w:t>
      </w:r>
      <w:r>
        <w:rPr>
          <w:rFonts w:hint="eastAsia" w:ascii="宋体" w:hAnsi="宋体" w:eastAsia="宋体" w:cs="宋体"/>
          <w:color w:val="auto"/>
          <w:sz w:val="24"/>
          <w:szCs w:val="24"/>
          <w:highlight w:val="none"/>
          <w:lang w:eastAsia="zh-CN"/>
        </w:rPr>
        <w:t>。</w:t>
      </w:r>
    </w:p>
    <w:p w14:paraId="7C0974CE">
      <w:pPr>
        <w:pStyle w:val="20"/>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5.特定资格条件：投标人具有第二类医疗器械经营备案凭证。</w:t>
      </w:r>
    </w:p>
    <w:p w14:paraId="590671DB">
      <w:pPr>
        <w:keepNext w:val="0"/>
        <w:keepLines w:val="0"/>
        <w:pageBreakBefore w:val="0"/>
        <w:kinsoku/>
        <w:wordWrap/>
        <w:topLinePunct w:val="0"/>
        <w:bidi w:val="0"/>
        <w:spacing w:line="400" w:lineRule="exact"/>
        <w:ind w:firstLine="458" w:firstLineChars="19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、招标文件的获取：</w:t>
      </w:r>
    </w:p>
    <w:p w14:paraId="4CBB6F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获取</w:t>
      </w:r>
      <w:r>
        <w:rPr>
          <w:rFonts w:hint="eastAsia" w:ascii="宋体" w:hAnsi="宋体" w:eastAsia="宋体" w:cs="宋体"/>
          <w:color w:val="auto"/>
          <w:sz w:val="24"/>
          <w:szCs w:val="24"/>
          <w:highlight w:val="none"/>
          <w:lang w:eastAsia="zh-CN"/>
        </w:rPr>
        <w:t>时间：公告发布之日起至投标文件递交截止时间前。</w:t>
      </w:r>
    </w:p>
    <w:p w14:paraId="7F2DA3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kern w:val="0"/>
          <w:sz w:val="24"/>
          <w:szCs w:val="24"/>
          <w:highlight w:val="none"/>
          <w:u w:val="none"/>
          <w:lang w:val="en-US" w:eastAsia="zh-CN" w:bidi="ar-SA"/>
        </w:rPr>
        <w:t>2、本项目采购文件实行在线获取，不提供采购文件纸质版。供应商获取采购文件前应先完成“政府采购云平台--政府采购供应商入驻”（网址：https://middle.zcygov.cn/settle-front/#/registry）；已注册供应商：（直接登陆https://login.zcygov.cn/user-login/#/login ）。</w:t>
      </w:r>
    </w:p>
    <w:p w14:paraId="412075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45A942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07D5ED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注：请供应商按上述要求获取采购文件，如未在“政采云”系统内完成相关流程，引起的投标无效责任自负。</w:t>
      </w:r>
    </w:p>
    <w:p w14:paraId="78789088">
      <w:pPr>
        <w:keepNext w:val="0"/>
        <w:keepLines w:val="0"/>
        <w:pageBreakBefore w:val="0"/>
        <w:kinsoku/>
        <w:wordWrap/>
        <w:topLinePunct w:val="0"/>
        <w:bidi w:val="0"/>
        <w:spacing w:line="400" w:lineRule="exact"/>
        <w:ind w:firstLine="458" w:firstLineChars="19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、投标保证金：</w:t>
      </w:r>
    </w:p>
    <w:p w14:paraId="2CF9A46E">
      <w:pPr>
        <w:keepNext w:val="0"/>
        <w:keepLines w:val="0"/>
        <w:pageBreakBefore w:val="0"/>
        <w:kinsoku/>
        <w:wordWrap/>
        <w:topLinePunct w:val="0"/>
        <w:bidi w:val="0"/>
        <w:spacing w:line="400" w:lineRule="exact"/>
        <w:ind w:firstLine="456" w:firstLineChars="19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1.根据《浙江省财政厅关于明确政府采购保证金管理工作的通知》（浙财采监〔2019〕5号）规定，本项目无需缴纳投标保证金。</w:t>
      </w:r>
    </w:p>
    <w:p w14:paraId="76AC08F6">
      <w:pPr>
        <w:keepNext w:val="0"/>
        <w:keepLines w:val="0"/>
        <w:pageBreakBefore w:val="0"/>
        <w:kinsoku/>
        <w:wordWrap/>
        <w:topLinePunct w:val="0"/>
        <w:bidi w:val="0"/>
        <w:spacing w:line="400" w:lineRule="exact"/>
        <w:ind w:firstLine="456" w:firstLineChars="19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2.投标人在投标有效期内撤回投标文件或者中标人在法定期限内无正当理由不与采购单位签订合同的，应当按照本项目采购预算价2%的标准承担因此给采购单位造成的损失的赔偿责任及相应的法律责任。</w:t>
      </w:r>
    </w:p>
    <w:p w14:paraId="2A97D618">
      <w:pPr>
        <w:keepNext w:val="0"/>
        <w:keepLines w:val="0"/>
        <w:pageBreakBefore w:val="0"/>
        <w:kinsoku/>
        <w:wordWrap/>
        <w:topLinePunct w:val="0"/>
        <w:bidi w:val="0"/>
        <w:spacing w:line="420" w:lineRule="exact"/>
        <w:ind w:firstLine="458" w:firstLineChars="19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、投标文件</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rPr>
        <w:t>递交：</w:t>
      </w:r>
    </w:p>
    <w:p w14:paraId="7907E753">
      <w:pPr>
        <w:keepNext w:val="0"/>
        <w:keepLines w:val="0"/>
        <w:pageBreakBefore w:val="0"/>
        <w:kinsoku/>
        <w:wordWrap/>
        <w:topLinePunct w:val="0"/>
        <w:bidi w:val="0"/>
        <w:spacing w:line="420" w:lineRule="exact"/>
        <w:ind w:firstLine="456" w:firstLineChars="19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1、投标文件递交截止时间：</w:t>
      </w:r>
      <w:r>
        <w:rPr>
          <w:rFonts w:hint="eastAsia" w:ascii="宋体" w:hAnsi="宋体" w:cs="宋体"/>
          <w:b/>
          <w:bCs/>
          <w:color w:val="auto"/>
          <w:sz w:val="24"/>
          <w:szCs w:val="24"/>
          <w:highlight w:val="none"/>
          <w:u w:val="single"/>
          <w:lang w:eastAsia="zh-CN"/>
        </w:rPr>
        <w:t>2024</w:t>
      </w:r>
      <w:r>
        <w:rPr>
          <w:rFonts w:hint="eastAsia" w:ascii="宋体" w:hAnsi="宋体" w:eastAsia="宋体" w:cs="宋体"/>
          <w:b/>
          <w:bCs/>
          <w:color w:val="auto"/>
          <w:sz w:val="24"/>
          <w:szCs w:val="24"/>
          <w:highlight w:val="none"/>
          <w:u w:val="none"/>
          <w:lang w:eastAsia="zh-CN"/>
        </w:rPr>
        <w:t>年</w:t>
      </w:r>
      <w:r>
        <w:rPr>
          <w:rFonts w:hint="eastAsia" w:ascii="宋体" w:hAnsi="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single"/>
          <w:lang w:val="en-US" w:eastAsia="zh-CN"/>
        </w:rPr>
        <w:t>24</w:t>
      </w:r>
      <w:r>
        <w:rPr>
          <w:rFonts w:hint="eastAsia" w:ascii="宋体" w:hAnsi="宋体" w:eastAsia="宋体" w:cs="宋体"/>
          <w:b/>
          <w:bCs/>
          <w:color w:val="auto"/>
          <w:sz w:val="24"/>
          <w:szCs w:val="24"/>
          <w:highlight w:val="none"/>
          <w:u w:val="none"/>
          <w:lang w:eastAsia="zh-CN"/>
        </w:rPr>
        <w:t>日</w:t>
      </w:r>
      <w:r>
        <w:rPr>
          <w:rFonts w:hint="eastAsia" w:ascii="宋体" w:hAnsi="宋体" w:cs="宋体"/>
          <w:b/>
          <w:bCs/>
          <w:color w:val="auto"/>
          <w:sz w:val="24"/>
          <w:szCs w:val="24"/>
          <w:highlight w:val="none"/>
          <w:u w:val="single"/>
          <w:lang w:val="en-US" w:eastAsia="zh-CN"/>
        </w:rPr>
        <w:t>14</w:t>
      </w:r>
      <w:r>
        <w:rPr>
          <w:rFonts w:hint="eastAsia" w:ascii="宋体" w:hAnsi="宋体" w:eastAsia="宋体" w:cs="宋体"/>
          <w:b/>
          <w:bCs/>
          <w:color w:val="auto"/>
          <w:sz w:val="24"/>
          <w:szCs w:val="24"/>
          <w:highlight w:val="none"/>
          <w:u w:val="none"/>
          <w:lang w:eastAsia="zh-CN"/>
        </w:rPr>
        <w:t>时</w:t>
      </w:r>
      <w:r>
        <w:rPr>
          <w:rFonts w:hint="eastAsia" w:ascii="宋体" w:hAnsi="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none"/>
          <w:lang w:eastAsia="zh-CN"/>
        </w:rPr>
        <w:t>分</w:t>
      </w:r>
      <w:r>
        <w:rPr>
          <w:rFonts w:hint="eastAsia" w:ascii="宋体" w:hAnsi="宋体" w:eastAsia="宋体" w:cs="宋体"/>
          <w:color w:val="auto"/>
          <w:sz w:val="24"/>
          <w:szCs w:val="24"/>
          <w:highlight w:val="none"/>
        </w:rPr>
        <w:t>前。</w:t>
      </w:r>
    </w:p>
    <w:p w14:paraId="29E45DE0">
      <w:pPr>
        <w:keepNext w:val="0"/>
        <w:keepLines w:val="0"/>
        <w:pageBreakBefore w:val="0"/>
        <w:kinsoku/>
        <w:wordWrap/>
        <w:topLinePunct w:val="0"/>
        <w:bidi w:val="0"/>
        <w:spacing w:line="420" w:lineRule="exact"/>
        <w:ind w:firstLine="456" w:firstLineChars="19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投标人应当在投标截止时间前</w:t>
      </w:r>
      <w:r>
        <w:rPr>
          <w:rFonts w:hint="eastAsia" w:ascii="宋体" w:hAnsi="宋体" w:eastAsia="宋体" w:cs="宋体"/>
          <w:b w:val="0"/>
          <w:bCs w:val="0"/>
          <w:color w:val="auto"/>
          <w:sz w:val="24"/>
          <w:szCs w:val="24"/>
          <w:highlight w:val="none"/>
          <w:lang w:eastAsia="zh-CN"/>
        </w:rPr>
        <w:t>通过“政府采购云平台（</w:t>
      </w:r>
      <w:r>
        <w:rPr>
          <w:rFonts w:hint="eastAsia" w:ascii="宋体" w:hAnsi="宋体" w:eastAsia="宋体" w:cs="宋体"/>
          <w:b w:val="0"/>
          <w:bCs w:val="0"/>
          <w:color w:val="auto"/>
          <w:sz w:val="24"/>
          <w:szCs w:val="24"/>
          <w:highlight w:val="none"/>
          <w:lang w:val="en-US" w:eastAsia="zh-CN"/>
        </w:rPr>
        <w:t>www.zcygov.cn</w:t>
      </w:r>
      <w:r>
        <w:rPr>
          <w:rFonts w:hint="eastAsia" w:ascii="宋体" w:hAnsi="宋体" w:eastAsia="宋体" w:cs="宋体"/>
          <w:b w:val="0"/>
          <w:bCs w:val="0"/>
          <w:color w:val="auto"/>
          <w:sz w:val="24"/>
          <w:szCs w:val="24"/>
          <w:highlight w:val="none"/>
          <w:lang w:eastAsia="zh-CN"/>
        </w:rPr>
        <w:t>）”上传</w:t>
      </w:r>
      <w:r>
        <w:rPr>
          <w:rFonts w:hint="eastAsia" w:ascii="宋体" w:hAnsi="宋体" w:eastAsia="宋体" w:cs="宋体"/>
          <w:b w:val="0"/>
          <w:bCs w:val="0"/>
          <w:color w:val="auto"/>
          <w:sz w:val="24"/>
          <w:szCs w:val="24"/>
          <w:highlight w:val="none"/>
        </w:rPr>
        <w:t>递交，投标截止时间前可以补充、修改或者撤回</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。补充或者修改</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的，应当先行撤回原文件，补充、修改后重新传输递交。投标截止时间前未完成传输的，视为撤回</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 xml:space="preserve">。            </w:t>
      </w:r>
    </w:p>
    <w:p w14:paraId="684A022C">
      <w:pPr>
        <w:keepNext w:val="0"/>
        <w:keepLines w:val="0"/>
        <w:pageBreakBefore w:val="0"/>
        <w:kinsoku/>
        <w:wordWrap/>
        <w:topLinePunct w:val="0"/>
        <w:bidi w:val="0"/>
        <w:spacing w:line="420" w:lineRule="exact"/>
        <w:ind w:firstLine="458" w:firstLineChars="19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、开标时间和地点：</w:t>
      </w:r>
    </w:p>
    <w:p w14:paraId="51CA7953">
      <w:pPr>
        <w:keepNext w:val="0"/>
        <w:keepLines w:val="0"/>
        <w:pageBreakBefore w:val="0"/>
        <w:kinsoku/>
        <w:wordWrap/>
        <w:topLinePunct w:val="0"/>
        <w:bidi w:val="0"/>
        <w:spacing w:line="420" w:lineRule="exact"/>
        <w:ind w:firstLine="456" w:firstLineChars="19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本次采购将于</w:t>
      </w:r>
      <w:r>
        <w:rPr>
          <w:rFonts w:hint="eastAsia" w:ascii="宋体" w:hAnsi="宋体" w:cs="宋体"/>
          <w:b/>
          <w:bCs/>
          <w:color w:val="auto"/>
          <w:sz w:val="24"/>
          <w:szCs w:val="24"/>
          <w:highlight w:val="none"/>
          <w:u w:val="single"/>
          <w:lang w:eastAsia="zh-CN"/>
        </w:rPr>
        <w:t>2024</w:t>
      </w:r>
      <w:r>
        <w:rPr>
          <w:rFonts w:hint="eastAsia" w:ascii="宋体" w:hAnsi="宋体" w:eastAsia="宋体" w:cs="宋体"/>
          <w:b/>
          <w:bCs/>
          <w:color w:val="auto"/>
          <w:sz w:val="24"/>
          <w:szCs w:val="24"/>
          <w:highlight w:val="none"/>
          <w:u w:val="none"/>
          <w:lang w:eastAsia="zh-CN"/>
        </w:rPr>
        <w:t>年</w:t>
      </w:r>
      <w:r>
        <w:rPr>
          <w:rFonts w:hint="eastAsia" w:ascii="宋体" w:hAnsi="宋体" w:cs="宋体"/>
          <w:b/>
          <w:bCs/>
          <w:color w:val="auto"/>
          <w:sz w:val="24"/>
          <w:szCs w:val="24"/>
          <w:highlight w:val="none"/>
          <w:u w:val="single"/>
          <w:lang w:val="en-US" w:eastAsia="zh-CN"/>
        </w:rPr>
        <w:t>10</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single"/>
          <w:lang w:val="en-US" w:eastAsia="zh-CN"/>
        </w:rPr>
        <w:t>24</w:t>
      </w:r>
      <w:r>
        <w:rPr>
          <w:rFonts w:hint="eastAsia" w:ascii="宋体" w:hAnsi="宋体" w:eastAsia="宋体" w:cs="宋体"/>
          <w:b/>
          <w:bCs/>
          <w:color w:val="auto"/>
          <w:sz w:val="24"/>
          <w:szCs w:val="24"/>
          <w:highlight w:val="none"/>
          <w:u w:val="none"/>
          <w:lang w:eastAsia="zh-CN"/>
        </w:rPr>
        <w:t>日</w:t>
      </w:r>
      <w:r>
        <w:rPr>
          <w:rFonts w:hint="eastAsia" w:ascii="宋体" w:hAnsi="宋体" w:cs="宋体"/>
          <w:b/>
          <w:bCs/>
          <w:color w:val="auto"/>
          <w:sz w:val="24"/>
          <w:szCs w:val="24"/>
          <w:highlight w:val="none"/>
          <w:u w:val="single"/>
          <w:lang w:val="en-US" w:eastAsia="zh-CN"/>
        </w:rPr>
        <w:t>14</w:t>
      </w:r>
      <w:r>
        <w:rPr>
          <w:rFonts w:hint="eastAsia" w:ascii="宋体" w:hAnsi="宋体" w:eastAsia="宋体" w:cs="宋体"/>
          <w:b/>
          <w:bCs/>
          <w:color w:val="auto"/>
          <w:sz w:val="24"/>
          <w:szCs w:val="24"/>
          <w:highlight w:val="none"/>
          <w:u w:val="none"/>
          <w:lang w:eastAsia="zh-CN"/>
        </w:rPr>
        <w:t>时</w:t>
      </w:r>
      <w:r>
        <w:rPr>
          <w:rFonts w:hint="eastAsia" w:ascii="宋体" w:hAnsi="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u w:val="none"/>
          <w:lang w:eastAsia="zh-CN"/>
        </w:rPr>
        <w:t>分</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柯城区公共资源交易中心（柯城区荷花三路229号7楼）开标厅</w:t>
      </w:r>
      <w:r>
        <w:rPr>
          <w:rFonts w:hint="eastAsia" w:ascii="宋体" w:hAnsi="宋体" w:eastAsia="宋体" w:cs="宋体"/>
          <w:color w:val="auto"/>
          <w:sz w:val="24"/>
          <w:szCs w:val="24"/>
          <w:highlight w:val="none"/>
        </w:rPr>
        <w:t>开标。</w:t>
      </w:r>
      <w:r>
        <w:rPr>
          <w:rFonts w:hint="eastAsia" w:ascii="宋体" w:hAnsi="宋体" w:eastAsia="宋体" w:cs="宋体"/>
          <w:color w:val="auto"/>
          <w:sz w:val="24"/>
          <w:szCs w:val="24"/>
          <w:highlight w:val="none"/>
          <w:lang w:eastAsia="zh-CN"/>
        </w:rPr>
        <w:t>同步在“政采云远程</w:t>
      </w:r>
      <w:r>
        <w:rPr>
          <w:rFonts w:hint="eastAsia" w:ascii="宋体" w:hAnsi="宋体" w:eastAsia="宋体" w:cs="宋体"/>
          <w:color w:val="auto"/>
          <w:sz w:val="24"/>
          <w:szCs w:val="24"/>
          <w:highlight w:val="none"/>
          <w:lang w:val="en-US" w:eastAsia="zh-CN"/>
        </w:rPr>
        <w:t>开标大厅”</w:t>
      </w:r>
      <w:r>
        <w:rPr>
          <w:rFonts w:hint="eastAsia" w:ascii="宋体" w:hAnsi="宋体" w:eastAsia="宋体" w:cs="宋体"/>
          <w:color w:val="auto"/>
          <w:sz w:val="24"/>
          <w:szCs w:val="24"/>
          <w:highlight w:val="none"/>
          <w:lang w:eastAsia="zh-CN"/>
        </w:rPr>
        <w:t>在线开标。</w:t>
      </w:r>
    </w:p>
    <w:p w14:paraId="7F3E22EB">
      <w:pPr>
        <w:keepNext w:val="0"/>
        <w:keepLines w:val="0"/>
        <w:pageBreakBefore w:val="0"/>
        <w:kinsoku/>
        <w:wordWrap/>
        <w:topLinePunct w:val="0"/>
        <w:bidi w:val="0"/>
        <w:spacing w:line="420" w:lineRule="exact"/>
        <w:ind w:firstLine="458" w:firstLineChars="19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、本公告发</w:t>
      </w:r>
      <w:r>
        <w:rPr>
          <w:rFonts w:hint="eastAsia" w:ascii="宋体" w:hAnsi="宋体" w:eastAsia="宋体" w:cs="宋体"/>
          <w:b/>
          <w:bCs/>
          <w:color w:val="auto"/>
          <w:sz w:val="24"/>
          <w:szCs w:val="24"/>
          <w:highlight w:val="none"/>
          <w:lang w:val="en-US" w:eastAsia="zh-CN"/>
        </w:rPr>
        <w:t>布网址</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浙江政府采购网（http://zfcg.czt.zj.gov.cn/）</w:t>
      </w:r>
    </w:p>
    <w:p w14:paraId="0184F264">
      <w:pPr>
        <w:keepNext w:val="0"/>
        <w:keepLines w:val="0"/>
        <w:pageBreakBefore w:val="0"/>
        <w:widowControl/>
        <w:numPr>
          <w:ilvl w:val="0"/>
          <w:numId w:val="0"/>
        </w:numPr>
        <w:kinsoku/>
        <w:wordWrap/>
        <w:topLinePunct w:val="0"/>
        <w:bidi w:val="0"/>
        <w:spacing w:line="420" w:lineRule="exact"/>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en-US" w:eastAsia="zh-CN"/>
        </w:rPr>
        <w:t>、投标说明：</w:t>
      </w:r>
    </w:p>
    <w:p w14:paraId="7042E245">
      <w:pPr>
        <w:pStyle w:val="11"/>
        <w:keepNext w:val="0"/>
        <w:keepLines w:val="0"/>
        <w:pageBreakBefore w:val="0"/>
        <w:widowControl/>
        <w:kinsoku/>
        <w:wordWrap w:val="0"/>
        <w:overflowPunct w:val="0"/>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rPr>
        <w:t>投标人应在</w:t>
      </w:r>
      <w:r>
        <w:rPr>
          <w:rFonts w:hint="eastAsia" w:ascii="宋体" w:hAnsi="宋体" w:eastAsia="宋体" w:cs="宋体"/>
          <w:b w:val="0"/>
          <w:bCs/>
          <w:color w:val="auto"/>
          <w:kern w:val="0"/>
          <w:sz w:val="24"/>
          <w:szCs w:val="24"/>
          <w:highlight w:val="none"/>
          <w:lang w:eastAsia="zh-CN"/>
        </w:rPr>
        <w:t>投</w:t>
      </w:r>
      <w:r>
        <w:rPr>
          <w:rFonts w:hint="eastAsia" w:ascii="宋体" w:hAnsi="宋体" w:eastAsia="宋体" w:cs="宋体"/>
          <w:b w:val="0"/>
          <w:bCs/>
          <w:color w:val="auto"/>
          <w:kern w:val="0"/>
          <w:sz w:val="24"/>
          <w:szCs w:val="24"/>
          <w:highlight w:val="none"/>
        </w:rPr>
        <w:t>标前完成CA数字证书办理。</w:t>
      </w:r>
      <w:r>
        <w:rPr>
          <w:rFonts w:hint="eastAsia" w:ascii="宋体" w:hAnsi="宋体" w:eastAsia="宋体" w:cs="宋体"/>
          <w:b w:val="0"/>
          <w:bCs/>
          <w:color w:val="auto"/>
          <w:kern w:val="0"/>
          <w:sz w:val="24"/>
          <w:szCs w:val="24"/>
          <w:highlight w:val="none"/>
          <w:u w:val="none"/>
        </w:rPr>
        <w:t>（办理流程详见</w:t>
      </w:r>
      <w:r>
        <w:rPr>
          <w:rFonts w:hint="eastAsia" w:ascii="宋体" w:hAnsi="宋体" w:eastAsia="宋体" w:cs="宋体"/>
          <w:b w:val="0"/>
          <w:bCs/>
          <w:color w:val="auto"/>
          <w:kern w:val="0"/>
          <w:sz w:val="24"/>
          <w:szCs w:val="24"/>
          <w:highlight w:val="none"/>
          <w:u w:val="none"/>
        </w:rPr>
        <w:fldChar w:fldCharType="begin"/>
      </w:r>
      <w:r>
        <w:rPr>
          <w:rFonts w:hint="eastAsia" w:ascii="宋体" w:hAnsi="宋体" w:eastAsia="宋体" w:cs="宋体"/>
          <w:b w:val="0"/>
          <w:bCs/>
          <w:color w:val="auto"/>
          <w:kern w:val="0"/>
          <w:sz w:val="24"/>
          <w:szCs w:val="24"/>
          <w:highlight w:val="none"/>
          <w:u w:val="none"/>
        </w:rPr>
        <w:instrText xml:space="preserve"> HYPERLINK "http://zfcg.czt.zj.gov.cn/bidClientTemplate/2019-05-27/12945.html" </w:instrText>
      </w:r>
      <w:r>
        <w:rPr>
          <w:rFonts w:hint="eastAsia" w:ascii="宋体" w:hAnsi="宋体" w:eastAsia="宋体" w:cs="宋体"/>
          <w:b w:val="0"/>
          <w:bCs/>
          <w:color w:val="auto"/>
          <w:kern w:val="0"/>
          <w:sz w:val="24"/>
          <w:szCs w:val="24"/>
          <w:highlight w:val="none"/>
          <w:u w:val="none"/>
        </w:rPr>
        <w:fldChar w:fldCharType="separate"/>
      </w:r>
      <w:r>
        <w:rPr>
          <w:rFonts w:hint="eastAsia" w:ascii="宋体" w:hAnsi="宋体" w:eastAsia="宋体" w:cs="宋体"/>
          <w:b w:val="0"/>
          <w:bCs/>
          <w:color w:val="auto"/>
          <w:kern w:val="0"/>
          <w:sz w:val="24"/>
          <w:szCs w:val="24"/>
          <w:highlight w:val="none"/>
          <w:u w:val="none"/>
        </w:rPr>
        <w:t>http://zfcg.czt.zj.gov.cn/bidClientTemplate/2019-05-27/12945.html</w:t>
      </w:r>
      <w:r>
        <w:rPr>
          <w:rFonts w:hint="eastAsia" w:ascii="宋体" w:hAnsi="宋体" w:eastAsia="宋体" w:cs="宋体"/>
          <w:b w:val="0"/>
          <w:bCs/>
          <w:color w:val="auto"/>
          <w:kern w:val="0"/>
          <w:sz w:val="24"/>
          <w:szCs w:val="24"/>
          <w:highlight w:val="none"/>
          <w:u w:val="none"/>
        </w:rPr>
        <w:fldChar w:fldCharType="end"/>
      </w:r>
      <w:r>
        <w:rPr>
          <w:rFonts w:hint="eastAsia" w:ascii="宋体" w:hAnsi="宋体" w:eastAsia="宋体" w:cs="宋体"/>
          <w:b w:val="0"/>
          <w:bCs/>
          <w:color w:val="auto"/>
          <w:kern w:val="0"/>
          <w:sz w:val="24"/>
          <w:szCs w:val="24"/>
          <w:highlight w:val="none"/>
          <w:u w:val="none"/>
          <w:lang w:eastAsia="zh-CN"/>
        </w:rPr>
        <w:t>，</w:t>
      </w:r>
      <w:r>
        <w:rPr>
          <w:rFonts w:hint="eastAsia" w:ascii="宋体" w:hAnsi="宋体" w:eastAsia="宋体" w:cs="宋体"/>
          <w:b w:val="0"/>
          <w:bCs/>
          <w:color w:val="auto"/>
          <w:kern w:val="0"/>
          <w:sz w:val="24"/>
          <w:szCs w:val="24"/>
          <w:highlight w:val="none"/>
          <w:lang w:eastAsia="zh-CN"/>
        </w:rPr>
        <w:t>或登录“浙江政府采购网-下载专区-电子投标客户端-CA驱动和申领流程”</w:t>
      </w:r>
      <w:r>
        <w:rPr>
          <w:rFonts w:hint="eastAsia" w:ascii="宋体" w:hAnsi="宋体" w:eastAsia="宋体" w:cs="宋体"/>
          <w:b w:val="0"/>
          <w:bCs/>
          <w:color w:val="auto"/>
          <w:kern w:val="0"/>
          <w:sz w:val="24"/>
          <w:szCs w:val="24"/>
          <w:highlight w:val="none"/>
        </w:rPr>
        <w:t>）。完成CA数字证书办理预计一周左右，建议各投标人抓紧时间办理。</w:t>
      </w:r>
    </w:p>
    <w:p w14:paraId="4C9176F1">
      <w:pPr>
        <w:pStyle w:val="11"/>
        <w:keepNext w:val="0"/>
        <w:keepLines w:val="0"/>
        <w:pageBreakBefore w:val="0"/>
        <w:widowControl/>
        <w:kinsoku/>
        <w:wordWrap w:val="0"/>
        <w:overflowPunct w:val="0"/>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color w:val="auto"/>
          <w:kern w:val="0"/>
          <w:sz w:val="24"/>
          <w:szCs w:val="24"/>
          <w:highlight w:val="none"/>
          <w:u w:val="none"/>
          <w:lang w:eastAsia="zh-CN"/>
        </w:rPr>
      </w:pPr>
      <w:r>
        <w:rPr>
          <w:rFonts w:hint="eastAsia" w:ascii="宋体" w:hAnsi="宋体" w:eastAsia="宋体" w:cs="宋体"/>
          <w:b w:val="0"/>
          <w:bCs/>
          <w:color w:val="auto"/>
          <w:kern w:val="0"/>
          <w:sz w:val="24"/>
          <w:szCs w:val="24"/>
          <w:highlight w:val="none"/>
          <w:u w:val="none"/>
          <w:lang w:val="en-US" w:eastAsia="zh-CN"/>
        </w:rPr>
        <w:t>2、</w:t>
      </w:r>
      <w:r>
        <w:rPr>
          <w:rFonts w:hint="eastAsia" w:ascii="宋体" w:hAnsi="宋体" w:eastAsia="宋体" w:cs="宋体"/>
          <w:b w:val="0"/>
          <w:bCs/>
          <w:color w:val="auto"/>
          <w:kern w:val="0"/>
          <w:sz w:val="24"/>
          <w:szCs w:val="24"/>
          <w:highlight w:val="none"/>
          <w:u w:val="none"/>
        </w:rPr>
        <w:t>投标人通过</w:t>
      </w:r>
      <w:r>
        <w:rPr>
          <w:rFonts w:hint="eastAsia" w:ascii="宋体" w:hAnsi="宋体" w:eastAsia="宋体" w:cs="宋体"/>
          <w:b w:val="0"/>
          <w:bCs/>
          <w:color w:val="auto"/>
          <w:kern w:val="0"/>
          <w:sz w:val="24"/>
          <w:szCs w:val="24"/>
          <w:highlight w:val="none"/>
          <w:u w:val="none"/>
          <w:lang w:eastAsia="zh-CN"/>
        </w:rPr>
        <w:t>“</w:t>
      </w:r>
      <w:r>
        <w:rPr>
          <w:rFonts w:hint="eastAsia" w:ascii="宋体" w:hAnsi="宋体" w:eastAsia="宋体" w:cs="宋体"/>
          <w:b w:val="0"/>
          <w:bCs/>
          <w:color w:val="auto"/>
          <w:kern w:val="0"/>
          <w:sz w:val="24"/>
          <w:szCs w:val="24"/>
          <w:highlight w:val="none"/>
          <w:u w:val="none"/>
        </w:rPr>
        <w:t>政采云</w:t>
      </w:r>
      <w:r>
        <w:rPr>
          <w:rFonts w:hint="eastAsia" w:ascii="宋体" w:hAnsi="宋体" w:eastAsia="宋体" w:cs="宋体"/>
          <w:b w:val="0"/>
          <w:bCs/>
          <w:color w:val="auto"/>
          <w:kern w:val="0"/>
          <w:sz w:val="24"/>
          <w:szCs w:val="24"/>
          <w:highlight w:val="none"/>
          <w:u w:val="none"/>
          <w:lang w:eastAsia="zh-CN"/>
        </w:rPr>
        <w:t>电子交易客户端”</w:t>
      </w:r>
      <w:r>
        <w:rPr>
          <w:rFonts w:hint="eastAsia" w:ascii="宋体" w:hAnsi="宋体" w:eastAsia="宋体" w:cs="宋体"/>
          <w:b w:val="0"/>
          <w:bCs/>
          <w:color w:val="auto"/>
          <w:kern w:val="0"/>
          <w:sz w:val="24"/>
          <w:szCs w:val="24"/>
          <w:highlight w:val="none"/>
          <w:u w:val="none"/>
        </w:rPr>
        <w:t>制作响应文件</w:t>
      </w:r>
      <w:r>
        <w:rPr>
          <w:rFonts w:hint="eastAsia" w:ascii="宋体" w:hAnsi="宋体" w:eastAsia="宋体" w:cs="宋体"/>
          <w:b w:val="0"/>
          <w:bCs/>
          <w:color w:val="auto"/>
          <w:kern w:val="0"/>
          <w:sz w:val="24"/>
          <w:szCs w:val="24"/>
          <w:highlight w:val="none"/>
          <w:u w:val="none"/>
          <w:lang w:eastAsia="zh-CN"/>
        </w:rPr>
        <w:t>。（“</w:t>
      </w:r>
      <w:r>
        <w:rPr>
          <w:rFonts w:hint="eastAsia" w:ascii="宋体" w:hAnsi="宋体" w:eastAsia="宋体" w:cs="宋体"/>
          <w:b w:val="0"/>
          <w:bCs/>
          <w:color w:val="auto"/>
          <w:kern w:val="0"/>
          <w:sz w:val="24"/>
          <w:szCs w:val="24"/>
          <w:highlight w:val="none"/>
          <w:u w:val="none"/>
        </w:rPr>
        <w:t>政采云</w:t>
      </w:r>
      <w:r>
        <w:rPr>
          <w:rFonts w:hint="eastAsia" w:ascii="宋体" w:hAnsi="宋体" w:eastAsia="宋体" w:cs="宋体"/>
          <w:b w:val="0"/>
          <w:bCs/>
          <w:color w:val="auto"/>
          <w:kern w:val="0"/>
          <w:sz w:val="24"/>
          <w:szCs w:val="24"/>
          <w:highlight w:val="none"/>
          <w:u w:val="none"/>
          <w:lang w:eastAsia="zh-CN"/>
        </w:rPr>
        <w:t>电子交易客户端”下载详见</w:t>
      </w:r>
      <w:r>
        <w:rPr>
          <w:rFonts w:hint="eastAsia" w:ascii="宋体" w:hAnsi="宋体" w:eastAsia="宋体" w:cs="宋体"/>
          <w:b w:val="0"/>
          <w:bCs/>
          <w:color w:val="auto"/>
          <w:kern w:val="0"/>
          <w:sz w:val="24"/>
          <w:szCs w:val="24"/>
          <w:highlight w:val="none"/>
          <w:u w:val="none"/>
        </w:rPr>
        <w:fldChar w:fldCharType="begin"/>
      </w:r>
      <w:r>
        <w:rPr>
          <w:rFonts w:hint="eastAsia" w:ascii="宋体" w:hAnsi="宋体" w:eastAsia="宋体" w:cs="宋体"/>
          <w:b w:val="0"/>
          <w:bCs/>
          <w:color w:val="auto"/>
          <w:kern w:val="0"/>
          <w:sz w:val="24"/>
          <w:szCs w:val="24"/>
          <w:highlight w:val="none"/>
          <w:u w:val="none"/>
        </w:rPr>
        <w:instrText xml:space="preserve"> HYPERLINK "http://zfcg.czt.zj.gov.cn/bidClientTemplate/2019-09-24/12975.html" </w:instrText>
      </w:r>
      <w:r>
        <w:rPr>
          <w:rFonts w:hint="eastAsia" w:ascii="宋体" w:hAnsi="宋体" w:eastAsia="宋体" w:cs="宋体"/>
          <w:b w:val="0"/>
          <w:bCs/>
          <w:color w:val="auto"/>
          <w:kern w:val="0"/>
          <w:sz w:val="24"/>
          <w:szCs w:val="24"/>
          <w:highlight w:val="none"/>
          <w:u w:val="none"/>
        </w:rPr>
        <w:fldChar w:fldCharType="separate"/>
      </w:r>
      <w:r>
        <w:rPr>
          <w:rFonts w:hint="eastAsia" w:ascii="宋体" w:hAnsi="宋体" w:eastAsia="宋体" w:cs="宋体"/>
          <w:b w:val="0"/>
          <w:bCs/>
          <w:color w:val="auto"/>
          <w:kern w:val="0"/>
          <w:sz w:val="24"/>
          <w:szCs w:val="24"/>
          <w:highlight w:val="none"/>
          <w:u w:val="none"/>
        </w:rPr>
        <w:t>http://zfcg.czt.zj.gov.cn/bidClientTemplate/2019-09-24/12975.html</w:t>
      </w:r>
      <w:r>
        <w:rPr>
          <w:rFonts w:hint="eastAsia" w:ascii="宋体" w:hAnsi="宋体" w:eastAsia="宋体" w:cs="宋体"/>
          <w:b w:val="0"/>
          <w:bCs/>
          <w:color w:val="auto"/>
          <w:kern w:val="0"/>
          <w:sz w:val="24"/>
          <w:szCs w:val="24"/>
          <w:highlight w:val="none"/>
          <w:u w:val="none"/>
        </w:rPr>
        <w:fldChar w:fldCharType="end"/>
      </w:r>
      <w:r>
        <w:rPr>
          <w:rFonts w:hint="eastAsia" w:ascii="宋体" w:hAnsi="宋体" w:eastAsia="宋体" w:cs="宋体"/>
          <w:b w:val="0"/>
          <w:bCs/>
          <w:color w:val="auto"/>
          <w:kern w:val="0"/>
          <w:sz w:val="24"/>
          <w:szCs w:val="24"/>
          <w:highlight w:val="none"/>
          <w:u w:val="none"/>
          <w:lang w:eastAsia="zh-CN"/>
        </w:rPr>
        <w:t>或登录“ 浙江政府采购网-下载专区- 电子投标客户端- 政采云电子交易客户端”</w:t>
      </w:r>
      <w:r>
        <w:rPr>
          <w:rFonts w:hint="eastAsia" w:ascii="宋体" w:hAnsi="宋体" w:eastAsia="宋体" w:cs="宋体"/>
          <w:b w:val="0"/>
          <w:bCs/>
          <w:color w:val="auto"/>
          <w:kern w:val="0"/>
          <w:sz w:val="24"/>
          <w:szCs w:val="24"/>
          <w:highlight w:val="none"/>
          <w:u w:val="none"/>
        </w:rPr>
        <w:t>）</w:t>
      </w:r>
      <w:r>
        <w:rPr>
          <w:rFonts w:hint="eastAsia" w:ascii="宋体" w:hAnsi="宋体" w:eastAsia="宋体" w:cs="宋体"/>
          <w:b w:val="0"/>
          <w:bCs/>
          <w:color w:val="auto"/>
          <w:kern w:val="0"/>
          <w:sz w:val="24"/>
          <w:szCs w:val="24"/>
          <w:highlight w:val="none"/>
          <w:u w:val="none"/>
          <w:lang w:eastAsia="zh-CN"/>
        </w:rPr>
        <w:t>。</w:t>
      </w:r>
    </w:p>
    <w:p w14:paraId="0B119AA9">
      <w:pPr>
        <w:pStyle w:val="11"/>
        <w:keepNext w:val="0"/>
        <w:keepLines w:val="0"/>
        <w:pageBreakBefore w:val="0"/>
        <w:widowControl/>
        <w:kinsoku/>
        <w:wordWrap w:val="0"/>
        <w:overflowPunct w:val="0"/>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u w:val="none"/>
          <w:lang w:val="en-US" w:eastAsia="zh-CN"/>
        </w:rPr>
        <w:t>3、</w:t>
      </w:r>
      <w:r>
        <w:rPr>
          <w:rFonts w:hint="eastAsia" w:ascii="宋体" w:hAnsi="宋体" w:eastAsia="宋体" w:cs="宋体"/>
          <w:b w:val="0"/>
          <w:bCs/>
          <w:color w:val="auto"/>
          <w:kern w:val="0"/>
          <w:sz w:val="24"/>
          <w:szCs w:val="24"/>
          <w:highlight w:val="none"/>
          <w:u w:val="none"/>
        </w:rPr>
        <w:t>电子投标制作具体流程详见政府采购项目电子交易管理操作指南</w:t>
      </w:r>
      <w:r>
        <w:rPr>
          <w:rFonts w:hint="eastAsia" w:ascii="宋体" w:hAnsi="宋体" w:eastAsia="宋体" w:cs="宋体"/>
          <w:b w:val="0"/>
          <w:bCs/>
          <w:color w:val="auto"/>
          <w:kern w:val="0"/>
          <w:sz w:val="24"/>
          <w:szCs w:val="24"/>
          <w:highlight w:val="none"/>
          <w:u w:val="none"/>
          <w:lang w:eastAsia="zh-CN"/>
        </w:rPr>
        <w:t>：【</w:t>
      </w:r>
      <w:r>
        <w:rPr>
          <w:rFonts w:hint="eastAsia" w:ascii="宋体" w:hAnsi="宋体" w:eastAsia="宋体" w:cs="宋体"/>
          <w:b w:val="0"/>
          <w:bCs/>
          <w:color w:val="auto"/>
          <w:kern w:val="0"/>
          <w:sz w:val="24"/>
          <w:szCs w:val="24"/>
          <w:highlight w:val="none"/>
          <w:u w:val="none"/>
        </w:rPr>
        <w:t>请投标供应商点击链接https://service.zcygov.cn/#/knowledges/CW1EtGwBFdiHxlNd6I3m/6IMVAG0BFdiHxlNdQ8Na</w:t>
      </w:r>
      <w:r>
        <w:rPr>
          <w:rFonts w:hint="eastAsia" w:ascii="宋体" w:hAnsi="宋体" w:eastAsia="宋体" w:cs="宋体"/>
          <w:b w:val="0"/>
          <w:bCs/>
          <w:color w:val="auto"/>
          <w:kern w:val="0"/>
          <w:sz w:val="24"/>
          <w:szCs w:val="24"/>
          <w:highlight w:val="none"/>
          <w:u w:val="none"/>
          <w:lang w:eastAsia="zh-CN"/>
        </w:rPr>
        <w:t>或</w:t>
      </w:r>
      <w:r>
        <w:rPr>
          <w:rFonts w:hint="eastAsia" w:ascii="宋体" w:hAnsi="宋体" w:eastAsia="宋体" w:cs="宋体"/>
          <w:bCs/>
          <w:color w:val="auto"/>
          <w:kern w:val="0"/>
          <w:sz w:val="24"/>
          <w:szCs w:val="24"/>
          <w:highlight w:val="none"/>
          <w:u w:val="none"/>
        </w:rPr>
        <w:t>登录“政府采购云平台（www.zcygov.cn）”，从首页-服务中心-帮助文档-项目采购-</w:t>
      </w:r>
      <w:r>
        <w:rPr>
          <w:rFonts w:hint="eastAsia" w:ascii="宋体" w:hAnsi="宋体" w:eastAsia="宋体" w:cs="宋体"/>
          <w:bCs/>
          <w:color w:val="auto"/>
          <w:kern w:val="0"/>
          <w:sz w:val="24"/>
          <w:szCs w:val="24"/>
          <w:highlight w:val="none"/>
          <w:u w:val="none"/>
          <w:lang w:eastAsia="zh-CN"/>
        </w:rPr>
        <w:t>操作流程</w:t>
      </w:r>
      <w:r>
        <w:rPr>
          <w:rFonts w:hint="eastAsia" w:ascii="宋体" w:hAnsi="宋体" w:eastAsia="宋体" w:cs="宋体"/>
          <w:bCs/>
          <w:color w:val="auto"/>
          <w:kern w:val="0"/>
          <w:sz w:val="24"/>
          <w:szCs w:val="24"/>
          <w:highlight w:val="none"/>
          <w:u w:val="none"/>
          <w:lang w:val="en-US" w:eastAsia="zh-CN"/>
        </w:rPr>
        <w:t>-</w:t>
      </w:r>
      <w:r>
        <w:rPr>
          <w:rFonts w:hint="eastAsia" w:ascii="宋体" w:hAnsi="宋体" w:eastAsia="宋体" w:cs="宋体"/>
          <w:bCs/>
          <w:color w:val="auto"/>
          <w:kern w:val="0"/>
          <w:sz w:val="24"/>
          <w:szCs w:val="24"/>
          <w:highlight w:val="none"/>
          <w:u w:val="none"/>
        </w:rPr>
        <w:t>电子招投标，查看</w:t>
      </w:r>
      <w:r>
        <w:rPr>
          <w:rFonts w:hint="eastAsia" w:ascii="宋体" w:hAnsi="宋体" w:eastAsia="宋体" w:cs="宋体"/>
          <w:bCs/>
          <w:color w:val="auto"/>
          <w:kern w:val="0"/>
          <w:sz w:val="24"/>
          <w:szCs w:val="24"/>
          <w:highlight w:val="none"/>
        </w:rPr>
        <w:t>文档和视频</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供应商在使用系统进行投标的过程中遇到涉及平台使用的任何问题，可致电政府采购云平台技术支持热线咨询，联系方式：95763。</w:t>
      </w:r>
    </w:p>
    <w:p w14:paraId="07FA0F92">
      <w:pPr>
        <w:keepNext w:val="0"/>
        <w:keepLines w:val="0"/>
        <w:pageBreakBefore w:val="0"/>
        <w:kinsoku/>
        <w:topLinePunct w:val="0"/>
        <w:bidi w:val="0"/>
        <w:spacing w:line="42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 xml:space="preserve">    4、本项目投标文件的解密、报价文件确认等所使用的CA必须和制作</w:t>
      </w:r>
      <w:r>
        <w:rPr>
          <w:rFonts w:hint="eastAsia" w:ascii="宋体" w:hAnsi="宋体" w:eastAsia="宋体" w:cs="宋体"/>
          <w:b w:val="0"/>
          <w:bCs/>
          <w:color w:val="auto"/>
          <w:sz w:val="24"/>
          <w:szCs w:val="24"/>
          <w:highlight w:val="none"/>
          <w:lang w:val="zh-CN"/>
        </w:rPr>
        <w:t>电子加密投标文件时使用的</w:t>
      </w:r>
      <w:r>
        <w:rPr>
          <w:rFonts w:hint="eastAsia" w:ascii="宋体" w:hAnsi="宋体" w:eastAsia="宋体" w:cs="宋体"/>
          <w:b w:val="0"/>
          <w:bCs/>
          <w:color w:val="auto"/>
          <w:sz w:val="24"/>
          <w:szCs w:val="24"/>
          <w:highlight w:val="none"/>
          <w:lang w:val="en-US" w:eastAsia="zh-CN"/>
        </w:rPr>
        <w:t>CA为</w:t>
      </w:r>
      <w:r>
        <w:rPr>
          <w:rFonts w:hint="eastAsia" w:ascii="宋体" w:hAnsi="宋体" w:eastAsia="宋体" w:cs="宋体"/>
          <w:b w:val="0"/>
          <w:bCs/>
          <w:color w:val="auto"/>
          <w:sz w:val="24"/>
          <w:szCs w:val="24"/>
          <w:highlight w:val="none"/>
          <w:lang w:val="zh-CN"/>
        </w:rPr>
        <w:t>同一个。</w:t>
      </w:r>
      <w:r>
        <w:rPr>
          <w:rFonts w:hint="eastAsia" w:ascii="宋体" w:hAnsi="宋体" w:eastAsia="宋体" w:cs="宋体"/>
          <w:b w:val="0"/>
          <w:bCs/>
          <w:color w:val="auto"/>
          <w:kern w:val="0"/>
          <w:sz w:val="24"/>
          <w:szCs w:val="24"/>
          <w:highlight w:val="none"/>
          <w:lang w:val="en-US" w:eastAsia="zh-CN"/>
        </w:rPr>
        <w:t>为确保网上操作合法、有效和安全，投标供应商应当在投标截止时间前完成在“政府采购云平台”的身份认证，确保在电子投标过程中能够对相关数据电文进行加密和使用电子签章。</w:t>
      </w:r>
    </w:p>
    <w:p w14:paraId="06FE9DDC">
      <w:pPr>
        <w:pStyle w:val="21"/>
        <w:keepNext w:val="0"/>
        <w:keepLines w:val="0"/>
        <w:pageBreakBefore w:val="0"/>
        <w:kinsoku/>
        <w:topLinePunct w:val="0"/>
        <w:bidi w:val="0"/>
        <w:spacing w:line="42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5、本项目采用电子投标，供应商代表无需出席开标现场会议。开标时间前供应商登录“政府采购云平台”进入开标大厅等候开标。</w:t>
      </w:r>
    </w:p>
    <w:p w14:paraId="1E09301C">
      <w:pPr>
        <w:keepNext w:val="0"/>
        <w:keepLines w:val="0"/>
        <w:pageBreakBefore w:val="0"/>
        <w:widowControl/>
        <w:numPr>
          <w:ilvl w:val="0"/>
          <w:numId w:val="0"/>
        </w:numPr>
        <w:kinsoku/>
        <w:wordWrap/>
        <w:topLinePunct w:val="0"/>
        <w:bidi w:val="0"/>
        <w:spacing w:line="420" w:lineRule="exact"/>
        <w:ind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其他事项：</w:t>
      </w:r>
    </w:p>
    <w:p w14:paraId="76DCCC73">
      <w:pPr>
        <w:keepNext w:val="0"/>
        <w:keepLines w:val="0"/>
        <w:pageBreakBefore w:val="0"/>
        <w:widowControl/>
        <w:numPr>
          <w:ilvl w:val="0"/>
          <w:numId w:val="0"/>
        </w:numPr>
        <w:kinsoku/>
        <w:wordWrap/>
        <w:topLinePunct w:val="0"/>
        <w:bidi w:val="0"/>
        <w:snapToGrid/>
        <w:spacing w:line="42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1、本项目公告期限为</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个工作日。</w:t>
      </w:r>
    </w:p>
    <w:p w14:paraId="35CF81A8">
      <w:pPr>
        <w:keepNext w:val="0"/>
        <w:keepLines w:val="0"/>
        <w:pageBreakBefore w:val="0"/>
        <w:widowControl/>
        <w:kinsoku/>
        <w:wordWrap/>
        <w:topLinePunct w:val="0"/>
        <w:bidi w:val="0"/>
        <w:snapToGrid/>
        <w:spacing w:line="420" w:lineRule="exact"/>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w:t>
      </w:r>
      <w:r>
        <w:rPr>
          <w:rFonts w:hint="eastAsia" w:ascii="宋体" w:hAnsi="宋体" w:eastAsia="宋体" w:cs="宋体"/>
          <w:color w:val="auto"/>
          <w:sz w:val="24"/>
          <w:szCs w:val="24"/>
          <w:highlight w:val="none"/>
          <w:lang w:val="en-US" w:eastAsia="zh-CN"/>
        </w:rPr>
        <w:t>认为采购文件、采购过程、中标或者成交结果使自己的权益受到损害的，可以在</w:t>
      </w:r>
      <w:r>
        <w:rPr>
          <w:rFonts w:hint="eastAsia" w:ascii="宋体" w:hAnsi="宋体" w:eastAsia="宋体" w:cs="宋体"/>
          <w:color w:val="auto"/>
          <w:sz w:val="24"/>
          <w:szCs w:val="24"/>
          <w:highlight w:val="none"/>
        </w:rPr>
        <w:t>知道或者应知其权益受到损害之日起七个工作日内，以书面形式向采购人（或采购代理机构）提出质疑。供应商应知其权益受到损害之日，是指：对可以质疑的采购文件提出质疑的，为</w:t>
      </w:r>
      <w:r>
        <w:rPr>
          <w:rFonts w:hint="eastAsia" w:ascii="宋体" w:hAnsi="宋体" w:eastAsia="宋体" w:cs="宋体"/>
          <w:color w:val="auto"/>
          <w:sz w:val="24"/>
          <w:szCs w:val="24"/>
          <w:highlight w:val="none"/>
          <w:lang w:eastAsia="zh-CN"/>
        </w:rPr>
        <w:t>依法获取</w:t>
      </w:r>
      <w:r>
        <w:rPr>
          <w:rFonts w:hint="eastAsia" w:ascii="宋体" w:hAnsi="宋体" w:eastAsia="宋体" w:cs="宋体"/>
          <w:color w:val="auto"/>
          <w:sz w:val="24"/>
          <w:szCs w:val="24"/>
          <w:highlight w:val="none"/>
        </w:rPr>
        <w:t>采购文件之日或者采购文件公告期限届满之日（招标公告为公告发布后至第6个工作日）起7个工作日内，以书面形式向</w:t>
      </w:r>
      <w:r>
        <w:rPr>
          <w:rFonts w:hint="eastAsia" w:ascii="宋体" w:hAnsi="宋体" w:eastAsia="宋体" w:cs="宋体"/>
          <w:color w:val="auto"/>
          <w:sz w:val="24"/>
          <w:szCs w:val="24"/>
          <w:highlight w:val="none"/>
          <w:lang w:val="en-US" w:eastAsia="zh-CN"/>
        </w:rPr>
        <w:t>采购人、采购代理机构</w:t>
      </w:r>
      <w:r>
        <w:rPr>
          <w:rFonts w:hint="eastAsia" w:ascii="宋体" w:hAnsi="宋体" w:eastAsia="宋体" w:cs="宋体"/>
          <w:color w:val="auto"/>
          <w:sz w:val="24"/>
          <w:szCs w:val="24"/>
          <w:highlight w:val="none"/>
        </w:rPr>
        <w:t>提出；对采购过程提出质疑的，为各采购程序环节结束之日；对中标或者成交结果提出质疑的，为中标或者成交结果公告期限届满之日。</w:t>
      </w:r>
    </w:p>
    <w:p w14:paraId="0BEB7493">
      <w:pPr>
        <w:pStyle w:val="31"/>
        <w:keepNext w:val="0"/>
        <w:keepLines w:val="0"/>
        <w:pageBreakBefore w:val="0"/>
        <w:kinsoku/>
        <w:wordWrap/>
        <w:topLinePunct w:val="0"/>
        <w:bidi w:val="0"/>
        <w:snapToGrid/>
        <w:spacing w:line="420" w:lineRule="exact"/>
        <w:ind w:left="0" w:leftChars="0" w:right="0" w:rightChars="0" w:firstLine="440"/>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针对同一采购程序环节的质疑，供应商应在法定期限内一次性提出（即针对同一采购程序环节的质疑采购人或采购代理机构仅受理一次），逾期提出或针对同一采购程序环节多次提出的质疑将不予受理、答复。供应商对采购人和采购代理机构的质疑答复不满意或者采购人和采购代理机构未在规定时间内作出答复的，可以在答复期满后十五个工作日内向同级政府采购监管部门投诉。</w:t>
      </w:r>
    </w:p>
    <w:p w14:paraId="43734310">
      <w:pPr>
        <w:pStyle w:val="31"/>
        <w:keepNext w:val="0"/>
        <w:keepLines w:val="0"/>
        <w:pageBreakBefore w:val="0"/>
        <w:kinsoku/>
        <w:wordWrap/>
        <w:topLinePunct w:val="0"/>
        <w:bidi w:val="0"/>
        <w:snapToGrid/>
        <w:spacing w:line="420" w:lineRule="exact"/>
        <w:ind w:left="0" w:leftChars="0" w:right="0" w:rightChars="0" w:firstLine="440"/>
        <w:outlineLvl w:val="9"/>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4.企业信用融资及电子保函：投标人若有办理信用融资及电子保函意向的可登陆浙江政府采购网“浙江政采贷”（网址：https://jinrong.zcygov.cn，政府采购云平台金融服务中心）查看相关政策和服务方案，也可通过登录浙江政务网-“衢融通”平台-【采购质押融资申请】。</w:t>
      </w:r>
    </w:p>
    <w:p w14:paraId="3A730410">
      <w:pPr>
        <w:keepNext w:val="0"/>
        <w:keepLines w:val="0"/>
        <w:pageBreakBefore w:val="0"/>
        <w:kinsoku/>
        <w:wordWrap/>
        <w:topLinePunct w:val="0"/>
        <w:bidi w:val="0"/>
        <w:spacing w:line="420" w:lineRule="exact"/>
        <w:ind w:firstLine="458" w:firstLineChars="19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十、采购人信息</w:t>
      </w:r>
    </w:p>
    <w:p w14:paraId="49B769B9">
      <w:pPr>
        <w:keepNext w:val="0"/>
        <w:keepLines w:val="0"/>
        <w:pageBreakBefore w:val="0"/>
        <w:kinsoku/>
        <w:wordWrap/>
        <w:topLinePunct w:val="0"/>
        <w:bidi w:val="0"/>
        <w:snapToGrid/>
        <w:spacing w:line="420" w:lineRule="exact"/>
        <w:ind w:left="0" w:leftChars="0" w:firstLine="456" w:firstLineChars="19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1、采购单位：</w:t>
      </w:r>
      <w:r>
        <w:rPr>
          <w:rFonts w:hint="eastAsia" w:ascii="宋体" w:hAnsi="宋体" w:cs="宋体"/>
          <w:color w:val="auto"/>
          <w:sz w:val="24"/>
          <w:szCs w:val="24"/>
          <w:highlight w:val="none"/>
          <w:lang w:eastAsia="zh-CN"/>
        </w:rPr>
        <w:t>衢州市柯城区残疾人联合会</w:t>
      </w:r>
    </w:p>
    <w:p w14:paraId="080924B5">
      <w:pPr>
        <w:keepNext w:val="0"/>
        <w:keepLines w:val="0"/>
        <w:pageBreakBefore w:val="0"/>
        <w:kinsoku/>
        <w:wordWrap/>
        <w:topLinePunct w:val="0"/>
        <w:bidi w:val="0"/>
        <w:snapToGrid/>
        <w:spacing w:line="420" w:lineRule="exact"/>
        <w:ind w:left="0" w:leftChars="0" w:firstLine="456" w:firstLineChars="19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cs="宋体"/>
          <w:color w:val="auto"/>
          <w:sz w:val="24"/>
          <w:szCs w:val="24"/>
          <w:highlight w:val="none"/>
          <w:lang w:val="en-US" w:eastAsia="zh-CN"/>
        </w:rPr>
        <w:t>衢州市柯城区荷花三路229号</w:t>
      </w:r>
    </w:p>
    <w:p w14:paraId="25A5B1D3">
      <w:pPr>
        <w:keepNext w:val="0"/>
        <w:keepLines w:val="0"/>
        <w:pageBreakBefore w:val="0"/>
        <w:kinsoku/>
        <w:wordWrap/>
        <w:topLinePunct w:val="0"/>
        <w:bidi w:val="0"/>
        <w:snapToGrid/>
        <w:spacing w:line="420" w:lineRule="exact"/>
        <w:ind w:left="0" w:leftChars="0" w:firstLine="456" w:firstLineChars="190"/>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程先生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0C70AC2D">
      <w:pPr>
        <w:keepNext w:val="0"/>
        <w:keepLines w:val="0"/>
        <w:pageBreakBefore w:val="0"/>
        <w:kinsoku/>
        <w:wordWrap/>
        <w:topLinePunct w:val="0"/>
        <w:bidi w:val="0"/>
        <w:snapToGrid/>
        <w:spacing w:line="420" w:lineRule="exact"/>
        <w:ind w:left="0" w:leftChars="0" w:firstLine="456" w:firstLineChars="190"/>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联系电话（询问）：</w:t>
      </w:r>
      <w:r>
        <w:rPr>
          <w:rFonts w:hint="eastAsia" w:ascii="宋体" w:hAnsi="宋体" w:cs="宋体"/>
          <w:color w:val="auto"/>
          <w:sz w:val="24"/>
          <w:szCs w:val="24"/>
          <w:highlight w:val="none"/>
          <w:lang w:eastAsia="zh-CN"/>
        </w:rPr>
        <w:t>0570-3021128</w:t>
      </w:r>
    </w:p>
    <w:p w14:paraId="47C4CF92">
      <w:pPr>
        <w:keepNext w:val="0"/>
        <w:keepLines w:val="0"/>
        <w:pageBreakBefore w:val="0"/>
        <w:kinsoku/>
        <w:wordWrap/>
        <w:topLinePunct w:val="0"/>
        <w:bidi w:val="0"/>
        <w:snapToGrid/>
        <w:spacing w:line="42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采购代理机构：</w:t>
      </w:r>
      <w:r>
        <w:rPr>
          <w:rFonts w:hint="eastAsia" w:ascii="宋体" w:hAnsi="宋体" w:cs="宋体"/>
          <w:color w:val="auto"/>
          <w:sz w:val="24"/>
          <w:szCs w:val="24"/>
          <w:highlight w:val="none"/>
          <w:lang w:eastAsia="zh-CN"/>
        </w:rPr>
        <w:t>浙江聚尚工程项目管理有限公司</w:t>
      </w:r>
    </w:p>
    <w:p w14:paraId="439F3763">
      <w:pPr>
        <w:keepNext w:val="0"/>
        <w:keepLines w:val="0"/>
        <w:pageBreakBefore w:val="0"/>
        <w:kinsoku/>
        <w:wordWrap/>
        <w:topLinePunct w:val="0"/>
        <w:bidi w:val="0"/>
        <w:snapToGrid/>
        <w:spacing w:line="420" w:lineRule="exact"/>
        <w:ind w:left="0" w:leftChars="0" w:firstLine="456" w:firstLineChars="19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cs="宋体"/>
          <w:color w:val="auto"/>
          <w:sz w:val="24"/>
          <w:szCs w:val="24"/>
          <w:highlight w:val="none"/>
          <w:lang w:val="en-US" w:eastAsia="zh-CN"/>
        </w:rPr>
        <w:t>柯城区姜家山乡农商城西侧四楼</w:t>
      </w:r>
    </w:p>
    <w:p w14:paraId="2CAB17B4">
      <w:pPr>
        <w:keepNext w:val="0"/>
        <w:keepLines w:val="0"/>
        <w:pageBreakBefore w:val="0"/>
        <w:kinsoku/>
        <w:wordWrap/>
        <w:topLinePunct w:val="0"/>
        <w:bidi w:val="0"/>
        <w:snapToGrid/>
        <w:spacing w:line="420" w:lineRule="exact"/>
        <w:ind w:left="0" w:leftChars="0" w:firstLine="456" w:firstLineChars="19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项目联系人（询问）：</w:t>
      </w:r>
      <w:r>
        <w:rPr>
          <w:rFonts w:hint="eastAsia" w:ascii="宋体" w:hAnsi="宋体" w:cs="宋体"/>
          <w:color w:val="auto"/>
          <w:sz w:val="24"/>
          <w:szCs w:val="24"/>
          <w:highlight w:val="none"/>
          <w:lang w:val="en-US" w:eastAsia="zh-CN"/>
        </w:rPr>
        <w:t>郑女士</w:t>
      </w:r>
      <w:r>
        <w:rPr>
          <w:rFonts w:hint="eastAsia" w:ascii="宋体" w:hAnsi="宋体" w:eastAsia="宋体" w:cs="宋体"/>
          <w:color w:val="auto"/>
          <w:sz w:val="24"/>
          <w:szCs w:val="24"/>
          <w:highlight w:val="none"/>
          <w:lang w:val="en-US" w:eastAsia="zh-CN"/>
        </w:rPr>
        <w:t xml:space="preserve">      </w:t>
      </w:r>
    </w:p>
    <w:p w14:paraId="6B626141">
      <w:pPr>
        <w:keepNext w:val="0"/>
        <w:keepLines w:val="0"/>
        <w:pageBreakBefore w:val="0"/>
        <w:kinsoku/>
        <w:wordWrap/>
        <w:topLinePunct w:val="0"/>
        <w:bidi w:val="0"/>
        <w:snapToGrid/>
        <w:spacing w:line="420" w:lineRule="exact"/>
        <w:ind w:left="0" w:leftChars="0" w:firstLine="456" w:firstLineChars="190"/>
        <w:textAlignment w:val="auto"/>
        <w:outlineLvl w:val="9"/>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联系电话（询问）：</w:t>
      </w:r>
      <w:r>
        <w:rPr>
          <w:rFonts w:hint="eastAsia" w:ascii="宋体" w:hAnsi="宋体" w:cs="宋体"/>
          <w:color w:val="auto"/>
          <w:sz w:val="24"/>
          <w:szCs w:val="24"/>
          <w:highlight w:val="none"/>
          <w:lang w:val="en-US" w:eastAsia="zh-CN"/>
        </w:rPr>
        <w:t>0570-8075568</w:t>
      </w:r>
    </w:p>
    <w:p w14:paraId="73071128">
      <w:pPr>
        <w:keepNext w:val="0"/>
        <w:keepLines w:val="0"/>
        <w:pageBreakBefore w:val="0"/>
        <w:kinsoku/>
        <w:wordWrap/>
        <w:topLinePunct w:val="0"/>
        <w:bidi w:val="0"/>
        <w:spacing w:line="420" w:lineRule="exact"/>
        <w:ind w:left="926" w:leftChars="200" w:hanging="506" w:hangingChars="211"/>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3.同级政府采购监督管理部门信息</w:t>
      </w:r>
    </w:p>
    <w:p w14:paraId="688C6616">
      <w:pPr>
        <w:keepNext w:val="0"/>
        <w:keepLines w:val="0"/>
        <w:pageBreakBefore w:val="0"/>
        <w:kinsoku/>
        <w:wordWrap/>
        <w:topLinePunct w:val="0"/>
        <w:bidi w:val="0"/>
        <w:spacing w:line="420" w:lineRule="exact"/>
        <w:ind w:left="926" w:leftChars="200" w:hanging="506" w:hangingChars="211"/>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称：衢州市柯城区政府采购管理办公室　</w:t>
      </w:r>
    </w:p>
    <w:p w14:paraId="4FAB362C">
      <w:pPr>
        <w:keepNext w:val="0"/>
        <w:keepLines w:val="0"/>
        <w:pageBreakBefore w:val="0"/>
        <w:kinsoku/>
        <w:wordWrap/>
        <w:topLinePunct w:val="0"/>
        <w:bidi w:val="0"/>
        <w:spacing w:line="420" w:lineRule="exact"/>
        <w:ind w:left="926" w:leftChars="200" w:hanging="506" w:hangingChars="211"/>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cs="宋体"/>
          <w:color w:val="auto"/>
          <w:sz w:val="24"/>
          <w:szCs w:val="24"/>
          <w:highlight w:val="none"/>
          <w:lang w:val="en-US" w:eastAsia="zh-CN"/>
        </w:rPr>
        <w:t>柯城区</w:t>
      </w:r>
      <w:r>
        <w:rPr>
          <w:rFonts w:hint="eastAsia" w:ascii="宋体" w:hAnsi="宋体" w:eastAsia="宋体" w:cs="宋体"/>
          <w:color w:val="auto"/>
          <w:sz w:val="24"/>
          <w:szCs w:val="24"/>
          <w:highlight w:val="none"/>
          <w:lang w:val="en-US" w:eastAsia="zh-CN"/>
        </w:rPr>
        <w:t>荷三路行政中心9号楼210办公室　</w:t>
      </w:r>
    </w:p>
    <w:p w14:paraId="52F7943E">
      <w:pPr>
        <w:keepNext w:val="0"/>
        <w:keepLines w:val="0"/>
        <w:pageBreakBefore w:val="0"/>
        <w:kinsoku/>
        <w:wordWrap/>
        <w:topLinePunct w:val="0"/>
        <w:bidi w:val="0"/>
        <w:spacing w:line="420" w:lineRule="exact"/>
        <w:ind w:left="926" w:leftChars="200" w:hanging="506" w:hangingChars="211"/>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联系人：蒋先生   </w:t>
      </w:r>
    </w:p>
    <w:p w14:paraId="4F12872C">
      <w:pPr>
        <w:keepNext w:val="0"/>
        <w:keepLines w:val="0"/>
        <w:pageBreakBefore w:val="0"/>
        <w:kinsoku/>
        <w:wordWrap/>
        <w:topLinePunct w:val="0"/>
        <w:bidi w:val="0"/>
        <w:spacing w:line="420" w:lineRule="exact"/>
        <w:ind w:left="926" w:leftChars="200" w:hanging="506" w:hangingChars="211"/>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联系方式：0570-3020829</w:t>
      </w:r>
    </w:p>
    <w:p w14:paraId="571F4F15">
      <w:pPr>
        <w:keepNext w:val="0"/>
        <w:keepLines w:val="0"/>
        <w:pageBreakBefore w:val="0"/>
        <w:kinsoku/>
        <w:wordWrap/>
        <w:topLinePunct w:val="0"/>
        <w:bidi w:val="0"/>
        <w:spacing w:line="420" w:lineRule="exact"/>
        <w:ind w:left="926" w:leftChars="200" w:hanging="506" w:hangingChars="211"/>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2024年10月01日</w:t>
      </w:r>
      <w:r>
        <w:rPr>
          <w:rFonts w:hint="eastAsia" w:ascii="宋体" w:hAnsi="宋体" w:eastAsia="宋体" w:cs="宋体"/>
          <w:color w:val="auto"/>
          <w:sz w:val="24"/>
          <w:szCs w:val="24"/>
          <w:highlight w:val="none"/>
          <w:lang w:val="en-US" w:eastAsia="zh-CN"/>
        </w:rPr>
        <w:t xml:space="preserve">　    </w:t>
      </w:r>
    </w:p>
    <w:p w14:paraId="2F1C79F5">
      <w:pPr>
        <w:wordWrap w:val="0"/>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1DE8B8C5">
      <w:pPr>
        <w:pStyle w:val="2"/>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6"/>
          <w:szCs w:val="36"/>
          <w:highlight w:val="none"/>
          <w:lang w:eastAsia="zh-CN"/>
        </w:rPr>
      </w:pPr>
    </w:p>
    <w:p w14:paraId="6E256DA8">
      <w:pPr>
        <w:pStyle w:val="2"/>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6"/>
          <w:szCs w:val="36"/>
          <w:highlight w:val="none"/>
          <w:lang w:eastAsia="zh-CN"/>
        </w:rPr>
      </w:pPr>
    </w:p>
    <w:p w14:paraId="3F56775D">
      <w:pPr>
        <w:pStyle w:val="2"/>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6"/>
          <w:szCs w:val="36"/>
          <w:highlight w:val="none"/>
          <w:lang w:eastAsia="zh-CN"/>
        </w:rPr>
      </w:pPr>
    </w:p>
    <w:p w14:paraId="18DCF6FA">
      <w:pPr>
        <w:pStyle w:val="2"/>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6"/>
          <w:szCs w:val="36"/>
          <w:highlight w:val="none"/>
          <w:lang w:eastAsia="zh-CN"/>
        </w:rPr>
      </w:pPr>
    </w:p>
    <w:p w14:paraId="3FDE8650">
      <w:pPr>
        <w:pStyle w:val="2"/>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6"/>
          <w:szCs w:val="36"/>
          <w:highlight w:val="none"/>
          <w:lang w:eastAsia="zh-CN"/>
        </w:rPr>
      </w:pPr>
    </w:p>
    <w:p w14:paraId="0A168DC3">
      <w:pPr>
        <w:rPr>
          <w:rFonts w:hint="eastAsia" w:ascii="宋体" w:hAnsi="宋体" w:eastAsia="宋体" w:cs="宋体"/>
          <w:b/>
          <w:bCs/>
          <w:color w:val="auto"/>
          <w:sz w:val="36"/>
          <w:szCs w:val="36"/>
          <w:highlight w:val="none"/>
          <w:lang w:eastAsia="zh-CN"/>
        </w:rPr>
      </w:pPr>
    </w:p>
    <w:p w14:paraId="7554F993">
      <w:pPr>
        <w:rPr>
          <w:rFonts w:hint="eastAsia" w:ascii="宋体" w:hAnsi="宋体" w:eastAsia="宋体" w:cs="宋体"/>
          <w:b/>
          <w:bCs/>
          <w:color w:val="auto"/>
          <w:sz w:val="36"/>
          <w:szCs w:val="36"/>
          <w:highlight w:val="none"/>
          <w:lang w:eastAsia="zh-CN"/>
        </w:rPr>
      </w:pPr>
    </w:p>
    <w:p w14:paraId="6C0CB939">
      <w:pPr>
        <w:rPr>
          <w:rFonts w:hint="eastAsia" w:ascii="宋体" w:hAnsi="宋体" w:eastAsia="宋体" w:cs="宋体"/>
          <w:b/>
          <w:bCs/>
          <w:color w:val="auto"/>
          <w:sz w:val="36"/>
          <w:szCs w:val="36"/>
          <w:highlight w:val="none"/>
          <w:lang w:eastAsia="zh-CN"/>
        </w:rPr>
      </w:pPr>
    </w:p>
    <w:p w14:paraId="151776C6">
      <w:pPr>
        <w:rPr>
          <w:rFonts w:hint="eastAsia" w:ascii="宋体" w:hAnsi="宋体" w:eastAsia="宋体" w:cs="宋体"/>
          <w:b/>
          <w:bCs/>
          <w:color w:val="auto"/>
          <w:sz w:val="36"/>
          <w:szCs w:val="36"/>
          <w:highlight w:val="none"/>
          <w:lang w:eastAsia="zh-CN"/>
        </w:rPr>
      </w:pPr>
    </w:p>
    <w:p w14:paraId="57AABC2F">
      <w:pPr>
        <w:rPr>
          <w:rFonts w:hint="eastAsia" w:ascii="宋体" w:hAnsi="宋体" w:eastAsia="宋体" w:cs="宋体"/>
          <w:b/>
          <w:bCs/>
          <w:color w:val="auto"/>
          <w:sz w:val="36"/>
          <w:szCs w:val="36"/>
          <w:highlight w:val="none"/>
          <w:lang w:eastAsia="zh-CN"/>
        </w:rPr>
      </w:pPr>
    </w:p>
    <w:p w14:paraId="7BA3E803">
      <w:pPr>
        <w:rPr>
          <w:rFonts w:hint="eastAsia" w:ascii="宋体" w:hAnsi="宋体" w:eastAsia="宋体" w:cs="宋体"/>
          <w:b/>
          <w:bCs/>
          <w:color w:val="auto"/>
          <w:sz w:val="36"/>
          <w:szCs w:val="36"/>
          <w:highlight w:val="none"/>
          <w:lang w:eastAsia="zh-CN"/>
        </w:rPr>
      </w:pPr>
    </w:p>
    <w:p w14:paraId="363A385E">
      <w:pPr>
        <w:rPr>
          <w:rFonts w:hint="eastAsia" w:ascii="宋体" w:hAnsi="宋体" w:eastAsia="宋体" w:cs="宋体"/>
          <w:b/>
          <w:bCs/>
          <w:color w:val="auto"/>
          <w:sz w:val="36"/>
          <w:szCs w:val="36"/>
          <w:highlight w:val="none"/>
          <w:lang w:eastAsia="zh-CN"/>
        </w:rPr>
      </w:pPr>
    </w:p>
    <w:p w14:paraId="3DFD8048">
      <w:pPr>
        <w:rPr>
          <w:rFonts w:hint="eastAsia" w:ascii="宋体" w:hAnsi="宋体" w:eastAsia="宋体" w:cs="宋体"/>
          <w:b/>
          <w:bCs/>
          <w:color w:val="auto"/>
          <w:sz w:val="36"/>
          <w:szCs w:val="36"/>
          <w:highlight w:val="none"/>
          <w:lang w:eastAsia="zh-CN"/>
        </w:rPr>
      </w:pPr>
    </w:p>
    <w:p w14:paraId="4CB55304">
      <w:pPr>
        <w:rPr>
          <w:rFonts w:hint="eastAsia" w:ascii="宋体" w:hAnsi="宋体" w:eastAsia="宋体" w:cs="宋体"/>
          <w:b/>
          <w:bCs/>
          <w:color w:val="auto"/>
          <w:sz w:val="36"/>
          <w:szCs w:val="36"/>
          <w:highlight w:val="none"/>
          <w:lang w:eastAsia="zh-CN"/>
        </w:rPr>
      </w:pPr>
    </w:p>
    <w:p w14:paraId="7BA379CD">
      <w:pPr>
        <w:rPr>
          <w:rFonts w:hint="eastAsia" w:ascii="宋体" w:hAnsi="宋体" w:eastAsia="宋体" w:cs="宋体"/>
          <w:b/>
          <w:bCs/>
          <w:color w:val="auto"/>
          <w:sz w:val="36"/>
          <w:szCs w:val="36"/>
          <w:highlight w:val="none"/>
          <w:lang w:eastAsia="zh-CN"/>
        </w:rPr>
      </w:pPr>
    </w:p>
    <w:p w14:paraId="2650DD61">
      <w:pPr>
        <w:rPr>
          <w:rFonts w:hint="eastAsia" w:ascii="宋体" w:hAnsi="宋体" w:eastAsia="宋体" w:cs="宋体"/>
          <w:b/>
          <w:bCs/>
          <w:color w:val="auto"/>
          <w:sz w:val="36"/>
          <w:szCs w:val="36"/>
          <w:highlight w:val="none"/>
          <w:lang w:eastAsia="zh-CN"/>
        </w:rPr>
      </w:pPr>
    </w:p>
    <w:p w14:paraId="4B38E967">
      <w:pPr>
        <w:rPr>
          <w:rFonts w:hint="eastAsia" w:ascii="宋体" w:hAnsi="宋体" w:eastAsia="宋体" w:cs="宋体"/>
          <w:b/>
          <w:bCs/>
          <w:color w:val="auto"/>
          <w:sz w:val="36"/>
          <w:szCs w:val="36"/>
          <w:highlight w:val="none"/>
          <w:lang w:eastAsia="zh-CN"/>
        </w:rPr>
      </w:pPr>
    </w:p>
    <w:p w14:paraId="3E28C536">
      <w:pPr>
        <w:rPr>
          <w:rFonts w:hint="eastAsia" w:ascii="宋体" w:hAnsi="宋体" w:eastAsia="宋体" w:cs="宋体"/>
          <w:b/>
          <w:bCs/>
          <w:color w:val="auto"/>
          <w:sz w:val="36"/>
          <w:szCs w:val="36"/>
          <w:highlight w:val="none"/>
          <w:lang w:eastAsia="zh-CN"/>
        </w:rPr>
      </w:pPr>
    </w:p>
    <w:p w14:paraId="67771D37">
      <w:pPr>
        <w:rPr>
          <w:rFonts w:hint="eastAsia" w:ascii="宋体" w:hAnsi="宋体" w:eastAsia="宋体" w:cs="宋体"/>
          <w:b/>
          <w:bCs/>
          <w:color w:val="auto"/>
          <w:sz w:val="36"/>
          <w:szCs w:val="36"/>
          <w:highlight w:val="none"/>
          <w:lang w:eastAsia="zh-CN"/>
        </w:rPr>
      </w:pPr>
    </w:p>
    <w:p w14:paraId="3248D7E9">
      <w:pPr>
        <w:pStyle w:val="2"/>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第二章</w:t>
      </w:r>
      <w:r>
        <w:rPr>
          <w:rFonts w:hint="eastAsia" w:ascii="宋体" w:hAnsi="宋体" w:eastAsia="宋体" w:cs="宋体"/>
          <w:b/>
          <w:bCs/>
          <w:color w:val="auto"/>
          <w:sz w:val="36"/>
          <w:szCs w:val="36"/>
          <w:highlight w:val="none"/>
        </w:rPr>
        <w:t xml:space="preserve">   投标人须知</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72F05900">
      <w:pPr>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highlight w:val="none"/>
        </w:rPr>
      </w:pPr>
      <w:bookmarkStart w:id="22" w:name="_Toc5389"/>
      <w:r>
        <w:rPr>
          <w:rFonts w:hint="eastAsia" w:ascii="宋体" w:hAnsi="宋体" w:eastAsia="宋体" w:cs="宋体"/>
          <w:b/>
          <w:bCs/>
          <w:color w:val="auto"/>
          <w:sz w:val="24"/>
          <w:szCs w:val="24"/>
          <w:highlight w:val="none"/>
        </w:rPr>
        <w:t>投标人须知前附表</w:t>
      </w:r>
      <w:bookmarkEnd w:id="22"/>
    </w:p>
    <w:tbl>
      <w:tblPr>
        <w:tblStyle w:val="24"/>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26"/>
        <w:gridCol w:w="6998"/>
      </w:tblGrid>
      <w:tr w14:paraId="1E6C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55" w:type="dxa"/>
            <w:noWrap w:val="0"/>
            <w:vAlign w:val="center"/>
          </w:tcPr>
          <w:p w14:paraId="7F794584">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zh-CN"/>
              </w:rPr>
              <w:t>序号</w:t>
            </w:r>
          </w:p>
        </w:tc>
        <w:tc>
          <w:tcPr>
            <w:tcW w:w="1926" w:type="dxa"/>
            <w:noWrap w:val="0"/>
            <w:vAlign w:val="center"/>
          </w:tcPr>
          <w:p w14:paraId="5920EB88">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zh-CN"/>
              </w:rPr>
              <w:t>项  目</w:t>
            </w:r>
          </w:p>
        </w:tc>
        <w:tc>
          <w:tcPr>
            <w:tcW w:w="6998" w:type="dxa"/>
            <w:noWrap w:val="0"/>
            <w:vAlign w:val="center"/>
          </w:tcPr>
          <w:p w14:paraId="3DCC2265">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zh-CN"/>
              </w:rPr>
              <w:t>内   容</w:t>
            </w:r>
          </w:p>
        </w:tc>
      </w:tr>
      <w:tr w14:paraId="6BB6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5" w:type="dxa"/>
            <w:noWrap w:val="0"/>
            <w:vAlign w:val="center"/>
          </w:tcPr>
          <w:p w14:paraId="72639168">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26" w:type="dxa"/>
            <w:noWrap w:val="0"/>
            <w:vAlign w:val="center"/>
          </w:tcPr>
          <w:p w14:paraId="045DC564">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项目名称</w:t>
            </w:r>
          </w:p>
        </w:tc>
        <w:tc>
          <w:tcPr>
            <w:tcW w:w="6998" w:type="dxa"/>
            <w:noWrap w:val="0"/>
            <w:vAlign w:val="center"/>
          </w:tcPr>
          <w:p w14:paraId="17965147">
            <w:pPr>
              <w:autoSpaceDE w:val="0"/>
              <w:autoSpaceDN w:val="0"/>
              <w:adjustRightInd w:val="0"/>
              <w:spacing w:line="40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衢州市柯城区贝蓓儿儿童康复指导中心提升改造工程设备采购</w:t>
            </w:r>
          </w:p>
        </w:tc>
      </w:tr>
      <w:tr w14:paraId="27C7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5" w:type="dxa"/>
            <w:noWrap w:val="0"/>
            <w:vAlign w:val="center"/>
          </w:tcPr>
          <w:p w14:paraId="73529DD4">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1926" w:type="dxa"/>
            <w:noWrap w:val="0"/>
            <w:vAlign w:val="center"/>
          </w:tcPr>
          <w:p w14:paraId="15FD8DDD">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招标内容及需求</w:t>
            </w:r>
          </w:p>
        </w:tc>
        <w:tc>
          <w:tcPr>
            <w:tcW w:w="6998" w:type="dxa"/>
            <w:noWrap w:val="0"/>
            <w:vAlign w:val="center"/>
          </w:tcPr>
          <w:p w14:paraId="02A18A82">
            <w:pPr>
              <w:autoSpaceDE w:val="0"/>
              <w:autoSpaceDN w:val="0"/>
              <w:adjustRightIn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详见招标文件第</w:t>
            </w:r>
            <w:r>
              <w:rPr>
                <w:rFonts w:hint="eastAsia" w:ascii="宋体" w:hAnsi="宋体" w:eastAsia="宋体" w:cs="宋体"/>
                <w:color w:val="auto"/>
                <w:kern w:val="0"/>
                <w:sz w:val="24"/>
                <w:szCs w:val="24"/>
                <w:highlight w:val="none"/>
              </w:rPr>
              <w:t>三章“招标内容及要求”</w:t>
            </w:r>
          </w:p>
        </w:tc>
      </w:tr>
      <w:tr w14:paraId="627B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5" w:type="dxa"/>
            <w:noWrap w:val="0"/>
            <w:vAlign w:val="center"/>
          </w:tcPr>
          <w:p w14:paraId="7A9B1452">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926" w:type="dxa"/>
            <w:noWrap w:val="0"/>
            <w:vAlign w:val="center"/>
          </w:tcPr>
          <w:p w14:paraId="37DBE934">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投标资格要求</w:t>
            </w:r>
          </w:p>
        </w:tc>
        <w:tc>
          <w:tcPr>
            <w:tcW w:w="6998" w:type="dxa"/>
            <w:noWrap w:val="0"/>
            <w:vAlign w:val="center"/>
          </w:tcPr>
          <w:p w14:paraId="05A093CB">
            <w:pPr>
              <w:autoSpaceDE w:val="0"/>
              <w:autoSpaceDN w:val="0"/>
              <w:adjustRightIn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详见第一章“招标公告”</w:t>
            </w:r>
          </w:p>
        </w:tc>
      </w:tr>
      <w:tr w14:paraId="773E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5" w:type="dxa"/>
            <w:noWrap w:val="0"/>
            <w:vAlign w:val="center"/>
          </w:tcPr>
          <w:p w14:paraId="78F92B8C">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926" w:type="dxa"/>
            <w:noWrap w:val="0"/>
            <w:vAlign w:val="center"/>
          </w:tcPr>
          <w:p w14:paraId="08AA01D0">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投标有效期</w:t>
            </w:r>
          </w:p>
        </w:tc>
        <w:tc>
          <w:tcPr>
            <w:tcW w:w="6998" w:type="dxa"/>
            <w:noWrap w:val="0"/>
            <w:vAlign w:val="center"/>
          </w:tcPr>
          <w:p w14:paraId="3D106A62">
            <w:pPr>
              <w:autoSpaceDE w:val="0"/>
              <w:autoSpaceDN w:val="0"/>
              <w:adjustRightIn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90</w:t>
            </w:r>
            <w:r>
              <w:rPr>
                <w:rFonts w:hint="eastAsia" w:ascii="宋体" w:hAnsi="宋体" w:eastAsia="宋体" w:cs="宋体"/>
                <w:color w:val="auto"/>
                <w:kern w:val="0"/>
                <w:sz w:val="24"/>
                <w:szCs w:val="24"/>
                <w:highlight w:val="none"/>
                <w:lang w:val="zh-CN"/>
              </w:rPr>
              <w:t>天</w:t>
            </w:r>
          </w:p>
        </w:tc>
      </w:tr>
      <w:tr w14:paraId="5B5C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55" w:type="dxa"/>
            <w:noWrap w:val="0"/>
            <w:vAlign w:val="center"/>
          </w:tcPr>
          <w:p w14:paraId="561DBBA7">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926" w:type="dxa"/>
            <w:noWrap w:val="0"/>
            <w:vAlign w:val="center"/>
          </w:tcPr>
          <w:p w14:paraId="12C95DAE">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踏勘现场、标前会</w:t>
            </w:r>
          </w:p>
        </w:tc>
        <w:tc>
          <w:tcPr>
            <w:tcW w:w="6998" w:type="dxa"/>
            <w:noWrap w:val="0"/>
            <w:vAlign w:val="center"/>
          </w:tcPr>
          <w:p w14:paraId="6FFA4665">
            <w:pPr>
              <w:autoSpaceDE w:val="0"/>
              <w:autoSpaceDN w:val="0"/>
              <w:adjustRightInd w:val="0"/>
              <w:spacing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本项目不组织踏勘现场和不集中答疑</w:t>
            </w:r>
          </w:p>
        </w:tc>
      </w:tr>
      <w:tr w14:paraId="0A99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55" w:type="dxa"/>
            <w:noWrap w:val="0"/>
            <w:vAlign w:val="center"/>
          </w:tcPr>
          <w:p w14:paraId="29AF4DB8">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1926" w:type="dxa"/>
            <w:noWrap w:val="0"/>
            <w:vAlign w:val="center"/>
          </w:tcPr>
          <w:p w14:paraId="2743C39A">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投标文件</w:t>
            </w:r>
            <w:r>
              <w:rPr>
                <w:rFonts w:hint="eastAsia" w:ascii="宋体" w:hAnsi="宋体" w:eastAsia="宋体" w:cs="宋体"/>
                <w:color w:val="auto"/>
                <w:kern w:val="0"/>
                <w:sz w:val="24"/>
                <w:szCs w:val="24"/>
                <w:highlight w:val="none"/>
              </w:rPr>
              <w:t>递交</w:t>
            </w:r>
            <w:r>
              <w:rPr>
                <w:rFonts w:hint="eastAsia" w:ascii="宋体" w:hAnsi="宋体" w:eastAsia="宋体" w:cs="宋体"/>
                <w:color w:val="auto"/>
                <w:kern w:val="0"/>
                <w:sz w:val="24"/>
                <w:szCs w:val="24"/>
                <w:highlight w:val="none"/>
                <w:lang w:val="zh-CN"/>
              </w:rPr>
              <w:t>截止时间</w:t>
            </w:r>
          </w:p>
        </w:tc>
        <w:tc>
          <w:tcPr>
            <w:tcW w:w="6998" w:type="dxa"/>
            <w:noWrap w:val="0"/>
            <w:vAlign w:val="center"/>
          </w:tcPr>
          <w:p w14:paraId="2BE38F90">
            <w:pPr>
              <w:snapToGrid w:val="0"/>
              <w:spacing w:line="320" w:lineRule="exac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u w:val="single"/>
                <w:lang w:eastAsia="zh-CN"/>
              </w:rPr>
              <w:t>时间</w:t>
            </w:r>
            <w:r>
              <w:rPr>
                <w:rFonts w:hint="eastAsia" w:ascii="宋体" w:hAnsi="宋体" w:cs="宋体"/>
                <w:b w:val="0"/>
                <w:bCs w:val="0"/>
                <w:color w:val="auto"/>
                <w:sz w:val="24"/>
                <w:szCs w:val="24"/>
                <w:highlight w:val="none"/>
                <w:u w:val="single"/>
                <w:lang w:eastAsia="zh-CN"/>
              </w:rPr>
              <w:t>：2024</w:t>
            </w:r>
            <w:r>
              <w:rPr>
                <w:rFonts w:hint="eastAsia" w:ascii="宋体" w:hAnsi="宋体" w:eastAsia="宋体" w:cs="宋体"/>
                <w:b w:val="0"/>
                <w:bCs w:val="0"/>
                <w:color w:val="auto"/>
                <w:sz w:val="24"/>
                <w:szCs w:val="24"/>
                <w:highlight w:val="none"/>
                <w:u w:val="single"/>
                <w:lang w:eastAsia="zh-CN"/>
              </w:rPr>
              <w:t>年</w:t>
            </w:r>
            <w:r>
              <w:rPr>
                <w:rFonts w:hint="eastAsia" w:ascii="宋体" w:hAnsi="宋体" w:cs="宋体"/>
                <w:b w:val="0"/>
                <w:bCs w:val="0"/>
                <w:color w:val="auto"/>
                <w:sz w:val="24"/>
                <w:szCs w:val="24"/>
                <w:highlight w:val="none"/>
                <w:u w:val="single"/>
                <w:lang w:val="en-US" w:eastAsia="zh-CN"/>
              </w:rPr>
              <w:t>10</w:t>
            </w:r>
            <w:r>
              <w:rPr>
                <w:rFonts w:hint="eastAsia" w:ascii="宋体" w:hAnsi="宋体" w:eastAsia="宋体" w:cs="宋体"/>
                <w:b w:val="0"/>
                <w:bCs w:val="0"/>
                <w:color w:val="auto"/>
                <w:sz w:val="24"/>
                <w:szCs w:val="24"/>
                <w:highlight w:val="none"/>
                <w:u w:val="single"/>
                <w:lang w:val="en-US" w:eastAsia="zh-CN"/>
              </w:rPr>
              <w:t>月</w:t>
            </w:r>
            <w:r>
              <w:rPr>
                <w:rFonts w:hint="eastAsia" w:ascii="宋体" w:hAnsi="宋体" w:cs="宋体"/>
                <w:b w:val="0"/>
                <w:bCs w:val="0"/>
                <w:color w:val="auto"/>
                <w:sz w:val="24"/>
                <w:szCs w:val="24"/>
                <w:highlight w:val="none"/>
                <w:u w:val="single"/>
                <w:lang w:val="en-US" w:eastAsia="zh-CN"/>
              </w:rPr>
              <w:t>24</w:t>
            </w:r>
            <w:r>
              <w:rPr>
                <w:rFonts w:hint="eastAsia" w:ascii="宋体" w:hAnsi="宋体" w:eastAsia="宋体" w:cs="宋体"/>
                <w:b w:val="0"/>
                <w:bCs w:val="0"/>
                <w:color w:val="auto"/>
                <w:sz w:val="24"/>
                <w:szCs w:val="24"/>
                <w:highlight w:val="none"/>
                <w:u w:val="single"/>
                <w:lang w:eastAsia="zh-CN"/>
              </w:rPr>
              <w:t>日</w:t>
            </w:r>
            <w:r>
              <w:rPr>
                <w:rFonts w:hint="eastAsia" w:ascii="宋体" w:hAnsi="宋体" w:cs="宋体"/>
                <w:b w:val="0"/>
                <w:bCs w:val="0"/>
                <w:color w:val="auto"/>
                <w:sz w:val="24"/>
                <w:szCs w:val="24"/>
                <w:highlight w:val="none"/>
                <w:u w:val="single"/>
                <w:lang w:val="en-US" w:eastAsia="zh-CN"/>
              </w:rPr>
              <w:t xml:space="preserve">14 </w:t>
            </w:r>
            <w:r>
              <w:rPr>
                <w:rFonts w:hint="eastAsia" w:ascii="宋体" w:hAnsi="宋体" w:eastAsia="宋体" w:cs="宋体"/>
                <w:b w:val="0"/>
                <w:bCs w:val="0"/>
                <w:color w:val="auto"/>
                <w:sz w:val="24"/>
                <w:szCs w:val="24"/>
                <w:highlight w:val="none"/>
                <w:u w:val="single"/>
                <w:lang w:eastAsia="zh-CN"/>
              </w:rPr>
              <w:t>时</w:t>
            </w:r>
            <w:r>
              <w:rPr>
                <w:rFonts w:hint="eastAsia" w:ascii="宋体" w:hAnsi="宋体" w:cs="宋体"/>
                <w:b w:val="0"/>
                <w:bCs w:val="0"/>
                <w:color w:val="auto"/>
                <w:sz w:val="24"/>
                <w:szCs w:val="24"/>
                <w:highlight w:val="none"/>
                <w:u w:val="single"/>
                <w:lang w:val="en-US" w:eastAsia="zh-CN"/>
              </w:rPr>
              <w:t>30</w:t>
            </w:r>
            <w:r>
              <w:rPr>
                <w:rFonts w:hint="eastAsia" w:ascii="宋体" w:hAnsi="宋体" w:eastAsia="宋体" w:cs="宋体"/>
                <w:b w:val="0"/>
                <w:bCs w:val="0"/>
                <w:color w:val="auto"/>
                <w:sz w:val="24"/>
                <w:szCs w:val="24"/>
                <w:highlight w:val="none"/>
                <w:u w:val="single"/>
                <w:lang w:eastAsia="zh-CN"/>
              </w:rPr>
              <w:t>分</w:t>
            </w:r>
            <w:r>
              <w:rPr>
                <w:rFonts w:hint="eastAsia" w:ascii="宋体" w:hAnsi="宋体" w:eastAsia="宋体" w:cs="宋体"/>
                <w:b w:val="0"/>
                <w:bCs w:val="0"/>
                <w:color w:val="auto"/>
                <w:kern w:val="0"/>
                <w:sz w:val="24"/>
                <w:szCs w:val="24"/>
                <w:highlight w:val="none"/>
              </w:rPr>
              <w:t>前（北京时间）</w:t>
            </w:r>
          </w:p>
        </w:tc>
      </w:tr>
      <w:tr w14:paraId="1120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855" w:type="dxa"/>
            <w:noWrap w:val="0"/>
            <w:vAlign w:val="center"/>
          </w:tcPr>
          <w:p w14:paraId="78F6CF54">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w:t>
            </w:r>
          </w:p>
        </w:tc>
        <w:tc>
          <w:tcPr>
            <w:tcW w:w="1926" w:type="dxa"/>
            <w:noWrap w:val="0"/>
            <w:vAlign w:val="center"/>
          </w:tcPr>
          <w:p w14:paraId="29FAF880">
            <w:pPr>
              <w:autoSpaceDE w:val="0"/>
              <w:autoSpaceDN w:val="0"/>
              <w:adjustRightIn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开标时间及地址</w:t>
            </w:r>
          </w:p>
        </w:tc>
        <w:tc>
          <w:tcPr>
            <w:tcW w:w="6998" w:type="dxa"/>
            <w:noWrap w:val="0"/>
            <w:vAlign w:val="center"/>
          </w:tcPr>
          <w:p w14:paraId="592287F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color w:val="auto"/>
                <w:kern w:val="0"/>
                <w:sz w:val="24"/>
                <w:szCs w:val="24"/>
                <w:highlight w:val="none"/>
                <w:lang w:val="zh-CN"/>
              </w:rPr>
            </w:pPr>
            <w:r>
              <w:rPr>
                <w:rFonts w:hint="eastAsia" w:ascii="宋体" w:hAnsi="宋体" w:eastAsia="宋体" w:cs="宋体"/>
                <w:b w:val="0"/>
                <w:bCs w:val="0"/>
                <w:color w:val="auto"/>
                <w:sz w:val="24"/>
                <w:szCs w:val="24"/>
                <w:highlight w:val="none"/>
                <w:u w:val="single"/>
                <w:lang w:eastAsia="zh-CN"/>
              </w:rPr>
              <w:t>时间</w:t>
            </w:r>
            <w:r>
              <w:rPr>
                <w:rFonts w:hint="eastAsia" w:ascii="宋体" w:hAnsi="宋体" w:cs="宋体"/>
                <w:b w:val="0"/>
                <w:bCs w:val="0"/>
                <w:color w:val="auto"/>
                <w:sz w:val="24"/>
                <w:szCs w:val="24"/>
                <w:highlight w:val="none"/>
                <w:u w:val="single"/>
                <w:lang w:eastAsia="zh-CN"/>
              </w:rPr>
              <w:t>：2024</w:t>
            </w:r>
            <w:r>
              <w:rPr>
                <w:rFonts w:hint="eastAsia" w:ascii="宋体" w:hAnsi="宋体" w:eastAsia="宋体" w:cs="宋体"/>
                <w:b w:val="0"/>
                <w:bCs w:val="0"/>
                <w:color w:val="auto"/>
                <w:sz w:val="24"/>
                <w:szCs w:val="24"/>
                <w:highlight w:val="none"/>
                <w:u w:val="single"/>
                <w:lang w:eastAsia="zh-CN"/>
              </w:rPr>
              <w:t>年</w:t>
            </w:r>
            <w:r>
              <w:rPr>
                <w:rFonts w:hint="eastAsia" w:ascii="宋体" w:hAnsi="宋体" w:cs="宋体"/>
                <w:b w:val="0"/>
                <w:bCs w:val="0"/>
                <w:color w:val="auto"/>
                <w:sz w:val="24"/>
                <w:szCs w:val="24"/>
                <w:highlight w:val="none"/>
                <w:u w:val="single"/>
                <w:lang w:val="en-US" w:eastAsia="zh-CN"/>
              </w:rPr>
              <w:t>10</w:t>
            </w:r>
            <w:r>
              <w:rPr>
                <w:rFonts w:hint="eastAsia" w:ascii="宋体" w:hAnsi="宋体" w:eastAsia="宋体" w:cs="宋体"/>
                <w:b w:val="0"/>
                <w:bCs w:val="0"/>
                <w:color w:val="auto"/>
                <w:sz w:val="24"/>
                <w:szCs w:val="24"/>
                <w:highlight w:val="none"/>
                <w:u w:val="single"/>
                <w:lang w:val="en-US" w:eastAsia="zh-CN"/>
              </w:rPr>
              <w:t>月</w:t>
            </w:r>
            <w:r>
              <w:rPr>
                <w:rFonts w:hint="eastAsia" w:ascii="宋体" w:hAnsi="宋体" w:cs="宋体"/>
                <w:b w:val="0"/>
                <w:bCs w:val="0"/>
                <w:color w:val="auto"/>
                <w:sz w:val="24"/>
                <w:szCs w:val="24"/>
                <w:highlight w:val="none"/>
                <w:u w:val="single"/>
                <w:lang w:val="en-US" w:eastAsia="zh-CN"/>
              </w:rPr>
              <w:t>24</w:t>
            </w:r>
            <w:r>
              <w:rPr>
                <w:rFonts w:hint="eastAsia" w:ascii="宋体" w:hAnsi="宋体" w:eastAsia="宋体" w:cs="宋体"/>
                <w:b w:val="0"/>
                <w:bCs w:val="0"/>
                <w:color w:val="auto"/>
                <w:sz w:val="24"/>
                <w:szCs w:val="24"/>
                <w:highlight w:val="none"/>
                <w:u w:val="single"/>
                <w:lang w:eastAsia="zh-CN"/>
              </w:rPr>
              <w:t>日</w:t>
            </w:r>
            <w:r>
              <w:rPr>
                <w:rFonts w:hint="eastAsia" w:ascii="宋体" w:hAnsi="宋体" w:cs="宋体"/>
                <w:b w:val="0"/>
                <w:bCs w:val="0"/>
                <w:color w:val="auto"/>
                <w:sz w:val="24"/>
                <w:szCs w:val="24"/>
                <w:highlight w:val="none"/>
                <w:u w:val="single"/>
                <w:lang w:val="en-US" w:eastAsia="zh-CN"/>
              </w:rPr>
              <w:t>14</w:t>
            </w:r>
            <w:r>
              <w:rPr>
                <w:rFonts w:hint="eastAsia" w:ascii="宋体" w:hAnsi="宋体" w:eastAsia="宋体" w:cs="宋体"/>
                <w:b w:val="0"/>
                <w:bCs w:val="0"/>
                <w:color w:val="auto"/>
                <w:sz w:val="24"/>
                <w:szCs w:val="24"/>
                <w:highlight w:val="none"/>
                <w:u w:val="single"/>
                <w:lang w:eastAsia="zh-CN"/>
              </w:rPr>
              <w:t>时</w:t>
            </w:r>
            <w:r>
              <w:rPr>
                <w:rFonts w:hint="eastAsia" w:ascii="宋体" w:hAnsi="宋体" w:cs="宋体"/>
                <w:b w:val="0"/>
                <w:bCs w:val="0"/>
                <w:color w:val="auto"/>
                <w:sz w:val="24"/>
                <w:szCs w:val="24"/>
                <w:highlight w:val="none"/>
                <w:u w:val="single"/>
                <w:lang w:val="en-US" w:eastAsia="zh-CN"/>
              </w:rPr>
              <w:t>30</w:t>
            </w:r>
            <w:r>
              <w:rPr>
                <w:rFonts w:hint="eastAsia" w:ascii="宋体" w:hAnsi="宋体" w:eastAsia="宋体" w:cs="宋体"/>
                <w:b w:val="0"/>
                <w:bCs w:val="0"/>
                <w:color w:val="auto"/>
                <w:sz w:val="24"/>
                <w:szCs w:val="24"/>
                <w:highlight w:val="none"/>
                <w:u w:val="single"/>
                <w:lang w:eastAsia="zh-CN"/>
              </w:rPr>
              <w:t>分</w:t>
            </w:r>
            <w:r>
              <w:rPr>
                <w:rFonts w:hint="eastAsia" w:ascii="宋体" w:hAnsi="宋体" w:eastAsia="宋体" w:cs="宋体"/>
                <w:b w:val="0"/>
                <w:bCs w:val="0"/>
                <w:color w:val="auto"/>
                <w:kern w:val="0"/>
                <w:sz w:val="24"/>
                <w:szCs w:val="24"/>
                <w:highlight w:val="none"/>
              </w:rPr>
              <w:t>（北京时间）</w:t>
            </w:r>
          </w:p>
          <w:p w14:paraId="7255321A">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zh-CN"/>
              </w:rPr>
              <w:t>地点：</w:t>
            </w:r>
            <w:r>
              <w:rPr>
                <w:rFonts w:hint="eastAsia" w:ascii="宋体" w:hAnsi="宋体" w:cs="宋体"/>
                <w:b w:val="0"/>
                <w:bCs w:val="0"/>
                <w:color w:val="auto"/>
                <w:kern w:val="0"/>
                <w:sz w:val="24"/>
                <w:szCs w:val="24"/>
                <w:highlight w:val="none"/>
                <w:lang w:val="zh-CN"/>
              </w:rPr>
              <w:t>柯城区公共资源交易中心（柯城区荷花三路229号7楼）开标厅</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highlight w:val="none"/>
                <w:lang w:eastAsia="zh-CN"/>
              </w:rPr>
              <w:t>同步在“政采云远程</w:t>
            </w:r>
            <w:r>
              <w:rPr>
                <w:rFonts w:hint="eastAsia" w:ascii="宋体" w:hAnsi="宋体" w:eastAsia="宋体" w:cs="宋体"/>
                <w:b w:val="0"/>
                <w:bCs w:val="0"/>
                <w:color w:val="auto"/>
                <w:sz w:val="24"/>
                <w:szCs w:val="24"/>
                <w:highlight w:val="none"/>
                <w:lang w:val="en-US" w:eastAsia="zh-CN"/>
              </w:rPr>
              <w:t>开标大厅”</w:t>
            </w:r>
            <w:r>
              <w:rPr>
                <w:rFonts w:hint="eastAsia" w:ascii="宋体" w:hAnsi="宋体" w:eastAsia="宋体" w:cs="宋体"/>
                <w:b w:val="0"/>
                <w:bCs w:val="0"/>
                <w:color w:val="auto"/>
                <w:sz w:val="24"/>
                <w:szCs w:val="24"/>
                <w:highlight w:val="none"/>
                <w:lang w:eastAsia="zh-CN"/>
              </w:rPr>
              <w:t>在线开标。</w:t>
            </w:r>
          </w:p>
        </w:tc>
      </w:tr>
      <w:tr w14:paraId="42BF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5" w:type="dxa"/>
            <w:noWrap w:val="0"/>
            <w:vAlign w:val="center"/>
          </w:tcPr>
          <w:p w14:paraId="077AE2D3">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1926" w:type="dxa"/>
            <w:noWrap w:val="0"/>
            <w:vAlign w:val="center"/>
          </w:tcPr>
          <w:p w14:paraId="25CD0580">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投标保证金</w:t>
            </w:r>
          </w:p>
        </w:tc>
        <w:tc>
          <w:tcPr>
            <w:tcW w:w="6998" w:type="dxa"/>
            <w:noWrap w:val="0"/>
            <w:vAlign w:val="center"/>
          </w:tcPr>
          <w:p w14:paraId="11706DC9">
            <w:pPr>
              <w:snapToGrid w:val="0"/>
              <w:spacing w:line="32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无</w:t>
            </w:r>
          </w:p>
        </w:tc>
      </w:tr>
      <w:tr w14:paraId="5458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855" w:type="dxa"/>
            <w:noWrap w:val="0"/>
            <w:vAlign w:val="center"/>
          </w:tcPr>
          <w:p w14:paraId="06CFDD02">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1926" w:type="dxa"/>
            <w:noWrap w:val="0"/>
            <w:vAlign w:val="center"/>
          </w:tcPr>
          <w:p w14:paraId="420EB8B3">
            <w:pPr>
              <w:autoSpaceDE w:val="0"/>
              <w:autoSpaceDN w:val="0"/>
              <w:adjustRightInd w:val="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zh-CN"/>
              </w:rPr>
              <w:t>评标委员会的组建</w:t>
            </w:r>
          </w:p>
        </w:tc>
        <w:tc>
          <w:tcPr>
            <w:tcW w:w="6998" w:type="dxa"/>
            <w:noWrap w:val="0"/>
            <w:vAlign w:val="center"/>
          </w:tcPr>
          <w:p w14:paraId="4942422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按规定组建评标委员会。</w:t>
            </w:r>
          </w:p>
          <w:p w14:paraId="29CBCC4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评标专家确定方式：共5人组成，</w:t>
            </w:r>
            <w:r>
              <w:rPr>
                <w:rFonts w:hint="eastAsia" w:ascii="宋体" w:hAnsi="宋体" w:eastAsia="宋体" w:cs="宋体"/>
                <w:bCs/>
                <w:color w:val="auto"/>
                <w:kern w:val="0"/>
                <w:sz w:val="24"/>
                <w:szCs w:val="24"/>
                <w:highlight w:val="none"/>
                <w:lang w:eastAsia="zh-CN"/>
              </w:rPr>
              <w:t>其中采购单位代表</w:t>
            </w:r>
            <w:r>
              <w:rPr>
                <w:rFonts w:hint="eastAsia" w:ascii="宋体" w:hAnsi="宋体" w:eastAsia="宋体" w:cs="宋体"/>
                <w:bCs/>
                <w:color w:val="auto"/>
                <w:kern w:val="0"/>
                <w:sz w:val="24"/>
                <w:szCs w:val="24"/>
                <w:highlight w:val="none"/>
                <w:lang w:val="en-US" w:eastAsia="zh-CN"/>
              </w:rPr>
              <w:t>1名，其余4名</w:t>
            </w:r>
            <w:r>
              <w:rPr>
                <w:rFonts w:hint="eastAsia" w:ascii="宋体" w:hAnsi="宋体" w:eastAsia="宋体" w:cs="宋体"/>
                <w:bCs/>
                <w:color w:val="auto"/>
                <w:kern w:val="0"/>
                <w:sz w:val="24"/>
                <w:szCs w:val="24"/>
                <w:highlight w:val="none"/>
              </w:rPr>
              <w:t>专家从</w:t>
            </w:r>
            <w:r>
              <w:rPr>
                <w:rFonts w:hint="eastAsia" w:ascii="宋体" w:hAnsi="宋体" w:eastAsia="宋体" w:cs="宋体"/>
                <w:bCs/>
                <w:color w:val="auto"/>
                <w:kern w:val="0"/>
                <w:sz w:val="24"/>
                <w:szCs w:val="24"/>
                <w:highlight w:val="none"/>
                <w:lang w:val="en-US" w:eastAsia="zh-CN"/>
              </w:rPr>
              <w:t>柯城区</w:t>
            </w:r>
            <w:r>
              <w:rPr>
                <w:rFonts w:hint="eastAsia" w:ascii="宋体" w:hAnsi="宋体" w:eastAsia="宋体" w:cs="宋体"/>
                <w:bCs/>
                <w:color w:val="auto"/>
                <w:kern w:val="0"/>
                <w:sz w:val="24"/>
                <w:szCs w:val="24"/>
                <w:highlight w:val="none"/>
              </w:rPr>
              <w:t>政府采购</w:t>
            </w:r>
            <w:r>
              <w:rPr>
                <w:rFonts w:hint="eastAsia" w:ascii="宋体" w:hAnsi="宋体" w:eastAsia="宋体" w:cs="宋体"/>
                <w:bCs/>
                <w:color w:val="auto"/>
                <w:kern w:val="0"/>
                <w:sz w:val="24"/>
                <w:szCs w:val="24"/>
                <w:highlight w:val="none"/>
                <w:lang w:eastAsia="zh-CN"/>
              </w:rPr>
              <w:t>评审</w:t>
            </w:r>
            <w:r>
              <w:rPr>
                <w:rFonts w:hint="eastAsia" w:ascii="宋体" w:hAnsi="宋体" w:eastAsia="宋体" w:cs="宋体"/>
                <w:bCs/>
                <w:color w:val="auto"/>
                <w:kern w:val="0"/>
                <w:sz w:val="24"/>
                <w:szCs w:val="24"/>
                <w:highlight w:val="none"/>
              </w:rPr>
              <w:t>专家库中随机抽取产生。</w:t>
            </w:r>
          </w:p>
        </w:tc>
      </w:tr>
      <w:tr w14:paraId="1484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8" w:hRule="atLeast"/>
          <w:jc w:val="center"/>
        </w:trPr>
        <w:tc>
          <w:tcPr>
            <w:tcW w:w="855" w:type="dxa"/>
            <w:noWrap w:val="0"/>
            <w:vAlign w:val="center"/>
          </w:tcPr>
          <w:p w14:paraId="6F56B22E">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1926" w:type="dxa"/>
            <w:noWrap w:val="0"/>
            <w:vAlign w:val="center"/>
          </w:tcPr>
          <w:p w14:paraId="58EBD537">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eastAsia="zh-CN"/>
              </w:rPr>
              <w:t>▲响应文件的</w:t>
            </w:r>
            <w:r>
              <w:rPr>
                <w:rFonts w:hint="eastAsia" w:ascii="宋体" w:hAnsi="宋体" w:eastAsia="宋体" w:cs="宋体"/>
                <w:b w:val="0"/>
                <w:bCs/>
                <w:color w:val="auto"/>
                <w:kern w:val="0"/>
                <w:sz w:val="24"/>
                <w:szCs w:val="24"/>
                <w:highlight w:val="none"/>
              </w:rPr>
              <w:t>组成</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编制及在线投标响应（电子投标）说明</w:t>
            </w:r>
          </w:p>
        </w:tc>
        <w:tc>
          <w:tcPr>
            <w:tcW w:w="6998" w:type="dxa"/>
            <w:noWrap w:val="0"/>
            <w:vAlign w:val="center"/>
          </w:tcPr>
          <w:p w14:paraId="44B5D793">
            <w:pPr>
              <w:pStyle w:val="21"/>
              <w:keepNext w:val="0"/>
              <w:keepLines w:val="0"/>
              <w:pageBreakBefore w:val="0"/>
              <w:widowControl w:val="0"/>
              <w:numPr>
                <w:ilvl w:val="0"/>
                <w:numId w:val="2"/>
              </w:numPr>
              <w:kinsoku/>
              <w:wordWrap/>
              <w:overflowPunct/>
              <w:topLinePunct w:val="0"/>
              <w:bidi w:val="0"/>
              <w:snapToGrid/>
              <w:spacing w:after="0" w:line="240" w:lineRule="auto"/>
              <w:ind w:left="0" w:lef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由</w:t>
            </w:r>
            <w:r>
              <w:rPr>
                <w:rFonts w:hint="eastAsia" w:ascii="宋体" w:hAnsi="宋体" w:eastAsia="宋体" w:cs="宋体"/>
                <w:b w:val="0"/>
                <w:bCs w:val="0"/>
                <w:color w:val="auto"/>
                <w:sz w:val="24"/>
                <w:szCs w:val="24"/>
                <w:highlight w:val="none"/>
                <w:lang w:eastAsia="zh-CN"/>
              </w:rPr>
              <w:t>资格审查资料</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商务技术文件</w:t>
            </w:r>
            <w:r>
              <w:rPr>
                <w:rFonts w:hint="eastAsia" w:ascii="宋体" w:hAnsi="宋体" w:eastAsia="宋体" w:cs="宋体"/>
                <w:b w:val="0"/>
                <w:bCs w:val="0"/>
                <w:color w:val="auto"/>
                <w:sz w:val="24"/>
                <w:szCs w:val="24"/>
                <w:highlight w:val="none"/>
              </w:rPr>
              <w:t>、报价文件组成。</w:t>
            </w:r>
          </w:p>
          <w:p w14:paraId="14148D0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2、投标文件编制：供应商应先安装“政采云电子交易客户端”，并按照本采购文件和“政府采购云平台”的要求，通过“政采云电子交易客户端”编制并加密投标文件。</w:t>
            </w:r>
          </w:p>
          <w:p w14:paraId="3D40B61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3、投标文件的形式：☑电子投标文件（包括“电子加密投标文件”和“备份投标文件”，在投标文件编制完成后同时生成）；</w:t>
            </w:r>
          </w:p>
          <w:p w14:paraId="6AB5D583">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（1）“电子加密投标文件”是指通过“政采云电子交易客户端”完成投标文件编制后生成并加密的数据电文形式的投标文件。</w:t>
            </w:r>
          </w:p>
          <w:p w14:paraId="332CED5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（2）“备份投标文件”是指与“电子加密投标文件”同时生成的数据电文形式的电子文件（备份标书），其他方式编制的备份投标文件视为无效备份投标文件。</w:t>
            </w:r>
          </w:p>
          <w:p w14:paraId="6BA71F3B">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4、投标文件份数：（1）“电子加密投标文件”：在线上传一份。（2）“备份投标文件”：发送至邮箱：</w:t>
            </w:r>
            <w:r>
              <w:rPr>
                <w:rFonts w:hint="eastAsia" w:ascii="宋体" w:hAnsi="宋体" w:eastAsia="宋体" w:cs="宋体"/>
                <w:b/>
                <w:bCs/>
                <w:color w:val="auto"/>
                <w:kern w:val="0"/>
                <w:sz w:val="24"/>
                <w:szCs w:val="24"/>
                <w:highlight w:val="none"/>
                <w:u w:val="single"/>
                <w:lang w:val="en-US" w:eastAsia="zh-CN"/>
              </w:rPr>
              <w:t>2291117847@qq.com</w:t>
            </w:r>
            <w:r>
              <w:rPr>
                <w:rFonts w:hint="eastAsia" w:ascii="宋体" w:hAnsi="宋体" w:eastAsia="宋体" w:cs="宋体"/>
                <w:b/>
                <w:bCs/>
                <w:color w:val="auto"/>
                <w:kern w:val="0"/>
                <w:sz w:val="24"/>
                <w:szCs w:val="24"/>
                <w:highlight w:val="none"/>
                <w:u w:val="single"/>
                <w:lang w:eastAsia="zh-CN"/>
              </w:rPr>
              <w:t>，</w:t>
            </w:r>
            <w:r>
              <w:rPr>
                <w:rFonts w:hint="eastAsia" w:ascii="宋体" w:hAnsi="宋体" w:eastAsia="宋体" w:cs="宋体"/>
                <w:b w:val="0"/>
                <w:bCs w:val="0"/>
                <w:color w:val="auto"/>
                <w:kern w:val="0"/>
                <w:sz w:val="24"/>
                <w:szCs w:val="24"/>
                <w:highlight w:val="none"/>
                <w:u w:val="none"/>
                <w:lang w:eastAsia="zh-CN"/>
              </w:rPr>
              <w:t>按接收方邮箱收件箱所显示时间为准</w:t>
            </w:r>
            <w:r>
              <w:rPr>
                <w:rFonts w:hint="eastAsia" w:ascii="宋体" w:hAnsi="宋体" w:eastAsia="宋体" w:cs="宋体"/>
                <w:color w:val="auto"/>
                <w:sz w:val="24"/>
                <w:szCs w:val="24"/>
                <w:highlight w:val="none"/>
                <w:lang w:val="zh-CN"/>
              </w:rPr>
              <w:t>。</w:t>
            </w:r>
          </w:p>
          <w:p w14:paraId="45C7C832">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5、投标文件的上传和递交：</w:t>
            </w:r>
          </w:p>
          <w:p w14:paraId="2E58B91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（1）“电子加密投标文件”的上传、递交：</w:t>
            </w:r>
          </w:p>
          <w:p w14:paraId="02154C18">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供应商应在投标截止时间前将“电子加密投标文件”成功上传递交至“政府采购云平台”，否则投标无效。</w:t>
            </w:r>
          </w:p>
          <w:p w14:paraId="042A3614">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（2）“备份投标文件”的递交：</w:t>
            </w:r>
          </w:p>
          <w:p w14:paraId="1339A17E">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a.供应商在“政府采购云平台”完成“电子加密投标文件”的上传递交后，还可以（以</w:t>
            </w:r>
            <w:r>
              <w:rPr>
                <w:rFonts w:hint="eastAsia" w:ascii="宋体" w:hAnsi="宋体" w:eastAsia="宋体" w:cs="宋体"/>
                <w:color w:val="auto"/>
                <w:sz w:val="24"/>
                <w:szCs w:val="24"/>
                <w:highlight w:val="none"/>
                <w:lang w:val="en-US" w:eastAsia="zh-CN"/>
              </w:rPr>
              <w:t>电子邮件的</w:t>
            </w:r>
            <w:r>
              <w:rPr>
                <w:rFonts w:hint="eastAsia" w:ascii="宋体" w:hAnsi="宋体" w:eastAsia="宋体" w:cs="宋体"/>
                <w:color w:val="auto"/>
                <w:sz w:val="24"/>
                <w:szCs w:val="24"/>
                <w:highlight w:val="none"/>
                <w:lang w:val="zh-CN"/>
              </w:rPr>
              <w:t>形式）在投标截止时间前发送一份 “备份投标文件”至邮箱：</w:t>
            </w:r>
            <w:r>
              <w:rPr>
                <w:rFonts w:hint="eastAsia" w:ascii="宋体" w:hAnsi="宋体" w:eastAsia="宋体" w:cs="宋体"/>
                <w:b/>
                <w:bCs/>
                <w:color w:val="auto"/>
                <w:kern w:val="0"/>
                <w:sz w:val="24"/>
                <w:szCs w:val="24"/>
                <w:highlight w:val="none"/>
                <w:u w:val="single"/>
                <w:lang w:val="en-US" w:eastAsia="zh-CN"/>
              </w:rPr>
              <w:t>2291117847@qq.com</w:t>
            </w:r>
            <w:r>
              <w:rPr>
                <w:rFonts w:hint="eastAsia" w:ascii="宋体" w:hAnsi="宋体" w:eastAsia="宋体" w:cs="宋体"/>
                <w:color w:val="auto"/>
                <w:sz w:val="24"/>
                <w:szCs w:val="24"/>
                <w:highlight w:val="none"/>
                <w:lang w:val="zh-CN"/>
              </w:rPr>
              <w:t>；</w:t>
            </w:r>
          </w:p>
          <w:p w14:paraId="7138A77C">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499FD8C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6、电子加密投标文件的解密和异常情况处理：</w:t>
            </w:r>
          </w:p>
          <w:p w14:paraId="1F0444F6">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（1）开标后，采购组织机构将向各供应商发出“电子加密投标文件”的解密通知，各供应商代表应当在接到解密通知后</w:t>
            </w:r>
            <w:r>
              <w:rPr>
                <w:rFonts w:hint="eastAsia" w:ascii="宋体" w:hAnsi="宋体" w:eastAsia="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zh-CN"/>
              </w:rPr>
              <w:t>分钟内自行完成“电子加密投标文件”的在线解密，超过解密时限，默认供应商自动放弃。</w:t>
            </w:r>
          </w:p>
          <w:p w14:paraId="7EE257F7">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E6A2D90">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（3）投标截止时间前，供应商仅递交了“备份投标文件”而未将电子加密投标文件上传至“政府采购云平台”的，投标无效。</w:t>
            </w:r>
          </w:p>
          <w:p w14:paraId="6816599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zh-CN"/>
              </w:rPr>
              <w:t>7、投标截止后，在投标有效期内，供应商不能撤销投标文件。供应商强行撤销投标文件的，应按预算金额的2%赔偿对招标代理机构造成的损失。</w:t>
            </w:r>
          </w:p>
        </w:tc>
      </w:tr>
      <w:tr w14:paraId="70F7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5" w:type="dxa"/>
            <w:noWrap w:val="0"/>
            <w:vAlign w:val="center"/>
          </w:tcPr>
          <w:p w14:paraId="3DFE20D7">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1926" w:type="dxa"/>
            <w:noWrap w:val="0"/>
            <w:vAlign w:val="center"/>
          </w:tcPr>
          <w:p w14:paraId="590C368A">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中标结果公告期限</w:t>
            </w:r>
          </w:p>
        </w:tc>
        <w:tc>
          <w:tcPr>
            <w:tcW w:w="6998" w:type="dxa"/>
            <w:noWrap w:val="0"/>
            <w:vAlign w:val="center"/>
          </w:tcPr>
          <w:p w14:paraId="2CED29E8">
            <w:pPr>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个工作日</w:t>
            </w:r>
            <w:r>
              <w:rPr>
                <w:rFonts w:hint="eastAsia" w:ascii="宋体" w:hAnsi="宋体" w:eastAsia="宋体" w:cs="宋体"/>
                <w:b w:val="0"/>
                <w:bCs w:val="0"/>
                <w:color w:val="auto"/>
                <w:kern w:val="2"/>
                <w:sz w:val="24"/>
                <w:szCs w:val="24"/>
                <w:highlight w:val="none"/>
                <w:lang w:val="en-US" w:eastAsia="zh-CN"/>
              </w:rPr>
              <w:t>（</w:t>
            </w:r>
            <w:r>
              <w:rPr>
                <w:rFonts w:hint="eastAsia" w:ascii="宋体" w:hAnsi="宋体" w:eastAsia="宋体" w:cs="宋体"/>
                <w:b w:val="0"/>
                <w:bCs w:val="0"/>
                <w:color w:val="auto"/>
                <w:kern w:val="2"/>
                <w:sz w:val="24"/>
                <w:szCs w:val="24"/>
                <w:highlight w:val="none"/>
                <w:lang w:eastAsia="zh-CN"/>
              </w:rPr>
              <w:t>中标结果公告</w:t>
            </w:r>
            <w:r>
              <w:rPr>
                <w:rFonts w:hint="eastAsia" w:ascii="宋体" w:hAnsi="宋体" w:eastAsia="宋体" w:cs="宋体"/>
                <w:b w:val="0"/>
                <w:bCs w:val="0"/>
                <w:color w:val="auto"/>
                <w:kern w:val="2"/>
                <w:sz w:val="24"/>
                <w:szCs w:val="24"/>
                <w:highlight w:val="none"/>
              </w:rPr>
              <w:t>发布之日起至第2个工作日止</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color w:val="auto"/>
                <w:kern w:val="0"/>
                <w:sz w:val="24"/>
                <w:szCs w:val="24"/>
                <w:highlight w:val="none"/>
              </w:rPr>
              <w:t>。</w:t>
            </w:r>
          </w:p>
        </w:tc>
      </w:tr>
      <w:tr w14:paraId="17E1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55" w:type="dxa"/>
            <w:noWrap w:val="0"/>
            <w:vAlign w:val="center"/>
          </w:tcPr>
          <w:p w14:paraId="7B6C2F73">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1926" w:type="dxa"/>
            <w:noWrap w:val="0"/>
            <w:vAlign w:val="center"/>
          </w:tcPr>
          <w:p w14:paraId="6B33CBFA">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履约保证金交纳</w:t>
            </w:r>
          </w:p>
        </w:tc>
        <w:tc>
          <w:tcPr>
            <w:tcW w:w="6998" w:type="dxa"/>
            <w:noWrap w:val="0"/>
            <w:vAlign w:val="center"/>
          </w:tcPr>
          <w:p w14:paraId="0A44CDC2">
            <w:pPr>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w:t>
            </w:r>
          </w:p>
        </w:tc>
      </w:tr>
      <w:tr w14:paraId="5326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55" w:type="dxa"/>
            <w:noWrap w:val="0"/>
            <w:vAlign w:val="center"/>
          </w:tcPr>
          <w:p w14:paraId="628F54D6">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1926" w:type="dxa"/>
            <w:noWrap w:val="0"/>
            <w:vAlign w:val="center"/>
          </w:tcPr>
          <w:p w14:paraId="7842AAD8">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履约保证金退还</w:t>
            </w:r>
          </w:p>
        </w:tc>
        <w:tc>
          <w:tcPr>
            <w:tcW w:w="6998" w:type="dxa"/>
            <w:noWrap w:val="0"/>
            <w:vAlign w:val="center"/>
          </w:tcPr>
          <w:p w14:paraId="47ECC129">
            <w:pPr>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无</w:t>
            </w:r>
          </w:p>
        </w:tc>
      </w:tr>
      <w:tr w14:paraId="6C41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55" w:type="dxa"/>
            <w:noWrap w:val="0"/>
            <w:vAlign w:val="center"/>
          </w:tcPr>
          <w:p w14:paraId="3420B88A">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1926" w:type="dxa"/>
            <w:noWrap w:val="0"/>
            <w:vAlign w:val="center"/>
          </w:tcPr>
          <w:p w14:paraId="4F0AD78D">
            <w:pPr>
              <w:pStyle w:val="11"/>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公告及澄清文件</w:t>
            </w:r>
          </w:p>
          <w:p w14:paraId="067F7717">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发布网址</w:t>
            </w:r>
          </w:p>
        </w:tc>
        <w:tc>
          <w:tcPr>
            <w:tcW w:w="6998" w:type="dxa"/>
            <w:noWrap w:val="0"/>
            <w:vAlign w:val="center"/>
          </w:tcPr>
          <w:p w14:paraId="357645CE">
            <w:pPr>
              <w:snapToGrid w:val="0"/>
              <w:spacing w:line="3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浙江政府采购网（http://zfcg.czt.zj.gov.cn/）</w:t>
            </w:r>
          </w:p>
        </w:tc>
      </w:tr>
      <w:tr w14:paraId="415B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55" w:type="dxa"/>
            <w:noWrap w:val="0"/>
            <w:vAlign w:val="center"/>
          </w:tcPr>
          <w:p w14:paraId="4DDC2E84">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1926" w:type="dxa"/>
            <w:noWrap w:val="0"/>
            <w:vAlign w:val="center"/>
          </w:tcPr>
          <w:p w14:paraId="7B507F0A">
            <w:pPr>
              <w:autoSpaceDE w:val="0"/>
              <w:autoSpaceDN w:val="0"/>
              <w:adjustRightInd w:val="0"/>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en-US" w:eastAsia="zh-CN"/>
              </w:rPr>
              <w:t>签订合同</w:t>
            </w:r>
          </w:p>
        </w:tc>
        <w:tc>
          <w:tcPr>
            <w:tcW w:w="6998" w:type="dxa"/>
            <w:noWrap w:val="0"/>
            <w:vAlign w:val="center"/>
          </w:tcPr>
          <w:p w14:paraId="414F3AEC">
            <w:pPr>
              <w:snapToGrid w:val="0"/>
              <w:spacing w:line="320" w:lineRule="exac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lang w:val="en-US" w:eastAsia="zh-CN"/>
              </w:rPr>
              <w:t>采购人应当自中标通知书发出之日起30日内，按照采购文件和中标人投标文件的规定，与中标人签订书面合同。</w:t>
            </w:r>
          </w:p>
        </w:tc>
      </w:tr>
      <w:tr w14:paraId="360D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55" w:type="dxa"/>
            <w:noWrap w:val="0"/>
            <w:vAlign w:val="center"/>
          </w:tcPr>
          <w:p w14:paraId="348A7CF7">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p>
        </w:tc>
        <w:tc>
          <w:tcPr>
            <w:tcW w:w="1926" w:type="dxa"/>
            <w:noWrap w:val="0"/>
            <w:vAlign w:val="center"/>
          </w:tcPr>
          <w:p w14:paraId="35FFDF86">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合同备案</w:t>
            </w:r>
          </w:p>
        </w:tc>
        <w:tc>
          <w:tcPr>
            <w:tcW w:w="6998" w:type="dxa"/>
            <w:noWrap w:val="0"/>
            <w:vAlign w:val="center"/>
          </w:tcPr>
          <w:p w14:paraId="6EBD50F6">
            <w:pPr>
              <w:snapToGrid w:val="0"/>
              <w:spacing w:line="320" w:lineRule="exact"/>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中标人</w:t>
            </w:r>
            <w:r>
              <w:rPr>
                <w:rFonts w:hint="eastAsia" w:ascii="宋体" w:hAnsi="宋体" w:eastAsia="宋体" w:cs="宋体"/>
                <w:b w:val="0"/>
                <w:bCs w:val="0"/>
                <w:color w:val="auto"/>
                <w:kern w:val="0"/>
                <w:sz w:val="24"/>
                <w:szCs w:val="24"/>
                <w:highlight w:val="none"/>
              </w:rPr>
              <w:t>与采购人签订合同后，2日历天内将合同扫描件电子版发</w:t>
            </w:r>
            <w:r>
              <w:rPr>
                <w:rFonts w:hint="eastAsia" w:ascii="宋体" w:hAnsi="宋体" w:eastAsia="宋体" w:cs="宋体"/>
                <w:b w:val="0"/>
                <w:bCs w:val="0"/>
                <w:color w:val="auto"/>
                <w:kern w:val="0"/>
                <w:sz w:val="24"/>
                <w:szCs w:val="24"/>
                <w:highlight w:val="none"/>
                <w:lang w:val="en-US" w:eastAsia="zh-CN"/>
              </w:rPr>
              <w:t>送至</w:t>
            </w:r>
            <w:r>
              <w:rPr>
                <w:rFonts w:hint="eastAsia" w:ascii="宋体" w:hAnsi="宋体" w:eastAsia="宋体" w:cs="宋体"/>
                <w:b w:val="0"/>
                <w:bCs w:val="0"/>
                <w:color w:val="auto"/>
                <w:kern w:val="0"/>
                <w:sz w:val="24"/>
                <w:szCs w:val="24"/>
                <w:highlight w:val="none"/>
              </w:rPr>
              <w:t>邮箱：</w:t>
            </w:r>
            <w:r>
              <w:rPr>
                <w:rFonts w:hint="eastAsia" w:ascii="宋体" w:hAnsi="宋体" w:eastAsia="宋体" w:cs="宋体"/>
                <w:b/>
                <w:bCs/>
                <w:color w:val="auto"/>
                <w:kern w:val="0"/>
                <w:sz w:val="24"/>
                <w:szCs w:val="24"/>
                <w:highlight w:val="none"/>
                <w:u w:val="single"/>
                <w:lang w:val="en-US" w:eastAsia="zh-CN"/>
              </w:rPr>
              <w:t>2291117847@qq.com</w:t>
            </w:r>
            <w:r>
              <w:rPr>
                <w:rFonts w:hint="eastAsia" w:ascii="宋体" w:hAnsi="宋体" w:eastAsia="宋体" w:cs="宋体"/>
                <w:b w:val="0"/>
                <w:bCs w:val="0"/>
                <w:color w:val="auto"/>
                <w:kern w:val="0"/>
                <w:sz w:val="24"/>
                <w:szCs w:val="24"/>
                <w:highlight w:val="none"/>
              </w:rPr>
              <w:t>；本项目政府采购合同按规定在浙江政府采购网（http://zfcg.czt.zj.gov.cn/）予以公告。</w:t>
            </w:r>
          </w:p>
        </w:tc>
      </w:tr>
      <w:tr w14:paraId="7230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855" w:type="dxa"/>
            <w:noWrap w:val="0"/>
            <w:vAlign w:val="center"/>
          </w:tcPr>
          <w:p w14:paraId="31593A25">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17</w:t>
            </w:r>
          </w:p>
        </w:tc>
        <w:tc>
          <w:tcPr>
            <w:tcW w:w="1926" w:type="dxa"/>
            <w:noWrap w:val="0"/>
            <w:vAlign w:val="center"/>
          </w:tcPr>
          <w:p w14:paraId="25A83CEB">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中标候选人数</w:t>
            </w:r>
            <w:r>
              <w:rPr>
                <w:rFonts w:hint="eastAsia" w:ascii="宋体" w:hAnsi="宋体" w:eastAsia="宋体" w:cs="宋体"/>
                <w:b w:val="0"/>
                <w:bCs w:val="0"/>
                <w:color w:val="auto"/>
                <w:kern w:val="0"/>
                <w:sz w:val="24"/>
                <w:szCs w:val="24"/>
                <w:highlight w:val="none"/>
                <w:lang w:val="en-US" w:eastAsia="zh-CN"/>
              </w:rPr>
              <w:t>及中标人数</w:t>
            </w:r>
          </w:p>
        </w:tc>
        <w:tc>
          <w:tcPr>
            <w:tcW w:w="6998" w:type="dxa"/>
            <w:noWrap w:val="0"/>
            <w:vAlign w:val="center"/>
          </w:tcPr>
          <w:p w14:paraId="36DE369E">
            <w:pPr>
              <w:snapToGrid w:val="0"/>
              <w:spacing w:line="320" w:lineRule="exac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本项目由评标委员会推荐</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名中标候选人</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采购人确定1名中标人</w:t>
            </w:r>
            <w:r>
              <w:rPr>
                <w:rFonts w:hint="eastAsia" w:ascii="宋体" w:hAnsi="宋体" w:eastAsia="宋体" w:cs="宋体"/>
                <w:b w:val="0"/>
                <w:bCs w:val="0"/>
                <w:color w:val="auto"/>
                <w:kern w:val="0"/>
                <w:sz w:val="24"/>
                <w:szCs w:val="24"/>
                <w:highlight w:val="none"/>
              </w:rPr>
              <w:t>。</w:t>
            </w:r>
          </w:p>
        </w:tc>
      </w:tr>
      <w:tr w14:paraId="1EB3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855" w:type="dxa"/>
            <w:noWrap w:val="0"/>
            <w:vAlign w:val="center"/>
          </w:tcPr>
          <w:p w14:paraId="0A962B85">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1926" w:type="dxa"/>
            <w:noWrap w:val="0"/>
            <w:vAlign w:val="center"/>
          </w:tcPr>
          <w:p w14:paraId="7A7B8C82">
            <w:pPr>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招标代理费</w:t>
            </w:r>
          </w:p>
        </w:tc>
        <w:tc>
          <w:tcPr>
            <w:tcW w:w="6998" w:type="dxa"/>
            <w:noWrap w:val="0"/>
            <w:vAlign w:val="center"/>
          </w:tcPr>
          <w:p w14:paraId="2D925B9B">
            <w:pPr>
              <w:spacing w:line="350" w:lineRule="atLeast"/>
              <w:rPr>
                <w:rFonts w:hint="eastAsia" w:ascii="宋体" w:hAnsi="宋体" w:eastAsia="宋体"/>
                <w:b w:val="0"/>
                <w:bCs w:val="0"/>
                <w:color w:val="auto"/>
                <w:highlight w:val="none"/>
                <w:lang w:eastAsia="zh-CN"/>
              </w:rPr>
            </w:pPr>
            <w:r>
              <w:rPr>
                <w:rFonts w:hint="eastAsia" w:ascii="宋体" w:hAnsi="宋体" w:eastAsia="宋体"/>
                <w:b w:val="0"/>
                <w:bCs w:val="0"/>
                <w:color w:val="auto"/>
                <w:highlight w:val="none"/>
              </w:rPr>
              <w:t>本项目招标代理费(招标代理费收费标准按照国家计委关于印发《招标代理服务费管理暂行办法》的通知（计价格【2002】1980号）规定的收费标准执行，按</w:t>
            </w:r>
            <w:r>
              <w:rPr>
                <w:rFonts w:hint="eastAsia" w:ascii="宋体" w:hAnsi="宋体" w:eastAsia="宋体"/>
                <w:b w:val="0"/>
                <w:bCs w:val="0"/>
                <w:color w:val="auto"/>
                <w:highlight w:val="none"/>
                <w:lang w:val="en-US" w:eastAsia="zh-CN"/>
              </w:rPr>
              <w:t>货物</w:t>
            </w:r>
            <w:r>
              <w:rPr>
                <w:rFonts w:hint="eastAsia" w:ascii="宋体" w:hAnsi="宋体" w:eastAsia="宋体"/>
                <w:b w:val="0"/>
                <w:bCs w:val="0"/>
                <w:color w:val="auto"/>
                <w:highlight w:val="none"/>
              </w:rPr>
              <w:t>招标计算。）由中标人支付给代理机构。各投标人在投标报价时自行考虑在投标报价中，由中标人在领取中标通知书前一次性支付给代理机构。</w:t>
            </w:r>
            <w:r>
              <w:rPr>
                <w:rFonts w:hint="eastAsia" w:ascii="宋体" w:hAnsi="宋体"/>
                <w:b w:val="0"/>
                <w:bCs w:val="0"/>
                <w:color w:val="auto"/>
                <w:highlight w:val="none"/>
              </w:rPr>
              <w:t>《招标代理服务费管理暂行办法》的通知规定的收费标准</w:t>
            </w:r>
            <w:r>
              <w:rPr>
                <w:rFonts w:hint="eastAsia" w:ascii="宋体" w:hAnsi="宋体"/>
                <w:b w:val="0"/>
                <w:bCs w:val="0"/>
                <w:color w:val="auto"/>
                <w:highlight w:val="none"/>
                <w:lang w:eastAsia="zh-CN"/>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2293"/>
              <w:gridCol w:w="2280"/>
            </w:tblGrid>
            <w:tr w14:paraId="744B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92" w:type="dxa"/>
                  <w:noWrap w:val="0"/>
                  <w:vAlign w:val="top"/>
                </w:tcPr>
                <w:p w14:paraId="25567E9A">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中标金额（万元）</w:t>
                  </w:r>
                </w:p>
              </w:tc>
              <w:tc>
                <w:tcPr>
                  <w:tcW w:w="2293" w:type="dxa"/>
                  <w:noWrap w:val="0"/>
                  <w:vAlign w:val="top"/>
                </w:tcPr>
                <w:p w14:paraId="2DA41341">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货物费率</w:t>
                  </w:r>
                </w:p>
              </w:tc>
              <w:tc>
                <w:tcPr>
                  <w:tcW w:w="2280" w:type="dxa"/>
                  <w:noWrap w:val="0"/>
                  <w:vAlign w:val="top"/>
                </w:tcPr>
                <w:p w14:paraId="56E79B69">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服务费率</w:t>
                  </w:r>
                </w:p>
              </w:tc>
            </w:tr>
            <w:tr w14:paraId="2CAA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noWrap w:val="0"/>
                  <w:vAlign w:val="top"/>
                </w:tcPr>
                <w:p w14:paraId="225DF974">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100以下</w:t>
                  </w:r>
                </w:p>
              </w:tc>
              <w:tc>
                <w:tcPr>
                  <w:tcW w:w="2293" w:type="dxa"/>
                  <w:noWrap w:val="0"/>
                  <w:vAlign w:val="top"/>
                </w:tcPr>
                <w:p w14:paraId="30B4F433">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1.5%</w:t>
                  </w:r>
                </w:p>
              </w:tc>
              <w:tc>
                <w:tcPr>
                  <w:tcW w:w="2280" w:type="dxa"/>
                  <w:noWrap w:val="0"/>
                  <w:vAlign w:val="top"/>
                </w:tcPr>
                <w:p w14:paraId="603A11A0">
                  <w:pPr>
                    <w:snapToGrid w:val="0"/>
                    <w:spacing w:before="100" w:beforeAutospacing="1" w:after="100" w:afterAutospacing="1" w:line="350" w:lineRule="atLeas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1.5%</w:t>
                  </w:r>
                </w:p>
              </w:tc>
            </w:tr>
            <w:tr w14:paraId="6223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noWrap w:val="0"/>
                  <w:vAlign w:val="top"/>
                </w:tcPr>
                <w:p w14:paraId="1C1D3541">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1</w:t>
                  </w:r>
                  <w:r>
                    <w:rPr>
                      <w:rFonts w:hint="eastAsia" w:ascii="宋体" w:hAnsi="宋体" w:eastAsia="宋体"/>
                      <w:b w:val="0"/>
                      <w:bCs w:val="0"/>
                      <w:color w:val="auto"/>
                      <w:szCs w:val="21"/>
                      <w:highlight w:val="none"/>
                    </w:rPr>
                    <w:cr/>
                  </w:r>
                  <w:r>
                    <w:rPr>
                      <w:rFonts w:hint="eastAsia" w:ascii="宋体" w:hAnsi="宋体" w:eastAsia="宋体"/>
                      <w:b w:val="0"/>
                      <w:bCs w:val="0"/>
                      <w:color w:val="auto"/>
                      <w:szCs w:val="21"/>
                      <w:highlight w:val="none"/>
                    </w:rPr>
                    <w:t>0</w:t>
                  </w:r>
                  <w:r>
                    <w:rPr>
                      <w:rFonts w:hint="eastAsia" w:ascii="宋体" w:hAnsi="宋体"/>
                      <w:b w:val="0"/>
                      <w:bCs w:val="0"/>
                      <w:color w:val="auto"/>
                      <w:szCs w:val="21"/>
                      <w:highlight w:val="none"/>
                      <w:lang w:val="en-US" w:eastAsia="zh-CN"/>
                    </w:rPr>
                    <w:t>0</w:t>
                  </w:r>
                  <w:r>
                    <w:rPr>
                      <w:rFonts w:hint="eastAsia" w:ascii="宋体" w:hAnsi="宋体" w:eastAsia="宋体"/>
                      <w:b w:val="0"/>
                      <w:bCs w:val="0"/>
                      <w:color w:val="auto"/>
                      <w:szCs w:val="21"/>
                      <w:highlight w:val="none"/>
                    </w:rPr>
                    <w:t>-500</w:t>
                  </w:r>
                </w:p>
              </w:tc>
              <w:tc>
                <w:tcPr>
                  <w:tcW w:w="2293" w:type="dxa"/>
                  <w:noWrap w:val="0"/>
                  <w:vAlign w:val="top"/>
                </w:tcPr>
                <w:p w14:paraId="6738C45C">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1.1%</w:t>
                  </w:r>
                </w:p>
              </w:tc>
              <w:tc>
                <w:tcPr>
                  <w:tcW w:w="2280" w:type="dxa"/>
                  <w:noWrap w:val="0"/>
                  <w:vAlign w:val="top"/>
                </w:tcPr>
                <w:p w14:paraId="0A18E2DE">
                  <w:pPr>
                    <w:snapToGrid w:val="0"/>
                    <w:spacing w:before="100" w:beforeAutospacing="1" w:after="100" w:afterAutospacing="1" w:line="350" w:lineRule="atLeas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0.8%</w:t>
                  </w:r>
                </w:p>
              </w:tc>
            </w:tr>
            <w:tr w14:paraId="3BD2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noWrap w:val="0"/>
                  <w:vAlign w:val="top"/>
                </w:tcPr>
                <w:p w14:paraId="5556E186">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500-1000</w:t>
                  </w:r>
                </w:p>
              </w:tc>
              <w:tc>
                <w:tcPr>
                  <w:tcW w:w="2293" w:type="dxa"/>
                  <w:noWrap w:val="0"/>
                  <w:vAlign w:val="top"/>
                </w:tcPr>
                <w:p w14:paraId="6F545CFB">
                  <w:pPr>
                    <w:snapToGrid w:val="0"/>
                    <w:spacing w:before="100" w:beforeAutospacing="1" w:after="100" w:afterAutospacing="1" w:line="350" w:lineRule="atLeas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0.8%</w:t>
                  </w:r>
                </w:p>
              </w:tc>
              <w:tc>
                <w:tcPr>
                  <w:tcW w:w="2280" w:type="dxa"/>
                  <w:noWrap w:val="0"/>
                  <w:vAlign w:val="top"/>
                </w:tcPr>
                <w:p w14:paraId="2CA10D4B">
                  <w:pPr>
                    <w:snapToGrid w:val="0"/>
                    <w:spacing w:before="100" w:beforeAutospacing="1" w:after="100" w:afterAutospacing="1" w:line="350" w:lineRule="atLeas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0.45%</w:t>
                  </w:r>
                </w:p>
              </w:tc>
            </w:tr>
          </w:tbl>
          <w:p w14:paraId="175BD3D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b w:val="0"/>
                <w:bCs w:val="0"/>
                <w:color w:val="auto"/>
                <w:sz w:val="24"/>
                <w:szCs w:val="24"/>
                <w:highlight w:val="none"/>
              </w:rPr>
            </w:pPr>
          </w:p>
        </w:tc>
      </w:tr>
      <w:tr w14:paraId="4154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855" w:type="dxa"/>
            <w:noWrap w:val="0"/>
            <w:vAlign w:val="center"/>
          </w:tcPr>
          <w:p w14:paraId="5632776E">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w:t>
            </w:r>
          </w:p>
        </w:tc>
        <w:tc>
          <w:tcPr>
            <w:tcW w:w="1926" w:type="dxa"/>
            <w:noWrap w:val="0"/>
            <w:vAlign w:val="center"/>
          </w:tcPr>
          <w:p w14:paraId="20694855">
            <w:pPr>
              <w:spacing w:line="36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rPr>
              <w:t>特别说明</w:t>
            </w:r>
          </w:p>
        </w:tc>
        <w:tc>
          <w:tcPr>
            <w:tcW w:w="6998" w:type="dxa"/>
            <w:noWrap w:val="0"/>
            <w:vAlign w:val="center"/>
          </w:tcPr>
          <w:p w14:paraId="0463488B">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sz w:val="24"/>
                <w:szCs w:val="24"/>
                <w:highlight w:val="none"/>
                <w:shd w:val="clear" w:color="auto" w:fill="FFFFFF"/>
              </w:rPr>
              <w:t>未注册加入浙江省政府采购投标人库的投标人一旦被确定为中标人的，应当在《中标通知书》发出前的三个工作日内按《关于印发浙江省政府投标人注册及诚信管理暂行办法通知》[浙财采监字〔2009〕28号]文件的规定进行注册申请，否则，采购单位将拒绝向其发出《中标通知书》，视为未中标。</w:t>
            </w:r>
          </w:p>
        </w:tc>
      </w:tr>
      <w:tr w14:paraId="2655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55" w:type="dxa"/>
            <w:noWrap w:val="0"/>
            <w:vAlign w:val="center"/>
          </w:tcPr>
          <w:p w14:paraId="10E6B7CD">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1926" w:type="dxa"/>
            <w:noWrap w:val="0"/>
            <w:vAlign w:val="center"/>
          </w:tcPr>
          <w:p w14:paraId="51A1419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b w:val="0"/>
                <w:bCs/>
                <w:color w:val="auto"/>
                <w:sz w:val="24"/>
                <w:szCs w:val="24"/>
                <w:highlight w:val="none"/>
                <w:shd w:val="clear" w:color="auto" w:fill="FFFFFF"/>
              </w:rPr>
              <w:t>政府采购</w:t>
            </w:r>
          </w:p>
          <w:p w14:paraId="27286AB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b w:val="0"/>
                <w:bCs/>
                <w:color w:val="auto"/>
                <w:sz w:val="24"/>
                <w:szCs w:val="24"/>
                <w:highlight w:val="none"/>
                <w:shd w:val="clear" w:color="auto" w:fill="FFFFFF"/>
              </w:rPr>
              <w:t>扶持政策</w:t>
            </w:r>
          </w:p>
        </w:tc>
        <w:tc>
          <w:tcPr>
            <w:tcW w:w="6998" w:type="dxa"/>
            <w:noWrap w:val="0"/>
            <w:vAlign w:val="center"/>
          </w:tcPr>
          <w:p w14:paraId="5B291588">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b w:val="0"/>
                <w:bCs/>
                <w:color w:val="auto"/>
                <w:sz w:val="24"/>
                <w:szCs w:val="24"/>
                <w:highlight w:val="none"/>
                <w:shd w:val="clear" w:color="auto" w:fill="FFFFFF"/>
                <w:lang w:val="zh-CN"/>
              </w:rPr>
              <w:t>本项目专门面向中、小、微型企业</w:t>
            </w:r>
            <w:r>
              <w:rPr>
                <w:rFonts w:hint="eastAsia" w:ascii="宋体" w:hAnsi="宋体" w:eastAsia="宋体" w:cs="宋体"/>
                <w:b w:val="0"/>
                <w:bCs/>
                <w:color w:val="auto"/>
                <w:sz w:val="24"/>
                <w:szCs w:val="24"/>
                <w:highlight w:val="none"/>
                <w:shd w:val="clear" w:color="auto" w:fill="FFFFFF"/>
                <w:lang w:val="zh-CN" w:eastAsia="zh-CN"/>
              </w:rPr>
              <w:t>（其它未列明行业）</w:t>
            </w:r>
            <w:r>
              <w:rPr>
                <w:rFonts w:hint="eastAsia" w:ascii="宋体" w:hAnsi="宋体" w:eastAsia="宋体" w:cs="宋体"/>
                <w:b w:val="0"/>
                <w:bCs/>
                <w:color w:val="auto"/>
                <w:sz w:val="24"/>
                <w:szCs w:val="24"/>
                <w:highlight w:val="none"/>
                <w:shd w:val="clear" w:color="auto" w:fill="FFFFFF"/>
                <w:lang w:val="zh-CN"/>
              </w:rPr>
              <w:t>。</w:t>
            </w:r>
          </w:p>
        </w:tc>
      </w:tr>
      <w:tr w14:paraId="4FEC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jc w:val="center"/>
        </w:trPr>
        <w:tc>
          <w:tcPr>
            <w:tcW w:w="855" w:type="dxa"/>
            <w:noWrap w:val="0"/>
            <w:vAlign w:val="center"/>
          </w:tcPr>
          <w:p w14:paraId="254DAE8C">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21</w:t>
            </w:r>
          </w:p>
        </w:tc>
        <w:tc>
          <w:tcPr>
            <w:tcW w:w="1926" w:type="dxa"/>
            <w:noWrap w:val="0"/>
            <w:vAlign w:val="center"/>
          </w:tcPr>
          <w:p w14:paraId="27A912EE">
            <w:pPr>
              <w:pStyle w:val="7"/>
              <w:snapToGrid w:val="0"/>
              <w:spacing w:before="0" w:line="360" w:lineRule="auto"/>
              <w:jc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2"/>
                <w:sz w:val="24"/>
                <w:szCs w:val="24"/>
                <w:highlight w:val="none"/>
              </w:rPr>
              <w:t>投标人信用查询</w:t>
            </w:r>
          </w:p>
        </w:tc>
        <w:tc>
          <w:tcPr>
            <w:tcW w:w="6998" w:type="dxa"/>
            <w:noWrap w:val="0"/>
            <w:vAlign w:val="center"/>
          </w:tcPr>
          <w:p w14:paraId="088B901F">
            <w:pPr>
              <w:pStyle w:val="7"/>
              <w:keepNext w:val="0"/>
              <w:keepLines w:val="0"/>
              <w:pageBreakBefore w:val="0"/>
              <w:widowControl w:val="0"/>
              <w:kinsoku/>
              <w:wordWrap/>
              <w:overflowPunct/>
              <w:topLinePunct w:val="0"/>
              <w:bidi w:val="0"/>
              <w:adjustRightInd w:val="0"/>
              <w:snapToGrid/>
              <w:spacing w:before="0" w:line="240" w:lineRule="auto"/>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根据《关于在政府采购活动中查询及使用信用记录有关问题的通知》财库[2016]125号的规定：</w:t>
            </w:r>
          </w:p>
          <w:p w14:paraId="65630A66">
            <w:pPr>
              <w:pStyle w:val="7"/>
              <w:keepNext w:val="0"/>
              <w:keepLines w:val="0"/>
              <w:pageBreakBefore w:val="0"/>
              <w:widowControl w:val="0"/>
              <w:kinsoku/>
              <w:wordWrap/>
              <w:overflowPunct/>
              <w:topLinePunct w:val="0"/>
              <w:bidi w:val="0"/>
              <w:adjustRightInd w:val="0"/>
              <w:snapToGrid/>
              <w:spacing w:before="0" w:line="240" w:lineRule="auto"/>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1）采购代理机构将对本项目投标供应商的信用信息进行查询和甄别</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查询渠道为信用中国网站（www.creditchina.gov.cn）、中国政府采购网（www.ccgp.gov.cn）。</w:t>
            </w:r>
          </w:p>
          <w:p w14:paraId="1E159834">
            <w:pPr>
              <w:pStyle w:val="7"/>
              <w:keepNext w:val="0"/>
              <w:keepLines w:val="0"/>
              <w:pageBreakBefore w:val="0"/>
              <w:widowControl w:val="0"/>
              <w:kinsoku/>
              <w:wordWrap/>
              <w:overflowPunct/>
              <w:topLinePunct w:val="0"/>
              <w:bidi w:val="0"/>
              <w:adjustRightInd w:val="0"/>
              <w:snapToGrid/>
              <w:spacing w:before="0" w:line="240" w:lineRule="auto"/>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2）截止时点：提交投标文件（响应文件）截止时间前3年内</w:t>
            </w:r>
            <w:r>
              <w:rPr>
                <w:rFonts w:hint="eastAsia" w:ascii="宋体" w:hAnsi="宋体" w:eastAsia="宋体" w:cs="宋体"/>
                <w:b w:val="0"/>
                <w:bCs/>
                <w:color w:val="auto"/>
                <w:kern w:val="2"/>
                <w:sz w:val="24"/>
                <w:szCs w:val="24"/>
                <w:highlight w:val="none"/>
                <w:lang w:eastAsia="zh-CN"/>
              </w:rPr>
              <w:t>。</w:t>
            </w:r>
          </w:p>
          <w:p w14:paraId="2C4B8E97">
            <w:pPr>
              <w:pStyle w:val="7"/>
              <w:keepNext w:val="0"/>
              <w:keepLines w:val="0"/>
              <w:pageBreakBefore w:val="0"/>
              <w:widowControl w:val="0"/>
              <w:kinsoku/>
              <w:wordWrap/>
              <w:overflowPunct/>
              <w:topLinePunct w:val="0"/>
              <w:bidi w:val="0"/>
              <w:adjustRightInd w:val="0"/>
              <w:snapToGrid/>
              <w:spacing w:before="0" w:line="240" w:lineRule="auto"/>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3）信用信息查询记录和证据以网页截图方式留存。</w:t>
            </w:r>
          </w:p>
          <w:p w14:paraId="2D576CCB">
            <w:pPr>
              <w:pStyle w:val="7"/>
              <w:keepNext w:val="0"/>
              <w:keepLines w:val="0"/>
              <w:pageBreakBefore w:val="0"/>
              <w:widowControl w:val="0"/>
              <w:kinsoku/>
              <w:wordWrap/>
              <w:overflowPunct/>
              <w:topLinePunct w:val="0"/>
              <w:bidi w:val="0"/>
              <w:adjustRightInd w:val="0"/>
              <w:snapToGrid/>
              <w:spacing w:before="0" w:line="240" w:lineRule="auto"/>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 xml:space="preserve">4）不良信用记录指：1.被列入信用中国网站“失信被执行人”“ </w:t>
            </w:r>
            <w:r>
              <w:rPr>
                <w:rFonts w:hint="eastAsia" w:ascii="宋体" w:hAnsi="宋体" w:eastAsia="宋体" w:cs="宋体"/>
                <w:b w:val="0"/>
                <w:bCs/>
                <w:color w:val="auto"/>
                <w:kern w:val="2"/>
                <w:sz w:val="24"/>
                <w:szCs w:val="24"/>
                <w:highlight w:val="none"/>
                <w:lang w:eastAsia="zh-CN"/>
              </w:rPr>
              <w:t>税收违法黑名单</w:t>
            </w:r>
            <w:r>
              <w:rPr>
                <w:rFonts w:hint="eastAsia" w:ascii="宋体" w:hAnsi="宋体" w:eastAsia="宋体" w:cs="宋体"/>
                <w:b w:val="0"/>
                <w:bCs/>
                <w:color w:val="auto"/>
                <w:kern w:val="2"/>
                <w:sz w:val="24"/>
                <w:szCs w:val="24"/>
                <w:highlight w:val="none"/>
              </w:rPr>
              <w:t>” ； 2.被列入中国政府采购网政府采购严重违法失信行为记录名单；</w:t>
            </w:r>
          </w:p>
          <w:p w14:paraId="2FB1BAFC">
            <w:pPr>
              <w:pStyle w:val="7"/>
              <w:keepNext w:val="0"/>
              <w:keepLines w:val="0"/>
              <w:pageBreakBefore w:val="0"/>
              <w:widowControl w:val="0"/>
              <w:kinsoku/>
              <w:wordWrap/>
              <w:overflowPunct/>
              <w:topLinePunct w:val="0"/>
              <w:bidi w:val="0"/>
              <w:adjustRightInd w:val="0"/>
              <w:snapToGrid/>
              <w:spacing w:before="0" w:line="240" w:lineRule="auto"/>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5）信用信息的使用规则：供应商存在不良信用记录的，其投标文件将被拒绝。</w:t>
            </w:r>
          </w:p>
          <w:p w14:paraId="0C20E8A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b w:val="0"/>
                <w:bCs/>
                <w:color w:val="auto"/>
                <w:sz w:val="24"/>
                <w:szCs w:val="24"/>
                <w:highlight w:val="none"/>
              </w:rPr>
              <w:t>6）如允许联合体投标的，联合体成员存在不良信用记录视同联合体存在不良信用记录。</w:t>
            </w:r>
          </w:p>
        </w:tc>
      </w:tr>
      <w:tr w14:paraId="1CD8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jc w:val="center"/>
        </w:trPr>
        <w:tc>
          <w:tcPr>
            <w:tcW w:w="855" w:type="dxa"/>
            <w:noWrap w:val="0"/>
            <w:vAlign w:val="center"/>
          </w:tcPr>
          <w:p w14:paraId="5DA74891">
            <w:pPr>
              <w:numPr>
                <w:ilvl w:val="0"/>
                <w:numId w:val="0"/>
              </w:numPr>
              <w:autoSpaceDE w:val="0"/>
              <w:autoSpaceDN w:val="0"/>
              <w:adjustRightInd w:val="0"/>
              <w:spacing w:line="400" w:lineRule="exact"/>
              <w:ind w:left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w:t>
            </w:r>
          </w:p>
        </w:tc>
        <w:tc>
          <w:tcPr>
            <w:tcW w:w="1926" w:type="dxa"/>
            <w:noWrap w:val="0"/>
            <w:vAlign w:val="center"/>
          </w:tcPr>
          <w:p w14:paraId="6176A3B6">
            <w:pPr>
              <w:pStyle w:val="7"/>
              <w:snapToGrid w:val="0"/>
              <w:spacing w:before="0" w:line="360" w:lineRule="auto"/>
              <w:jc w:val="center"/>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投标人失信被执行人查询</w:t>
            </w:r>
          </w:p>
        </w:tc>
        <w:tc>
          <w:tcPr>
            <w:tcW w:w="6998" w:type="dxa"/>
            <w:noWrap w:val="0"/>
            <w:vAlign w:val="center"/>
          </w:tcPr>
          <w:p w14:paraId="41E2F25A">
            <w:pPr>
              <w:pStyle w:val="7"/>
              <w:keepNext w:val="0"/>
              <w:keepLines w:val="0"/>
              <w:pageBreakBefore w:val="0"/>
              <w:widowControl w:val="0"/>
              <w:kinsoku/>
              <w:wordWrap/>
              <w:overflowPunct/>
              <w:topLinePunct w:val="0"/>
              <w:bidi w:val="0"/>
              <w:adjustRightInd w:val="0"/>
              <w:snapToGrid/>
              <w:spacing w:before="0" w:line="240" w:lineRule="auto"/>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根据《关于</w:t>
            </w:r>
            <w:r>
              <w:rPr>
                <w:rFonts w:hint="eastAsia" w:ascii="宋体" w:hAnsi="宋体" w:eastAsia="宋体" w:cs="宋体"/>
                <w:b w:val="0"/>
                <w:bCs/>
                <w:color w:val="auto"/>
                <w:kern w:val="2"/>
                <w:sz w:val="24"/>
                <w:szCs w:val="24"/>
                <w:highlight w:val="none"/>
                <w:lang w:eastAsia="zh-CN"/>
              </w:rPr>
              <w:t>在公共资源交易活动中对失信被执行人实施联合惩戒的通知</w:t>
            </w:r>
            <w:r>
              <w:rPr>
                <w:rFonts w:hint="eastAsia" w:ascii="宋体" w:hAnsi="宋体" w:eastAsia="宋体" w:cs="宋体"/>
                <w:b w:val="0"/>
                <w:bCs/>
                <w:color w:val="auto"/>
                <w:kern w:val="2"/>
                <w:sz w:val="24"/>
                <w:szCs w:val="24"/>
                <w:highlight w:val="none"/>
              </w:rPr>
              <w:t>》</w:t>
            </w:r>
            <w:r>
              <w:rPr>
                <w:rFonts w:hint="eastAsia" w:ascii="宋体" w:hAnsi="宋体" w:eastAsia="宋体" w:cs="宋体"/>
                <w:b w:val="0"/>
                <w:bCs/>
                <w:color w:val="auto"/>
                <w:kern w:val="2"/>
                <w:sz w:val="24"/>
                <w:szCs w:val="24"/>
                <w:highlight w:val="none"/>
                <w:lang w:eastAsia="zh-CN"/>
              </w:rPr>
              <w:t>常监管办</w:t>
            </w:r>
            <w:r>
              <w:rPr>
                <w:rFonts w:hint="eastAsia" w:ascii="宋体" w:hAnsi="宋体" w:eastAsia="宋体" w:cs="宋体"/>
                <w:b w:val="0"/>
                <w:bCs/>
                <w:color w:val="auto"/>
                <w:kern w:val="2"/>
                <w:sz w:val="24"/>
                <w:szCs w:val="24"/>
                <w:highlight w:val="none"/>
              </w:rPr>
              <w:t>[201</w:t>
            </w:r>
            <w:r>
              <w:rPr>
                <w:rFonts w:hint="eastAsia" w:ascii="宋体" w:hAnsi="宋体" w:eastAsia="宋体" w:cs="宋体"/>
                <w:b w:val="0"/>
                <w:bCs/>
                <w:color w:val="auto"/>
                <w:kern w:val="2"/>
                <w:sz w:val="24"/>
                <w:szCs w:val="24"/>
                <w:highlight w:val="none"/>
                <w:lang w:val="en-US" w:eastAsia="zh-CN"/>
              </w:rPr>
              <w:t>9</w:t>
            </w:r>
            <w:r>
              <w:rPr>
                <w:rFonts w:hint="eastAsia" w:ascii="宋体" w:hAnsi="宋体" w:eastAsia="宋体" w:cs="宋体"/>
                <w:b w:val="0"/>
                <w:bCs/>
                <w:color w:val="auto"/>
                <w:kern w:val="2"/>
                <w:sz w:val="24"/>
                <w:szCs w:val="24"/>
                <w:highlight w:val="none"/>
              </w:rPr>
              <w:t>]1</w:t>
            </w:r>
            <w:r>
              <w:rPr>
                <w:rFonts w:hint="eastAsia" w:ascii="宋体" w:hAnsi="宋体" w:eastAsia="宋体" w:cs="宋体"/>
                <w:b w:val="0"/>
                <w:bCs/>
                <w:color w:val="auto"/>
                <w:kern w:val="2"/>
                <w:sz w:val="24"/>
                <w:szCs w:val="24"/>
                <w:highlight w:val="none"/>
                <w:lang w:val="en-US" w:eastAsia="zh-CN"/>
              </w:rPr>
              <w:t>0</w:t>
            </w:r>
            <w:r>
              <w:rPr>
                <w:rFonts w:hint="eastAsia" w:ascii="宋体" w:hAnsi="宋体" w:eastAsia="宋体" w:cs="宋体"/>
                <w:b w:val="0"/>
                <w:bCs/>
                <w:color w:val="auto"/>
                <w:kern w:val="2"/>
                <w:sz w:val="24"/>
                <w:szCs w:val="24"/>
                <w:highlight w:val="none"/>
              </w:rPr>
              <w:t>号的规定：</w:t>
            </w:r>
          </w:p>
          <w:p w14:paraId="020E987A">
            <w:pPr>
              <w:pStyle w:val="7"/>
              <w:keepNext w:val="0"/>
              <w:keepLines w:val="0"/>
              <w:pageBreakBefore w:val="0"/>
              <w:widowControl w:val="0"/>
              <w:kinsoku/>
              <w:wordWrap/>
              <w:overflowPunct/>
              <w:topLinePunct w:val="0"/>
              <w:bidi w:val="0"/>
              <w:adjustRightInd w:val="0"/>
              <w:snapToGrid/>
              <w:spacing w:before="0" w:line="240" w:lineRule="auto"/>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1）采购</w:t>
            </w:r>
            <w:r>
              <w:rPr>
                <w:rFonts w:hint="eastAsia" w:ascii="宋体" w:hAnsi="宋体" w:eastAsia="宋体" w:cs="宋体"/>
                <w:b w:val="0"/>
                <w:bCs/>
                <w:color w:val="auto"/>
                <w:kern w:val="2"/>
                <w:sz w:val="24"/>
                <w:szCs w:val="24"/>
                <w:highlight w:val="none"/>
                <w:lang w:eastAsia="zh-CN"/>
              </w:rPr>
              <w:t>组织</w:t>
            </w:r>
            <w:r>
              <w:rPr>
                <w:rFonts w:hint="eastAsia" w:ascii="宋体" w:hAnsi="宋体" w:eastAsia="宋体" w:cs="宋体"/>
                <w:b w:val="0"/>
                <w:bCs/>
                <w:color w:val="auto"/>
                <w:kern w:val="2"/>
                <w:sz w:val="24"/>
                <w:szCs w:val="24"/>
                <w:highlight w:val="none"/>
              </w:rPr>
              <w:t>机构将对本项目投标供应商的法定代表 人（或单位负责人）</w:t>
            </w:r>
            <w:r>
              <w:rPr>
                <w:rFonts w:hint="eastAsia" w:ascii="宋体" w:hAnsi="宋体" w:eastAsia="宋体" w:cs="宋体"/>
                <w:b w:val="0"/>
                <w:bCs/>
                <w:color w:val="auto"/>
                <w:kern w:val="2"/>
                <w:sz w:val="24"/>
                <w:szCs w:val="24"/>
                <w:highlight w:val="none"/>
                <w:lang w:eastAsia="zh-CN"/>
              </w:rPr>
              <w:t>及</w:t>
            </w:r>
            <w:r>
              <w:rPr>
                <w:rFonts w:hint="eastAsia" w:ascii="宋体" w:hAnsi="宋体" w:eastAsia="宋体" w:cs="宋体"/>
                <w:b w:val="0"/>
                <w:bCs/>
                <w:color w:val="auto"/>
                <w:kern w:val="2"/>
                <w:sz w:val="24"/>
                <w:szCs w:val="24"/>
                <w:highlight w:val="none"/>
              </w:rPr>
              <w:t>拟派项目负责人</w:t>
            </w:r>
            <w:r>
              <w:rPr>
                <w:rFonts w:hint="eastAsia" w:ascii="宋体" w:hAnsi="宋体" w:eastAsia="宋体" w:cs="宋体"/>
                <w:b w:val="0"/>
                <w:bCs/>
                <w:color w:val="auto"/>
                <w:kern w:val="2"/>
                <w:sz w:val="24"/>
                <w:szCs w:val="24"/>
                <w:highlight w:val="none"/>
                <w:lang w:eastAsia="zh-CN"/>
              </w:rPr>
              <w:t>的失信被执行</w:t>
            </w:r>
            <w:r>
              <w:rPr>
                <w:rFonts w:hint="eastAsia" w:ascii="宋体" w:hAnsi="宋体" w:eastAsia="宋体" w:cs="宋体"/>
                <w:b w:val="0"/>
                <w:bCs/>
                <w:color w:val="auto"/>
                <w:kern w:val="2"/>
                <w:sz w:val="24"/>
                <w:szCs w:val="24"/>
                <w:highlight w:val="none"/>
              </w:rPr>
              <w:t>信息进行查询和甄别</w:t>
            </w:r>
            <w:r>
              <w:rPr>
                <w:rFonts w:hint="eastAsia" w:ascii="宋体" w:hAnsi="宋体" w:eastAsia="宋体" w:cs="宋体"/>
                <w:b w:val="0"/>
                <w:bCs/>
                <w:color w:val="auto"/>
                <w:kern w:val="2"/>
                <w:sz w:val="24"/>
                <w:szCs w:val="24"/>
                <w:highlight w:val="none"/>
                <w:lang w:eastAsia="zh-CN"/>
              </w:rPr>
              <w:t>，通过</w:t>
            </w:r>
            <w:r>
              <w:rPr>
                <w:rFonts w:hint="eastAsia" w:ascii="宋体" w:hAnsi="宋体" w:eastAsia="宋体" w:cs="宋体"/>
                <w:b w:val="0"/>
                <w:bCs/>
                <w:color w:val="auto"/>
                <w:kern w:val="2"/>
                <w:sz w:val="24"/>
                <w:szCs w:val="24"/>
                <w:highlight w:val="none"/>
              </w:rPr>
              <w:t>中国执行信息公开网（http://zxgk.court.gov.cn/）</w:t>
            </w:r>
            <w:r>
              <w:rPr>
                <w:rFonts w:hint="eastAsia" w:ascii="宋体" w:hAnsi="宋体" w:eastAsia="宋体" w:cs="宋体"/>
                <w:b w:val="0"/>
                <w:bCs/>
                <w:color w:val="auto"/>
                <w:kern w:val="2"/>
                <w:sz w:val="24"/>
                <w:szCs w:val="24"/>
                <w:highlight w:val="none"/>
                <w:lang w:eastAsia="zh-CN"/>
              </w:rPr>
              <w:t>查询</w:t>
            </w:r>
            <w:r>
              <w:rPr>
                <w:rFonts w:hint="eastAsia" w:ascii="宋体" w:hAnsi="宋体" w:eastAsia="宋体" w:cs="宋体"/>
                <w:b w:val="0"/>
                <w:bCs/>
                <w:color w:val="auto"/>
                <w:kern w:val="2"/>
                <w:sz w:val="24"/>
                <w:szCs w:val="24"/>
                <w:highlight w:val="none"/>
              </w:rPr>
              <w:t>。</w:t>
            </w:r>
          </w:p>
          <w:p w14:paraId="432CB679">
            <w:pPr>
              <w:pStyle w:val="7"/>
              <w:keepNext w:val="0"/>
              <w:keepLines w:val="0"/>
              <w:pageBreakBefore w:val="0"/>
              <w:widowControl w:val="0"/>
              <w:kinsoku/>
              <w:wordWrap/>
              <w:overflowPunct/>
              <w:topLinePunct w:val="0"/>
              <w:bidi w:val="0"/>
              <w:adjustRightInd w:val="0"/>
              <w:snapToGrid/>
              <w:spacing w:before="0" w:line="240" w:lineRule="auto"/>
              <w:textAlignment w:val="auto"/>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2）</w:t>
            </w:r>
            <w:r>
              <w:rPr>
                <w:rFonts w:hint="eastAsia" w:ascii="宋体" w:hAnsi="宋体" w:eastAsia="宋体" w:cs="宋体"/>
                <w:b w:val="0"/>
                <w:bCs/>
                <w:color w:val="auto"/>
                <w:kern w:val="2"/>
                <w:sz w:val="24"/>
                <w:szCs w:val="24"/>
                <w:highlight w:val="none"/>
                <w:lang w:eastAsia="zh-CN"/>
              </w:rPr>
              <w:t>失信被执行</w:t>
            </w:r>
            <w:r>
              <w:rPr>
                <w:rFonts w:hint="eastAsia" w:ascii="宋体" w:hAnsi="宋体" w:eastAsia="宋体" w:cs="宋体"/>
                <w:b w:val="0"/>
                <w:bCs/>
                <w:color w:val="auto"/>
                <w:kern w:val="2"/>
                <w:sz w:val="24"/>
                <w:szCs w:val="24"/>
                <w:highlight w:val="none"/>
              </w:rPr>
              <w:t>信息的使用规则：供应商存在</w:t>
            </w:r>
            <w:r>
              <w:rPr>
                <w:rFonts w:hint="eastAsia" w:ascii="宋体" w:hAnsi="宋体" w:eastAsia="宋体" w:cs="宋体"/>
                <w:b w:val="0"/>
                <w:bCs/>
                <w:color w:val="auto"/>
                <w:kern w:val="2"/>
                <w:sz w:val="24"/>
                <w:szCs w:val="24"/>
                <w:highlight w:val="none"/>
                <w:lang w:eastAsia="zh-CN"/>
              </w:rPr>
              <w:t>失信被执行信息</w:t>
            </w:r>
            <w:r>
              <w:rPr>
                <w:rFonts w:hint="eastAsia" w:ascii="宋体" w:hAnsi="宋体" w:eastAsia="宋体" w:cs="宋体"/>
                <w:b w:val="0"/>
                <w:bCs/>
                <w:color w:val="auto"/>
                <w:kern w:val="2"/>
                <w:sz w:val="24"/>
                <w:szCs w:val="24"/>
                <w:highlight w:val="none"/>
              </w:rPr>
              <w:t>的，</w:t>
            </w:r>
            <w:r>
              <w:rPr>
                <w:rFonts w:hint="eastAsia" w:ascii="宋体" w:hAnsi="宋体" w:eastAsia="宋体" w:cs="宋体"/>
                <w:b w:val="0"/>
                <w:bCs/>
                <w:color w:val="auto"/>
                <w:kern w:val="2"/>
                <w:sz w:val="24"/>
                <w:szCs w:val="24"/>
                <w:highlight w:val="none"/>
                <w:lang w:eastAsia="zh-CN"/>
              </w:rPr>
              <w:t>限制参与本项目</w:t>
            </w:r>
            <w:r>
              <w:rPr>
                <w:rFonts w:hint="eastAsia" w:ascii="宋体" w:hAnsi="宋体" w:eastAsia="宋体" w:cs="宋体"/>
                <w:b w:val="0"/>
                <w:bCs/>
                <w:color w:val="auto"/>
                <w:kern w:val="2"/>
                <w:sz w:val="24"/>
                <w:szCs w:val="24"/>
                <w:highlight w:val="none"/>
              </w:rPr>
              <w:t>。</w:t>
            </w:r>
          </w:p>
          <w:p w14:paraId="7DD7672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）如允许联合体</w:t>
            </w:r>
            <w:r>
              <w:rPr>
                <w:rFonts w:hint="eastAsia" w:ascii="宋体" w:hAnsi="宋体" w:eastAsia="宋体" w:cs="宋体"/>
                <w:b w:val="0"/>
                <w:bCs/>
                <w:color w:val="auto"/>
                <w:sz w:val="24"/>
                <w:szCs w:val="24"/>
                <w:highlight w:val="none"/>
                <w:lang w:eastAsia="zh-CN"/>
              </w:rPr>
              <w:t>参加</w:t>
            </w:r>
            <w:r>
              <w:rPr>
                <w:rFonts w:hint="eastAsia" w:ascii="宋体" w:hAnsi="宋体" w:eastAsia="宋体" w:cs="宋体"/>
                <w:b w:val="0"/>
                <w:bCs/>
                <w:color w:val="auto"/>
                <w:sz w:val="24"/>
                <w:szCs w:val="24"/>
                <w:highlight w:val="none"/>
              </w:rPr>
              <w:t>投标的，联合体成员存在</w:t>
            </w:r>
            <w:r>
              <w:rPr>
                <w:rFonts w:hint="eastAsia" w:ascii="宋体" w:hAnsi="宋体" w:eastAsia="宋体" w:cs="宋体"/>
                <w:b w:val="0"/>
                <w:bCs/>
                <w:color w:val="auto"/>
                <w:kern w:val="2"/>
                <w:sz w:val="24"/>
                <w:szCs w:val="24"/>
                <w:highlight w:val="none"/>
                <w:lang w:eastAsia="zh-CN"/>
              </w:rPr>
              <w:t>失信被执行</w:t>
            </w:r>
            <w:r>
              <w:rPr>
                <w:rFonts w:hint="eastAsia" w:ascii="宋体" w:hAnsi="宋体" w:eastAsia="宋体" w:cs="宋体"/>
                <w:b w:val="0"/>
                <w:bCs/>
                <w:color w:val="auto"/>
                <w:kern w:val="2"/>
                <w:sz w:val="24"/>
                <w:szCs w:val="24"/>
                <w:highlight w:val="none"/>
              </w:rPr>
              <w:t>信息</w:t>
            </w:r>
            <w:r>
              <w:rPr>
                <w:rFonts w:hint="eastAsia" w:ascii="宋体" w:hAnsi="宋体" w:eastAsia="宋体" w:cs="宋体"/>
                <w:b w:val="0"/>
                <w:bCs/>
                <w:color w:val="auto"/>
                <w:sz w:val="24"/>
                <w:szCs w:val="24"/>
                <w:highlight w:val="none"/>
                <w:lang w:eastAsia="zh-CN"/>
              </w:rPr>
              <w:t>的，</w:t>
            </w:r>
            <w:r>
              <w:rPr>
                <w:rFonts w:hint="eastAsia" w:ascii="宋体" w:hAnsi="宋体" w:eastAsia="宋体" w:cs="宋体"/>
                <w:b w:val="0"/>
                <w:bCs/>
                <w:color w:val="auto"/>
                <w:sz w:val="24"/>
                <w:szCs w:val="24"/>
                <w:highlight w:val="none"/>
              </w:rPr>
              <w:t>视同联合体存在</w:t>
            </w:r>
            <w:r>
              <w:rPr>
                <w:rFonts w:hint="eastAsia" w:ascii="宋体" w:hAnsi="宋体" w:eastAsia="宋体" w:cs="宋体"/>
                <w:b w:val="0"/>
                <w:bCs/>
                <w:color w:val="auto"/>
                <w:kern w:val="2"/>
                <w:sz w:val="24"/>
                <w:szCs w:val="24"/>
                <w:highlight w:val="none"/>
                <w:lang w:eastAsia="zh-CN"/>
              </w:rPr>
              <w:t>失信被执行</w:t>
            </w:r>
            <w:r>
              <w:rPr>
                <w:rFonts w:hint="eastAsia" w:ascii="宋体" w:hAnsi="宋体" w:eastAsia="宋体" w:cs="宋体"/>
                <w:b w:val="0"/>
                <w:bCs/>
                <w:color w:val="auto"/>
                <w:kern w:val="2"/>
                <w:sz w:val="24"/>
                <w:szCs w:val="24"/>
                <w:highlight w:val="none"/>
              </w:rPr>
              <w:t>信息</w:t>
            </w:r>
            <w:r>
              <w:rPr>
                <w:rFonts w:hint="eastAsia" w:ascii="宋体" w:hAnsi="宋体" w:eastAsia="宋体" w:cs="宋体"/>
                <w:b w:val="0"/>
                <w:bCs/>
                <w:color w:val="auto"/>
                <w:sz w:val="24"/>
                <w:szCs w:val="24"/>
                <w:highlight w:val="none"/>
                <w:lang w:eastAsia="zh-CN"/>
              </w:rPr>
              <w:t>的</w:t>
            </w:r>
            <w:r>
              <w:rPr>
                <w:rFonts w:hint="eastAsia" w:ascii="宋体" w:hAnsi="宋体" w:eastAsia="宋体" w:cs="宋体"/>
                <w:b w:val="0"/>
                <w:bCs/>
                <w:color w:val="auto"/>
                <w:sz w:val="24"/>
                <w:szCs w:val="24"/>
                <w:highlight w:val="none"/>
              </w:rPr>
              <w:t>。</w:t>
            </w:r>
          </w:p>
        </w:tc>
      </w:tr>
      <w:tr w14:paraId="49CE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855" w:type="dxa"/>
            <w:noWrap w:val="0"/>
            <w:vAlign w:val="center"/>
          </w:tcPr>
          <w:p w14:paraId="4B4D6858">
            <w:pPr>
              <w:numPr>
                <w:ilvl w:val="0"/>
                <w:numId w:val="0"/>
              </w:numPr>
              <w:autoSpaceDE w:val="0"/>
              <w:autoSpaceDN w:val="0"/>
              <w:adjustRightInd w:val="0"/>
              <w:spacing w:line="400" w:lineRule="exact"/>
              <w:ind w:leftChars="0"/>
              <w:jc w:val="center"/>
              <w:rPr>
                <w:rFonts w:hint="default" w:ascii="宋体" w:hAnsi="宋体" w:eastAsia="宋体" w:cs="宋体"/>
                <w:color w:val="auto"/>
                <w:kern w:val="0"/>
                <w:sz w:val="24"/>
                <w:szCs w:val="24"/>
                <w:highlight w:val="none"/>
                <w:lang w:val="en-US" w:eastAsia="zh-CN"/>
              </w:rPr>
            </w:pPr>
            <w:bookmarkStart w:id="23" w:name="_Toc249758861"/>
            <w:bookmarkStart w:id="24" w:name="_Toc221356948"/>
            <w:bookmarkStart w:id="25" w:name="_Toc221356883"/>
            <w:bookmarkStart w:id="26" w:name="_Toc245191311"/>
            <w:bookmarkStart w:id="27" w:name="_Toc245722278"/>
            <w:bookmarkStart w:id="28" w:name="_Toc246261262"/>
            <w:bookmarkStart w:id="29" w:name="_Toc241404199"/>
            <w:bookmarkStart w:id="30" w:name="_Toc221374623"/>
            <w:bookmarkStart w:id="31" w:name="_Toc262105500"/>
            <w:bookmarkStart w:id="32" w:name="_Toc239145351"/>
            <w:bookmarkStart w:id="33" w:name="_Toc223715995"/>
            <w:bookmarkStart w:id="34" w:name="_Toc249758709"/>
            <w:bookmarkStart w:id="35" w:name="_Toc410031813"/>
            <w:bookmarkStart w:id="36" w:name="_Toc222114876"/>
            <w:bookmarkStart w:id="37" w:name="_Toc221423616"/>
            <w:bookmarkStart w:id="38" w:name="_Toc11875"/>
            <w:bookmarkStart w:id="39" w:name="_Toc262049415"/>
            <w:r>
              <w:rPr>
                <w:rFonts w:hint="eastAsia" w:ascii="宋体" w:hAnsi="宋体" w:cs="宋体"/>
                <w:color w:val="auto"/>
                <w:kern w:val="0"/>
                <w:sz w:val="24"/>
                <w:szCs w:val="24"/>
                <w:highlight w:val="none"/>
                <w:lang w:val="en-US" w:eastAsia="zh-CN"/>
              </w:rPr>
              <w:t>23</w:t>
            </w:r>
          </w:p>
        </w:tc>
        <w:tc>
          <w:tcPr>
            <w:tcW w:w="1926" w:type="dxa"/>
            <w:noWrap w:val="0"/>
            <w:vAlign w:val="center"/>
          </w:tcPr>
          <w:p w14:paraId="64E8041D">
            <w:pPr>
              <w:pStyle w:val="7"/>
              <w:snapToGrid w:val="0"/>
              <w:spacing w:before="0" w:line="360" w:lineRule="auto"/>
              <w:jc w:val="center"/>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采购标的及其对应的中小企业划分标准所属行业</w:t>
            </w:r>
          </w:p>
        </w:tc>
        <w:tc>
          <w:tcPr>
            <w:tcW w:w="6998" w:type="dxa"/>
            <w:noWrap w:val="0"/>
            <w:vAlign w:val="center"/>
          </w:tcPr>
          <w:p w14:paraId="0AFED2D5">
            <w:pPr>
              <w:pStyle w:val="7"/>
              <w:snapToGrid w:val="0"/>
              <w:spacing w:before="0" w:line="360"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1.项目属性：</w:t>
            </w:r>
            <w:r>
              <w:rPr>
                <w:rFonts w:hint="eastAsia" w:ascii="宋体" w:hAnsi="宋体" w:eastAsia="宋体" w:cs="宋体"/>
                <w:b w:val="0"/>
                <w:bCs w:val="0"/>
                <w:color w:val="auto"/>
                <w:kern w:val="2"/>
                <w:sz w:val="24"/>
                <w:szCs w:val="24"/>
                <w:highlight w:val="none"/>
                <w:u w:val="single"/>
                <w:lang w:eastAsia="zh-CN"/>
              </w:rPr>
              <w:t>货物类</w:t>
            </w:r>
            <w:r>
              <w:rPr>
                <w:rFonts w:hint="eastAsia" w:ascii="宋体" w:hAnsi="宋体" w:eastAsia="宋体" w:cs="宋体"/>
                <w:b w:val="0"/>
                <w:bCs w:val="0"/>
                <w:color w:val="auto"/>
                <w:kern w:val="2"/>
                <w:sz w:val="24"/>
                <w:szCs w:val="24"/>
                <w:highlight w:val="none"/>
                <w:lang w:eastAsia="zh-CN"/>
              </w:rPr>
              <w:t xml:space="preserve">    </w:t>
            </w:r>
          </w:p>
          <w:p w14:paraId="10F25997">
            <w:pPr>
              <w:pStyle w:val="7"/>
              <w:snapToGrid w:val="0"/>
              <w:spacing w:before="0" w:line="360" w:lineRule="auto"/>
              <w:jc w:val="left"/>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2.中小企业划分标准所属行业（具体根据《中小企业划型标准规定》执行）</w:t>
            </w:r>
          </w:p>
          <w:p w14:paraId="003327FA">
            <w:pPr>
              <w:pStyle w:val="7"/>
              <w:snapToGrid w:val="0"/>
              <w:spacing w:before="0" w:line="360"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3.所属行业：</w:t>
            </w:r>
            <w:r>
              <w:rPr>
                <w:rFonts w:hint="eastAsia" w:ascii="宋体" w:hAnsi="宋体" w:eastAsia="宋体" w:cs="宋体"/>
                <w:b w:val="0"/>
                <w:bCs w:val="0"/>
                <w:color w:val="auto"/>
                <w:kern w:val="2"/>
                <w:sz w:val="24"/>
                <w:szCs w:val="24"/>
                <w:highlight w:val="none"/>
                <w:u w:val="single"/>
                <w:lang w:eastAsia="zh-CN"/>
              </w:rPr>
              <w:t>其他未列明行业</w:t>
            </w:r>
            <w:r>
              <w:rPr>
                <w:rFonts w:hint="eastAsia" w:ascii="宋体" w:hAnsi="宋体" w:eastAsia="宋体" w:cs="宋体"/>
                <w:b w:val="0"/>
                <w:bCs w:val="0"/>
                <w:color w:val="auto"/>
                <w:kern w:val="2"/>
                <w:sz w:val="24"/>
                <w:szCs w:val="24"/>
                <w:highlight w:val="none"/>
                <w:lang w:eastAsia="zh-CN"/>
              </w:rPr>
              <w:t xml:space="preserve">  </w:t>
            </w:r>
          </w:p>
          <w:p w14:paraId="69EDEA19">
            <w:pPr>
              <w:pStyle w:val="7"/>
              <w:snapToGrid w:val="0"/>
              <w:spacing w:before="0" w:line="360" w:lineRule="auto"/>
              <w:jc w:val="both"/>
              <w:rPr>
                <w:rFonts w:hint="default"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eastAsia="zh-CN"/>
              </w:rPr>
              <w:t>4.标的名称：</w:t>
            </w:r>
            <w:r>
              <w:rPr>
                <w:rFonts w:hint="eastAsia" w:ascii="宋体" w:hAnsi="宋体" w:eastAsia="宋体" w:cs="宋体"/>
                <w:b w:val="0"/>
                <w:bCs w:val="0"/>
                <w:color w:val="auto"/>
                <w:kern w:val="2"/>
                <w:sz w:val="24"/>
                <w:szCs w:val="24"/>
                <w:highlight w:val="none"/>
                <w:u w:val="single"/>
                <w:lang w:eastAsia="zh-CN"/>
              </w:rPr>
              <w:t>衢州市柯城区贝蓓儿儿童康复指导中心提升改造工程设备采购</w:t>
            </w:r>
            <w:r>
              <w:rPr>
                <w:rFonts w:hint="eastAsia" w:ascii="宋体" w:hAnsi="宋体" w:eastAsia="宋体" w:cs="宋体"/>
                <w:b w:val="0"/>
                <w:bCs w:val="0"/>
                <w:color w:val="auto"/>
                <w:kern w:val="2"/>
                <w:sz w:val="24"/>
                <w:szCs w:val="24"/>
                <w:highlight w:val="none"/>
                <w:lang w:eastAsia="zh-CN"/>
              </w:rPr>
              <w:t xml:space="preserve">  </w:t>
            </w:r>
            <w:r>
              <w:rPr>
                <w:rFonts w:hint="eastAsia" w:ascii="宋体" w:hAnsi="宋体" w:eastAsia="宋体" w:cs="宋体"/>
                <w:b w:val="0"/>
                <w:bCs w:val="0"/>
                <w:color w:val="auto"/>
                <w:kern w:val="2"/>
                <w:sz w:val="24"/>
                <w:szCs w:val="24"/>
                <w:highlight w:val="none"/>
                <w:lang w:val="en-US" w:eastAsia="zh-CN"/>
              </w:rPr>
              <w:t xml:space="preserve">      </w:t>
            </w:r>
          </w:p>
        </w:tc>
      </w:tr>
      <w:tr w14:paraId="38C4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855" w:type="dxa"/>
            <w:noWrap w:val="0"/>
            <w:vAlign w:val="center"/>
          </w:tcPr>
          <w:p w14:paraId="433AAE9C">
            <w:pPr>
              <w:numPr>
                <w:ilvl w:val="0"/>
                <w:numId w:val="0"/>
              </w:numPr>
              <w:autoSpaceDE w:val="0"/>
              <w:autoSpaceDN w:val="0"/>
              <w:adjustRightInd w:val="0"/>
              <w:spacing w:line="400" w:lineRule="exact"/>
              <w:ind w:left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24</w:t>
            </w:r>
          </w:p>
        </w:tc>
        <w:tc>
          <w:tcPr>
            <w:tcW w:w="1926" w:type="dxa"/>
            <w:noWrap w:val="0"/>
            <w:vAlign w:val="center"/>
          </w:tcPr>
          <w:p w14:paraId="7C8A4B7D">
            <w:pPr>
              <w:pStyle w:val="7"/>
              <w:snapToGrid w:val="0"/>
              <w:spacing w:before="0" w:line="360" w:lineRule="auto"/>
              <w:jc w:val="center"/>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注意事项</w:t>
            </w:r>
          </w:p>
        </w:tc>
        <w:tc>
          <w:tcPr>
            <w:tcW w:w="6998" w:type="dxa"/>
            <w:noWrap w:val="0"/>
            <w:vAlign w:val="center"/>
          </w:tcPr>
          <w:p w14:paraId="49DF61DE">
            <w:pPr>
              <w:numPr>
                <w:ilvl w:val="0"/>
                <w:numId w:val="0"/>
              </w:numPr>
              <w:autoSpaceDE w:val="0"/>
              <w:autoSpaceDN w:val="0"/>
              <w:adjustRightInd w:val="0"/>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由于本项目为电子标，供应商的法定代表人（或其委托代理人）无需出席开标现场会议，均应当准时在线参加。</w:t>
            </w:r>
          </w:p>
        </w:tc>
      </w:tr>
      <w:tr w14:paraId="60D8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855" w:type="dxa"/>
            <w:noWrap w:val="0"/>
            <w:vAlign w:val="center"/>
          </w:tcPr>
          <w:p w14:paraId="5368AB13">
            <w:pPr>
              <w:numPr>
                <w:ilvl w:val="0"/>
                <w:numId w:val="0"/>
              </w:numPr>
              <w:autoSpaceDE w:val="0"/>
              <w:autoSpaceDN w:val="0"/>
              <w:adjustRightInd w:val="0"/>
              <w:spacing w:line="400" w:lineRule="exact"/>
              <w:ind w:left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w:t>
            </w:r>
          </w:p>
        </w:tc>
        <w:tc>
          <w:tcPr>
            <w:tcW w:w="1926" w:type="dxa"/>
            <w:noWrap w:val="0"/>
            <w:vAlign w:val="center"/>
          </w:tcPr>
          <w:p w14:paraId="2ADBF32A">
            <w:pPr>
              <w:pStyle w:val="7"/>
              <w:snapToGrid w:val="0"/>
              <w:spacing w:before="0" w:line="360" w:lineRule="auto"/>
              <w:jc w:val="center"/>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备注</w:t>
            </w:r>
          </w:p>
        </w:tc>
        <w:tc>
          <w:tcPr>
            <w:tcW w:w="6998" w:type="dxa"/>
            <w:noWrap w:val="0"/>
            <w:vAlign w:val="center"/>
          </w:tcPr>
          <w:p w14:paraId="5F709EF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中标单位需在领取中标通知书时，提供本项目纸质投标文件（</w:t>
            </w:r>
            <w:r>
              <w:rPr>
                <w:rFonts w:hint="eastAsia" w:ascii="宋体" w:hAnsi="宋体" w:eastAsia="宋体" w:cs="宋体"/>
                <w:color w:val="auto"/>
                <w:sz w:val="24"/>
                <w:szCs w:val="24"/>
                <w:highlight w:val="none"/>
              </w:rPr>
              <w:t>资格审查资料、</w:t>
            </w:r>
            <w:r>
              <w:rPr>
                <w:rFonts w:hint="eastAsia" w:ascii="宋体" w:hAnsi="宋体" w:cs="宋体"/>
                <w:color w:val="auto"/>
                <w:sz w:val="24"/>
                <w:szCs w:val="24"/>
                <w:highlight w:val="none"/>
                <w:lang w:eastAsia="zh-CN"/>
              </w:rPr>
              <w:t>商务技术文件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报价文件</w:t>
            </w:r>
            <w:r>
              <w:rPr>
                <w:rFonts w:hint="eastAsia" w:ascii="宋体" w:hAnsi="宋体" w:eastAsia="宋体" w:cs="宋体"/>
                <w:b w:val="0"/>
                <w:bCs/>
                <w:color w:val="auto"/>
                <w:sz w:val="24"/>
                <w:szCs w:val="24"/>
                <w:highlight w:val="none"/>
              </w:rPr>
              <w:t>）四份（正本一份，副本三份）并提供电子投标文件与纸质投标文件内容一致承诺书三份（详见采购文件格式）。</w:t>
            </w:r>
          </w:p>
        </w:tc>
      </w:t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tbl>
    <w:p w14:paraId="240DEBB7">
      <w:pPr>
        <w:pStyle w:val="4"/>
        <w:spacing w:before="0" w:after="0" w:line="400" w:lineRule="exact"/>
        <w:jc w:val="center"/>
        <w:rPr>
          <w:rFonts w:hint="eastAsia" w:ascii="宋体" w:hAnsi="宋体" w:eastAsia="宋体" w:cs="宋体"/>
          <w:color w:val="auto"/>
          <w:sz w:val="24"/>
          <w:szCs w:val="24"/>
          <w:highlight w:val="none"/>
        </w:rPr>
      </w:pPr>
      <w:bookmarkStart w:id="40" w:name="_Toc16502"/>
      <w:bookmarkStart w:id="41" w:name="_Toc221356949"/>
      <w:bookmarkStart w:id="42" w:name="_Toc262105501"/>
      <w:bookmarkStart w:id="43" w:name="_Toc246261263"/>
      <w:bookmarkStart w:id="44" w:name="_Toc410031814"/>
      <w:bookmarkStart w:id="45" w:name="_Toc221423617"/>
      <w:bookmarkStart w:id="46" w:name="_Toc239145352"/>
      <w:bookmarkStart w:id="47" w:name="_Toc221356884"/>
      <w:bookmarkStart w:id="48" w:name="_Toc222114877"/>
      <w:bookmarkStart w:id="49" w:name="_Toc221374624"/>
      <w:bookmarkStart w:id="50" w:name="_Toc223715996"/>
      <w:bookmarkStart w:id="51" w:name="_Toc262049416"/>
      <w:bookmarkStart w:id="52" w:name="_Toc241404200"/>
      <w:bookmarkStart w:id="53" w:name="_Toc249758710"/>
      <w:bookmarkStart w:id="54" w:name="_Toc245191312"/>
      <w:bookmarkStart w:id="55" w:name="_Toc245722279"/>
      <w:bookmarkStart w:id="56" w:name="_Toc249758862"/>
      <w:r>
        <w:rPr>
          <w:rFonts w:hint="eastAsia" w:ascii="宋体" w:hAnsi="宋体" w:eastAsia="宋体" w:cs="宋体"/>
          <w:color w:val="auto"/>
          <w:sz w:val="24"/>
          <w:szCs w:val="24"/>
          <w:highlight w:val="none"/>
        </w:rPr>
        <w:br w:type="page"/>
      </w:r>
      <w:r>
        <w:rPr>
          <w:rFonts w:hint="eastAsia" w:ascii="宋体" w:hAnsi="宋体" w:eastAsia="宋体" w:cs="宋体"/>
          <w:color w:val="auto"/>
          <w:sz w:val="32"/>
          <w:szCs w:val="32"/>
          <w:highlight w:val="none"/>
        </w:rPr>
        <w:t>一</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总则</w:t>
      </w:r>
      <w:bookmarkEnd w:id="40"/>
    </w:p>
    <w:p w14:paraId="1D6961A9">
      <w:pPr>
        <w:pStyle w:val="10"/>
        <w:spacing w:line="360" w:lineRule="auto"/>
        <w:ind w:left="422" w:hanging="42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1、适用范围</w:t>
      </w:r>
    </w:p>
    <w:p w14:paraId="43C77391">
      <w:pPr>
        <w:pStyle w:val="10"/>
        <w:spacing w:line="360" w:lineRule="auto"/>
        <w:ind w:left="0" w:lef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仅适用于本次招标文件中采购项目的招标、投标、评标、定标、验收、合同履约、付款等行为（法律、法规另有规定的，从其规定）。</w:t>
      </w:r>
    </w:p>
    <w:p w14:paraId="518F21B1">
      <w:pPr>
        <w:pStyle w:val="10"/>
        <w:spacing w:line="360" w:lineRule="auto"/>
        <w:ind w:left="422" w:hanging="4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2、定义解释</w:t>
      </w:r>
    </w:p>
    <w:p w14:paraId="50AE6B05">
      <w:pPr>
        <w:pStyle w:val="10"/>
        <w:spacing w:line="360" w:lineRule="auto"/>
        <w:ind w:left="42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2.1“采购代理机构”是指</w:t>
      </w:r>
      <w:r>
        <w:rPr>
          <w:rFonts w:hint="eastAsia" w:ascii="宋体" w:hAnsi="宋体" w:cs="宋体"/>
          <w:color w:val="auto"/>
          <w:sz w:val="24"/>
          <w:szCs w:val="24"/>
          <w:highlight w:val="none"/>
          <w:lang w:eastAsia="zh-CN"/>
        </w:rPr>
        <w:t>浙江聚尚工程项目管理有限公司</w:t>
      </w:r>
      <w:r>
        <w:rPr>
          <w:rFonts w:hint="eastAsia" w:ascii="宋体" w:hAnsi="宋体" w:eastAsia="宋体" w:cs="宋体"/>
          <w:color w:val="auto"/>
          <w:sz w:val="24"/>
          <w:szCs w:val="24"/>
          <w:highlight w:val="none"/>
        </w:rPr>
        <w:t>。</w:t>
      </w:r>
    </w:p>
    <w:p w14:paraId="00E9DAE3">
      <w:pPr>
        <w:pStyle w:val="10"/>
        <w:spacing w:line="360" w:lineRule="auto"/>
        <w:ind w:left="42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”是指</w:t>
      </w:r>
      <w:r>
        <w:rPr>
          <w:rFonts w:hint="eastAsia" w:ascii="宋体" w:hAnsi="宋体" w:cs="宋体"/>
          <w:color w:val="auto"/>
          <w:sz w:val="24"/>
          <w:szCs w:val="24"/>
          <w:highlight w:val="none"/>
          <w:lang w:eastAsia="zh-CN"/>
        </w:rPr>
        <w:t>衢州市柯城区残疾人联合会</w:t>
      </w:r>
      <w:r>
        <w:rPr>
          <w:rFonts w:hint="eastAsia" w:ascii="宋体" w:hAnsi="宋体" w:eastAsia="宋体" w:cs="宋体"/>
          <w:color w:val="auto"/>
          <w:sz w:val="24"/>
          <w:szCs w:val="24"/>
          <w:highlight w:val="none"/>
        </w:rPr>
        <w:t>。</w:t>
      </w:r>
    </w:p>
    <w:p w14:paraId="31480585">
      <w:pPr>
        <w:pStyle w:val="10"/>
        <w:spacing w:line="360" w:lineRule="auto"/>
        <w:ind w:left="420" w:hanging="42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2.3“采购项目”是指本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所要求的</w:t>
      </w:r>
      <w:r>
        <w:rPr>
          <w:rFonts w:hint="eastAsia" w:ascii="宋体" w:hAnsi="宋体" w:cs="宋体"/>
          <w:color w:val="auto"/>
          <w:sz w:val="24"/>
          <w:szCs w:val="24"/>
          <w:highlight w:val="none"/>
          <w:lang w:val="en-US" w:eastAsia="zh-CN"/>
        </w:rPr>
        <w:t>衢州市柯城区贝蓓儿儿童康复指导中心提升改造工程设备采购</w:t>
      </w:r>
      <w:r>
        <w:rPr>
          <w:rFonts w:hint="eastAsia" w:ascii="宋体" w:hAnsi="宋体" w:eastAsia="宋体" w:cs="宋体"/>
          <w:color w:val="auto"/>
          <w:sz w:val="24"/>
          <w:szCs w:val="24"/>
          <w:highlight w:val="none"/>
        </w:rPr>
        <w:t>。</w:t>
      </w:r>
    </w:p>
    <w:p w14:paraId="123E2787">
      <w:pPr>
        <w:pStyle w:val="10"/>
        <w:spacing w:line="360" w:lineRule="auto"/>
        <w:ind w:left="42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2.4“投标人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”是指获得</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并向采购代理机构提交投标文件的投标人。</w:t>
      </w:r>
    </w:p>
    <w:p w14:paraId="780410A8">
      <w:pPr>
        <w:pStyle w:val="10"/>
        <w:spacing w:line="360" w:lineRule="auto"/>
        <w:ind w:left="42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2.5“潜在投标人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”是指符合</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规定的投标人。</w:t>
      </w:r>
    </w:p>
    <w:p w14:paraId="0A0D57BC">
      <w:pPr>
        <w:pStyle w:val="10"/>
        <w:spacing w:line="360" w:lineRule="auto"/>
        <w:ind w:left="42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2.6 “中标人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”是指经评标委员会审查通过，并经公示无异议的投标人。</w:t>
      </w:r>
    </w:p>
    <w:p w14:paraId="61EE0647">
      <w:pPr>
        <w:pStyle w:val="10"/>
        <w:spacing w:line="360" w:lineRule="auto"/>
        <w:ind w:left="42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2.7“投标人代表”是指投标人法定代表人或投标人法定代表人授权委托的人。</w:t>
      </w:r>
    </w:p>
    <w:p w14:paraId="7032071F">
      <w:pPr>
        <w:pStyle w:val="1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“产品（货物）”是指按采购文件要求配置的一切设备、机械、仪器仪表、备品备件、工具、手册及其它有关技术资料和文字材料；</w:t>
      </w:r>
    </w:p>
    <w:p w14:paraId="38F2BE0C">
      <w:pPr>
        <w:pStyle w:val="1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“服务”在货物类采购项目中是指采购文件规定供方须承担的货物运输、操作使用、技术支持、培训、维修保养服务；在服务类采购项目是指采购采购内容本身及相关的售后技术支持、培训服务；</w:t>
      </w:r>
    </w:p>
    <w:p w14:paraId="4143D2A5">
      <w:pPr>
        <w:pStyle w:val="1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2.10</w:t>
      </w:r>
      <w:r>
        <w:rPr>
          <w:rFonts w:hint="eastAsia" w:ascii="宋体" w:hAnsi="宋体" w:eastAsia="宋体" w:cs="宋体"/>
          <w:color w:val="auto"/>
          <w:sz w:val="24"/>
          <w:szCs w:val="24"/>
          <w:highlight w:val="none"/>
        </w:rPr>
        <w:t>“书面形式”包括纸质文件、电子邮件、信函、传真等。</w:t>
      </w:r>
    </w:p>
    <w:p w14:paraId="72149E96">
      <w:pPr>
        <w:pStyle w:val="10"/>
        <w:spacing w:line="360" w:lineRule="auto"/>
        <w:ind w:left="42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实质性响应：是指投标文件相关内容符合招标（采购）文件规定的实质性内容、条款和规定。</w:t>
      </w:r>
    </w:p>
    <w:p w14:paraId="760A889C">
      <w:pPr>
        <w:pStyle w:val="1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2.12</w:t>
      </w:r>
      <w:r>
        <w:rPr>
          <w:rFonts w:hint="eastAsia" w:ascii="宋体" w:hAnsi="宋体" w:eastAsia="宋体" w:cs="宋体"/>
          <w:color w:val="auto"/>
          <w:sz w:val="24"/>
          <w:szCs w:val="24"/>
          <w:highlight w:val="none"/>
        </w:rPr>
        <w:t>采购文件中所有标示“▲”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均为采购人提出的实质性条款，如未实质性响应的，将按无效投标处理。</w:t>
      </w:r>
    </w:p>
    <w:p w14:paraId="1F28108E">
      <w:pPr>
        <w:pStyle w:val="10"/>
        <w:spacing w:line="360" w:lineRule="auto"/>
        <w:ind w:left="422" w:hanging="4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3、项目说明</w:t>
      </w:r>
    </w:p>
    <w:p w14:paraId="5CBF501E">
      <w:pPr>
        <w:pStyle w:val="10"/>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本采购项目按照《中华人民共和国政府采购法》等有关法律、行政法规和部门规章，通过公开招标方式选定中标人。</w:t>
      </w:r>
    </w:p>
    <w:p w14:paraId="5A7B0078">
      <w:pPr>
        <w:pStyle w:val="10"/>
        <w:spacing w:line="360" w:lineRule="auto"/>
        <w:ind w:left="422" w:hanging="4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4、合格投标人的条件</w:t>
      </w:r>
    </w:p>
    <w:p w14:paraId="7DC3D2DD">
      <w:pPr>
        <w:pStyle w:val="10"/>
        <w:spacing w:line="360" w:lineRule="auto"/>
        <w:ind w:left="42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凡符合本招标文件第一章招标公告投标人资格要求的均为合格的投标人。</w:t>
      </w:r>
    </w:p>
    <w:p w14:paraId="5363CAA8">
      <w:pPr>
        <w:pStyle w:val="10"/>
        <w:spacing w:line="360" w:lineRule="auto"/>
        <w:ind w:left="422" w:hanging="4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5、投标费用</w:t>
      </w:r>
    </w:p>
    <w:p w14:paraId="535D6ABA">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投标人应承担参加本次投标有关的全部费用，无论结果如何，采购单位和采购代理机构在任何情况下均无义务和责任承担这些费用。</w:t>
      </w:r>
    </w:p>
    <w:p w14:paraId="74119F5B">
      <w:pPr>
        <w:numPr>
          <w:ilvl w:val="0"/>
          <w:numId w:val="0"/>
        </w:numPr>
        <w:spacing w:line="44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特别</w:t>
      </w:r>
      <w:r>
        <w:rPr>
          <w:rFonts w:hint="eastAsia" w:ascii="宋体" w:hAnsi="宋体" w:eastAsia="宋体" w:cs="宋体"/>
          <w:b/>
          <w:bCs/>
          <w:color w:val="auto"/>
          <w:sz w:val="24"/>
          <w:szCs w:val="24"/>
          <w:highlight w:val="none"/>
          <w:lang w:val="en-US" w:eastAsia="zh-CN"/>
        </w:rPr>
        <w:t>说明</w:t>
      </w:r>
    </w:p>
    <w:p w14:paraId="1FD371EA">
      <w:pPr>
        <w:pStyle w:val="31"/>
        <w:keepNext w:val="0"/>
        <w:keepLines w:val="0"/>
        <w:pageBreakBefore w:val="0"/>
        <w:widowControl w:val="0"/>
        <w:numPr>
          <w:ilvl w:val="0"/>
          <w:numId w:val="0"/>
        </w:numPr>
        <w:kinsoku/>
        <w:wordWrap/>
        <w:topLinePunct w:val="0"/>
        <w:bidi w:val="0"/>
        <w:snapToGrid/>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6.1投标人投标所使用的资格、信誉、荣誉、业绩与企业认证必须为本企业所拥有。投标人投标所使用的采购项目实施人员可以为其控股公司的工作人员。</w:t>
      </w:r>
    </w:p>
    <w:p w14:paraId="3F894AF0">
      <w:pPr>
        <w:pStyle w:val="31"/>
        <w:keepNext w:val="0"/>
        <w:keepLines w:val="0"/>
        <w:pageBreakBefore w:val="0"/>
        <w:widowControl w:val="0"/>
        <w:numPr>
          <w:ilvl w:val="0"/>
          <w:numId w:val="0"/>
        </w:numPr>
        <w:kinsoku/>
        <w:wordWrap/>
        <w:topLinePunct w:val="0"/>
        <w:bidi w:val="0"/>
        <w:snapToGrid/>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投标人在投标活动中提供任何虚假材料或从事其他违法活动的,其投标无效，并报监管部门查处；成交后发现的，中标人须依照《中华人民共和国消费者权益保护法》第49条之规定双倍赔偿采购单位。且民事赔偿并不免除违法投标人的行政与刑事责任。</w:t>
      </w:r>
    </w:p>
    <w:p w14:paraId="55A850DE">
      <w:pPr>
        <w:keepNext w:val="0"/>
        <w:keepLines w:val="0"/>
        <w:pageBreakBefore w:val="0"/>
        <w:widowControl w:val="0"/>
        <w:kinsoku/>
        <w:wordWrap/>
        <w:topLinePunct w:val="0"/>
        <w:bidi w:val="0"/>
        <w:snapToGrid/>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6.3投标人应仔细阅读招标文件的所有内容，按照招标文件的要求提交投标文件。投标文件应对招标文件的要求作出实质性响应，并对所提供的全部资料的真实性承担法律责任。</w:t>
      </w:r>
    </w:p>
    <w:p w14:paraId="5C246B9E">
      <w:pPr>
        <w:keepNext w:val="0"/>
        <w:keepLines w:val="0"/>
        <w:pageBreakBefore w:val="0"/>
        <w:widowControl w:val="0"/>
        <w:kinsoku/>
        <w:wordWrap/>
        <w:topLinePunct w:val="0"/>
        <w:bidi w:val="0"/>
        <w:snapToGrid/>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6.4</w:t>
      </w:r>
      <w:r>
        <w:rPr>
          <w:rFonts w:hint="eastAsia" w:ascii="宋体" w:hAnsi="宋体" w:eastAsia="宋体" w:cs="宋体"/>
          <w:b w:val="0"/>
          <w:bCs w:val="0"/>
          <w:color w:val="auto"/>
          <w:sz w:val="24"/>
          <w:szCs w:val="24"/>
          <w:highlight w:val="none"/>
        </w:rPr>
        <w:t>采用最低评标价法的采购项目，提供相同品牌产品的不同投标人参加同一合同项下投标的，以其中通过资格审查、符合性审查且报价最低的参加评标</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报价相同的，由采购单位现场抽签确定一个参加评标的投标人，其他投标无效。</w:t>
      </w:r>
    </w:p>
    <w:p w14:paraId="5F1F3F81">
      <w:pPr>
        <w:keepNext w:val="0"/>
        <w:keepLines w:val="0"/>
        <w:pageBreakBefore w:val="0"/>
        <w:widowControl w:val="0"/>
        <w:kinsoku/>
        <w:wordWrap/>
        <w:topLinePunct w:val="0"/>
        <w:bidi w:val="0"/>
        <w:snapToGrid/>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评审得分相同的，由采购单位现场抽签确定一个投标人获得中标人推荐资格，其他同品牌投标人不作为中标候选人。</w:t>
      </w:r>
    </w:p>
    <w:p w14:paraId="643A0BED">
      <w:pPr>
        <w:keepNext w:val="0"/>
        <w:keepLines w:val="0"/>
        <w:pageBreakBefore w:val="0"/>
        <w:widowControl w:val="0"/>
        <w:kinsoku/>
        <w:wordWrap/>
        <w:topLinePunct w:val="0"/>
        <w:bidi w:val="0"/>
        <w:snapToGrid/>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非单一产品采购项目，采购人应当根据采购项目技术构成、产品价格比重等合理确定核心产品，并在招标文件中载明。多家投标人提供的核心产品品牌相同的，按前两款规定处理。</w:t>
      </w:r>
    </w:p>
    <w:p w14:paraId="15E47B5E">
      <w:pPr>
        <w:pStyle w:val="21"/>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7.关于中小企业、监狱、戒毒企业和残疾人福利性单位参与政府采购活动的规定</w:t>
      </w:r>
    </w:p>
    <w:p w14:paraId="0DE21763">
      <w:pPr>
        <w:pStyle w:val="31"/>
        <w:keepNext w:val="0"/>
        <w:keepLines w:val="0"/>
        <w:pageBreakBefore w:val="0"/>
        <w:widowControl w:val="0"/>
        <w:numPr>
          <w:ilvl w:val="0"/>
          <w:numId w:val="0"/>
        </w:numPr>
        <w:kinsoku/>
        <w:wordWrap/>
        <w:topLinePunct w:val="0"/>
        <w:bidi w:val="0"/>
        <w:snapToGrid/>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342B99BC">
      <w:pPr>
        <w:pStyle w:val="31"/>
        <w:keepNext w:val="0"/>
        <w:keepLines w:val="0"/>
        <w:pageBreakBefore w:val="0"/>
        <w:widowControl w:val="0"/>
        <w:numPr>
          <w:ilvl w:val="0"/>
          <w:numId w:val="0"/>
        </w:numPr>
        <w:kinsoku/>
        <w:wordWrap/>
        <w:topLinePunct w:val="0"/>
        <w:bidi w:val="0"/>
        <w:snapToGrid/>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（1）在货物采购项目中，货物由中小企业制造，即货物由中小企业生产且使用该中小企业商号或者注册商标；</w:t>
      </w:r>
    </w:p>
    <w:p w14:paraId="1880D67E">
      <w:pPr>
        <w:pStyle w:val="31"/>
        <w:keepNext w:val="0"/>
        <w:keepLines w:val="0"/>
        <w:pageBreakBefore w:val="0"/>
        <w:widowControl w:val="0"/>
        <w:numPr>
          <w:ilvl w:val="0"/>
          <w:numId w:val="0"/>
        </w:numPr>
        <w:kinsoku/>
        <w:wordWrap/>
        <w:topLinePunct w:val="0"/>
        <w:bidi w:val="0"/>
        <w:snapToGrid/>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（2）在工程采购项目中，工程由中小企业承建，即工程施工单位为中小企业；</w:t>
      </w:r>
    </w:p>
    <w:p w14:paraId="747B0BAB">
      <w:pPr>
        <w:pStyle w:val="31"/>
        <w:keepNext w:val="0"/>
        <w:keepLines w:val="0"/>
        <w:pageBreakBefore w:val="0"/>
        <w:widowControl w:val="0"/>
        <w:numPr>
          <w:ilvl w:val="0"/>
          <w:numId w:val="0"/>
        </w:numPr>
        <w:kinsoku/>
        <w:wordWrap/>
        <w:topLinePunct w:val="0"/>
        <w:bidi w:val="0"/>
        <w:snapToGrid/>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（3）在服务采购项目中，服务由中小企业承接，即提供服务的人员为中小企业依照《中华人民共和国劳动合同法》订立劳动合同的从业人员。</w:t>
      </w:r>
    </w:p>
    <w:p w14:paraId="31BDA85D">
      <w:pPr>
        <w:pStyle w:val="31"/>
        <w:keepNext w:val="0"/>
        <w:keepLines w:val="0"/>
        <w:pageBreakBefore w:val="0"/>
        <w:widowControl w:val="0"/>
        <w:numPr>
          <w:ilvl w:val="0"/>
          <w:numId w:val="0"/>
        </w:numPr>
        <w:kinsoku/>
        <w:wordWrap/>
        <w:topLinePunct w:val="0"/>
        <w:bidi w:val="0"/>
        <w:snapToGrid/>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在货物采购项目中，供应商提供的货物既有中小企业制造货物，也有大型企业制造货物的，不享受本办法规定的中小企业扶持政策。</w:t>
      </w:r>
    </w:p>
    <w:p w14:paraId="48FC3563">
      <w:pPr>
        <w:pStyle w:val="31"/>
        <w:keepNext w:val="0"/>
        <w:keepLines w:val="0"/>
        <w:pageBreakBefore w:val="0"/>
        <w:widowControl w:val="0"/>
        <w:numPr>
          <w:ilvl w:val="0"/>
          <w:numId w:val="0"/>
        </w:numPr>
        <w:kinsoku/>
        <w:wordWrap/>
        <w:topLinePunct w:val="0"/>
        <w:bidi w:val="0"/>
        <w:snapToGrid/>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14:paraId="0AB55F95">
      <w:pPr>
        <w:pStyle w:val="31"/>
        <w:keepNext w:val="0"/>
        <w:keepLines w:val="0"/>
        <w:pageBreakBefore w:val="0"/>
        <w:widowControl w:val="0"/>
        <w:numPr>
          <w:ilvl w:val="0"/>
          <w:numId w:val="0"/>
        </w:numPr>
        <w:kinsoku/>
        <w:wordWrap/>
        <w:topLinePunct w:val="0"/>
        <w:bidi w:val="0"/>
        <w:snapToGrid/>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7.2根据财政部《司法部关于政府采购支持监狱企业发展有关问题》的通知（财库〔2014〕68号）的有关规定，监狱和戒毒企业参与政府采购活动的视同小型、微型企业，享受评审中价格扣除政策。</w:t>
      </w:r>
    </w:p>
    <w:p w14:paraId="79358FD4">
      <w:pPr>
        <w:pStyle w:val="31"/>
        <w:keepNext w:val="0"/>
        <w:keepLines w:val="0"/>
        <w:pageBreakBefore w:val="0"/>
        <w:widowControl w:val="0"/>
        <w:numPr>
          <w:ilvl w:val="0"/>
          <w:numId w:val="0"/>
        </w:numPr>
        <w:kinsoku/>
        <w:wordWrap/>
        <w:topLinePunct w:val="0"/>
        <w:bidi w:val="0"/>
        <w:snapToGrid/>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7.3根据财库[2017]141号的相关规定，在政府采购活动中，残疾人福利性单位视同小型、微型企业，享受评审中价格扣除政策。</w:t>
      </w:r>
    </w:p>
    <w:p w14:paraId="0C5AF29D">
      <w:pPr>
        <w:pStyle w:val="31"/>
        <w:keepNext w:val="0"/>
        <w:keepLines w:val="0"/>
        <w:pageBreakBefore w:val="0"/>
        <w:widowControl w:val="0"/>
        <w:numPr>
          <w:ilvl w:val="0"/>
          <w:numId w:val="0"/>
        </w:numPr>
        <w:kinsoku/>
        <w:wordWrap/>
        <w:topLinePunct w:val="0"/>
        <w:bidi w:val="0"/>
        <w:snapToGrid/>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7.4小型、微型企业参加投标时，应提供《中小企业声明函》；监狱或戒毒企业参加投标时应提供监狱或戒毒企业声明函；残疾人福利性单位参加投标时应提供残疾人福利性单位声明函。不提供以上材料的投标人将不享受评审中价格扣除优惠。</w:t>
      </w:r>
    </w:p>
    <w:p w14:paraId="25AFF0D9">
      <w:pPr>
        <w:pStyle w:val="21"/>
        <w:spacing w:line="360" w:lineRule="auto"/>
        <w:ind w:left="0" w:leftChars="0" w:firstLine="419" w:firstLineChars="174"/>
        <w:jc w:val="left"/>
        <w:rPr>
          <w:rFonts w:hint="default" w:eastAsia="宋体"/>
          <w:color w:val="auto"/>
          <w:sz w:val="24"/>
          <w:szCs w:val="24"/>
          <w:highlight w:val="none"/>
          <w:lang w:val="en-US" w:eastAsia="zh-CN"/>
        </w:rPr>
      </w:pPr>
      <w:r>
        <w:rPr>
          <w:rFonts w:hint="eastAsia" w:ascii="宋体" w:hAnsi="宋体" w:cs="宋体"/>
          <w:b/>
          <w:bCs/>
          <w:color w:val="auto"/>
          <w:sz w:val="24"/>
          <w:szCs w:val="24"/>
          <w:highlight w:val="none"/>
          <w:lang w:val="en-US" w:eastAsia="zh-CN"/>
        </w:rPr>
        <w:t>因本项目已是专门面向中小企业进行采购，根据文件规定专门面向中小企业采购的项目或者标项，不再执行价格评审优惠的扶持政策。</w:t>
      </w: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237AB2DE">
      <w:pPr>
        <w:pStyle w:val="4"/>
        <w:spacing w:before="0" w:after="0" w:line="360" w:lineRule="auto"/>
        <w:jc w:val="center"/>
        <w:rPr>
          <w:rFonts w:hint="eastAsia" w:ascii="宋体" w:hAnsi="宋体" w:eastAsia="宋体" w:cs="宋体"/>
          <w:color w:val="auto"/>
          <w:sz w:val="24"/>
          <w:szCs w:val="24"/>
          <w:highlight w:val="none"/>
        </w:rPr>
      </w:pPr>
      <w:bookmarkStart w:id="57" w:name="_Toc15395"/>
      <w:bookmarkStart w:id="58" w:name="_Toc262105502"/>
      <w:bookmarkStart w:id="59" w:name="_Toc221356950"/>
      <w:bookmarkStart w:id="60" w:name="_Toc223715997"/>
      <w:bookmarkStart w:id="61" w:name="_Toc262049417"/>
      <w:bookmarkStart w:id="62" w:name="_Toc221356885"/>
      <w:bookmarkStart w:id="63" w:name="_Toc249758711"/>
      <w:bookmarkStart w:id="64" w:name="_Toc245722280"/>
      <w:bookmarkStart w:id="65" w:name="_Toc221374625"/>
      <w:bookmarkStart w:id="66" w:name="_Toc221423618"/>
      <w:bookmarkStart w:id="67" w:name="_Toc239145353"/>
      <w:bookmarkStart w:id="68" w:name="_Toc241404201"/>
      <w:bookmarkStart w:id="69" w:name="_Toc245191313"/>
      <w:bookmarkStart w:id="70" w:name="_Toc410031815"/>
      <w:bookmarkStart w:id="71" w:name="_Toc249758863"/>
      <w:bookmarkStart w:id="72" w:name="_Toc246261264"/>
      <w:bookmarkStart w:id="73" w:name="_Toc222114878"/>
      <w:r>
        <w:rPr>
          <w:rFonts w:hint="eastAsia" w:ascii="宋体" w:hAnsi="宋体" w:eastAsia="宋体" w:cs="宋体"/>
          <w:color w:val="auto"/>
          <w:sz w:val="30"/>
          <w:szCs w:val="30"/>
          <w:highlight w:val="none"/>
        </w:rPr>
        <w:t>二</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招标文件</w:t>
      </w:r>
      <w:bookmarkEnd w:id="57"/>
    </w:p>
    <w:p w14:paraId="6A754CB1">
      <w:pPr>
        <w:pStyle w:val="10"/>
        <w:spacing w:line="360" w:lineRule="auto"/>
        <w:ind w:left="422" w:hanging="4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1、招标文件的组成</w:t>
      </w:r>
    </w:p>
    <w:p w14:paraId="4307BE60">
      <w:pPr>
        <w:pStyle w:val="10"/>
        <w:spacing w:line="360" w:lineRule="auto"/>
        <w:ind w:left="42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1.1招标文件</w:t>
      </w:r>
      <w:r>
        <w:rPr>
          <w:rFonts w:hint="eastAsia" w:ascii="宋体" w:hAnsi="宋体" w:eastAsia="宋体" w:cs="宋体"/>
          <w:color w:val="auto"/>
          <w:sz w:val="24"/>
          <w:szCs w:val="24"/>
          <w:highlight w:val="none"/>
          <w:lang w:val="en-US" w:eastAsia="zh-CN"/>
        </w:rPr>
        <w:t>由以下部分组成</w:t>
      </w:r>
      <w:r>
        <w:rPr>
          <w:rFonts w:hint="eastAsia" w:ascii="宋体" w:hAnsi="宋体" w:eastAsia="宋体" w:cs="宋体"/>
          <w:color w:val="auto"/>
          <w:sz w:val="24"/>
          <w:szCs w:val="24"/>
          <w:highlight w:val="none"/>
        </w:rPr>
        <w:t>：</w:t>
      </w:r>
    </w:p>
    <w:p w14:paraId="5ED75E73">
      <w:pPr>
        <w:pStyle w:val="10"/>
        <w:spacing w:line="360" w:lineRule="auto"/>
        <w:ind w:left="42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第一章 </w:t>
      </w:r>
      <w:r>
        <w:rPr>
          <w:rFonts w:hint="eastAsia" w:ascii="宋体" w:hAnsi="宋体" w:eastAsia="宋体" w:cs="宋体"/>
          <w:color w:val="auto"/>
          <w:sz w:val="24"/>
          <w:szCs w:val="24"/>
          <w:highlight w:val="none"/>
        </w:rPr>
        <w:t>招标公告</w:t>
      </w:r>
    </w:p>
    <w:p w14:paraId="4DF51249">
      <w:pPr>
        <w:pStyle w:val="10"/>
        <w:spacing w:line="360" w:lineRule="auto"/>
        <w:ind w:left="42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第二章 </w:t>
      </w:r>
      <w:r>
        <w:rPr>
          <w:rFonts w:hint="eastAsia" w:ascii="宋体" w:hAnsi="宋体" w:eastAsia="宋体" w:cs="宋体"/>
          <w:color w:val="auto"/>
          <w:sz w:val="24"/>
          <w:szCs w:val="24"/>
          <w:highlight w:val="none"/>
        </w:rPr>
        <w:t>投标人须知</w:t>
      </w:r>
    </w:p>
    <w:p w14:paraId="182F4F69">
      <w:pPr>
        <w:pStyle w:val="10"/>
        <w:spacing w:line="360" w:lineRule="auto"/>
        <w:ind w:left="42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第三章 </w:t>
      </w:r>
      <w:r>
        <w:rPr>
          <w:rFonts w:hint="eastAsia" w:ascii="宋体" w:hAnsi="宋体" w:eastAsia="宋体" w:cs="宋体"/>
          <w:color w:val="auto"/>
          <w:sz w:val="24"/>
          <w:szCs w:val="24"/>
          <w:highlight w:val="none"/>
        </w:rPr>
        <w:t>招标内容及要求</w:t>
      </w:r>
    </w:p>
    <w:p w14:paraId="70E76AE3">
      <w:pPr>
        <w:pStyle w:val="10"/>
        <w:spacing w:line="360" w:lineRule="auto"/>
        <w:ind w:left="42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第四章 </w:t>
      </w:r>
      <w:r>
        <w:rPr>
          <w:rFonts w:hint="eastAsia" w:ascii="宋体" w:hAnsi="宋体" w:eastAsia="宋体" w:cs="宋体"/>
          <w:color w:val="auto"/>
          <w:sz w:val="24"/>
          <w:szCs w:val="24"/>
          <w:highlight w:val="none"/>
        </w:rPr>
        <w:t>合同主要条款</w:t>
      </w:r>
    </w:p>
    <w:p w14:paraId="1D748E3C">
      <w:pPr>
        <w:pStyle w:val="10"/>
        <w:spacing w:line="360" w:lineRule="auto"/>
        <w:ind w:left="42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第五章 </w:t>
      </w:r>
      <w:r>
        <w:rPr>
          <w:rFonts w:hint="eastAsia" w:ascii="宋体" w:hAnsi="宋体" w:eastAsia="宋体" w:cs="宋体"/>
          <w:color w:val="auto"/>
          <w:sz w:val="24"/>
          <w:szCs w:val="24"/>
          <w:highlight w:val="none"/>
        </w:rPr>
        <w:t>评标原则及办法</w:t>
      </w:r>
    </w:p>
    <w:p w14:paraId="3E867C7E">
      <w:pPr>
        <w:pStyle w:val="10"/>
        <w:numPr>
          <w:ilvl w:val="0"/>
          <w:numId w:val="0"/>
        </w:numPr>
        <w:spacing w:line="360" w:lineRule="auto"/>
        <w:ind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第六章 </w:t>
      </w:r>
      <w:r>
        <w:rPr>
          <w:rFonts w:hint="eastAsia" w:ascii="宋体" w:hAnsi="宋体" w:eastAsia="宋体" w:cs="宋体"/>
          <w:color w:val="auto"/>
          <w:sz w:val="24"/>
          <w:szCs w:val="24"/>
          <w:highlight w:val="none"/>
        </w:rPr>
        <w:t>投标文件格式</w:t>
      </w:r>
    </w:p>
    <w:p w14:paraId="78F81F0E">
      <w:pPr>
        <w:pStyle w:val="1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除上条1.1内容外，</w:t>
      </w:r>
      <w:r>
        <w:rPr>
          <w:rFonts w:hint="eastAsia" w:ascii="宋体" w:hAnsi="宋体" w:eastAsia="宋体" w:cs="宋体"/>
          <w:color w:val="auto"/>
          <w:sz w:val="24"/>
          <w:szCs w:val="24"/>
          <w:highlight w:val="none"/>
          <w:lang w:eastAsia="zh-CN"/>
        </w:rPr>
        <w:t>采购人、采购代理机构</w:t>
      </w:r>
      <w:r>
        <w:rPr>
          <w:rFonts w:hint="eastAsia" w:ascii="宋体" w:hAnsi="宋体" w:eastAsia="宋体" w:cs="宋体"/>
          <w:color w:val="auto"/>
          <w:sz w:val="24"/>
          <w:szCs w:val="24"/>
          <w:highlight w:val="none"/>
        </w:rPr>
        <w:t>在规定时间前，以书面形式发出的对招标文件的澄清或修改内容，均为招标文件的组成部分。</w:t>
      </w:r>
    </w:p>
    <w:p w14:paraId="3C6F9BC7">
      <w:pPr>
        <w:pStyle w:val="1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获取招标文件后，应仔细检查招标文件的所有内容，如有残缺等问题，应在获得招标文件3日内向采购单位提出，否则，由此引起的损失由投标人自己承担。投标人同时应认真审阅招标文件中所有的事项、格式、条款和规范要求等，若投标人的投标文件没有按招标文件要求提交全部资料，或投标文件没有对招标文件做出实质性响应，并根据有关条款规定，其风险由投标人自行承担。</w:t>
      </w:r>
    </w:p>
    <w:p w14:paraId="347D433F">
      <w:pPr>
        <w:pStyle w:val="10"/>
        <w:spacing w:line="360" w:lineRule="auto"/>
        <w:ind w:left="422" w:hanging="4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2、招标文件的澄清与修改</w:t>
      </w:r>
    </w:p>
    <w:p w14:paraId="53176B80">
      <w:pPr>
        <w:pStyle w:val="11"/>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bCs/>
          <w:color w:val="auto"/>
          <w:sz w:val="24"/>
          <w:szCs w:val="24"/>
          <w:highlight w:val="none"/>
        </w:rPr>
        <w:t>投标人应认真阅读本招标文件，发现其中有误或有不合理要求的，投标人应当自知道或者应当知道其合法权益受到损害之日起七个工作日内以书面形式</w:t>
      </w:r>
      <w:r>
        <w:rPr>
          <w:rFonts w:hint="eastAsia" w:ascii="宋体" w:hAnsi="宋体" w:eastAsia="宋体" w:cs="宋体"/>
          <w:bCs/>
          <w:color w:val="auto"/>
          <w:sz w:val="24"/>
          <w:szCs w:val="24"/>
          <w:highlight w:val="none"/>
          <w:lang w:val="en-US" w:eastAsia="zh-CN"/>
        </w:rPr>
        <w:t>向</w:t>
      </w:r>
      <w:r>
        <w:rPr>
          <w:rFonts w:hint="eastAsia" w:ascii="宋体" w:hAnsi="宋体" w:eastAsia="宋体" w:cs="宋体"/>
          <w:bCs/>
          <w:color w:val="auto"/>
          <w:sz w:val="24"/>
          <w:szCs w:val="24"/>
          <w:highlight w:val="none"/>
          <w:lang w:eastAsia="zh-CN"/>
        </w:rPr>
        <w:t>采购人、采购代理机构</w:t>
      </w:r>
      <w:r>
        <w:rPr>
          <w:rFonts w:hint="eastAsia" w:ascii="宋体" w:hAnsi="宋体" w:eastAsia="宋体" w:cs="宋体"/>
          <w:bCs/>
          <w:color w:val="auto"/>
          <w:sz w:val="24"/>
          <w:szCs w:val="24"/>
          <w:highlight w:val="none"/>
          <w:lang w:val="en-US" w:eastAsia="zh-CN"/>
        </w:rPr>
        <w:t>提出质疑</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采购代理机构对已发出的招标文件进行必要澄清、答复、修改或补充的，</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pacing w:val="-4"/>
          <w:sz w:val="24"/>
          <w:szCs w:val="24"/>
          <w:highlight w:val="none"/>
        </w:rPr>
        <w:t>原公告发布媒体上</w:t>
      </w:r>
      <w:r>
        <w:rPr>
          <w:rFonts w:hint="eastAsia" w:ascii="宋体" w:hAnsi="宋体" w:eastAsia="宋体" w:cs="宋体"/>
          <w:color w:val="auto"/>
          <w:sz w:val="24"/>
          <w:szCs w:val="24"/>
          <w:highlight w:val="none"/>
        </w:rPr>
        <w:t>发布</w:t>
      </w:r>
      <w:r>
        <w:rPr>
          <w:rFonts w:hint="eastAsia" w:ascii="宋体" w:hAnsi="宋体" w:eastAsia="宋体" w:cs="宋体"/>
          <w:color w:val="auto"/>
          <w:sz w:val="24"/>
          <w:szCs w:val="24"/>
          <w:highlight w:val="none"/>
          <w:lang w:val="en-US" w:eastAsia="zh-CN"/>
        </w:rPr>
        <w:t>澄清（</w:t>
      </w:r>
      <w:r>
        <w:rPr>
          <w:rFonts w:hint="eastAsia" w:ascii="宋体" w:hAnsi="宋体" w:eastAsia="宋体" w:cs="宋体"/>
          <w:color w:val="auto"/>
          <w:sz w:val="24"/>
          <w:szCs w:val="24"/>
          <w:highlight w:val="none"/>
        </w:rPr>
        <w:t>更正</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。澄清或者修改的内容可能影响投标文件编制的，应当在投标截止时间至少15日前，以书面形式通知所有获取招标文件的潜在投标人；不足15日的，将顺延提交投标文件的截止时间。</w:t>
      </w:r>
    </w:p>
    <w:p w14:paraId="585E4A75">
      <w:pPr>
        <w:pStyle w:val="11"/>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采购人、采购代理机构</w:t>
      </w:r>
      <w:r>
        <w:rPr>
          <w:rFonts w:hint="eastAsia" w:ascii="宋体" w:hAnsi="宋体" w:eastAsia="宋体" w:cs="宋体"/>
          <w:color w:val="auto"/>
          <w:sz w:val="24"/>
          <w:szCs w:val="24"/>
          <w:highlight w:val="none"/>
        </w:rPr>
        <w:t>必须以书面形式答复投标人要求澄清的问题，并将不包含问题来源的答复书面通知所有购买招标文件的投标人；除书面答复以外的其他澄清方式及澄清内容均无效。</w:t>
      </w:r>
    </w:p>
    <w:p w14:paraId="4C836463">
      <w:pPr>
        <w:pStyle w:val="11"/>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2.3招标文件澄清、答复、修改、补充的内容为招标文件的组成部分。当招标文件与招标文件的答复、澄清、修改、补充通知就同一内容的表述不一致时，以最后发出的书面文件为准。</w:t>
      </w:r>
    </w:p>
    <w:p w14:paraId="3F10AA4B">
      <w:pPr>
        <w:pStyle w:val="4"/>
        <w:spacing w:before="0" w:after="0" w:line="360" w:lineRule="auto"/>
        <w:jc w:val="center"/>
        <w:rPr>
          <w:rFonts w:hint="eastAsia" w:ascii="宋体" w:hAnsi="宋体" w:eastAsia="宋体" w:cs="宋体"/>
          <w:color w:val="auto"/>
          <w:sz w:val="32"/>
          <w:szCs w:val="32"/>
          <w:highlight w:val="none"/>
        </w:rPr>
      </w:pPr>
      <w:bookmarkStart w:id="74" w:name="_Toc1105"/>
      <w:r>
        <w:rPr>
          <w:rFonts w:hint="eastAsia" w:ascii="宋体" w:hAnsi="宋体" w:eastAsia="宋体" w:cs="宋体"/>
          <w:color w:val="auto"/>
          <w:sz w:val="32"/>
          <w:szCs w:val="32"/>
          <w:highlight w:val="none"/>
        </w:rPr>
        <w:t>三</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投标文件</w:t>
      </w:r>
      <w:bookmarkEnd w:id="74"/>
    </w:p>
    <w:p w14:paraId="406C2A28">
      <w:pPr>
        <w:pStyle w:val="10"/>
        <w:spacing w:line="360" w:lineRule="auto"/>
        <w:ind w:left="422" w:hanging="4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1、投标文件的语言及度量衡单位</w:t>
      </w:r>
    </w:p>
    <w:p w14:paraId="67B76019">
      <w:pPr>
        <w:pStyle w:val="1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1.1除采购货物有关专用名称外，投标文件和与投标有关的所有文件说明均应使用中文。</w:t>
      </w:r>
    </w:p>
    <w:p w14:paraId="68884132">
      <w:pPr>
        <w:pStyle w:val="1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1.2除采购项目规范另有规定外，投标文件使用的度量衡单位，均采用中华人民共和国法定计量单位。</w:t>
      </w:r>
    </w:p>
    <w:p w14:paraId="036BEBD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的形式和效力</w:t>
      </w:r>
    </w:p>
    <w:p w14:paraId="14DB68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2.1</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为</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按政采云平台</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供应商-政府采购项目电子交易操作指南</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sz w:val="24"/>
          <w:szCs w:val="24"/>
          <w:highlight w:val="none"/>
        </w:rPr>
        <w:t>及</w:t>
      </w:r>
      <w:r>
        <w:rPr>
          <w:rFonts w:hint="eastAsia" w:ascii="宋体" w:hAnsi="宋体" w:eastAsia="宋体" w:cs="宋体"/>
          <w:b w:val="0"/>
          <w:bCs/>
          <w:color w:val="auto"/>
          <w:sz w:val="24"/>
          <w:szCs w:val="24"/>
          <w:highlight w:val="none"/>
          <w:lang w:eastAsia="zh-CN"/>
        </w:rPr>
        <w:t>本招标文件</w:t>
      </w:r>
      <w:r>
        <w:rPr>
          <w:rFonts w:hint="eastAsia" w:ascii="宋体" w:hAnsi="宋体" w:eastAsia="宋体" w:cs="宋体"/>
          <w:b w:val="0"/>
          <w:bCs/>
          <w:color w:val="auto"/>
          <w:sz w:val="24"/>
          <w:szCs w:val="24"/>
          <w:highlight w:val="none"/>
        </w:rPr>
        <w:t>要求制作、加密并递交。</w:t>
      </w:r>
    </w:p>
    <w:p w14:paraId="289B7FDE">
      <w:pPr>
        <w:pStyle w:val="10"/>
        <w:spacing w:line="360" w:lineRule="auto"/>
        <w:ind w:left="422" w:hanging="42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、投标文件的组成</w:t>
      </w:r>
    </w:p>
    <w:p w14:paraId="67F02F8E">
      <w:pPr>
        <w:tabs>
          <w:tab w:val="left" w:pos="0"/>
          <w:tab w:val="left" w:pos="900"/>
          <w:tab w:val="left" w:pos="7020"/>
          <w:tab w:val="left" w:pos="846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.1投标文件由资格审查资料、</w:t>
      </w:r>
      <w:r>
        <w:rPr>
          <w:rFonts w:hint="eastAsia" w:ascii="宋体" w:hAnsi="宋体" w:cs="宋体"/>
          <w:color w:val="auto"/>
          <w:sz w:val="24"/>
          <w:szCs w:val="24"/>
          <w:highlight w:val="none"/>
          <w:lang w:eastAsia="zh-CN"/>
        </w:rPr>
        <w:t>商务技术文件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三部分组成。</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中所须加盖公章部分均采用CA签章。</w:t>
      </w:r>
    </w:p>
    <w:p w14:paraId="51A5FAD2">
      <w:pPr>
        <w:pStyle w:val="10"/>
        <w:spacing w:line="440" w:lineRule="exact"/>
        <w:ind w:left="422" w:hanging="422"/>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 xml:space="preserve">    1、资格审查资料</w:t>
      </w:r>
      <w:r>
        <w:rPr>
          <w:rFonts w:hint="eastAsia" w:ascii="宋体" w:hAnsi="宋体" w:eastAsia="宋体" w:cs="宋体"/>
          <w:b/>
          <w:bCs/>
          <w:color w:val="auto"/>
          <w:sz w:val="24"/>
          <w:szCs w:val="24"/>
          <w:highlight w:val="none"/>
          <w:lang w:eastAsia="zh-CN"/>
        </w:rPr>
        <w:t>的组成：</w:t>
      </w:r>
    </w:p>
    <w:p w14:paraId="2FAFFF76">
      <w:pPr>
        <w:keepNext w:val="0"/>
        <w:keepLines w:val="0"/>
        <w:pageBreakBefore w:val="0"/>
        <w:widowControl w:val="0"/>
        <w:tabs>
          <w:tab w:val="left" w:pos="720"/>
          <w:tab w:val="left" w:pos="5355"/>
        </w:tabs>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1）有效期内的营业执照原件扫描件；</w:t>
      </w:r>
    </w:p>
    <w:p w14:paraId="407C8B35">
      <w:pPr>
        <w:pStyle w:val="20"/>
        <w:ind w:firstLine="480" w:firstLineChars="200"/>
        <w:jc w:val="left"/>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Theme="minorEastAsia" w:hAnsiTheme="minorEastAsia" w:eastAsiaTheme="minorEastAsia" w:cstheme="minorEastAsia"/>
          <w:b w:val="0"/>
          <w:bCs w:val="0"/>
          <w:color w:val="auto"/>
          <w:sz w:val="24"/>
          <w:szCs w:val="24"/>
          <w:highlight w:val="none"/>
          <w:lang w:val="en-US" w:eastAsia="zh-CN"/>
        </w:rPr>
        <w:t>投标人具有有效的第二类医疗器械经营备案凭证；</w:t>
      </w:r>
    </w:p>
    <w:p w14:paraId="0F25DD79">
      <w:pPr>
        <w:keepNext w:val="0"/>
        <w:keepLines w:val="0"/>
        <w:pageBreakBefore w:val="0"/>
        <w:widowControl w:val="0"/>
        <w:tabs>
          <w:tab w:val="left" w:pos="720"/>
          <w:tab w:val="left" w:pos="5355"/>
        </w:tabs>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法定代表人（负责人）授权委托书及被授权代表身份证复印件（如法定代表人参加开标会议的，提供法定代表人身份证复印件）</w:t>
      </w:r>
      <w:r>
        <w:rPr>
          <w:rFonts w:hint="eastAsia" w:asciiTheme="minorEastAsia" w:hAnsiTheme="minorEastAsia" w:eastAsiaTheme="minorEastAsia" w:cstheme="minorEastAsia"/>
          <w:color w:val="auto"/>
          <w:sz w:val="24"/>
          <w:szCs w:val="24"/>
          <w:highlight w:val="none"/>
          <w:lang w:val="en-US" w:eastAsia="zh-CN"/>
        </w:rPr>
        <w:t>；</w:t>
      </w:r>
    </w:p>
    <w:p w14:paraId="5F755A50">
      <w:pPr>
        <w:keepNext w:val="0"/>
        <w:keepLines w:val="0"/>
        <w:pageBreakBefore w:val="0"/>
        <w:widowControl w:val="0"/>
        <w:tabs>
          <w:tab w:val="left" w:pos="720"/>
          <w:tab w:val="left" w:pos="5355"/>
        </w:tabs>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）符合参加政府采购活动应当具备的一般条件的承诺函；</w:t>
      </w:r>
    </w:p>
    <w:p w14:paraId="16BAA8DB">
      <w:pPr>
        <w:keepNext w:val="0"/>
        <w:keepLines w:val="0"/>
        <w:pageBreakBefore w:val="0"/>
        <w:widowControl w:val="0"/>
        <w:tabs>
          <w:tab w:val="left" w:pos="720"/>
          <w:tab w:val="left" w:pos="5355"/>
        </w:tabs>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5）投标人资格声明；</w:t>
      </w:r>
    </w:p>
    <w:p w14:paraId="75DEEE70">
      <w:pPr>
        <w:keepNext w:val="0"/>
        <w:keepLines w:val="0"/>
        <w:pageBreakBefore w:val="0"/>
        <w:widowControl w:val="0"/>
        <w:tabs>
          <w:tab w:val="left" w:pos="720"/>
          <w:tab w:val="left" w:pos="5355"/>
        </w:tabs>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6）投标声明书；</w:t>
      </w:r>
    </w:p>
    <w:p w14:paraId="423D47D3">
      <w:pPr>
        <w:keepNext w:val="0"/>
        <w:keepLines w:val="0"/>
        <w:pageBreakBefore w:val="0"/>
        <w:widowControl w:val="0"/>
        <w:tabs>
          <w:tab w:val="left" w:pos="720"/>
          <w:tab w:val="left" w:pos="5355"/>
        </w:tabs>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7）投</w:t>
      </w:r>
      <w:r>
        <w:rPr>
          <w:rFonts w:hint="eastAsia" w:asciiTheme="minorEastAsia" w:hAnsiTheme="minorEastAsia" w:eastAsiaTheme="minorEastAsia" w:cstheme="minorEastAsia"/>
          <w:color w:val="auto"/>
          <w:sz w:val="24"/>
          <w:szCs w:val="24"/>
          <w:highlight w:val="none"/>
          <w:lang w:eastAsia="zh-CN"/>
        </w:rPr>
        <w:t>标人基本情况表</w:t>
      </w:r>
      <w:r>
        <w:rPr>
          <w:rFonts w:hint="eastAsia" w:asciiTheme="minorEastAsia" w:hAnsiTheme="minorEastAsia" w:eastAsiaTheme="minorEastAsia" w:cstheme="minorEastAsia"/>
          <w:color w:val="auto"/>
          <w:sz w:val="24"/>
          <w:szCs w:val="24"/>
          <w:highlight w:val="none"/>
          <w:lang w:val="en-US" w:eastAsia="zh-CN"/>
        </w:rPr>
        <w:t>；</w:t>
      </w:r>
    </w:p>
    <w:p w14:paraId="0F2AF400">
      <w:pPr>
        <w:keepNext w:val="0"/>
        <w:keepLines w:val="0"/>
        <w:pageBreakBefore w:val="0"/>
        <w:widowControl w:val="0"/>
        <w:tabs>
          <w:tab w:val="left" w:pos="720"/>
          <w:tab w:val="left" w:pos="5355"/>
        </w:tabs>
        <w:kinsoku/>
        <w:wordWrap/>
        <w:overflowPunct/>
        <w:topLinePunct w:val="0"/>
        <w:autoSpaceDE/>
        <w:autoSpaceDN/>
        <w:bidi w:val="0"/>
        <w:adjustRightInd/>
        <w:snapToGrid/>
        <w:spacing w:line="400" w:lineRule="exact"/>
        <w:ind w:firstLine="480" w:firstLine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）投标人无不良信用记录的证明材料【1.自招标公告发布之日起至提交投标文件截止之日内任意时间的信用中国网站“失信被执行人”“</w:t>
      </w:r>
      <w:r>
        <w:rPr>
          <w:rFonts w:hint="eastAsia" w:asciiTheme="minorEastAsia" w:hAnsiTheme="minorEastAsia" w:eastAsiaTheme="minorEastAsia" w:cstheme="minorEastAsia"/>
          <w:color w:val="auto"/>
          <w:sz w:val="24"/>
          <w:szCs w:val="24"/>
          <w:highlight w:val="none"/>
          <w:lang w:eastAsia="zh-CN"/>
        </w:rPr>
        <w:t>税收违法黑名单</w:t>
      </w:r>
      <w:r>
        <w:rPr>
          <w:rFonts w:hint="eastAsia" w:asciiTheme="minorEastAsia" w:hAnsiTheme="minorEastAsia" w:eastAsiaTheme="minorEastAsia" w:cstheme="minorEastAsia"/>
          <w:color w:val="auto"/>
          <w:sz w:val="24"/>
          <w:szCs w:val="24"/>
          <w:highlight w:val="none"/>
        </w:rPr>
        <w:t>” 名单查询结果</w:t>
      </w:r>
      <w:r>
        <w:rPr>
          <w:rFonts w:hint="eastAsia" w:asciiTheme="minorEastAsia" w:hAnsiTheme="minorEastAsia" w:eastAsiaTheme="minorEastAsia" w:cstheme="minorEastAsia"/>
          <w:color w:val="auto"/>
          <w:sz w:val="24"/>
          <w:szCs w:val="24"/>
          <w:highlight w:val="none"/>
          <w:lang w:eastAsia="zh-CN"/>
        </w:rPr>
        <w:t>截图</w:t>
      </w:r>
      <w:r>
        <w:rPr>
          <w:rFonts w:hint="eastAsia" w:asciiTheme="minorEastAsia" w:hAnsiTheme="minorEastAsia" w:eastAsiaTheme="minorEastAsia" w:cstheme="minorEastAsia"/>
          <w:color w:val="auto"/>
          <w:sz w:val="24"/>
          <w:szCs w:val="24"/>
          <w:highlight w:val="none"/>
        </w:rPr>
        <w:t>；2.自招标公告发布之日起至提交投标文件截止之日内任意时间的中国政府采购网“政府采购严重违法失信行为记录名单”查询结果</w:t>
      </w:r>
      <w:r>
        <w:rPr>
          <w:rFonts w:hint="eastAsia" w:asciiTheme="minorEastAsia" w:hAnsiTheme="minorEastAsia" w:eastAsiaTheme="minorEastAsia" w:cstheme="minorEastAsia"/>
          <w:color w:val="auto"/>
          <w:sz w:val="24"/>
          <w:szCs w:val="24"/>
          <w:highlight w:val="none"/>
          <w:lang w:eastAsia="zh-CN"/>
        </w:rPr>
        <w:t>截图</w:t>
      </w:r>
      <w:r>
        <w:rPr>
          <w:rFonts w:hint="eastAsia" w:asciiTheme="minorEastAsia" w:hAnsiTheme="minorEastAsia" w:eastAsiaTheme="minorEastAsia" w:cstheme="minorEastAsia"/>
          <w:color w:val="auto"/>
          <w:sz w:val="24"/>
          <w:szCs w:val="24"/>
          <w:highlight w:val="none"/>
        </w:rPr>
        <w:t>】；</w:t>
      </w:r>
    </w:p>
    <w:p w14:paraId="4B6C2953">
      <w:pPr>
        <w:keepNext w:val="0"/>
        <w:keepLines w:val="0"/>
        <w:pageBreakBefore w:val="0"/>
        <w:widowControl w:val="0"/>
        <w:tabs>
          <w:tab w:val="left" w:pos="720"/>
          <w:tab w:val="left" w:pos="5355"/>
        </w:tabs>
        <w:kinsoku/>
        <w:wordWrap/>
        <w:overflowPunct/>
        <w:topLinePunct w:val="0"/>
        <w:autoSpaceDE/>
        <w:autoSpaceDN/>
        <w:bidi w:val="0"/>
        <w:adjustRightInd/>
        <w:snapToGrid/>
        <w:spacing w:line="400" w:lineRule="exact"/>
        <w:ind w:left="420" w:leftChars="200"/>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投标人认为有必要提供的其他文件和说明。</w:t>
      </w:r>
    </w:p>
    <w:p w14:paraId="0D4C7A5A">
      <w:pPr>
        <w:keepNext w:val="0"/>
        <w:keepLines w:val="0"/>
        <w:pageBreakBefore w:val="0"/>
        <w:widowControl w:val="0"/>
        <w:tabs>
          <w:tab w:val="left" w:pos="720"/>
          <w:tab w:val="left" w:pos="5355"/>
        </w:tabs>
        <w:kinsoku/>
        <w:wordWrap/>
        <w:overflowPunct/>
        <w:topLinePunct w:val="0"/>
        <w:autoSpaceDE/>
        <w:autoSpaceDN/>
        <w:bidi w:val="0"/>
        <w:adjustRightInd/>
        <w:snapToGrid/>
        <w:spacing w:line="400" w:lineRule="exact"/>
        <w:ind w:left="420" w:left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注：资格审查资料应包含以上所有内容，</w:t>
      </w:r>
      <w:r>
        <w:rPr>
          <w:rFonts w:hint="eastAsia" w:asciiTheme="minorEastAsia" w:hAnsiTheme="minorEastAsia" w:eastAsiaTheme="minorEastAsia" w:cstheme="minorEastAsia"/>
          <w:b w:val="0"/>
          <w:bCs w:val="0"/>
          <w:color w:val="auto"/>
          <w:sz w:val="24"/>
          <w:szCs w:val="24"/>
          <w:highlight w:val="none"/>
        </w:rPr>
        <w:t>投标人</w:t>
      </w:r>
      <w:r>
        <w:rPr>
          <w:rFonts w:hint="eastAsia" w:asciiTheme="minorEastAsia" w:hAnsiTheme="minorEastAsia" w:eastAsiaTheme="minorEastAsia" w:cstheme="minorEastAsia"/>
          <w:b w:val="0"/>
          <w:bCs w:val="0"/>
          <w:color w:val="auto"/>
          <w:sz w:val="24"/>
          <w:szCs w:val="24"/>
          <w:highlight w:val="none"/>
          <w:lang w:eastAsia="zh-CN"/>
        </w:rPr>
        <w:t>的</w:t>
      </w:r>
      <w:r>
        <w:rPr>
          <w:rFonts w:hint="eastAsia" w:asciiTheme="minorEastAsia" w:hAnsiTheme="minorEastAsia" w:eastAsiaTheme="minorEastAsia" w:cstheme="minorEastAsia"/>
          <w:b w:val="0"/>
          <w:bCs w:val="0"/>
          <w:color w:val="auto"/>
          <w:sz w:val="24"/>
          <w:szCs w:val="24"/>
          <w:highlight w:val="none"/>
        </w:rPr>
        <w:t>提供资格审查资料</w:t>
      </w:r>
      <w:r>
        <w:rPr>
          <w:rFonts w:hint="eastAsia" w:asciiTheme="minorEastAsia" w:hAnsiTheme="minorEastAsia" w:eastAsiaTheme="minorEastAsia" w:cstheme="minorEastAsia"/>
          <w:b w:val="0"/>
          <w:bCs w:val="0"/>
          <w:color w:val="auto"/>
          <w:sz w:val="24"/>
          <w:szCs w:val="24"/>
          <w:highlight w:val="none"/>
          <w:lang w:eastAsia="zh-CN"/>
        </w:rPr>
        <w:t>不完整或不符合招标文件要求</w:t>
      </w:r>
      <w:r>
        <w:rPr>
          <w:rFonts w:hint="eastAsia" w:asciiTheme="minorEastAsia" w:hAnsiTheme="minorEastAsia" w:eastAsiaTheme="minorEastAsia" w:cstheme="minorEastAsia"/>
          <w:b w:val="0"/>
          <w:bCs w:val="0"/>
          <w:color w:val="auto"/>
          <w:sz w:val="24"/>
          <w:szCs w:val="24"/>
          <w:highlight w:val="none"/>
        </w:rPr>
        <w:t>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则资格审查不予通过。</w:t>
      </w:r>
    </w:p>
    <w:p w14:paraId="54E8142B">
      <w:pPr>
        <w:pStyle w:val="10"/>
        <w:spacing w:line="360" w:lineRule="auto"/>
        <w:ind w:left="481" w:leftChars="229"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商务技术文件</w:t>
      </w:r>
      <w:r>
        <w:rPr>
          <w:rFonts w:hint="eastAsia" w:ascii="宋体" w:hAnsi="宋体" w:eastAsia="宋体" w:cs="宋体"/>
          <w:b/>
          <w:bCs/>
          <w:color w:val="auto"/>
          <w:sz w:val="24"/>
          <w:szCs w:val="24"/>
          <w:highlight w:val="none"/>
        </w:rPr>
        <w:t>：</w:t>
      </w:r>
    </w:p>
    <w:p w14:paraId="2E6305E6">
      <w:pPr>
        <w:keepNext w:val="0"/>
        <w:keepLines w:val="0"/>
        <w:pageBreakBefore w:val="0"/>
        <w:widowControl w:val="0"/>
        <w:numPr>
          <w:ilvl w:val="0"/>
          <w:numId w:val="0"/>
        </w:numPr>
        <w:tabs>
          <w:tab w:val="left" w:pos="720"/>
          <w:tab w:val="left" w:pos="5355"/>
        </w:tabs>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1）评分索引表</w:t>
      </w:r>
      <w:r>
        <w:rPr>
          <w:rFonts w:hint="eastAsia" w:asciiTheme="minorEastAsia" w:hAnsiTheme="minorEastAsia" w:eastAsiaTheme="minorEastAsia" w:cstheme="minorEastAsia"/>
          <w:b w:val="0"/>
          <w:bCs w:val="0"/>
          <w:color w:val="auto"/>
          <w:sz w:val="24"/>
          <w:szCs w:val="24"/>
          <w:highlight w:val="none"/>
          <w:lang w:val="zh-CN" w:eastAsia="zh-CN"/>
        </w:rPr>
        <w:t>；</w:t>
      </w:r>
    </w:p>
    <w:p w14:paraId="41BD53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类似业绩</w:t>
      </w:r>
      <w:r>
        <w:rPr>
          <w:rFonts w:hint="eastAsia" w:asciiTheme="minorEastAsia" w:hAnsiTheme="minorEastAsia" w:eastAsiaTheme="minorEastAsia" w:cstheme="minorEastAsia"/>
          <w:color w:val="auto"/>
          <w:spacing w:val="-3"/>
          <w:sz w:val="24"/>
          <w:szCs w:val="24"/>
          <w:highlight w:val="none"/>
          <w:lang w:val="zh-CN"/>
        </w:rPr>
        <w:t>；</w:t>
      </w:r>
    </w:p>
    <w:p w14:paraId="48716534">
      <w:pPr>
        <w:pStyle w:val="21"/>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）项目组成员汇总表</w:t>
      </w:r>
      <w:r>
        <w:rPr>
          <w:rFonts w:hint="eastAsia" w:asciiTheme="minorEastAsia" w:hAnsiTheme="minorEastAsia" w:eastAsiaTheme="minorEastAsia" w:cstheme="minorEastAsia"/>
          <w:b w:val="0"/>
          <w:bCs w:val="0"/>
          <w:color w:val="auto"/>
          <w:sz w:val="24"/>
          <w:szCs w:val="24"/>
          <w:highlight w:val="none"/>
          <w:lang w:eastAsia="zh-CN"/>
        </w:rPr>
        <w:t>；</w:t>
      </w:r>
    </w:p>
    <w:p w14:paraId="3070DE5E">
      <w:pPr>
        <w:pStyle w:val="21"/>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4）技术规格偏离表；</w:t>
      </w:r>
    </w:p>
    <w:p w14:paraId="640DD51B">
      <w:pPr>
        <w:pStyle w:val="21"/>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lang w:val="zh-CN"/>
        </w:rPr>
        <w:t>投标人根据评分细则编制商务技术文件；</w:t>
      </w:r>
    </w:p>
    <w:p w14:paraId="3532CF08">
      <w:pPr>
        <w:pStyle w:val="21"/>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6）投标人认为有必要提供的其他文件和说明。</w:t>
      </w:r>
    </w:p>
    <w:p w14:paraId="7EF9EBAE">
      <w:pPr>
        <w:tabs>
          <w:tab w:val="left" w:pos="720"/>
          <w:tab w:val="left" w:pos="535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报价文件</w:t>
      </w:r>
      <w:r>
        <w:rPr>
          <w:rFonts w:hint="eastAsia" w:ascii="宋体" w:hAnsi="宋体" w:eastAsia="宋体" w:cs="宋体"/>
          <w:b/>
          <w:color w:val="auto"/>
          <w:sz w:val="24"/>
          <w:szCs w:val="24"/>
          <w:highlight w:val="none"/>
        </w:rPr>
        <w:t>：</w:t>
      </w:r>
    </w:p>
    <w:p w14:paraId="534CC3F0">
      <w:pPr>
        <w:tabs>
          <w:tab w:val="left" w:pos="720"/>
          <w:tab w:val="left" w:pos="5355"/>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w:t>
      </w:r>
      <w:r>
        <w:rPr>
          <w:rFonts w:hint="eastAsia" w:ascii="宋体" w:hAnsi="宋体" w:eastAsia="宋体" w:cs="宋体"/>
          <w:color w:val="auto"/>
          <w:sz w:val="24"/>
          <w:szCs w:val="24"/>
          <w:highlight w:val="none"/>
          <w:lang w:eastAsia="zh-CN"/>
        </w:rPr>
        <w:t>【格式见附件】</w:t>
      </w:r>
      <w:r>
        <w:rPr>
          <w:rFonts w:hint="eastAsia" w:ascii="宋体" w:hAnsi="宋体" w:eastAsia="宋体" w:cs="宋体"/>
          <w:color w:val="auto"/>
          <w:sz w:val="24"/>
          <w:szCs w:val="24"/>
          <w:highlight w:val="none"/>
        </w:rPr>
        <w:t>；</w:t>
      </w:r>
    </w:p>
    <w:p w14:paraId="49FF95C1">
      <w:pPr>
        <w:tabs>
          <w:tab w:val="left" w:pos="720"/>
          <w:tab w:val="left" w:pos="5355"/>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）享受小微企业（含监狱企业、残疾人福利性企业）价格扶持政策的证明材料（详见“政府采购扶持政策说明 ”，非小微企业、监狱企业、残疾人福利性企业的，无需提供）；</w:t>
      </w:r>
    </w:p>
    <w:p w14:paraId="13F9CC3E">
      <w:pPr>
        <w:tabs>
          <w:tab w:val="left" w:pos="720"/>
          <w:tab w:val="left" w:pos="5355"/>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投标人针对报价需要说明的其他文件和资料（格式自拟）。</w:t>
      </w:r>
    </w:p>
    <w:p w14:paraId="0E078BDB">
      <w:pPr>
        <w:pStyle w:val="2"/>
        <w:spacing w:line="360" w:lineRule="auto"/>
        <w:ind w:firstLine="482" w:firstLineChars="200"/>
        <w:jc w:val="left"/>
        <w:rPr>
          <w:rFonts w:hint="eastAsia" w:ascii="宋体" w:hAnsi="宋体" w:cs="宋体"/>
          <w:b/>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注：1.上述内容所涉及到的证书及相关证明材料，要求投标人提供的材料必须真实可信，所有证书及证明材料复印件加盖公章，造成的废标、不得分等后果自负。</w:t>
      </w:r>
    </w:p>
    <w:p w14:paraId="43B30128">
      <w:pPr>
        <w:pStyle w:val="10"/>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投标文件的编制格式及说明</w:t>
      </w:r>
    </w:p>
    <w:p w14:paraId="7107628E">
      <w:pPr>
        <w:pStyle w:val="10"/>
        <w:spacing w:line="360" w:lineRule="auto"/>
        <w:ind w:left="0"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.1投标文件应包括规定的内容，投标人提交的投标文件应当使用招标文件所提供的投标文件全部格式（格式可以按同样格式扩展）；未提供投标文件标准格式的，由投标人自行编写</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响应文件按政采云平台</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供应商-政府采购项目电子交易操作指南</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highlight w:val="none"/>
          <w:lang w:eastAsia="zh-CN"/>
        </w:rPr>
        <w:t>及本招标文件要求制作、加密。</w:t>
      </w:r>
    </w:p>
    <w:p w14:paraId="2F145BA0">
      <w:pPr>
        <w:pStyle w:val="1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.2投标文件的格式及字体参照招标文件提供的表格格式及字体；未提供格式的，标题可采用黑体字，正文采用宋体字；</w:t>
      </w:r>
    </w:p>
    <w:p w14:paraId="62E29B3F">
      <w:pPr>
        <w:pStyle w:val="10"/>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3投标人应在认真阅读招标文件所有内容的基础上，按照招标文件的要求编制完整的投标文件，投标文件应按照招标文件中规定的统一格式填写，未按招标文件所提供的统一格式编写与漏写而导致投标文件被误读或查找不到有效文件是投标人的风险。</w:t>
      </w:r>
      <w:r>
        <w:rPr>
          <w:rFonts w:hint="eastAsia" w:ascii="宋体" w:hAnsi="宋体" w:eastAsia="宋体" w:cs="宋体"/>
          <w:color w:val="auto"/>
          <w:sz w:val="24"/>
          <w:szCs w:val="24"/>
          <w:highlight w:val="none"/>
          <w:lang w:eastAsia="zh-CN"/>
        </w:rPr>
        <w:t>（附件有格式的按附件，无则自拟。）</w:t>
      </w:r>
    </w:p>
    <w:p w14:paraId="54847DB6">
      <w:pPr>
        <w:pStyle w:val="1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投标人必须保证投标文件所提供的全部资料真实可靠，并接受对其中任何资料进一步审查的要求。</w:t>
      </w:r>
    </w:p>
    <w:p w14:paraId="09F9FCC4">
      <w:pPr>
        <w:pStyle w:val="10"/>
        <w:numPr>
          <w:ilvl w:val="0"/>
          <w:numId w:val="0"/>
        </w:numPr>
        <w:spacing w:line="360" w:lineRule="auto"/>
        <w:ind w:left="482" w:leftChars="0" w:hanging="482" w:hangingChars="200"/>
        <w:rPr>
          <w:rFonts w:hint="eastAsia" w:ascii="宋体" w:hAnsi="宋体" w:eastAsia="宋体" w:cs="宋体"/>
          <w:b/>
          <w:bCs/>
          <w:color w:val="auto"/>
          <w:sz w:val="24"/>
          <w:szCs w:val="24"/>
          <w:highlight w:val="none"/>
        </w:rPr>
      </w:pP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sz w:val="24"/>
          <w:szCs w:val="24"/>
          <w:highlight w:val="none"/>
        </w:rPr>
        <w:t>投标报价</w:t>
      </w:r>
    </w:p>
    <w:p w14:paraId="5E0A9FE7">
      <w:pPr>
        <w:pStyle w:val="10"/>
        <w:spacing w:line="360" w:lineRule="auto"/>
        <w:ind w:left="0"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 xml:space="preserve">   ▲ 4.1本项目投标报价应包含第三章招标内容及要求的所有内容。</w:t>
      </w:r>
    </w:p>
    <w:p w14:paraId="64C4D8C9">
      <w:pPr>
        <w:tabs>
          <w:tab w:val="left" w:pos="540"/>
        </w:tabs>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4.2投标相关报价明细表填写时应详细注明该表列举的费用及分项清单。</w:t>
      </w:r>
    </w:p>
    <w:p w14:paraId="3987323B">
      <w:pPr>
        <w:pStyle w:val="21"/>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17" w:firstLineChars="17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结合本项目具体情况,要求投标供应商员工基本工资最低不得低于衢州市现行最低工资标准。</w:t>
      </w:r>
    </w:p>
    <w:p w14:paraId="6EE92EC1">
      <w:pPr>
        <w:pStyle w:val="21"/>
        <w:keepNext w:val="0"/>
        <w:keepLines w:val="0"/>
        <w:pageBreakBefore w:val="0"/>
        <w:widowControl w:val="0"/>
        <w:numPr>
          <w:ilvl w:val="0"/>
          <w:numId w:val="3"/>
        </w:numPr>
        <w:kinsoku/>
        <w:wordWrap/>
        <w:overflowPunct/>
        <w:topLinePunct w:val="0"/>
        <w:autoSpaceDE/>
        <w:autoSpaceDN/>
        <w:bidi w:val="0"/>
        <w:adjustRightInd/>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拟投入所有人员的社会保险报价必须按衢州市人力资源和社会保障局的标准计入，包括养老保险、工伤保险、失业保险、医疗保险等。</w:t>
      </w:r>
    </w:p>
    <w:p w14:paraId="40510224">
      <w:pPr>
        <w:pStyle w:val="21"/>
        <w:keepNext w:val="0"/>
        <w:keepLines w:val="0"/>
        <w:pageBreakBefore w:val="0"/>
        <w:widowControl w:val="0"/>
        <w:numPr>
          <w:ilvl w:val="0"/>
          <w:numId w:val="3"/>
        </w:numPr>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投标供应商须按国家税务相关规定，依法缴纳税金。</w:t>
      </w:r>
    </w:p>
    <w:p w14:paraId="40F2548C">
      <w:pPr>
        <w:tabs>
          <w:tab w:val="left" w:pos="540"/>
        </w:tabs>
        <w:spacing w:line="360" w:lineRule="auto"/>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4.3投标人必须按第六章投标文件格式中的开标一览表（统一格式）的内容填写</w:t>
      </w:r>
      <w:r>
        <w:rPr>
          <w:rFonts w:hint="eastAsia" w:ascii="宋体" w:hAnsi="宋体" w:eastAsia="宋体" w:cs="宋体"/>
          <w:color w:val="auto"/>
          <w:sz w:val="24"/>
          <w:szCs w:val="24"/>
          <w:highlight w:val="none"/>
          <w:lang w:eastAsia="zh-CN"/>
        </w:rPr>
        <w:t>价格</w:t>
      </w:r>
      <w:r>
        <w:rPr>
          <w:rFonts w:hint="eastAsia" w:ascii="宋体" w:hAnsi="宋体" w:eastAsia="宋体" w:cs="宋体"/>
          <w:color w:val="auto"/>
          <w:sz w:val="24"/>
          <w:szCs w:val="24"/>
          <w:highlight w:val="none"/>
        </w:rPr>
        <w:t>、及其他事项</w:t>
      </w:r>
      <w:r>
        <w:rPr>
          <w:rFonts w:hint="eastAsia" w:ascii="宋体" w:hAnsi="宋体" w:eastAsia="宋体" w:cs="宋体"/>
          <w:color w:val="auto"/>
          <w:sz w:val="24"/>
          <w:szCs w:val="24"/>
          <w:highlight w:val="none"/>
          <w:lang w:eastAsia="zh-CN"/>
        </w:rPr>
        <w:t>，并由法定代表人或授权代表人签署。</w:t>
      </w:r>
    </w:p>
    <w:p w14:paraId="743CFC6E">
      <w:pPr>
        <w:tabs>
          <w:tab w:val="left" w:pos="540"/>
        </w:tabs>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4.4所有投标均以人民币报价。</w:t>
      </w:r>
    </w:p>
    <w:p w14:paraId="5C268E86">
      <w:pPr>
        <w:tabs>
          <w:tab w:val="left" w:pos="540"/>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4.5采购单位不接受任何选择报价，投标单位只允许有一个有效报价。</w:t>
      </w:r>
    </w:p>
    <w:p w14:paraId="04D0EDEC">
      <w:pPr>
        <w:pStyle w:val="10"/>
        <w:numPr>
          <w:ilvl w:val="0"/>
          <w:numId w:val="0"/>
        </w:numPr>
        <w:spacing w:line="360" w:lineRule="auto"/>
        <w:ind w:left="482" w:leftChars="0" w:hanging="482" w:hangingChars="200"/>
        <w:rPr>
          <w:rFonts w:hint="eastAsia" w:ascii="宋体" w:hAnsi="宋体" w:eastAsia="宋体" w:cs="宋体"/>
          <w:b/>
          <w:color w:val="auto"/>
          <w:sz w:val="24"/>
          <w:szCs w:val="24"/>
          <w:highlight w:val="none"/>
          <w:lang w:eastAsia="zh-CN"/>
        </w:rPr>
      </w:pPr>
      <w:r>
        <w:rPr>
          <w:rFonts w:hint="eastAsia" w:ascii="宋体" w:hAnsi="宋体" w:cs="宋体"/>
          <w:b/>
          <w:color w:val="auto"/>
          <w:kern w:val="2"/>
          <w:sz w:val="24"/>
          <w:szCs w:val="24"/>
          <w:highlight w:val="none"/>
          <w:lang w:val="en-US" w:eastAsia="zh-CN" w:bidi="ar-SA"/>
        </w:rPr>
        <w:t>6</w:t>
      </w:r>
      <w:r>
        <w:rPr>
          <w:rFonts w:hint="eastAsia" w:ascii="宋体" w:hAnsi="宋体" w:eastAsia="宋体" w:cs="宋体"/>
          <w:b/>
          <w:color w:val="auto"/>
          <w:kern w:val="2"/>
          <w:sz w:val="24"/>
          <w:szCs w:val="24"/>
          <w:highlight w:val="none"/>
          <w:lang w:val="en-US" w:eastAsia="zh-CN" w:bidi="ar-SA"/>
        </w:rPr>
        <w:t>、</w:t>
      </w:r>
      <w:r>
        <w:rPr>
          <w:rFonts w:hint="eastAsia" w:ascii="宋体" w:hAnsi="宋体" w:eastAsia="宋体" w:cs="宋体"/>
          <w:b/>
          <w:color w:val="auto"/>
          <w:sz w:val="24"/>
          <w:szCs w:val="24"/>
          <w:highlight w:val="none"/>
        </w:rPr>
        <w:t>投标文件的</w:t>
      </w:r>
      <w:r>
        <w:rPr>
          <w:rFonts w:hint="eastAsia" w:ascii="宋体" w:hAnsi="宋体" w:eastAsia="宋体" w:cs="宋体"/>
          <w:b/>
          <w:color w:val="auto"/>
          <w:sz w:val="24"/>
          <w:szCs w:val="24"/>
          <w:highlight w:val="none"/>
          <w:lang w:eastAsia="zh-CN"/>
        </w:rPr>
        <w:t>格式和顺序</w:t>
      </w:r>
    </w:p>
    <w:p w14:paraId="1568570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按政采云平台</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rPr>
        <w:t>供应商-政府采购项目电子交易操作指南</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color w:val="auto"/>
          <w:sz w:val="24"/>
          <w:szCs w:val="24"/>
          <w:highlight w:val="none"/>
        </w:rPr>
        <w:instrText xml:space="preserve"> HYPERLINK "https://help.zcy.gov.cn/web/site_2/2018/12-28/2573.html）及本招标文件规定的格式和顺序编制电子投标文件并进行关联定位。" </w:instrText>
      </w:r>
      <w:r>
        <w:rPr>
          <w:rFonts w:hint="eastAsia" w:ascii="宋体" w:hAnsi="宋体" w:eastAsia="宋体" w:cs="宋体"/>
          <w:b w:val="0"/>
          <w:bCs/>
          <w:color w:val="auto"/>
          <w:sz w:val="24"/>
          <w:szCs w:val="24"/>
          <w:highlight w:val="none"/>
        </w:rPr>
        <w:fldChar w:fldCharType="separate"/>
      </w:r>
      <w:r>
        <w:rPr>
          <w:rStyle w:val="26"/>
          <w:rFonts w:hint="eastAsia" w:ascii="宋体" w:hAnsi="宋体" w:eastAsia="宋体" w:cs="宋体"/>
          <w:b w:val="0"/>
          <w:bCs/>
          <w:color w:val="auto"/>
          <w:sz w:val="24"/>
          <w:szCs w:val="24"/>
          <w:highlight w:val="none"/>
        </w:rPr>
        <w:t>及</w:t>
      </w:r>
      <w:r>
        <w:rPr>
          <w:rStyle w:val="26"/>
          <w:rFonts w:hint="eastAsia" w:ascii="宋体" w:hAnsi="宋体" w:eastAsia="宋体" w:cs="宋体"/>
          <w:b w:val="0"/>
          <w:bCs/>
          <w:color w:val="auto"/>
          <w:sz w:val="24"/>
          <w:szCs w:val="24"/>
          <w:highlight w:val="none"/>
          <w:lang w:eastAsia="zh-CN"/>
        </w:rPr>
        <w:t>本招标文件</w:t>
      </w:r>
      <w:r>
        <w:rPr>
          <w:rStyle w:val="26"/>
          <w:rFonts w:hint="eastAsia" w:ascii="宋体" w:hAnsi="宋体" w:eastAsia="宋体" w:cs="宋体"/>
          <w:b w:val="0"/>
          <w:bCs/>
          <w:color w:val="auto"/>
          <w:sz w:val="24"/>
          <w:szCs w:val="24"/>
          <w:highlight w:val="none"/>
        </w:rPr>
        <w:t>规定的格式和顺序编制</w:t>
      </w:r>
      <w:r>
        <w:rPr>
          <w:rStyle w:val="26"/>
          <w:rFonts w:hint="eastAsia" w:ascii="宋体" w:hAnsi="宋体" w:eastAsia="宋体" w:cs="宋体"/>
          <w:b w:val="0"/>
          <w:bCs/>
          <w:color w:val="auto"/>
          <w:sz w:val="24"/>
          <w:szCs w:val="24"/>
          <w:highlight w:val="none"/>
          <w:lang w:eastAsia="zh-CN"/>
        </w:rPr>
        <w:t>响应文件</w:t>
      </w:r>
      <w:r>
        <w:rPr>
          <w:rStyle w:val="26"/>
          <w:rFonts w:hint="eastAsia" w:ascii="宋体" w:hAnsi="宋体" w:eastAsia="宋体" w:cs="宋体"/>
          <w:b w:val="0"/>
          <w:bCs/>
          <w:color w:val="auto"/>
          <w:sz w:val="24"/>
          <w:szCs w:val="24"/>
          <w:highlight w:val="none"/>
        </w:rPr>
        <w:t>并进行关联定位。</w:t>
      </w:r>
      <w:r>
        <w:rPr>
          <w:rFonts w:hint="eastAsia" w:ascii="宋体" w:hAnsi="宋体" w:eastAsia="宋体" w:cs="宋体"/>
          <w:b w:val="0"/>
          <w:bCs/>
          <w:color w:val="auto"/>
          <w:sz w:val="24"/>
          <w:szCs w:val="24"/>
          <w:highlight w:val="none"/>
        </w:rPr>
        <w:fldChar w:fldCharType="end"/>
      </w:r>
    </w:p>
    <w:p w14:paraId="6413D05A">
      <w:pPr>
        <w:pStyle w:val="10"/>
        <w:numPr>
          <w:ilvl w:val="0"/>
          <w:numId w:val="0"/>
        </w:numPr>
        <w:spacing w:line="440" w:lineRule="exact"/>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、投标有效期</w:t>
      </w:r>
    </w:p>
    <w:p w14:paraId="2203F76E">
      <w:pPr>
        <w:pStyle w:val="10"/>
        <w:numPr>
          <w:ilvl w:val="0"/>
          <w:numId w:val="0"/>
        </w:numPr>
        <w:spacing w:line="440" w:lineRule="exact"/>
        <w:ind w:left="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 xml:space="preserve">  6.1投标有效期见本招标文件中前附表所规定的期限，在此期限内，凡符合招标文件要求的投标文件均保持有效。</w:t>
      </w:r>
    </w:p>
    <w:p w14:paraId="5A0A91F5">
      <w:pPr>
        <w:pStyle w:val="10"/>
        <w:numPr>
          <w:ilvl w:val="0"/>
          <w:numId w:val="0"/>
        </w:numPr>
        <w:spacing w:line="44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   6.2</w:t>
      </w:r>
      <w:r>
        <w:rPr>
          <w:rFonts w:hint="eastAsia" w:ascii="宋体" w:hAnsi="宋体" w:eastAsia="宋体" w:cs="宋体"/>
          <w:color w:val="auto"/>
          <w:sz w:val="24"/>
          <w:szCs w:val="24"/>
          <w:highlight w:val="none"/>
        </w:rPr>
        <w:t>在特殊情况下，</w:t>
      </w:r>
      <w:r>
        <w:rPr>
          <w:rFonts w:hint="eastAsia" w:ascii="宋体" w:hAnsi="宋体" w:eastAsia="宋体" w:cs="宋体"/>
          <w:color w:val="auto"/>
          <w:sz w:val="24"/>
          <w:szCs w:val="24"/>
          <w:highlight w:val="none"/>
          <w:lang w:eastAsia="zh-CN"/>
        </w:rPr>
        <w:t>采购人、采购代理机构</w:t>
      </w:r>
      <w:r>
        <w:rPr>
          <w:rFonts w:hint="eastAsia" w:ascii="宋体" w:hAnsi="宋体" w:eastAsia="宋体" w:cs="宋体"/>
          <w:color w:val="auto"/>
          <w:sz w:val="24"/>
          <w:szCs w:val="24"/>
          <w:highlight w:val="none"/>
        </w:rPr>
        <w:t>在原定投标有效期内，可以根据需要以书面形式向投标人提出延长投标有效期的要求，对此要求投标人须以书面形式予以答复。投标人可以拒绝</w:t>
      </w:r>
      <w:r>
        <w:rPr>
          <w:rFonts w:hint="eastAsia" w:ascii="宋体" w:hAnsi="宋体" w:eastAsia="宋体" w:cs="宋体"/>
          <w:color w:val="auto"/>
          <w:sz w:val="24"/>
          <w:szCs w:val="24"/>
          <w:highlight w:val="none"/>
          <w:lang w:eastAsia="zh-CN"/>
        </w:rPr>
        <w:t>采购人、采购代理机构</w:t>
      </w:r>
      <w:r>
        <w:rPr>
          <w:rFonts w:hint="eastAsia" w:ascii="宋体" w:hAnsi="宋体" w:eastAsia="宋体" w:cs="宋体"/>
          <w:color w:val="auto"/>
          <w:sz w:val="24"/>
          <w:szCs w:val="24"/>
          <w:highlight w:val="none"/>
        </w:rPr>
        <w:t>这种要求。同意延长投标有效期的投标人既不能要求也不允许修改其投标文件。</w:t>
      </w:r>
    </w:p>
    <w:p w14:paraId="17BF4FDE">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cs="宋体"/>
          <w:b/>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、投标保证金</w:t>
      </w:r>
    </w:p>
    <w:p w14:paraId="66A214E5">
      <w:pPr>
        <w:pStyle w:val="21"/>
        <w:numPr>
          <w:ilvl w:val="0"/>
          <w:numId w:val="0"/>
        </w:numPr>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投标保证金的规定：详见招标公告。</w:t>
      </w: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14:paraId="0CC36B4A">
      <w:pPr>
        <w:pStyle w:val="4"/>
        <w:spacing w:before="0" w:after="0" w:line="360" w:lineRule="auto"/>
        <w:jc w:val="center"/>
        <w:rPr>
          <w:rFonts w:hint="eastAsia" w:ascii="宋体" w:hAnsi="宋体" w:eastAsia="宋体" w:cs="宋体"/>
          <w:color w:val="auto"/>
          <w:sz w:val="30"/>
          <w:szCs w:val="30"/>
          <w:highlight w:val="none"/>
        </w:rPr>
      </w:pPr>
      <w:bookmarkStart w:id="75" w:name="_Toc6995"/>
      <w:bookmarkStart w:id="76" w:name="_Toc262049418"/>
      <w:bookmarkStart w:id="77" w:name="_Toc239145354"/>
      <w:bookmarkStart w:id="78" w:name="_Toc249758712"/>
      <w:bookmarkStart w:id="79" w:name="_Toc221356951"/>
      <w:bookmarkStart w:id="80" w:name="_Toc246261265"/>
      <w:bookmarkStart w:id="81" w:name="_Toc221423619"/>
      <w:bookmarkStart w:id="82" w:name="_Toc245722281"/>
      <w:bookmarkStart w:id="83" w:name="_Toc249758864"/>
      <w:bookmarkStart w:id="84" w:name="_Toc245191314"/>
      <w:bookmarkStart w:id="85" w:name="_Toc223715998"/>
      <w:bookmarkStart w:id="86" w:name="_Toc241404202"/>
      <w:bookmarkStart w:id="87" w:name="_Toc221374626"/>
      <w:bookmarkStart w:id="88" w:name="_Toc222114879"/>
      <w:bookmarkStart w:id="89" w:name="_Toc221356887"/>
      <w:bookmarkStart w:id="90" w:name="_Toc410031816"/>
      <w:bookmarkStart w:id="91" w:name="_Toc262105503"/>
      <w:r>
        <w:rPr>
          <w:rFonts w:hint="eastAsia" w:ascii="宋体" w:hAnsi="宋体" w:eastAsia="宋体" w:cs="宋体"/>
          <w:color w:val="auto"/>
          <w:sz w:val="30"/>
          <w:szCs w:val="30"/>
          <w:highlight w:val="none"/>
        </w:rPr>
        <w:t>四</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投标</w:t>
      </w:r>
      <w:bookmarkEnd w:id="75"/>
    </w:p>
    <w:p w14:paraId="693D842E">
      <w:pPr>
        <w:pStyle w:val="10"/>
        <w:spacing w:line="360" w:lineRule="auto"/>
        <w:rPr>
          <w:rFonts w:hint="eastAsia" w:ascii="宋体" w:hAnsi="宋体" w:eastAsia="宋体" w:cs="宋体"/>
          <w:b w:val="0"/>
          <w:bCs/>
          <w:color w:val="auto"/>
          <w:sz w:val="24"/>
          <w:szCs w:val="24"/>
          <w:highlight w:val="none"/>
        </w:rPr>
      </w:pPr>
      <w:bookmarkStart w:id="92" w:name="_Toc25626"/>
      <w:r>
        <w:rPr>
          <w:rFonts w:hint="eastAsia" w:ascii="宋体" w:hAnsi="宋体" w:eastAsia="宋体" w:cs="宋体"/>
          <w:b w:val="0"/>
          <w:bCs/>
          <w:color w:val="auto"/>
          <w:sz w:val="24"/>
          <w:szCs w:val="24"/>
          <w:highlight w:val="none"/>
        </w:rPr>
        <w:t>1、投标文件的</w:t>
      </w:r>
      <w:r>
        <w:rPr>
          <w:rFonts w:hint="eastAsia" w:ascii="宋体" w:hAnsi="宋体" w:eastAsia="宋体" w:cs="宋体"/>
          <w:b w:val="0"/>
          <w:bCs/>
          <w:color w:val="auto"/>
          <w:sz w:val="24"/>
          <w:szCs w:val="24"/>
          <w:highlight w:val="none"/>
          <w:lang w:eastAsia="zh-CN"/>
        </w:rPr>
        <w:t>递</w:t>
      </w:r>
      <w:r>
        <w:rPr>
          <w:rFonts w:hint="eastAsia" w:ascii="宋体" w:hAnsi="宋体" w:eastAsia="宋体" w:cs="宋体"/>
          <w:b w:val="0"/>
          <w:bCs/>
          <w:color w:val="auto"/>
          <w:sz w:val="24"/>
          <w:szCs w:val="24"/>
          <w:highlight w:val="none"/>
        </w:rPr>
        <w:t>交</w:t>
      </w:r>
    </w:p>
    <w:p w14:paraId="4F104F37">
      <w:pPr>
        <w:pStyle w:val="10"/>
        <w:spacing w:line="360" w:lineRule="auto"/>
        <w:ind w:left="0" w:lef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投标人应当在投标截止时间前完成</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的传输递交，投标截止时间前可以补充、修改或者撤回</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。补充或者修改</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的，应当先行撤回原文件，补充、修改后重新传输递交。投标截止时间前未完成传输的，视为撤回</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w:t>
      </w:r>
    </w:p>
    <w:p w14:paraId="182F1F19">
      <w:pPr>
        <w:pStyle w:val="1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、投标文件</w:t>
      </w:r>
      <w:r>
        <w:rPr>
          <w:rFonts w:hint="eastAsia" w:ascii="宋体" w:hAnsi="宋体" w:eastAsia="宋体" w:cs="宋体"/>
          <w:b w:val="0"/>
          <w:bCs/>
          <w:color w:val="auto"/>
          <w:sz w:val="24"/>
          <w:szCs w:val="24"/>
          <w:highlight w:val="none"/>
          <w:lang w:eastAsia="zh-CN"/>
        </w:rPr>
        <w:t>递</w:t>
      </w:r>
      <w:r>
        <w:rPr>
          <w:rFonts w:hint="eastAsia" w:ascii="宋体" w:hAnsi="宋体" w:eastAsia="宋体" w:cs="宋体"/>
          <w:b w:val="0"/>
          <w:bCs/>
          <w:color w:val="auto"/>
          <w:sz w:val="24"/>
          <w:szCs w:val="24"/>
          <w:highlight w:val="none"/>
        </w:rPr>
        <w:t>交的截止时间</w:t>
      </w:r>
    </w:p>
    <w:p w14:paraId="49A50727">
      <w:pPr>
        <w:pStyle w:val="10"/>
        <w:spacing w:line="360" w:lineRule="auto"/>
        <w:ind w:left="42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.1投标文件的截止时间见招标文件投标须知前附表</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7BAFCDD4">
      <w:pPr>
        <w:pStyle w:val="1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采购人、采购代理机构</w:t>
      </w:r>
      <w:r>
        <w:rPr>
          <w:rFonts w:hint="eastAsia" w:ascii="宋体" w:hAnsi="宋体" w:eastAsia="宋体" w:cs="宋体"/>
          <w:color w:val="auto"/>
          <w:sz w:val="24"/>
          <w:szCs w:val="24"/>
          <w:highlight w:val="none"/>
        </w:rPr>
        <w:t>可按本招标文件规定以修改补充通知的方式，酌情延长提交投标文件的截止时间。在此情况下，投标人的所有权利和义务以及投标人受制约的截止时间，均以延长后新的投标截止时间为准。</w:t>
      </w:r>
    </w:p>
    <w:p w14:paraId="34B0E2E0">
      <w:pPr>
        <w:pStyle w:val="10"/>
        <w:spacing w:line="360" w:lineRule="auto"/>
        <w:ind w:left="42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.3投标人在投标截止时间以后</w:t>
      </w:r>
      <w:r>
        <w:rPr>
          <w:rFonts w:hint="eastAsia" w:ascii="宋体" w:hAnsi="宋体" w:eastAsia="宋体" w:cs="宋体"/>
          <w:color w:val="auto"/>
          <w:sz w:val="24"/>
          <w:szCs w:val="24"/>
          <w:highlight w:val="none"/>
          <w:lang w:eastAsia="zh-CN"/>
        </w:rPr>
        <w:t>递交</w:t>
      </w:r>
      <w:r>
        <w:rPr>
          <w:rFonts w:hint="eastAsia" w:ascii="宋体" w:hAnsi="宋体" w:eastAsia="宋体" w:cs="宋体"/>
          <w:color w:val="auto"/>
          <w:sz w:val="24"/>
          <w:szCs w:val="24"/>
          <w:highlight w:val="none"/>
        </w:rPr>
        <w:t>的投标文件将被拒绝接受。</w:t>
      </w:r>
    </w:p>
    <w:p w14:paraId="14EDFDCE">
      <w:pPr>
        <w:pStyle w:val="1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、投标文件的补充、修改与撤回</w:t>
      </w:r>
    </w:p>
    <w:p w14:paraId="57F0E328">
      <w:pPr>
        <w:pStyle w:val="10"/>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.1投标人在提交投标文件以后，在规定的投标截止时间之前，可以补充修改或撤回已提交的投标文件</w:t>
      </w:r>
      <w:r>
        <w:rPr>
          <w:rFonts w:hint="eastAsia" w:ascii="宋体" w:hAnsi="宋体" w:eastAsia="宋体" w:cs="宋体"/>
          <w:color w:val="auto"/>
          <w:sz w:val="24"/>
          <w:szCs w:val="24"/>
          <w:highlight w:val="none"/>
          <w:lang w:eastAsia="zh-CN"/>
        </w:rPr>
        <w:t>：</w:t>
      </w:r>
    </w:p>
    <w:p w14:paraId="26F1E1CA">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递交响应文件截止时间之前补充或者修改响应文件的，应当先行撤回原文件，补充、修改后重新传输递交；</w:t>
      </w:r>
    </w:p>
    <w:p w14:paraId="15E65417">
      <w:pPr>
        <w:pStyle w:val="10"/>
        <w:spacing w:line="360" w:lineRule="auto"/>
        <w:ind w:left="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.2在投标截止时间之后，投标人不得补充、修改投标文件。</w:t>
      </w:r>
    </w:p>
    <w:p w14:paraId="064670EE">
      <w:pPr>
        <w:pStyle w:val="10"/>
        <w:spacing w:line="360" w:lineRule="auto"/>
        <w:ind w:left="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根据招标文件规定，在投标截止时间之后至投标人在投标</w:t>
      </w:r>
      <w:r>
        <w:rPr>
          <w:rFonts w:hint="eastAsia" w:ascii="宋体" w:hAnsi="宋体" w:eastAsia="宋体" w:cs="宋体"/>
          <w:color w:val="auto"/>
          <w:sz w:val="24"/>
          <w:szCs w:val="24"/>
          <w:highlight w:val="none"/>
          <w:lang w:eastAsia="zh-CN"/>
        </w:rPr>
        <w:t>声明书</w:t>
      </w:r>
      <w:r>
        <w:rPr>
          <w:rFonts w:hint="eastAsia" w:ascii="宋体" w:hAnsi="宋体" w:eastAsia="宋体" w:cs="宋体"/>
          <w:color w:val="auto"/>
          <w:sz w:val="24"/>
          <w:szCs w:val="24"/>
          <w:highlight w:val="none"/>
        </w:rPr>
        <w:t>中规定的投标有效期满之前的这段时间内，投标人不得撤回其投标文件，否则应当按照本项目采购预算价2%的标准承担因此给采购单位造成的损失的赔偿责任及相应的法律责任。</w:t>
      </w:r>
    </w:p>
    <w:p w14:paraId="01AFD71F">
      <w:pPr>
        <w:pStyle w:val="4"/>
        <w:spacing w:before="0" w:after="0"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五、</w:t>
      </w:r>
      <w:r>
        <w:rPr>
          <w:rFonts w:hint="eastAsia" w:ascii="宋体" w:hAnsi="宋体" w:eastAsia="宋体" w:cs="宋体"/>
          <w:color w:val="auto"/>
          <w:sz w:val="30"/>
          <w:szCs w:val="30"/>
          <w:highlight w:val="none"/>
        </w:rPr>
        <w:t>开标</w:t>
      </w:r>
      <w:bookmarkEnd w:id="92"/>
    </w:p>
    <w:p w14:paraId="10B91AB5">
      <w:pPr>
        <w:pStyle w:val="10"/>
        <w:spacing w:line="360" w:lineRule="auto"/>
        <w:rPr>
          <w:rFonts w:hint="eastAsia" w:ascii="宋体" w:hAnsi="宋体" w:eastAsia="宋体" w:cs="宋体"/>
          <w:b/>
          <w:color w:val="auto"/>
          <w:sz w:val="24"/>
          <w:szCs w:val="24"/>
          <w:highlight w:val="none"/>
        </w:rPr>
      </w:pPr>
      <w:bookmarkStart w:id="93" w:name="_Toc2836"/>
      <w:r>
        <w:rPr>
          <w:rFonts w:hint="eastAsia" w:ascii="宋体" w:hAnsi="宋体" w:eastAsia="宋体" w:cs="宋体"/>
          <w:b/>
          <w:color w:val="auto"/>
          <w:sz w:val="24"/>
          <w:szCs w:val="24"/>
          <w:highlight w:val="none"/>
        </w:rPr>
        <w:t>1、开标</w:t>
      </w:r>
    </w:p>
    <w:p w14:paraId="2F079F91">
      <w:pPr>
        <w:pStyle w:val="1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按本招标文件投标人须知前附表规定的时间和地点公开开标。</w:t>
      </w:r>
    </w:p>
    <w:p w14:paraId="3DFC81F2">
      <w:pPr>
        <w:pStyle w:val="10"/>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1.2采购代理机构核验出席开标活动现场的相关单位人员身份，并组织其分别登记、签到，无关人员不得进入现场。</w:t>
      </w:r>
    </w:p>
    <w:p w14:paraId="3C2CCF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1.3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723E3E40">
      <w:pPr>
        <w:pStyle w:val="10"/>
        <w:spacing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1.4如投标截止时间止评审期间，出现有效代理商或供应商不足3家的情况，根据“《政府采购法》第三十</w:t>
      </w:r>
      <w:r>
        <w:rPr>
          <w:rFonts w:hint="eastAsia" w:ascii="宋体" w:hAnsi="宋体" w:eastAsia="宋体" w:cs="宋体"/>
          <w:color w:val="auto"/>
          <w:sz w:val="24"/>
          <w:szCs w:val="24"/>
          <w:highlight w:val="none"/>
        </w:rPr>
        <w:t>六条第一款规定：在招标采购中，符合专业条件的供应商或者对招标文件作实质响应的供应商不足三家的，应予废标；以及第三十七条规定：废标后，除采购任务取消情形外，应当重新组织招标；需要采取其他方式采购的，应当在采购活动开始前获得设区的市、自治州以上人民政府采购监督管理部门或者政府有关部门批准。”重新组织招标活动。</w:t>
      </w:r>
    </w:p>
    <w:p w14:paraId="403EEC1A">
      <w:pPr>
        <w:pStyle w:val="10"/>
        <w:spacing w:line="36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2、开标程序</w:t>
      </w:r>
    </w:p>
    <w:p w14:paraId="7557FF83">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0DBEE7DB">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（2）投标文件解密结束，各供应商通过邮件形式发送《政府采购活动现场确认声明书》</w:t>
      </w:r>
      <w:r>
        <w:rPr>
          <w:rFonts w:hint="eastAsia" w:ascii="宋体" w:hAnsi="宋体" w:eastAsia="宋体" w:cs="宋体"/>
          <w:b w:val="0"/>
          <w:bCs/>
          <w:color w:val="auto"/>
          <w:sz w:val="24"/>
          <w:szCs w:val="24"/>
          <w:highlight w:val="none"/>
          <w:lang w:eastAsia="zh-CN"/>
        </w:rPr>
        <w:t>给代理机构2291117847@qq.com</w:t>
      </w:r>
      <w:r>
        <w:rPr>
          <w:rFonts w:hint="eastAsia" w:ascii="宋体" w:hAnsi="宋体" w:eastAsia="宋体" w:cs="宋体"/>
          <w:b w:val="0"/>
          <w:bCs/>
          <w:color w:val="auto"/>
          <w:sz w:val="24"/>
          <w:szCs w:val="24"/>
          <w:highlight w:val="none"/>
        </w:rPr>
        <w:t>；</w:t>
      </w:r>
    </w:p>
    <w:p w14:paraId="52A3994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（3）开启投标文件，进入资格审查；</w:t>
      </w:r>
    </w:p>
    <w:p w14:paraId="0A8D610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（4）开启资格审查通过的供应商的商务技术文件</w:t>
      </w:r>
      <w:r>
        <w:rPr>
          <w:rFonts w:hint="eastAsia" w:ascii="宋体" w:hAnsi="宋体" w:eastAsia="宋体" w:cs="宋体"/>
          <w:b w:val="0"/>
          <w:bCs/>
          <w:color w:val="auto"/>
          <w:sz w:val="24"/>
          <w:szCs w:val="24"/>
          <w:highlight w:val="none"/>
          <w:lang w:eastAsia="zh-CN"/>
        </w:rPr>
        <w:t>（技术资信文件）</w:t>
      </w:r>
      <w:r>
        <w:rPr>
          <w:rFonts w:hint="eastAsia" w:ascii="宋体" w:hAnsi="宋体" w:eastAsia="宋体" w:cs="宋体"/>
          <w:b w:val="0"/>
          <w:bCs/>
          <w:color w:val="auto"/>
          <w:sz w:val="24"/>
          <w:szCs w:val="24"/>
          <w:highlight w:val="none"/>
        </w:rPr>
        <w:t>进入符合性审查、商务技术</w:t>
      </w:r>
      <w:r>
        <w:rPr>
          <w:rFonts w:hint="eastAsia" w:ascii="宋体" w:hAnsi="宋体" w:eastAsia="宋体" w:cs="宋体"/>
          <w:b w:val="0"/>
          <w:bCs/>
          <w:color w:val="auto"/>
          <w:sz w:val="24"/>
          <w:szCs w:val="24"/>
          <w:highlight w:val="none"/>
          <w:lang w:eastAsia="zh-CN"/>
        </w:rPr>
        <w:t>（技术资信）</w:t>
      </w:r>
      <w:r>
        <w:rPr>
          <w:rFonts w:hint="eastAsia" w:ascii="宋体" w:hAnsi="宋体" w:eastAsia="宋体" w:cs="宋体"/>
          <w:b w:val="0"/>
          <w:bCs/>
          <w:color w:val="auto"/>
          <w:sz w:val="24"/>
          <w:szCs w:val="24"/>
          <w:highlight w:val="none"/>
        </w:rPr>
        <w:t>评审；</w:t>
      </w:r>
    </w:p>
    <w:p w14:paraId="302D1A9D">
      <w:pPr>
        <w:pStyle w:val="9"/>
        <w:keepNext w:val="0"/>
        <w:keepLines w:val="0"/>
        <w:pageBreakBefore w:val="0"/>
        <w:widowControl w:val="0"/>
        <w:kinsoku/>
        <w:wordWrap/>
        <w:overflowPunct/>
        <w:topLinePunct w:val="0"/>
        <w:bidi w:val="0"/>
        <w:snapToGrid/>
        <w:spacing w:after="0"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（5）在系统上公开资格审查、符合性审查和</w:t>
      </w:r>
      <w:r>
        <w:rPr>
          <w:rFonts w:hint="eastAsia" w:ascii="宋体" w:hAnsi="宋体" w:eastAsia="宋体" w:cs="宋体"/>
          <w:b w:val="0"/>
          <w:bCs/>
          <w:color w:val="auto"/>
          <w:sz w:val="24"/>
          <w:szCs w:val="24"/>
          <w:highlight w:val="none"/>
        </w:rPr>
        <w:t>商务技术</w:t>
      </w: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eastAsia="zh-CN"/>
        </w:rPr>
        <w:t>资信技术</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kern w:val="2"/>
          <w:sz w:val="24"/>
          <w:szCs w:val="24"/>
          <w:highlight w:val="none"/>
          <w:lang w:val="en-US" w:eastAsia="zh-CN" w:bidi="ar-SA"/>
        </w:rPr>
        <w:t>评审结果。</w:t>
      </w:r>
    </w:p>
    <w:p w14:paraId="7406014F">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（6）开启符合性审查、</w:t>
      </w:r>
      <w:r>
        <w:rPr>
          <w:rFonts w:hint="eastAsia" w:ascii="宋体" w:hAnsi="宋体" w:cs="宋体"/>
          <w:b w:val="0"/>
          <w:bCs/>
          <w:color w:val="auto"/>
          <w:kern w:val="2"/>
          <w:sz w:val="24"/>
          <w:szCs w:val="24"/>
          <w:highlight w:val="none"/>
          <w:lang w:val="en-US" w:eastAsia="zh-CN" w:bidi="ar-SA"/>
        </w:rPr>
        <w:t>资信技术</w:t>
      </w:r>
      <w:r>
        <w:rPr>
          <w:rFonts w:hint="eastAsia" w:ascii="宋体" w:hAnsi="宋体" w:eastAsia="宋体" w:cs="宋体"/>
          <w:b w:val="0"/>
          <w:bCs/>
          <w:color w:val="auto"/>
          <w:kern w:val="2"/>
          <w:sz w:val="24"/>
          <w:szCs w:val="24"/>
          <w:highlight w:val="none"/>
          <w:lang w:val="en-US" w:eastAsia="zh-CN" w:bidi="ar-SA"/>
        </w:rPr>
        <w:t>评审有效供应商的《报价文件》，供应商通过发送邮件形式签字确认（不予确认的应说明理由，否则视为无异议）。结束后，由评标委员会对报价的合理性、准确性等进行审查核实。</w:t>
      </w:r>
    </w:p>
    <w:p w14:paraId="27A9F9E7">
      <w:pPr>
        <w:keepNext w:val="0"/>
        <w:keepLines w:val="0"/>
        <w:pageBreakBefore w:val="0"/>
        <w:widowControl w:val="0"/>
        <w:kinsoku/>
        <w:wordWrap/>
        <w:overflowPunct/>
        <w:topLinePunct w:val="0"/>
        <w:bidi w:val="0"/>
        <w:snapToGrid/>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（7）在系统上公布评审结果。</w:t>
      </w:r>
    </w:p>
    <w:p w14:paraId="74ECF577">
      <w:pPr>
        <w:keepNext w:val="0"/>
        <w:keepLines w:val="0"/>
        <w:pageBreakBefore w:val="0"/>
        <w:kinsoku/>
        <w:wordWrap/>
        <w:topLinePunct w:val="0"/>
        <w:bidi w:val="0"/>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特别说明：政采云公司如对电子化开标及评审程序有调整的，按调整后的程序操作。</w:t>
      </w:r>
    </w:p>
    <w:p w14:paraId="677F5F98">
      <w:pPr>
        <w:pStyle w:val="4"/>
        <w:spacing w:before="0" w:after="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评标</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3"/>
    </w:p>
    <w:p w14:paraId="2FC534D2">
      <w:pPr>
        <w:pStyle w:val="11"/>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1、组建评标委员会</w:t>
      </w:r>
    </w:p>
    <w:p w14:paraId="54164C16">
      <w:pPr>
        <w:pStyle w:val="11"/>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本项目评标委员会由</w:t>
      </w:r>
      <w:r>
        <w:rPr>
          <w:rFonts w:hint="eastAsia" w:ascii="宋体" w:hAnsi="宋体" w:eastAsia="宋体" w:cs="宋体"/>
          <w:bCs/>
          <w:color w:val="auto"/>
          <w:kern w:val="0"/>
          <w:sz w:val="24"/>
          <w:szCs w:val="24"/>
          <w:highlight w:val="none"/>
        </w:rPr>
        <w:t>共5人组成，</w:t>
      </w:r>
      <w:r>
        <w:rPr>
          <w:rFonts w:hint="eastAsia" w:ascii="宋体" w:hAnsi="宋体" w:eastAsia="宋体" w:cs="宋体"/>
          <w:bCs/>
          <w:color w:val="auto"/>
          <w:kern w:val="0"/>
          <w:sz w:val="24"/>
          <w:szCs w:val="24"/>
          <w:highlight w:val="none"/>
          <w:lang w:eastAsia="zh-CN"/>
        </w:rPr>
        <w:t>其中</w:t>
      </w:r>
      <w:r>
        <w:rPr>
          <w:rFonts w:hint="eastAsia" w:ascii="宋体" w:hAnsi="宋体" w:eastAsia="宋体" w:cs="宋体"/>
          <w:bCs/>
          <w:color w:val="auto"/>
          <w:kern w:val="0"/>
          <w:sz w:val="24"/>
          <w:szCs w:val="24"/>
          <w:highlight w:val="none"/>
        </w:rPr>
        <w:t>采购单位代表（1名），</w:t>
      </w:r>
      <w:r>
        <w:rPr>
          <w:rFonts w:hint="eastAsia" w:ascii="宋体" w:hAnsi="宋体" w:eastAsia="宋体" w:cs="宋体"/>
          <w:bCs/>
          <w:color w:val="auto"/>
          <w:kern w:val="0"/>
          <w:sz w:val="24"/>
          <w:szCs w:val="24"/>
          <w:highlight w:val="none"/>
          <w:lang w:eastAsia="zh-CN"/>
        </w:rPr>
        <w:t>其余</w:t>
      </w:r>
      <w:r>
        <w:rPr>
          <w:rFonts w:hint="eastAsia" w:ascii="宋体" w:hAnsi="宋体" w:eastAsia="宋体" w:cs="宋体"/>
          <w:bCs/>
          <w:color w:val="auto"/>
          <w:kern w:val="0"/>
          <w:sz w:val="24"/>
          <w:szCs w:val="24"/>
          <w:highlight w:val="none"/>
          <w:lang w:val="en-US" w:eastAsia="zh-CN"/>
        </w:rPr>
        <w:t>4名</w:t>
      </w:r>
      <w:r>
        <w:rPr>
          <w:rFonts w:hint="eastAsia" w:ascii="宋体" w:hAnsi="宋体" w:eastAsia="宋体" w:cs="宋体"/>
          <w:bCs/>
          <w:color w:val="auto"/>
          <w:kern w:val="0"/>
          <w:sz w:val="24"/>
          <w:szCs w:val="24"/>
          <w:highlight w:val="none"/>
        </w:rPr>
        <w:t>从</w:t>
      </w:r>
      <w:r>
        <w:rPr>
          <w:rFonts w:hint="eastAsia" w:ascii="宋体" w:hAnsi="宋体" w:eastAsia="宋体" w:cs="宋体"/>
          <w:bCs/>
          <w:color w:val="auto"/>
          <w:kern w:val="0"/>
          <w:sz w:val="24"/>
          <w:szCs w:val="24"/>
          <w:highlight w:val="none"/>
          <w:lang w:val="en-US" w:eastAsia="zh-CN"/>
        </w:rPr>
        <w:t>柯城区</w:t>
      </w:r>
      <w:r>
        <w:rPr>
          <w:rFonts w:hint="eastAsia" w:ascii="宋体" w:hAnsi="宋体" w:eastAsia="宋体" w:cs="宋体"/>
          <w:bCs/>
          <w:color w:val="auto"/>
          <w:kern w:val="0"/>
          <w:sz w:val="24"/>
          <w:szCs w:val="24"/>
          <w:highlight w:val="none"/>
        </w:rPr>
        <w:t>政府采购</w:t>
      </w:r>
      <w:r>
        <w:rPr>
          <w:rFonts w:hint="eastAsia" w:ascii="宋体" w:hAnsi="宋体" w:eastAsia="宋体" w:cs="宋体"/>
          <w:bCs/>
          <w:color w:val="auto"/>
          <w:kern w:val="0"/>
          <w:sz w:val="24"/>
          <w:szCs w:val="24"/>
          <w:highlight w:val="none"/>
          <w:lang w:eastAsia="zh-CN"/>
        </w:rPr>
        <w:t>评审</w:t>
      </w:r>
      <w:r>
        <w:rPr>
          <w:rFonts w:hint="eastAsia" w:ascii="宋体" w:hAnsi="宋体" w:eastAsia="宋体" w:cs="宋体"/>
          <w:bCs/>
          <w:color w:val="auto"/>
          <w:kern w:val="0"/>
          <w:sz w:val="24"/>
          <w:szCs w:val="24"/>
          <w:highlight w:val="none"/>
        </w:rPr>
        <w:t>专家库中随机抽取</w:t>
      </w:r>
      <w:r>
        <w:rPr>
          <w:rFonts w:hint="eastAsia" w:ascii="宋体" w:hAnsi="宋体" w:eastAsia="宋体" w:cs="宋体"/>
          <w:bCs/>
          <w:color w:val="auto"/>
          <w:kern w:val="0"/>
          <w:sz w:val="24"/>
          <w:szCs w:val="24"/>
          <w:highlight w:val="none"/>
          <w:lang w:eastAsia="zh-CN"/>
        </w:rPr>
        <w:t>产生</w:t>
      </w:r>
      <w:r>
        <w:rPr>
          <w:rFonts w:hint="eastAsia" w:ascii="宋体" w:hAnsi="宋体" w:eastAsia="宋体" w:cs="宋体"/>
          <w:bCs/>
          <w:color w:val="auto"/>
          <w:kern w:val="0"/>
          <w:sz w:val="24"/>
          <w:szCs w:val="24"/>
          <w:highlight w:val="none"/>
        </w:rPr>
        <w:t>。</w:t>
      </w:r>
    </w:p>
    <w:p w14:paraId="64D7D0B9">
      <w:pPr>
        <w:pStyle w:val="11"/>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2、评标的方式</w:t>
      </w:r>
    </w:p>
    <w:p w14:paraId="5E960106">
      <w:pPr>
        <w:pStyle w:val="11"/>
        <w:snapToGrid w:val="0"/>
        <w:spacing w:line="440" w:lineRule="exact"/>
        <w:ind w:left="719" w:leftChars="228" w:hanging="240" w:hanging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本项目采用不公开方式评标，评标的依据为招标文件和投标文件。</w:t>
      </w:r>
    </w:p>
    <w:p w14:paraId="4A47E68B">
      <w:pPr>
        <w:pStyle w:val="11"/>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3、评标程序</w:t>
      </w:r>
    </w:p>
    <w:p w14:paraId="7AB3B528">
      <w:pPr>
        <w:snapToGrid w:val="0"/>
        <w:spacing w:line="440" w:lineRule="exact"/>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3.1形式审查</w:t>
      </w:r>
    </w:p>
    <w:p w14:paraId="014649A0">
      <w:pPr>
        <w:snapToGrid w:val="0"/>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采购单位代表和代理机构工作人员协助评标委员会对投标人的投标文件的完整性、合法性等进行审查。</w:t>
      </w:r>
    </w:p>
    <w:p w14:paraId="609E68C5">
      <w:pPr>
        <w:snapToGrid w:val="0"/>
        <w:spacing w:line="440" w:lineRule="exact"/>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3.2实质审查与比较</w:t>
      </w:r>
    </w:p>
    <w:p w14:paraId="4231D04B">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（1）评标委员会审查投标文件的实质性内容是否符合招标文件的实质性要求。</w:t>
      </w:r>
    </w:p>
    <w:p w14:paraId="4FC7D61E">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（2）评标委员会将根据投标人的投标文件进行审查、核对,如有疑问,将对投标人进行</w:t>
      </w:r>
      <w:r>
        <w:rPr>
          <w:rFonts w:hint="eastAsia" w:ascii="宋体" w:hAnsi="宋体" w:eastAsia="宋体" w:cs="宋体"/>
          <w:color w:val="auto"/>
          <w:sz w:val="24"/>
          <w:szCs w:val="24"/>
          <w:highlight w:val="none"/>
          <w:lang w:eastAsia="zh-CN"/>
        </w:rPr>
        <w:t>在线</w:t>
      </w:r>
      <w:r>
        <w:rPr>
          <w:rFonts w:hint="eastAsia" w:ascii="宋体" w:hAnsi="宋体" w:eastAsia="宋体" w:cs="宋体"/>
          <w:color w:val="auto"/>
          <w:sz w:val="24"/>
          <w:szCs w:val="24"/>
          <w:highlight w:val="none"/>
        </w:rPr>
        <w:t>询标,投标人要向评标委员会澄清有关问题,并最终以书面形式进行答复。</w:t>
      </w:r>
    </w:p>
    <w:p w14:paraId="56C9839C">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投标人代表拒绝澄清</w:t>
      </w:r>
      <w:r>
        <w:rPr>
          <w:rFonts w:hint="eastAsia" w:ascii="宋体" w:hAnsi="宋体" w:eastAsia="宋体" w:cs="宋体"/>
          <w:color w:val="auto"/>
          <w:sz w:val="24"/>
          <w:szCs w:val="24"/>
          <w:highlight w:val="none"/>
          <w:lang w:eastAsia="zh-CN"/>
        </w:rPr>
        <w:t>或者未按规定时间提交澄清文件</w:t>
      </w:r>
      <w:r>
        <w:rPr>
          <w:rFonts w:hint="eastAsia" w:ascii="宋体" w:hAnsi="宋体" w:eastAsia="宋体" w:cs="宋体"/>
          <w:color w:val="auto"/>
          <w:sz w:val="24"/>
          <w:szCs w:val="24"/>
          <w:highlight w:val="none"/>
        </w:rPr>
        <w:t>或者澄清的内容改变了投标文件的实质性内容的，评标委员会有权对该投标文件作出不利于投标人的评判。</w:t>
      </w:r>
    </w:p>
    <w:p w14:paraId="0B6CDA80">
      <w:pPr>
        <w:keepLines w:val="0"/>
        <w:pageBreakBefore w:val="0"/>
        <w:kinsoku/>
        <w:wordWrap/>
        <w:topLinePunct w:val="0"/>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（3）各投标人的技术分为所有评委的有效评分的算术平均数，资信分由评委</w:t>
      </w:r>
      <w:r>
        <w:rPr>
          <w:rFonts w:hint="eastAsia" w:ascii="宋体" w:hAnsi="宋体" w:eastAsia="宋体" w:cs="宋体"/>
          <w:color w:val="auto"/>
          <w:sz w:val="24"/>
          <w:szCs w:val="24"/>
          <w:highlight w:val="none"/>
          <w:lang w:eastAsia="zh-CN"/>
        </w:rPr>
        <w:t>依据评审依据和评审标准</w:t>
      </w:r>
      <w:r>
        <w:rPr>
          <w:rFonts w:hint="eastAsia" w:ascii="宋体" w:hAnsi="宋体" w:eastAsia="宋体" w:cs="宋体"/>
          <w:b w:val="0"/>
          <w:bCs w:val="0"/>
          <w:color w:val="auto"/>
          <w:sz w:val="24"/>
          <w:szCs w:val="24"/>
          <w:highlight w:val="none"/>
        </w:rPr>
        <w:t>打分。</w:t>
      </w:r>
    </w:p>
    <w:p w14:paraId="3129A2C5">
      <w:pPr>
        <w:keepLines w:val="0"/>
        <w:pageBreakBefore w:val="0"/>
        <w:kinsoku/>
        <w:wordWrap/>
        <w:topLinePunct w:val="0"/>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（4）采购组织机构可协助评审小组组长对打分结果进行校对、核对并汇总统计；对明显畸高、畸低的评分（其总评分偏离平均</w:t>
      </w:r>
      <w:r>
        <w:rPr>
          <w:rFonts w:hint="eastAsia" w:ascii="宋体" w:hAnsi="宋体" w:eastAsia="宋体" w:cs="宋体"/>
          <w:b w:val="0"/>
          <w:bCs w:val="0"/>
          <w:color w:val="auto"/>
          <w:sz w:val="24"/>
          <w:szCs w:val="24"/>
          <w:highlight w:val="none"/>
          <w:lang w:eastAsia="zh-CN"/>
        </w:rPr>
        <w:t>分</w:t>
      </w:r>
      <w:r>
        <w:rPr>
          <w:rFonts w:hint="eastAsia" w:ascii="宋体" w:hAnsi="宋体" w:eastAsia="宋体" w:cs="宋体"/>
          <w:b w:val="0"/>
          <w:bCs w:val="0"/>
          <w:color w:val="auto"/>
          <w:sz w:val="24"/>
          <w:szCs w:val="24"/>
          <w:highlight w:val="none"/>
        </w:rPr>
        <w:t>30%以上的），评审小组组长应提醒相关评审人员进行复核或书面说明理由，评审人员拒绝说明的，由现场监督员据实记录。</w:t>
      </w:r>
    </w:p>
    <w:p w14:paraId="2A166298">
      <w:pPr>
        <w:keepLines w:val="0"/>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（5）评标委员会完成评标后,评委对各部分得分汇总,计算出本项目最终得分、性价比、评标价等。评标委员会按评标原则推荐中标候选人同时起草评标报告。</w:t>
      </w:r>
    </w:p>
    <w:p w14:paraId="29401C0E">
      <w:pPr>
        <w:keepLines w:val="0"/>
        <w:pageBreakBefore w:val="0"/>
        <w:kinsoku/>
        <w:wordWrap/>
        <w:topLinePunct w:val="0"/>
        <w:bidi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4、澄清问题的形式</w:t>
      </w:r>
    </w:p>
    <w:p w14:paraId="6A45DF20">
      <w:pPr>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116BC437">
      <w:pPr>
        <w:pStyle w:val="2"/>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经澄清后，若偏差仍存在，且不可接受，投标人则被认为是“没有实质性响应招标文件要求”，其投标不进入下一步评审。</w:t>
      </w:r>
    </w:p>
    <w:p w14:paraId="29E7B76A">
      <w:pPr>
        <w:pStyle w:val="11"/>
        <w:keepLines w:val="0"/>
        <w:pageBreakBefore w:val="0"/>
        <w:kinsoku/>
        <w:wordWrap/>
        <w:topLinePunct w:val="0"/>
        <w:bidi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5、错误修正</w:t>
      </w:r>
    </w:p>
    <w:p w14:paraId="594E5626">
      <w:pPr>
        <w:pStyle w:val="11"/>
        <w:keepLines w:val="0"/>
        <w:pageBreakBefore w:val="0"/>
        <w:kinsoku/>
        <w:wordWrap/>
        <w:topLinePunct w:val="0"/>
        <w:bidi w:val="0"/>
        <w:snapToGrid w:val="0"/>
        <w:spacing w:line="360" w:lineRule="auto"/>
        <w:ind w:left="719" w:leftChars="228"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投标文件如果出现计算或表达上的错误，修正错误的原则如下：</w:t>
      </w:r>
    </w:p>
    <w:p w14:paraId="20B0A7EC">
      <w:pPr>
        <w:pStyle w:val="11"/>
        <w:keepLines w:val="0"/>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）投标文件中开标一览表</w:t>
      </w:r>
      <w:r>
        <w:rPr>
          <w:rFonts w:hint="eastAsia" w:ascii="宋体" w:hAnsi="宋体" w:eastAsia="宋体" w:cs="宋体"/>
          <w:color w:val="auto"/>
          <w:sz w:val="24"/>
          <w:szCs w:val="24"/>
          <w:highlight w:val="none"/>
          <w:lang w:eastAsia="zh-CN"/>
        </w:rPr>
        <w:t>（报价表）</w:t>
      </w:r>
      <w:r>
        <w:rPr>
          <w:rFonts w:hint="eastAsia" w:ascii="宋体" w:hAnsi="宋体" w:eastAsia="宋体" w:cs="宋体"/>
          <w:color w:val="auto"/>
          <w:sz w:val="24"/>
          <w:szCs w:val="24"/>
          <w:highlight w:val="none"/>
        </w:rPr>
        <w:t>内容与投标文件中相应内容不一致的，以开标一览表</w:t>
      </w:r>
      <w:r>
        <w:rPr>
          <w:rFonts w:hint="eastAsia" w:ascii="宋体" w:hAnsi="宋体" w:eastAsia="宋体" w:cs="宋体"/>
          <w:color w:val="auto"/>
          <w:sz w:val="24"/>
          <w:szCs w:val="24"/>
          <w:highlight w:val="none"/>
          <w:lang w:eastAsia="zh-CN"/>
        </w:rPr>
        <w:t>（报价表）</w:t>
      </w:r>
      <w:r>
        <w:rPr>
          <w:rFonts w:hint="eastAsia" w:ascii="宋体" w:hAnsi="宋体" w:eastAsia="宋体" w:cs="宋体"/>
          <w:color w:val="auto"/>
          <w:sz w:val="24"/>
          <w:szCs w:val="24"/>
          <w:highlight w:val="none"/>
        </w:rPr>
        <w:t>为准；</w:t>
      </w:r>
    </w:p>
    <w:p w14:paraId="75066CA2">
      <w:pPr>
        <w:pStyle w:val="1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）大写金额和小写金额不一致的，以大写金额为准；</w:t>
      </w:r>
    </w:p>
    <w:p w14:paraId="3BF9235C">
      <w:pPr>
        <w:pStyle w:val="1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）单价金额小数点或者百分比有明显错位的，以开标一览表的总价为准，并修改单价；</w:t>
      </w:r>
    </w:p>
    <w:p w14:paraId="6CB4E22A">
      <w:pPr>
        <w:pStyle w:val="1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）总价金额与按单价汇总金额不一致的，以单价金额计算结果为准。</w:t>
      </w:r>
    </w:p>
    <w:p w14:paraId="4CF7E9E5">
      <w:pPr>
        <w:pStyle w:val="11"/>
        <w:snapToGrid w:val="0"/>
        <w:spacing w:line="44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同时出现两种以上不一致的，按照前款规定的顺序修正。按上述修正错误的原则及方法调整或修正投标文件的投标报价</w:t>
      </w:r>
      <w:r>
        <w:rPr>
          <w:rFonts w:hint="eastAsia" w:ascii="宋体" w:hAnsi="宋体" w:eastAsia="宋体" w:cs="宋体"/>
          <w:b w:val="0"/>
          <w:bCs w:val="0"/>
          <w:color w:val="auto"/>
          <w:sz w:val="24"/>
          <w:szCs w:val="24"/>
          <w:highlight w:val="none"/>
          <w:lang w:eastAsia="zh-CN"/>
        </w:rPr>
        <w:t>应当采用书面形式，并加盖公章。</w:t>
      </w:r>
      <w:r>
        <w:rPr>
          <w:rFonts w:hint="eastAsia" w:ascii="宋体" w:hAnsi="宋体" w:eastAsia="宋体" w:cs="宋体"/>
          <w:b w:val="0"/>
          <w:bCs w:val="0"/>
          <w:color w:val="auto"/>
          <w:sz w:val="24"/>
          <w:szCs w:val="24"/>
          <w:highlight w:val="none"/>
        </w:rPr>
        <w:t>投标人确认后</w:t>
      </w:r>
      <w:r>
        <w:rPr>
          <w:rFonts w:hint="eastAsia" w:ascii="宋体" w:hAnsi="宋体" w:eastAsia="宋体" w:cs="宋体"/>
          <w:b w:val="0"/>
          <w:bCs w:val="0"/>
          <w:color w:val="auto"/>
          <w:sz w:val="24"/>
          <w:szCs w:val="24"/>
          <w:highlight w:val="none"/>
          <w:lang w:eastAsia="zh-CN"/>
        </w:rPr>
        <w:t>产生约束力，投标人不确认的，其投标无效</w:t>
      </w:r>
      <w:r>
        <w:rPr>
          <w:rFonts w:hint="eastAsia" w:ascii="宋体" w:hAnsi="宋体" w:eastAsia="宋体" w:cs="宋体"/>
          <w:b w:val="0"/>
          <w:bCs w:val="0"/>
          <w:color w:val="auto"/>
          <w:sz w:val="24"/>
          <w:szCs w:val="24"/>
          <w:highlight w:val="none"/>
        </w:rPr>
        <w:t>。</w:t>
      </w:r>
    </w:p>
    <w:p w14:paraId="6A436AC1">
      <w:pPr>
        <w:pStyle w:val="11"/>
        <w:tabs>
          <w:tab w:val="left" w:pos="630"/>
        </w:tabs>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6、评标原则和评标办法</w:t>
      </w:r>
    </w:p>
    <w:p w14:paraId="28084518">
      <w:pPr>
        <w:pStyle w:val="1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40A31B2">
      <w:pPr>
        <w:pStyle w:val="1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6.2评标办法。本项目评标办法是综合评分法，具体评标内容及评分标准等详见《第五章：评标原则及方法》。</w:t>
      </w:r>
    </w:p>
    <w:p w14:paraId="58D5A8F1">
      <w:pPr>
        <w:pStyle w:val="11"/>
        <w:snapToGrid w:val="0"/>
        <w:spacing w:line="44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7、无效标条款</w:t>
      </w:r>
    </w:p>
    <w:p w14:paraId="2FA78F6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color w:val="auto"/>
          <w:sz w:val="24"/>
          <w:szCs w:val="24"/>
          <w:highlight w:val="none"/>
          <w:lang w:val="en-US" w:eastAsia="zh-CN"/>
        </w:rPr>
        <w:t>7.1</w:t>
      </w:r>
      <w:r>
        <w:rPr>
          <w:rFonts w:hint="eastAsia" w:ascii="宋体" w:hAnsi="宋体" w:eastAsia="宋体" w:cs="宋体"/>
          <w:b w:val="0"/>
          <w:bCs w:val="0"/>
          <w:i w:val="0"/>
          <w:iCs w:val="0"/>
          <w:color w:val="auto"/>
          <w:sz w:val="24"/>
          <w:szCs w:val="24"/>
          <w:highlight w:val="none"/>
        </w:rPr>
        <w:t>开标时，如出现以下情况之一的，则投标文件无效：</w:t>
      </w:r>
    </w:p>
    <w:p w14:paraId="7A89948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1</w:t>
      </w:r>
      <w:r>
        <w:rPr>
          <w:rFonts w:hint="eastAsia" w:ascii="宋体" w:hAnsi="宋体" w:eastAsia="宋体" w:cs="宋体"/>
          <w:b w:val="0"/>
          <w:bCs w:val="0"/>
          <w:i w:val="0"/>
          <w:iCs w:val="0"/>
          <w:color w:val="auto"/>
          <w:sz w:val="24"/>
          <w:szCs w:val="24"/>
          <w:highlight w:val="none"/>
        </w:rPr>
        <w:t>）投标文件未按招标文件要求签署、</w:t>
      </w:r>
      <w:r>
        <w:rPr>
          <w:rFonts w:hint="eastAsia" w:ascii="宋体" w:hAnsi="宋体" w:eastAsia="宋体" w:cs="宋体"/>
          <w:b w:val="0"/>
          <w:bCs w:val="0"/>
          <w:i w:val="0"/>
          <w:iCs w:val="0"/>
          <w:color w:val="auto"/>
          <w:sz w:val="24"/>
          <w:szCs w:val="24"/>
          <w:highlight w:val="none"/>
          <w:lang w:eastAsia="zh-CN"/>
        </w:rPr>
        <w:t>签</w:t>
      </w:r>
      <w:r>
        <w:rPr>
          <w:rFonts w:hint="eastAsia" w:ascii="宋体" w:hAnsi="宋体" w:eastAsia="宋体" w:cs="宋体"/>
          <w:b w:val="0"/>
          <w:bCs w:val="0"/>
          <w:i w:val="0"/>
          <w:iCs w:val="0"/>
          <w:color w:val="auto"/>
          <w:sz w:val="24"/>
          <w:szCs w:val="24"/>
          <w:highlight w:val="none"/>
        </w:rPr>
        <w:t>章的；</w:t>
      </w:r>
    </w:p>
    <w:p w14:paraId="6CFF75D0">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）不具备招标文件中规定的资格要求的；</w:t>
      </w:r>
    </w:p>
    <w:p w14:paraId="3DFBCCCF">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w:t>
      </w:r>
      <w:r>
        <w:rPr>
          <w:rFonts w:hint="eastAsia" w:ascii="宋体" w:hAnsi="宋体" w:eastAsia="宋体" w:cs="宋体"/>
          <w:b w:val="0"/>
          <w:bCs/>
          <w:i w:val="0"/>
          <w:iCs w:val="0"/>
          <w:color w:val="auto"/>
          <w:sz w:val="24"/>
          <w:szCs w:val="24"/>
          <w:highlight w:val="none"/>
          <w:lang w:val="en-US" w:eastAsia="zh-CN"/>
        </w:rPr>
        <w:t>3</w:t>
      </w:r>
      <w:r>
        <w:rPr>
          <w:rFonts w:hint="eastAsia" w:ascii="宋体" w:hAnsi="宋体" w:eastAsia="宋体" w:cs="宋体"/>
          <w:b w:val="0"/>
          <w:bCs/>
          <w:i w:val="0"/>
          <w:iCs w:val="0"/>
          <w:color w:val="auto"/>
          <w:sz w:val="24"/>
          <w:szCs w:val="24"/>
          <w:highlight w:val="none"/>
        </w:rPr>
        <w:t>）报价超过招标文件中规定的预算金额或者最高限价的；</w:t>
      </w:r>
    </w:p>
    <w:p w14:paraId="6E9EAAB7">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w:t>
      </w:r>
      <w:r>
        <w:rPr>
          <w:rFonts w:hint="eastAsia" w:ascii="宋体" w:hAnsi="宋体" w:eastAsia="宋体" w:cs="宋体"/>
          <w:b w:val="0"/>
          <w:bCs/>
          <w:i w:val="0"/>
          <w:iCs w:val="0"/>
          <w:color w:val="auto"/>
          <w:sz w:val="24"/>
          <w:szCs w:val="24"/>
          <w:highlight w:val="none"/>
          <w:lang w:val="en-US" w:eastAsia="zh-CN"/>
        </w:rPr>
        <w:t>4</w:t>
      </w:r>
      <w:r>
        <w:rPr>
          <w:rFonts w:hint="eastAsia" w:ascii="宋体" w:hAnsi="宋体" w:eastAsia="宋体" w:cs="宋体"/>
          <w:b w:val="0"/>
          <w:bCs/>
          <w:i w:val="0"/>
          <w:iCs w:val="0"/>
          <w:color w:val="auto"/>
          <w:sz w:val="24"/>
          <w:szCs w:val="24"/>
          <w:highlight w:val="none"/>
        </w:rPr>
        <w:t>）投标文件含有采购单位不能接受的附加条件的</w:t>
      </w:r>
      <w:r>
        <w:rPr>
          <w:rFonts w:hint="eastAsia" w:ascii="宋体" w:hAnsi="宋体" w:eastAsia="宋体" w:cs="宋体"/>
          <w:b w:val="0"/>
          <w:bCs/>
          <w:i w:val="0"/>
          <w:iCs w:val="0"/>
          <w:color w:val="auto"/>
          <w:sz w:val="24"/>
          <w:szCs w:val="24"/>
          <w:highlight w:val="none"/>
          <w:lang w:eastAsia="zh-CN"/>
        </w:rPr>
        <w:t>；</w:t>
      </w:r>
    </w:p>
    <w:p w14:paraId="637D93F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w:t>
      </w:r>
      <w:r>
        <w:rPr>
          <w:rFonts w:hint="eastAsia" w:ascii="宋体" w:hAnsi="宋体" w:eastAsia="宋体" w:cs="宋体"/>
          <w:b w:val="0"/>
          <w:bCs/>
          <w:i w:val="0"/>
          <w:iCs w:val="0"/>
          <w:color w:val="auto"/>
          <w:sz w:val="24"/>
          <w:szCs w:val="24"/>
          <w:highlight w:val="none"/>
          <w:lang w:val="en-US" w:eastAsia="zh-CN"/>
        </w:rPr>
        <w:t>5</w:t>
      </w:r>
      <w:r>
        <w:rPr>
          <w:rFonts w:hint="eastAsia" w:ascii="宋体" w:hAnsi="宋体" w:eastAsia="宋体" w:cs="宋体"/>
          <w:b w:val="0"/>
          <w:bCs/>
          <w:i w:val="0"/>
          <w:iCs w:val="0"/>
          <w:color w:val="auto"/>
          <w:sz w:val="24"/>
          <w:szCs w:val="24"/>
          <w:highlight w:val="none"/>
        </w:rPr>
        <w:t>）法律、法规和招标文件规定的其他无效情形；</w:t>
      </w:r>
    </w:p>
    <w:p w14:paraId="103152B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w:t>
      </w:r>
      <w:r>
        <w:rPr>
          <w:rFonts w:hint="eastAsia" w:ascii="宋体" w:hAnsi="宋体" w:eastAsia="宋体" w:cs="宋体"/>
          <w:b w:val="0"/>
          <w:bCs/>
          <w:i w:val="0"/>
          <w:iCs w:val="0"/>
          <w:color w:val="auto"/>
          <w:sz w:val="24"/>
          <w:szCs w:val="24"/>
          <w:highlight w:val="none"/>
          <w:lang w:val="en-US" w:eastAsia="zh-CN"/>
        </w:rPr>
        <w:t>6</w:t>
      </w:r>
      <w:r>
        <w:rPr>
          <w:rFonts w:hint="eastAsia" w:ascii="宋体" w:hAnsi="宋体" w:eastAsia="宋体" w:cs="宋体"/>
          <w:b w:val="0"/>
          <w:bCs/>
          <w:i w:val="0"/>
          <w:iCs w:val="0"/>
          <w:color w:val="auto"/>
          <w:sz w:val="24"/>
          <w:szCs w:val="24"/>
          <w:highlight w:val="none"/>
        </w:rPr>
        <w:t>）投标文件明显不符合采购文件要求的或者与采购文件标注“▲”的条款发生实质性负偏离的。</w:t>
      </w:r>
    </w:p>
    <w:p w14:paraId="391655E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解密失败的。</w:t>
      </w:r>
    </w:p>
    <w:p w14:paraId="7EBA7192">
      <w:pPr>
        <w:snapToGrid w:val="0"/>
        <w:spacing w:line="440" w:lineRule="exact"/>
        <w:ind w:firstLine="480" w:firstLineChars="200"/>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lang w:val="en-US" w:eastAsia="zh-CN"/>
        </w:rPr>
        <w:t>7.2</w:t>
      </w:r>
      <w:r>
        <w:rPr>
          <w:rFonts w:hint="eastAsia" w:ascii="宋体" w:hAnsi="宋体" w:eastAsia="宋体" w:cs="宋体"/>
          <w:b w:val="0"/>
          <w:bCs/>
          <w:i w:val="0"/>
          <w:iCs w:val="0"/>
          <w:color w:val="auto"/>
          <w:sz w:val="24"/>
          <w:szCs w:val="24"/>
          <w:highlight w:val="none"/>
        </w:rPr>
        <w:t>有下列情形之一的，视为投标人串通投标，其投标无效：</w:t>
      </w:r>
    </w:p>
    <w:p w14:paraId="0F58FEB3">
      <w:pPr>
        <w:snapToGrid w:val="0"/>
        <w:spacing w:line="440" w:lineRule="exact"/>
        <w:ind w:firstLine="480" w:firstLineChars="200"/>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w:t>
      </w:r>
      <w:r>
        <w:rPr>
          <w:rFonts w:hint="eastAsia" w:ascii="宋体" w:hAnsi="宋体" w:eastAsia="宋体" w:cs="宋体"/>
          <w:b w:val="0"/>
          <w:bCs/>
          <w:i w:val="0"/>
          <w:iCs w:val="0"/>
          <w:color w:val="auto"/>
          <w:sz w:val="24"/>
          <w:szCs w:val="24"/>
          <w:highlight w:val="none"/>
          <w:lang w:val="en-US" w:eastAsia="zh-CN"/>
        </w:rPr>
        <w:t>1</w:t>
      </w:r>
      <w:r>
        <w:rPr>
          <w:rFonts w:hint="eastAsia" w:ascii="宋体" w:hAnsi="宋体" w:eastAsia="宋体" w:cs="宋体"/>
          <w:b w:val="0"/>
          <w:bCs/>
          <w:i w:val="0"/>
          <w:iCs w:val="0"/>
          <w:color w:val="auto"/>
          <w:sz w:val="24"/>
          <w:szCs w:val="24"/>
          <w:highlight w:val="none"/>
        </w:rPr>
        <w:t>）不同投标人的投标文件由同一单位或者个人编制；</w:t>
      </w:r>
    </w:p>
    <w:p w14:paraId="4757221B">
      <w:pPr>
        <w:snapToGrid w:val="0"/>
        <w:spacing w:line="440" w:lineRule="exact"/>
        <w:ind w:firstLine="480" w:firstLineChars="200"/>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w:t>
      </w:r>
      <w:r>
        <w:rPr>
          <w:rFonts w:hint="eastAsia" w:ascii="宋体" w:hAnsi="宋体" w:eastAsia="宋体" w:cs="宋体"/>
          <w:b w:val="0"/>
          <w:bCs/>
          <w:i w:val="0"/>
          <w:iCs w:val="0"/>
          <w:color w:val="auto"/>
          <w:sz w:val="24"/>
          <w:szCs w:val="24"/>
          <w:highlight w:val="none"/>
          <w:lang w:val="en-US" w:eastAsia="zh-CN"/>
        </w:rPr>
        <w:t>2</w:t>
      </w:r>
      <w:r>
        <w:rPr>
          <w:rFonts w:hint="eastAsia" w:ascii="宋体" w:hAnsi="宋体" w:eastAsia="宋体" w:cs="宋体"/>
          <w:b w:val="0"/>
          <w:bCs/>
          <w:i w:val="0"/>
          <w:iCs w:val="0"/>
          <w:color w:val="auto"/>
          <w:sz w:val="24"/>
          <w:szCs w:val="24"/>
          <w:highlight w:val="none"/>
        </w:rPr>
        <w:t>）不同投标人委托同一单位或者个人办理投标事宜；</w:t>
      </w:r>
    </w:p>
    <w:p w14:paraId="5839B75B">
      <w:pPr>
        <w:snapToGrid w:val="0"/>
        <w:spacing w:line="440" w:lineRule="exact"/>
        <w:ind w:firstLine="480" w:firstLineChars="200"/>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w:t>
      </w:r>
      <w:r>
        <w:rPr>
          <w:rFonts w:hint="eastAsia" w:ascii="宋体" w:hAnsi="宋体" w:eastAsia="宋体" w:cs="宋体"/>
          <w:b w:val="0"/>
          <w:bCs/>
          <w:i w:val="0"/>
          <w:iCs w:val="0"/>
          <w:color w:val="auto"/>
          <w:sz w:val="24"/>
          <w:szCs w:val="24"/>
          <w:highlight w:val="none"/>
          <w:lang w:val="en-US" w:eastAsia="zh-CN"/>
        </w:rPr>
        <w:t>3</w:t>
      </w:r>
      <w:r>
        <w:rPr>
          <w:rFonts w:hint="eastAsia" w:ascii="宋体" w:hAnsi="宋体" w:eastAsia="宋体" w:cs="宋体"/>
          <w:b w:val="0"/>
          <w:bCs/>
          <w:i w:val="0"/>
          <w:iCs w:val="0"/>
          <w:color w:val="auto"/>
          <w:sz w:val="24"/>
          <w:szCs w:val="24"/>
          <w:highlight w:val="none"/>
        </w:rPr>
        <w:t>）不同投标人的投标文件载明的项目管理成员或者联系人员为同一人；</w:t>
      </w:r>
    </w:p>
    <w:p w14:paraId="79F51364">
      <w:pPr>
        <w:snapToGrid w:val="0"/>
        <w:spacing w:line="440" w:lineRule="exact"/>
        <w:ind w:firstLine="480" w:firstLineChars="200"/>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w:t>
      </w:r>
      <w:r>
        <w:rPr>
          <w:rFonts w:hint="eastAsia" w:ascii="宋体" w:hAnsi="宋体" w:eastAsia="宋体" w:cs="宋体"/>
          <w:b w:val="0"/>
          <w:bCs/>
          <w:i w:val="0"/>
          <w:iCs w:val="0"/>
          <w:color w:val="auto"/>
          <w:sz w:val="24"/>
          <w:szCs w:val="24"/>
          <w:highlight w:val="none"/>
          <w:lang w:val="en-US" w:eastAsia="zh-CN"/>
        </w:rPr>
        <w:t>4</w:t>
      </w:r>
      <w:r>
        <w:rPr>
          <w:rFonts w:hint="eastAsia" w:ascii="宋体" w:hAnsi="宋体" w:eastAsia="宋体" w:cs="宋体"/>
          <w:b w:val="0"/>
          <w:bCs/>
          <w:i w:val="0"/>
          <w:iCs w:val="0"/>
          <w:color w:val="auto"/>
          <w:sz w:val="24"/>
          <w:szCs w:val="24"/>
          <w:highlight w:val="none"/>
        </w:rPr>
        <w:t>）不同投标人的投标文件异常一致或者投标报价呈规律性差异；</w:t>
      </w:r>
    </w:p>
    <w:p w14:paraId="63AE3EA3">
      <w:pPr>
        <w:snapToGrid w:val="0"/>
        <w:spacing w:line="440" w:lineRule="exact"/>
        <w:ind w:firstLine="480" w:firstLineChars="200"/>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w:t>
      </w:r>
      <w:r>
        <w:rPr>
          <w:rFonts w:hint="eastAsia" w:ascii="宋体" w:hAnsi="宋体" w:eastAsia="宋体" w:cs="宋体"/>
          <w:b w:val="0"/>
          <w:bCs/>
          <w:i w:val="0"/>
          <w:iCs w:val="0"/>
          <w:color w:val="auto"/>
          <w:sz w:val="24"/>
          <w:szCs w:val="24"/>
          <w:highlight w:val="none"/>
          <w:lang w:val="en-US" w:eastAsia="zh-CN"/>
        </w:rPr>
        <w:t>5</w:t>
      </w:r>
      <w:r>
        <w:rPr>
          <w:rFonts w:hint="eastAsia" w:ascii="宋体" w:hAnsi="宋体" w:eastAsia="宋体" w:cs="宋体"/>
          <w:b w:val="0"/>
          <w:bCs/>
          <w:i w:val="0"/>
          <w:iCs w:val="0"/>
          <w:color w:val="auto"/>
          <w:sz w:val="24"/>
          <w:szCs w:val="24"/>
          <w:highlight w:val="none"/>
        </w:rPr>
        <w:t>）不同投标人的投标文件相互混装；</w:t>
      </w:r>
    </w:p>
    <w:p w14:paraId="21873DAB">
      <w:pPr>
        <w:keepNext w:val="0"/>
        <w:keepLines w:val="0"/>
        <w:pageBreakBefore w:val="0"/>
        <w:widowControl w:val="0"/>
        <w:kinsoku/>
        <w:wordWrap/>
        <w:topLinePunct w:val="0"/>
        <w:bidi w:val="0"/>
        <w:snapToGrid w:val="0"/>
        <w:spacing w:line="440" w:lineRule="exact"/>
        <w:ind w:firstLine="480" w:firstLineChars="200"/>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7.3</w:t>
      </w:r>
      <w:r>
        <w:rPr>
          <w:rFonts w:hint="eastAsia" w:ascii="宋体" w:hAnsi="宋体" w:eastAsia="宋体" w:cs="宋体"/>
          <w:b w:val="0"/>
          <w:bCs/>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0B0D016">
      <w:pPr>
        <w:pStyle w:val="31"/>
        <w:keepNext w:val="0"/>
        <w:keepLines w:val="0"/>
        <w:pageBreakBefore w:val="0"/>
        <w:widowControl w:val="0"/>
        <w:kinsoku/>
        <w:wordWrap/>
        <w:topLinePunct w:val="0"/>
        <w:bidi w:val="0"/>
        <w:spacing w:line="440" w:lineRule="exact"/>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8、废标的情形</w:t>
      </w:r>
    </w:p>
    <w:p w14:paraId="6C1BBA6F">
      <w:pPr>
        <w:pStyle w:val="31"/>
        <w:keepNext w:val="0"/>
        <w:keepLines w:val="0"/>
        <w:pageBreakBefore w:val="0"/>
        <w:widowControl w:val="0"/>
        <w:kinsoku/>
        <w:wordWrap/>
        <w:topLinePunct w:val="0"/>
        <w:bidi w:val="0"/>
        <w:spacing w:line="440" w:lineRule="exact"/>
        <w:ind w:firstLine="421"/>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8.1 如出现以下情况之一的，则废标：</w:t>
      </w:r>
    </w:p>
    <w:p w14:paraId="477CE060">
      <w:pPr>
        <w:pStyle w:val="31"/>
        <w:keepNext w:val="0"/>
        <w:keepLines w:val="0"/>
        <w:pageBreakBefore w:val="0"/>
        <w:widowControl w:val="0"/>
        <w:kinsoku/>
        <w:wordWrap/>
        <w:topLinePunct w:val="0"/>
        <w:bidi w:val="0"/>
        <w:spacing w:line="440" w:lineRule="exact"/>
        <w:ind w:firstLine="421"/>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（1）投标截止时间后或评审期间，符合专业条件的供应商或者对招标文件作实质响应的投标人不足三家的；</w:t>
      </w:r>
    </w:p>
    <w:p w14:paraId="5704E6E7">
      <w:pPr>
        <w:pStyle w:val="31"/>
        <w:keepNext w:val="0"/>
        <w:keepLines w:val="0"/>
        <w:pageBreakBefore w:val="0"/>
        <w:widowControl w:val="0"/>
        <w:kinsoku/>
        <w:wordWrap/>
        <w:topLinePunct w:val="0"/>
        <w:bidi w:val="0"/>
        <w:spacing w:line="440" w:lineRule="exact"/>
        <w:ind w:firstLine="421"/>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（2）出现影响采购公正的违法、违规行为的；</w:t>
      </w:r>
    </w:p>
    <w:p w14:paraId="0E2E8B55">
      <w:pPr>
        <w:pStyle w:val="31"/>
        <w:keepNext w:val="0"/>
        <w:keepLines w:val="0"/>
        <w:pageBreakBefore w:val="0"/>
        <w:widowControl w:val="0"/>
        <w:kinsoku/>
        <w:wordWrap/>
        <w:topLinePunct w:val="0"/>
        <w:bidi w:val="0"/>
        <w:spacing w:line="440" w:lineRule="exact"/>
        <w:ind w:firstLine="421"/>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（3）投标人的报价均超过了采购预算，采购人不能支付的；</w:t>
      </w:r>
    </w:p>
    <w:p w14:paraId="45F4A4C6">
      <w:pPr>
        <w:pStyle w:val="31"/>
        <w:keepNext w:val="0"/>
        <w:keepLines w:val="0"/>
        <w:pageBreakBefore w:val="0"/>
        <w:widowControl w:val="0"/>
        <w:kinsoku/>
        <w:wordWrap/>
        <w:topLinePunct w:val="0"/>
        <w:bidi w:val="0"/>
        <w:spacing w:line="440" w:lineRule="exact"/>
        <w:ind w:firstLine="421"/>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（4）因重大变故，采购任务取消的。</w:t>
      </w:r>
    </w:p>
    <w:p w14:paraId="6BEABF0F">
      <w:pPr>
        <w:pStyle w:val="31"/>
        <w:keepNext w:val="0"/>
        <w:keepLines w:val="0"/>
        <w:pageBreakBefore w:val="0"/>
        <w:widowControl w:val="0"/>
        <w:kinsoku/>
        <w:wordWrap/>
        <w:topLinePunct w:val="0"/>
        <w:bidi w:val="0"/>
        <w:spacing w:line="440" w:lineRule="exact"/>
        <w:ind w:firstLine="421"/>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8.2 废标后，废标理由将在原招标公告发布媒体上公告通知所有投标人。</w:t>
      </w:r>
    </w:p>
    <w:p w14:paraId="016240F2">
      <w:pPr>
        <w:pStyle w:val="11"/>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、评标过程的监控</w:t>
      </w:r>
    </w:p>
    <w:p w14:paraId="564FD06B">
      <w:pPr>
        <w:pStyle w:val="1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本项目评标过程实行全程录音、录像监控，投标人在评标过程中所进行的试图影响评标结果的不公正活动，可能导致其投标被拒绝。</w:t>
      </w:r>
    </w:p>
    <w:p w14:paraId="05CE2E70">
      <w:pPr>
        <w:pStyle w:val="4"/>
        <w:spacing w:before="0" w:after="0" w:line="360" w:lineRule="auto"/>
        <w:jc w:val="center"/>
        <w:rPr>
          <w:rFonts w:hint="eastAsia" w:ascii="宋体" w:hAnsi="宋体" w:eastAsia="宋体" w:cs="宋体"/>
          <w:color w:val="auto"/>
          <w:sz w:val="24"/>
          <w:szCs w:val="24"/>
          <w:highlight w:val="none"/>
        </w:rPr>
      </w:pPr>
      <w:bookmarkStart w:id="94" w:name="_Toc21033"/>
      <w:r>
        <w:rPr>
          <w:rFonts w:hint="eastAsia" w:ascii="宋体" w:hAnsi="宋体" w:eastAsia="宋体" w:cs="宋体"/>
          <w:color w:val="auto"/>
          <w:sz w:val="32"/>
          <w:szCs w:val="32"/>
          <w:highlight w:val="none"/>
          <w:lang w:eastAsia="zh-CN"/>
        </w:rPr>
        <w:t>七、</w:t>
      </w:r>
      <w:r>
        <w:rPr>
          <w:rFonts w:hint="eastAsia" w:ascii="宋体" w:hAnsi="宋体" w:eastAsia="宋体" w:cs="宋体"/>
          <w:color w:val="auto"/>
          <w:sz w:val="32"/>
          <w:szCs w:val="32"/>
          <w:highlight w:val="none"/>
        </w:rPr>
        <w:t>定标</w:t>
      </w:r>
      <w:bookmarkEnd w:id="94"/>
    </w:p>
    <w:p w14:paraId="17FECD47">
      <w:pPr>
        <w:pStyle w:val="11"/>
        <w:snapToGrid w:val="0"/>
        <w:spacing w:line="440" w:lineRule="exact"/>
        <w:rPr>
          <w:rFonts w:hint="eastAsia" w:ascii="宋体" w:hAnsi="宋体" w:eastAsia="宋体" w:cs="宋体"/>
          <w:b/>
          <w:bCs/>
          <w:color w:val="auto"/>
          <w:sz w:val="24"/>
          <w:szCs w:val="24"/>
          <w:highlight w:val="none"/>
        </w:rPr>
      </w:pPr>
      <w:bookmarkStart w:id="95" w:name="_Toc249758871"/>
      <w:bookmarkStart w:id="96" w:name="_Toc410031821"/>
      <w:bookmarkStart w:id="97" w:name="_Toc262105510"/>
      <w:bookmarkStart w:id="98" w:name="_Toc262049425"/>
      <w:bookmarkStart w:id="99" w:name="_Toc249758721"/>
      <w:bookmarkStart w:id="100" w:name="_Toc245191317"/>
      <w:bookmarkStart w:id="101" w:name="_Toc239145357"/>
      <w:bookmarkStart w:id="102" w:name="_Toc222114882"/>
      <w:bookmarkStart w:id="103" w:name="_Toc262105506"/>
      <w:bookmarkStart w:id="104" w:name="_Toc221356890"/>
      <w:bookmarkStart w:id="105" w:name="_Toc249758867"/>
      <w:bookmarkStart w:id="106" w:name="_Toc221356954"/>
      <w:bookmarkStart w:id="107" w:name="_Toc410031819"/>
      <w:bookmarkStart w:id="108" w:name="_Toc221423622"/>
      <w:bookmarkStart w:id="109" w:name="_Toc221374629"/>
      <w:bookmarkStart w:id="110" w:name="_Toc241404205"/>
      <w:bookmarkStart w:id="111" w:name="_Toc223716001"/>
      <w:bookmarkStart w:id="112" w:name="_Toc246261268"/>
      <w:bookmarkStart w:id="113" w:name="_Toc249758715"/>
      <w:bookmarkStart w:id="114" w:name="_Toc245722284"/>
      <w:bookmarkStart w:id="115" w:name="_Toc262049421"/>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确定</w:t>
      </w:r>
      <w:r>
        <w:rPr>
          <w:rFonts w:hint="eastAsia" w:ascii="宋体" w:hAnsi="宋体" w:eastAsia="宋体" w:cs="宋体"/>
          <w:b/>
          <w:bCs/>
          <w:color w:val="auto"/>
          <w:sz w:val="24"/>
          <w:szCs w:val="24"/>
          <w:highlight w:val="none"/>
          <w:lang w:eastAsia="zh-CN"/>
        </w:rPr>
        <w:t>中标人</w:t>
      </w:r>
    </w:p>
    <w:p w14:paraId="59747EB5">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.1采购代理机构在评标结束后2个工作日内将评标报告</w:t>
      </w:r>
      <w:r>
        <w:rPr>
          <w:rFonts w:hint="eastAsia" w:ascii="宋体" w:hAnsi="宋体" w:eastAsia="宋体" w:cs="宋体"/>
          <w:color w:val="auto"/>
          <w:sz w:val="24"/>
          <w:szCs w:val="24"/>
          <w:highlight w:val="none"/>
          <w:lang w:eastAsia="zh-CN"/>
        </w:rPr>
        <w:t>送</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确认。</w:t>
      </w:r>
    </w:p>
    <w:p w14:paraId="6A49003B">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.2投标人对评标结果无异议的，采购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应在收到评标报告后5个工作日内对评标结果进行确认。如有投标人对评标结果提出质疑的，采购单位可在质疑处理完毕后确定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w:t>
      </w:r>
    </w:p>
    <w:p w14:paraId="71CB7930">
      <w:pPr>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.3采购</w:t>
      </w:r>
      <w:r>
        <w:rPr>
          <w:rFonts w:hint="eastAsia" w:ascii="宋体" w:hAnsi="宋体" w:eastAsia="宋体" w:cs="宋体"/>
          <w:color w:val="auto"/>
          <w:sz w:val="24"/>
          <w:szCs w:val="24"/>
          <w:highlight w:val="none"/>
          <w:lang w:eastAsia="zh-CN"/>
        </w:rPr>
        <w:t>人或采购代理机构应当自中标人确定之日起</w:t>
      </w:r>
      <w:r>
        <w:rPr>
          <w:rFonts w:hint="eastAsia" w:ascii="宋体" w:hAnsi="宋体" w:eastAsia="宋体" w:cs="宋体"/>
          <w:color w:val="auto"/>
          <w:sz w:val="24"/>
          <w:szCs w:val="24"/>
          <w:highlight w:val="none"/>
        </w:rPr>
        <w:t>2个工作日内，在</w:t>
      </w:r>
      <w:r>
        <w:rPr>
          <w:rFonts w:hint="eastAsia" w:ascii="宋体" w:hAnsi="宋体" w:eastAsia="宋体" w:cs="宋体"/>
          <w:color w:val="auto"/>
          <w:spacing w:val="-4"/>
          <w:sz w:val="24"/>
          <w:szCs w:val="24"/>
          <w:highlight w:val="none"/>
          <w:lang w:eastAsia="zh-CN"/>
        </w:rPr>
        <w:t>柯城区人民政府网</w:t>
      </w:r>
      <w:r>
        <w:rPr>
          <w:rFonts w:hint="eastAsia" w:ascii="宋体" w:hAnsi="宋体" w:eastAsia="宋体" w:cs="宋体"/>
          <w:color w:val="auto"/>
          <w:spacing w:val="-4"/>
          <w:sz w:val="24"/>
          <w:szCs w:val="24"/>
          <w:highlight w:val="none"/>
        </w:rPr>
        <w:t>、浙江政府采购网上</w:t>
      </w:r>
      <w:r>
        <w:rPr>
          <w:rFonts w:hint="eastAsia" w:ascii="宋体" w:hAnsi="宋体" w:eastAsia="宋体" w:cs="宋体"/>
          <w:color w:val="auto"/>
          <w:sz w:val="24"/>
          <w:szCs w:val="24"/>
          <w:highlight w:val="none"/>
          <w:lang w:eastAsia="zh-CN"/>
        </w:rPr>
        <w:t>公告中标结果，同时采购人或</w:t>
      </w: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szCs w:val="24"/>
          <w:highlight w:val="none"/>
          <w:lang w:eastAsia="zh-CN"/>
        </w:rPr>
        <w:t>应当向中标人以书面形式发出《中标通知书》。</w:t>
      </w:r>
    </w:p>
    <w:p w14:paraId="04614A79">
      <w:pPr>
        <w:pStyle w:val="4"/>
        <w:keepNext/>
        <w:keepLines/>
        <w:pageBreakBefore w:val="0"/>
        <w:widowControl w:val="0"/>
        <w:kinsoku/>
        <w:wordWrap/>
        <w:overflowPunct/>
        <w:topLinePunct w:val="0"/>
        <w:autoSpaceDE/>
        <w:autoSpaceDN/>
        <w:bidi w:val="0"/>
        <w:adjustRightInd/>
        <w:snapToGrid/>
        <w:spacing w:before="100" w:after="100" w:line="440" w:lineRule="exact"/>
        <w:ind w:firstLine="321" w:firstLineChars="100"/>
        <w:jc w:val="center"/>
        <w:textAlignment w:val="auto"/>
        <w:rPr>
          <w:rFonts w:hint="eastAsia" w:ascii="宋体" w:hAnsi="宋体" w:eastAsia="宋体" w:cs="宋体"/>
          <w:color w:val="auto"/>
          <w:sz w:val="32"/>
          <w:szCs w:val="32"/>
          <w:highlight w:val="none"/>
          <w:lang w:eastAsia="zh-CN"/>
        </w:rPr>
      </w:pPr>
      <w:bookmarkStart w:id="116" w:name="_Toc18706"/>
      <w:r>
        <w:rPr>
          <w:rFonts w:hint="eastAsia" w:ascii="宋体" w:hAnsi="宋体" w:eastAsia="宋体" w:cs="宋体"/>
          <w:color w:val="auto"/>
          <w:sz w:val="32"/>
          <w:szCs w:val="32"/>
          <w:highlight w:val="none"/>
          <w:lang w:eastAsia="zh-CN"/>
        </w:rPr>
        <w:t>八、</w:t>
      </w:r>
      <w:r>
        <w:rPr>
          <w:rFonts w:hint="eastAsia" w:ascii="宋体" w:hAnsi="宋体" w:eastAsia="宋体" w:cs="宋体"/>
          <w:color w:val="auto"/>
          <w:sz w:val="32"/>
          <w:szCs w:val="32"/>
          <w:highlight w:val="none"/>
        </w:rPr>
        <w:t>合同授予</w:t>
      </w:r>
      <w:bookmarkEnd w:id="116"/>
      <w:r>
        <w:rPr>
          <w:rFonts w:hint="eastAsia" w:ascii="宋体" w:hAnsi="宋体" w:eastAsia="宋体" w:cs="宋体"/>
          <w:color w:val="auto"/>
          <w:sz w:val="32"/>
          <w:szCs w:val="32"/>
          <w:highlight w:val="none"/>
          <w:lang w:eastAsia="zh-CN"/>
        </w:rPr>
        <w:t>及其他</w:t>
      </w:r>
    </w:p>
    <w:p w14:paraId="5BE0EE72">
      <w:pPr>
        <w:snapToGrid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1、签订合同</w:t>
      </w:r>
    </w:p>
    <w:p w14:paraId="73F99EF1">
      <w:pPr>
        <w:snapToGrid w:val="0"/>
        <w:spacing w:line="440" w:lineRule="exact"/>
        <w:ind w:firstLine="480" w:firstLineChars="200"/>
        <w:rPr>
          <w:rFonts w:hint="eastAsia" w:ascii="宋体" w:hAnsi="宋体" w:eastAsia="宋体" w:cs="宋体"/>
          <w:color w:val="auto"/>
          <w:sz w:val="24"/>
          <w:szCs w:val="24"/>
          <w:highlight w:val="none"/>
        </w:rPr>
      </w:pPr>
      <w:bookmarkStart w:id="117" w:name="OLE_LINK1"/>
      <w:r>
        <w:rPr>
          <w:rFonts w:hint="eastAsia" w:ascii="宋体" w:hAnsi="宋体" w:eastAsia="宋体" w:cs="宋体"/>
          <w:color w:val="auto"/>
          <w:sz w:val="24"/>
          <w:szCs w:val="24"/>
          <w:highlight w:val="none"/>
        </w:rPr>
        <w:t>1.1中标通知书于中标公告发布之日签发，中标人应于</w:t>
      </w:r>
      <w:r>
        <w:rPr>
          <w:rFonts w:hint="eastAsia" w:ascii="宋体" w:hAnsi="宋体" w:eastAsia="宋体" w:cs="宋体"/>
          <w:color w:val="auto"/>
          <w:sz w:val="24"/>
          <w:szCs w:val="24"/>
          <w:highlight w:val="none"/>
          <w:lang w:eastAsia="zh-CN"/>
        </w:rPr>
        <w:t>中标结果</w:t>
      </w:r>
      <w:r>
        <w:rPr>
          <w:rFonts w:hint="eastAsia" w:ascii="宋体" w:hAnsi="宋体" w:eastAsia="宋体" w:cs="宋体"/>
          <w:color w:val="auto"/>
          <w:sz w:val="24"/>
          <w:szCs w:val="24"/>
          <w:highlight w:val="none"/>
        </w:rPr>
        <w:t>公告发布之日起两个工作日内，凭法</w:t>
      </w:r>
      <w:r>
        <w:rPr>
          <w:rFonts w:hint="eastAsia" w:ascii="宋体" w:hAnsi="宋体" w:eastAsia="宋体" w:cs="宋体"/>
          <w:color w:val="auto"/>
          <w:sz w:val="24"/>
          <w:szCs w:val="24"/>
          <w:highlight w:val="none"/>
          <w:lang w:eastAsia="zh-CN"/>
        </w:rPr>
        <w:t>定代表人</w:t>
      </w:r>
      <w:r>
        <w:rPr>
          <w:rFonts w:hint="eastAsia" w:ascii="宋体" w:hAnsi="宋体" w:eastAsia="宋体" w:cs="宋体"/>
          <w:color w:val="auto"/>
          <w:sz w:val="24"/>
          <w:szCs w:val="24"/>
          <w:highlight w:val="none"/>
        </w:rPr>
        <w:t>（负责人）授权委托书及被授权人身份证原件至</w:t>
      </w:r>
      <w:r>
        <w:rPr>
          <w:rFonts w:hint="eastAsia" w:ascii="宋体" w:hAnsi="宋体" w:cs="宋体"/>
          <w:color w:val="auto"/>
          <w:sz w:val="24"/>
          <w:szCs w:val="24"/>
          <w:highlight w:val="none"/>
          <w:lang w:eastAsia="zh-CN"/>
        </w:rPr>
        <w:t>浙江聚尚工程项目管理有限公司</w:t>
      </w:r>
      <w:r>
        <w:rPr>
          <w:rFonts w:hint="eastAsia" w:ascii="宋体" w:hAnsi="宋体" w:eastAsia="宋体" w:cs="宋体"/>
          <w:color w:val="auto"/>
          <w:sz w:val="24"/>
          <w:szCs w:val="24"/>
          <w:highlight w:val="none"/>
        </w:rPr>
        <w:t>领取中标通知书，逾期领取的后果自负。中标人与采购单位须</w:t>
      </w:r>
      <w:r>
        <w:rPr>
          <w:rFonts w:hint="eastAsia" w:ascii="宋体" w:hAnsi="宋体" w:eastAsia="宋体" w:cs="宋体"/>
          <w:color w:val="auto"/>
          <w:sz w:val="24"/>
          <w:szCs w:val="24"/>
          <w:highlight w:val="none"/>
          <w:lang w:eastAsia="zh-CN"/>
        </w:rPr>
        <w:t>在中标结果</w:t>
      </w:r>
      <w:r>
        <w:rPr>
          <w:rFonts w:hint="eastAsia" w:ascii="宋体" w:hAnsi="宋体" w:eastAsia="宋体" w:cs="宋体"/>
          <w:color w:val="auto"/>
          <w:sz w:val="24"/>
          <w:szCs w:val="24"/>
          <w:highlight w:val="none"/>
        </w:rPr>
        <w:t>公告发出两个工作日后的三十天内签订合同。《中标通知书》一经发出即发生法律效力。采购单位无义务向未</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解释落选原因，不退回投标文件。《中标通知书》作为签订合同的重要依据，对采购单位和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具有法律效力。采购单位改变中标结果或者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放弃中标项目的都应承担法律责任。</w:t>
      </w:r>
    </w:p>
    <w:bookmarkEnd w:id="117"/>
    <w:p w14:paraId="7BB3900F">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拖延、拒签合同的,应当按照本项目采购预算价2%的标准承担因此给采购单位造成的损失的赔偿责任及相应的法律责任。</w:t>
      </w:r>
    </w:p>
    <w:p w14:paraId="0877C7DC">
      <w:pPr>
        <w:pStyle w:val="11"/>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2、履约保证金</w:t>
      </w:r>
    </w:p>
    <w:p w14:paraId="51A5B245">
      <w:pPr>
        <w:pStyle w:val="1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2.1签订合同前，</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应按采购代理机构根据招标文件</w:t>
      </w:r>
      <w:r>
        <w:rPr>
          <w:rFonts w:hint="eastAsia" w:ascii="宋体" w:hAnsi="宋体" w:eastAsia="宋体" w:cs="宋体"/>
          <w:color w:val="auto"/>
          <w:sz w:val="24"/>
          <w:szCs w:val="24"/>
          <w:highlight w:val="none"/>
          <w:lang w:eastAsia="zh-CN"/>
        </w:rPr>
        <w:t>规定</w:t>
      </w:r>
      <w:r>
        <w:rPr>
          <w:rFonts w:hint="eastAsia" w:ascii="宋体" w:hAnsi="宋体" w:eastAsia="宋体" w:cs="宋体"/>
          <w:color w:val="auto"/>
          <w:sz w:val="24"/>
          <w:szCs w:val="24"/>
          <w:highlight w:val="none"/>
        </w:rPr>
        <w:t>的履约保证金的金额，向采购单位交纳履约保证金。</w:t>
      </w:r>
    </w:p>
    <w:p w14:paraId="29419942">
      <w:pPr>
        <w:pStyle w:val="11"/>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2.2签订合同后，如</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不按双方合同约定履约，则没收其全部履约保证金，履约保证金不足以赔偿损失的，按实际损失赔偿。</w:t>
      </w:r>
    </w:p>
    <w:p w14:paraId="24AE69B0">
      <w:pPr>
        <w:pStyle w:val="11"/>
        <w:snapToGrid w:val="0"/>
        <w:spacing w:line="44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3、解释权</w:t>
      </w:r>
    </w:p>
    <w:p w14:paraId="3894F9E6">
      <w:pPr>
        <w:autoSpaceDE w:val="0"/>
        <w:autoSpaceDN w:val="0"/>
        <w:adjustRightInd w:val="0"/>
        <w:spacing w:line="360" w:lineRule="auto"/>
        <w:ind w:firstLine="480"/>
        <w:rPr>
          <w:rStyle w:val="32"/>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凡涉及本次采购文件的解释权均属于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代理机构。</w:t>
      </w:r>
    </w:p>
    <w:p w14:paraId="14139763">
      <w:pPr>
        <w:pStyle w:val="4"/>
        <w:spacing w:before="0" w:after="0" w:line="440" w:lineRule="exact"/>
        <w:ind w:firstLine="301" w:firstLineChars="100"/>
        <w:jc w:val="center"/>
        <w:rPr>
          <w:rFonts w:hint="eastAsia" w:asciiTheme="minorEastAsia" w:hAnsiTheme="minorEastAsia" w:eastAsiaTheme="minorEastAsia" w:cstheme="minorEastAsia"/>
          <w:color w:val="auto"/>
          <w:sz w:val="24"/>
          <w:szCs w:val="24"/>
          <w:highlight w:val="none"/>
          <w:lang w:eastAsia="zh-CN"/>
        </w:rPr>
      </w:pPr>
      <w:bookmarkStart w:id="118" w:name="_Toc16204"/>
      <w:r>
        <w:rPr>
          <w:rFonts w:hint="eastAsia" w:asciiTheme="minorEastAsia" w:hAnsiTheme="minorEastAsia" w:eastAsiaTheme="minorEastAsia" w:cstheme="minorEastAsia"/>
          <w:color w:val="auto"/>
          <w:sz w:val="30"/>
          <w:szCs w:val="30"/>
          <w:highlight w:val="none"/>
          <w:lang w:eastAsia="zh-CN"/>
        </w:rPr>
        <w:t>九、</w:t>
      </w:r>
      <w:r>
        <w:rPr>
          <w:rFonts w:hint="eastAsia" w:asciiTheme="minorEastAsia" w:hAnsiTheme="minorEastAsia" w:eastAsiaTheme="minorEastAsia" w:cstheme="minorEastAsia"/>
          <w:color w:val="auto"/>
          <w:sz w:val="30"/>
          <w:szCs w:val="30"/>
          <w:highlight w:val="none"/>
          <w:lang w:val="en-US" w:eastAsia="zh-CN"/>
        </w:rPr>
        <w:t>政府采购</w:t>
      </w:r>
      <w:r>
        <w:rPr>
          <w:rFonts w:hint="eastAsia" w:asciiTheme="minorEastAsia" w:hAnsiTheme="minorEastAsia" w:eastAsiaTheme="minorEastAsia" w:cstheme="minorEastAsia"/>
          <w:color w:val="auto"/>
          <w:sz w:val="30"/>
          <w:szCs w:val="30"/>
          <w:highlight w:val="none"/>
          <w:lang w:eastAsia="zh-CN"/>
        </w:rPr>
        <w:t>扶持政策</w:t>
      </w:r>
      <w:r>
        <w:rPr>
          <w:rFonts w:hint="eastAsia" w:asciiTheme="minorEastAsia" w:hAnsiTheme="minorEastAsia" w:eastAsiaTheme="minorEastAsia" w:cstheme="minorEastAsia"/>
          <w:color w:val="auto"/>
          <w:sz w:val="30"/>
          <w:szCs w:val="30"/>
          <w:highlight w:val="none"/>
          <w:lang w:val="en-US" w:eastAsia="zh-CN"/>
        </w:rPr>
        <w:t>说明</w:t>
      </w:r>
      <w:bookmarkEnd w:id="118"/>
    </w:p>
    <w:p w14:paraId="33CB81F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享受小微企业价格折扣应具备的条件</w:t>
      </w:r>
    </w:p>
    <w:p w14:paraId="0FA19CF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right="0" w:rightChars="0" w:firstLine="0" w:firstLineChars="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符合中小企业划分标准；</w:t>
      </w:r>
    </w:p>
    <w:p w14:paraId="56793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w:t>
      </w:r>
    </w:p>
    <w:p w14:paraId="0F775B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u w:val="none"/>
          <w:lang w:val="en-US" w:eastAsia="zh-CN"/>
        </w:rPr>
        <w:t>2</w:t>
      </w:r>
      <w:r>
        <w:rPr>
          <w:rFonts w:hint="eastAsia" w:asciiTheme="minorEastAsia" w:hAnsiTheme="minorEastAsia" w:eastAsiaTheme="minorEastAsia" w:cstheme="minorEastAsia"/>
          <w:b/>
          <w:color w:val="auto"/>
          <w:sz w:val="24"/>
          <w:szCs w:val="24"/>
          <w:highlight w:val="none"/>
          <w:u w:val="none"/>
        </w:rPr>
        <w:t>、享受小微企业价格折扣应提供以下证明材料（缺一不可）：</w:t>
      </w:r>
    </w:p>
    <w:p w14:paraId="56218CD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）《中小企业声明函》</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格式见</w:t>
      </w:r>
      <w:r>
        <w:rPr>
          <w:rFonts w:hint="eastAsia" w:asciiTheme="minorEastAsia" w:hAnsiTheme="minorEastAsia" w:eastAsiaTheme="minorEastAsia" w:cstheme="minorEastAsia"/>
          <w:b w:val="0"/>
          <w:bCs/>
          <w:color w:val="auto"/>
          <w:sz w:val="24"/>
          <w:szCs w:val="24"/>
          <w:highlight w:val="none"/>
          <w:u w:val="none"/>
        </w:rPr>
        <w:t>附件</w:t>
      </w:r>
      <w:r>
        <w:rPr>
          <w:rFonts w:hint="eastAsia" w:asciiTheme="minorEastAsia" w:hAnsiTheme="minorEastAsia" w:eastAsiaTheme="minorEastAsia" w:cstheme="minorEastAsia"/>
          <w:b w:val="0"/>
          <w:bCs/>
          <w:color w:val="auto"/>
          <w:sz w:val="24"/>
          <w:szCs w:val="24"/>
          <w:highlight w:val="none"/>
          <w:u w:val="none"/>
          <w:lang w:val="en-US" w:eastAsia="zh-CN"/>
        </w:rPr>
        <w:t>一</w:t>
      </w:r>
      <w:r>
        <w:rPr>
          <w:rFonts w:hint="eastAsia" w:asciiTheme="minorEastAsia" w:hAnsiTheme="minorEastAsia" w:eastAsiaTheme="minorEastAsia" w:cstheme="minorEastAsia"/>
          <w:b w:val="0"/>
          <w:bCs/>
          <w:color w:val="auto"/>
          <w:sz w:val="24"/>
          <w:szCs w:val="24"/>
          <w:highlight w:val="none"/>
          <w:lang w:eastAsia="zh-CN"/>
        </w:rPr>
        <w:t>】；</w:t>
      </w:r>
    </w:p>
    <w:p w14:paraId="6B2A160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）“国家企业信用信息公示系统---小微企业名录”页面查询结果（查询时间为本项目招标公告发布时间之后，开标时间之前为准）</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页面打印，格式见</w:t>
      </w:r>
      <w:r>
        <w:rPr>
          <w:rFonts w:hint="eastAsia" w:asciiTheme="minorEastAsia" w:hAnsiTheme="minorEastAsia" w:eastAsiaTheme="minorEastAsia" w:cstheme="minorEastAsia"/>
          <w:b w:val="0"/>
          <w:bCs/>
          <w:color w:val="auto"/>
          <w:sz w:val="24"/>
          <w:szCs w:val="24"/>
          <w:highlight w:val="none"/>
          <w:u w:val="none"/>
        </w:rPr>
        <w:t>附件</w:t>
      </w:r>
      <w:r>
        <w:rPr>
          <w:rFonts w:hint="eastAsia" w:asciiTheme="minorEastAsia" w:hAnsiTheme="minorEastAsia" w:eastAsiaTheme="minorEastAsia" w:cstheme="minorEastAsia"/>
          <w:b w:val="0"/>
          <w:bCs/>
          <w:color w:val="auto"/>
          <w:sz w:val="24"/>
          <w:szCs w:val="24"/>
          <w:highlight w:val="none"/>
          <w:u w:val="none"/>
          <w:lang w:val="en-US" w:eastAsia="zh-CN"/>
        </w:rPr>
        <w:t>二</w:t>
      </w:r>
      <w:r>
        <w:rPr>
          <w:rFonts w:hint="eastAsia" w:asciiTheme="minorEastAsia" w:hAnsiTheme="minorEastAsia" w:eastAsiaTheme="minorEastAsia" w:cstheme="minorEastAsia"/>
          <w:b w:val="0"/>
          <w:bCs/>
          <w:color w:val="auto"/>
          <w:sz w:val="24"/>
          <w:szCs w:val="24"/>
          <w:highlight w:val="none"/>
          <w:lang w:eastAsia="zh-CN"/>
        </w:rPr>
        <w:t>】；</w:t>
      </w:r>
    </w:p>
    <w:p w14:paraId="6B34911C">
      <w:pPr>
        <w:pStyle w:val="21"/>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eastAsia="zh-CN"/>
        </w:rPr>
        <w:t>）投标产品（服务）适用中小企业扶持政策情况表</w:t>
      </w:r>
      <w:r>
        <w:rPr>
          <w:rFonts w:hint="eastAsia" w:asciiTheme="minorEastAsia" w:hAnsiTheme="minorEastAsia" w:eastAsiaTheme="minorEastAsia" w:cstheme="minorEastAsia"/>
          <w:b w:val="0"/>
          <w:bCs/>
          <w:color w:val="auto"/>
          <w:sz w:val="24"/>
          <w:szCs w:val="24"/>
          <w:highlight w:val="none"/>
          <w:lang w:val="en-US" w:eastAsia="zh-CN"/>
        </w:rPr>
        <w:t>【格式见附件四】。</w:t>
      </w:r>
    </w:p>
    <w:p w14:paraId="04EDDE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u w:val="none"/>
        </w:rPr>
        <w:t>享受监狱企业价格折扣应提供以下证明材料（缺一不可）：</w:t>
      </w:r>
    </w:p>
    <w:p w14:paraId="039488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r>
        <w:rPr>
          <w:rFonts w:hint="eastAsia" w:asciiTheme="minorEastAsia" w:hAnsiTheme="minorEastAsia" w:eastAsiaTheme="minorEastAsia" w:cstheme="minorEastAsia"/>
          <w:b w:val="0"/>
          <w:bCs/>
          <w:color w:val="auto"/>
          <w:sz w:val="24"/>
          <w:szCs w:val="24"/>
          <w:highlight w:val="none"/>
          <w:lang w:eastAsia="zh-CN"/>
        </w:rPr>
        <w:t>；</w:t>
      </w:r>
    </w:p>
    <w:p w14:paraId="1D8C7AE1">
      <w:pPr>
        <w:pStyle w:val="21"/>
        <w:ind w:left="0" w:leftChars="0" w:firstLine="480" w:firstLineChars="200"/>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）投标产品（服务）适用中小企业扶持政策情况表</w:t>
      </w:r>
      <w:r>
        <w:rPr>
          <w:rFonts w:hint="eastAsia" w:asciiTheme="minorEastAsia" w:hAnsiTheme="minorEastAsia" w:eastAsiaTheme="minorEastAsia" w:cstheme="minorEastAsia"/>
          <w:b w:val="0"/>
          <w:bCs/>
          <w:color w:val="auto"/>
          <w:sz w:val="24"/>
          <w:szCs w:val="24"/>
          <w:highlight w:val="none"/>
          <w:lang w:val="en-US" w:eastAsia="zh-CN"/>
        </w:rPr>
        <w:t>【格式见附件四】</w:t>
      </w:r>
      <w:r>
        <w:rPr>
          <w:rFonts w:hint="eastAsia" w:asciiTheme="minorEastAsia" w:hAnsiTheme="minorEastAsia" w:eastAsiaTheme="minorEastAsia" w:cstheme="minorEastAsia"/>
          <w:b w:val="0"/>
          <w:bCs/>
          <w:color w:val="auto"/>
          <w:sz w:val="24"/>
          <w:szCs w:val="24"/>
          <w:highlight w:val="none"/>
          <w:lang w:eastAsia="zh-CN"/>
        </w:rPr>
        <w:t>。</w:t>
      </w:r>
    </w:p>
    <w:p w14:paraId="56D172B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u w:val="none"/>
        </w:rPr>
        <w:t>享受残疾人福利性单位格折扣应提供以下证明材料（缺一不可）：</w:t>
      </w:r>
    </w:p>
    <w:p w14:paraId="2D29FE1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（1）残疾人福利性单位声明函</w:t>
      </w:r>
      <w:r>
        <w:rPr>
          <w:rFonts w:hint="eastAsia" w:asciiTheme="minorEastAsia" w:hAnsiTheme="minorEastAsia" w:eastAsiaTheme="minorEastAsia" w:cstheme="minorEastAsia"/>
          <w:b w:val="0"/>
          <w:bCs/>
          <w:color w:val="auto"/>
          <w:sz w:val="24"/>
          <w:szCs w:val="24"/>
          <w:highlight w:val="none"/>
          <w:lang w:val="en-US" w:eastAsia="zh-CN"/>
        </w:rPr>
        <w:t>【格式见附件三】；</w:t>
      </w:r>
    </w:p>
    <w:p w14:paraId="6ECEC781">
      <w:pPr>
        <w:pStyle w:val="33"/>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投标产品（服务）适用中小企业扶持政策情况表</w:t>
      </w:r>
      <w:r>
        <w:rPr>
          <w:rFonts w:hint="eastAsia" w:asciiTheme="minorEastAsia" w:hAnsiTheme="minorEastAsia" w:eastAsiaTheme="minorEastAsia" w:cstheme="minorEastAsia"/>
          <w:b w:val="0"/>
          <w:bCs/>
          <w:color w:val="auto"/>
          <w:sz w:val="24"/>
          <w:szCs w:val="24"/>
          <w:highlight w:val="none"/>
          <w:lang w:val="en-US" w:eastAsia="zh-CN"/>
        </w:rPr>
        <w:t>【格式见附件四】</w:t>
      </w:r>
      <w:r>
        <w:rPr>
          <w:rFonts w:hint="eastAsia" w:asciiTheme="minorEastAsia" w:hAnsiTheme="minorEastAsia" w:eastAsiaTheme="minorEastAsia" w:cstheme="minorEastAsia"/>
          <w:b w:val="0"/>
          <w:bCs/>
          <w:color w:val="auto"/>
          <w:sz w:val="24"/>
          <w:szCs w:val="24"/>
          <w:highlight w:val="none"/>
          <w:lang w:val="en-GB" w:eastAsia="zh-CN"/>
        </w:rPr>
        <w:t>。</w:t>
      </w:r>
    </w:p>
    <w:p w14:paraId="280DC93C">
      <w:pPr>
        <w:spacing w:line="440" w:lineRule="atLeas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119" w:name="_Toc19824"/>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w:t>
      </w:r>
      <w:bookmarkEnd w:id="119"/>
    </w:p>
    <w:p w14:paraId="301FFD5C">
      <w:pPr>
        <w:keepNext w:val="0"/>
        <w:keepLines w:val="0"/>
        <w:pageBreakBefore w:val="0"/>
        <w:widowControl w:val="0"/>
        <w:kinsoku/>
        <w:wordWrap/>
        <w:overflowPunct/>
        <w:topLinePunct w:val="0"/>
        <w:autoSpaceDE/>
        <w:autoSpaceDN/>
        <w:bidi w:val="0"/>
        <w:adjustRightInd/>
        <w:snapToGrid/>
        <w:spacing w:after="100" w:line="440" w:lineRule="atLeast"/>
        <w:ind w:left="0" w:leftChars="0" w:right="0" w:rightChars="0" w:firstLine="0" w:firstLineChars="0"/>
        <w:jc w:val="center"/>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中小企业声明函</w:t>
      </w:r>
    </w:p>
    <w:p w14:paraId="1E66EAF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本公司郑重声明，根据《政府采购促进中小企业发展暂行办法》（财库[2011]181号）的规定，本公司为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（请填写：中型、小型、微型）企业。即，本公司同时满足以下条件：</w:t>
      </w:r>
    </w:p>
    <w:p w14:paraId="3F20EA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（请填写：中型、小型、微型）企业。</w:t>
      </w:r>
    </w:p>
    <w:p w14:paraId="0007C6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2.本公司参加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项目采购活动提供本企业制造的货物，由本企业承担工程、提供服务，或者提供其他</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（请填写：中型、小型、微型）企业制造的货物。本条所称货物不包括使用大型企业注册商标的货物。</w:t>
      </w:r>
    </w:p>
    <w:p w14:paraId="47E03BF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本公司对上述声明的真实性负责。如有虚假，将依法承担相应责任。</w:t>
      </w:r>
    </w:p>
    <w:p w14:paraId="491070CD">
      <w:pPr>
        <w:spacing w:line="440" w:lineRule="atLeast"/>
        <w:rPr>
          <w:rFonts w:hint="eastAsia" w:asciiTheme="minorEastAsia" w:hAnsiTheme="minorEastAsia" w:eastAsiaTheme="minorEastAsia" w:cstheme="minorEastAsia"/>
          <w:color w:val="auto"/>
          <w:sz w:val="24"/>
          <w:szCs w:val="24"/>
          <w:highlight w:val="none"/>
        </w:rPr>
      </w:pPr>
    </w:p>
    <w:p w14:paraId="4C6CDF71">
      <w:pPr>
        <w:pStyle w:val="31"/>
        <w:rPr>
          <w:rFonts w:hint="eastAsia" w:asciiTheme="minorEastAsia" w:hAnsiTheme="minorEastAsia" w:eastAsiaTheme="minorEastAsia" w:cstheme="minorEastAsia"/>
          <w:color w:val="auto"/>
          <w:sz w:val="24"/>
          <w:szCs w:val="24"/>
          <w:highlight w:val="none"/>
        </w:rPr>
      </w:pPr>
    </w:p>
    <w:p w14:paraId="7C6B1471">
      <w:pPr>
        <w:pStyle w:val="31"/>
        <w:rPr>
          <w:rFonts w:hint="eastAsia" w:asciiTheme="minorEastAsia" w:hAnsiTheme="minorEastAsia" w:eastAsiaTheme="minorEastAsia" w:cstheme="minorEastAsia"/>
          <w:color w:val="auto"/>
          <w:sz w:val="24"/>
          <w:szCs w:val="24"/>
          <w:highlight w:val="none"/>
        </w:rPr>
      </w:pPr>
    </w:p>
    <w:p w14:paraId="234518CD">
      <w:pPr>
        <w:keepNext w:val="0"/>
        <w:keepLines w:val="0"/>
        <w:pageBreakBefore w:val="0"/>
        <w:widowControl w:val="0"/>
        <w:kinsoku/>
        <w:wordWrap/>
        <w:topLinePunct w:val="0"/>
        <w:bidi w:val="0"/>
        <w:adjustRightInd/>
        <w:snapToGrid/>
        <w:spacing w:line="440" w:lineRule="atLeast"/>
        <w:ind w:left="0" w:leftChars="0" w:right="0" w:rightChars="0" w:firstLine="482" w:firstLineChars="200"/>
        <w:jc w:val="both"/>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投标人</w:t>
      </w:r>
      <w:r>
        <w:rPr>
          <w:rFonts w:hint="eastAsia" w:asciiTheme="minorEastAsia" w:hAnsiTheme="minorEastAsia" w:eastAsiaTheme="minorEastAsia" w:cstheme="minorEastAsia"/>
          <w:b/>
          <w:bCs/>
          <w:color w:val="auto"/>
          <w:sz w:val="24"/>
          <w:szCs w:val="24"/>
          <w:highlight w:val="none"/>
        </w:rPr>
        <w:t>（盖章）：  </w:t>
      </w:r>
    </w:p>
    <w:p w14:paraId="62DE9265">
      <w:pPr>
        <w:keepNext w:val="0"/>
        <w:keepLines w:val="0"/>
        <w:pageBreakBefore w:val="0"/>
        <w:widowControl w:val="0"/>
        <w:kinsoku/>
        <w:wordWrap/>
        <w:topLinePunct w:val="0"/>
        <w:bidi w:val="0"/>
        <w:adjustRightInd/>
        <w:snapToGrid/>
        <w:spacing w:line="440" w:lineRule="atLeast"/>
        <w:ind w:left="0" w:leftChars="0" w:right="0" w:rightChars="0" w:firstLine="482" w:firstLineChars="200"/>
        <w:jc w:val="both"/>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              </w:t>
      </w:r>
    </w:p>
    <w:p w14:paraId="1124AF32">
      <w:pPr>
        <w:pStyle w:val="31"/>
        <w:keepNext w:val="0"/>
        <w:keepLines w:val="0"/>
        <w:pageBreakBefore w:val="0"/>
        <w:widowControl w:val="0"/>
        <w:kinsoku/>
        <w:wordWrap/>
        <w:topLinePunct w:val="0"/>
        <w:bidi w:val="0"/>
        <w:adjustRightInd/>
        <w:snapToGrid/>
        <w:ind w:left="0" w:leftChars="0" w:right="0" w:rightChars="0" w:firstLine="482" w:firstLineChars="200"/>
        <w:jc w:val="both"/>
        <w:outlineLvl w:val="9"/>
        <w:rPr>
          <w:rFonts w:hint="eastAsia" w:asciiTheme="minorEastAsia" w:hAnsiTheme="minorEastAsia" w:eastAsiaTheme="minorEastAsia" w:cstheme="minorEastAsia"/>
          <w:b/>
          <w:bCs/>
          <w:color w:val="auto"/>
          <w:sz w:val="24"/>
          <w:szCs w:val="24"/>
          <w:highlight w:val="none"/>
        </w:rPr>
      </w:pPr>
    </w:p>
    <w:p w14:paraId="71EF61C4">
      <w:pPr>
        <w:keepNext w:val="0"/>
        <w:keepLines w:val="0"/>
        <w:pageBreakBefore w:val="0"/>
        <w:widowControl w:val="0"/>
        <w:kinsoku/>
        <w:wordWrap/>
        <w:topLinePunct w:val="0"/>
        <w:bidi w:val="0"/>
        <w:adjustRightInd/>
        <w:snapToGrid/>
        <w:spacing w:line="440" w:lineRule="atLeast"/>
        <w:ind w:left="0" w:leftChars="0" w:right="0" w:rightChars="0" w:firstLine="482" w:firstLineChars="200"/>
        <w:jc w:val="both"/>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期：</w:t>
      </w:r>
    </w:p>
    <w:p w14:paraId="3AFC411F">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bCs/>
          <w:color w:val="auto"/>
          <w:sz w:val="24"/>
          <w:szCs w:val="24"/>
          <w:highlight w:val="none"/>
        </w:rPr>
      </w:pPr>
    </w:p>
    <w:p w14:paraId="72ECAA93">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667D9D98">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4F84A37C">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7B15A253">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234830CC">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55EF04A9">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4A07B559">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7C143471">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6108D425">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21D3E7C2">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color w:val="auto"/>
          <w:sz w:val="24"/>
          <w:szCs w:val="24"/>
          <w:highlight w:val="none"/>
        </w:rPr>
      </w:pPr>
    </w:p>
    <w:p w14:paraId="4B35D0A7">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bookmarkStart w:id="120" w:name="_Toc2940"/>
    </w:p>
    <w:p w14:paraId="0921832D">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color w:val="auto"/>
          <w:sz w:val="24"/>
          <w:szCs w:val="24"/>
          <w:highlight w:val="none"/>
        </w:rPr>
      </w:pPr>
    </w:p>
    <w:p w14:paraId="07A270FE">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附件</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 xml:space="preserve">   国家企业信用信息公示系统---小微企业名录”页面查询结果参考格式</w:t>
      </w:r>
      <w:bookmarkEnd w:id="120"/>
    </w:p>
    <w:p w14:paraId="71FC3F2A">
      <w:pPr>
        <w:pStyle w:val="28"/>
        <w:rPr>
          <w:rFonts w:hint="eastAsia"/>
          <w:color w:val="auto"/>
          <w:sz w:val="24"/>
          <w:szCs w:val="24"/>
          <w:highlight w:val="none"/>
        </w:rPr>
      </w:pPr>
    </w:p>
    <w:p w14:paraId="76577A8C">
      <w:pPr>
        <w:pStyle w:val="28"/>
        <w:rPr>
          <w:rFonts w:hint="eastAsia"/>
          <w:color w:val="auto"/>
          <w:sz w:val="24"/>
          <w:szCs w:val="24"/>
          <w:highlight w:val="none"/>
        </w:rPr>
      </w:pPr>
    </w:p>
    <w:p w14:paraId="4301B6CE">
      <w:pPr>
        <w:spacing w:line="440" w:lineRule="atLeast"/>
        <w:rPr>
          <w:rFonts w:hint="eastAsia" w:asciiTheme="minorEastAsia" w:hAnsiTheme="minorEastAsia" w:eastAsiaTheme="minorEastAsia" w:cstheme="minorEastAsia"/>
          <w:b/>
          <w:color w:val="auto"/>
          <w:sz w:val="24"/>
          <w:szCs w:val="24"/>
          <w:highlight w:val="none"/>
        </w:rPr>
      </w:pPr>
      <w:r>
        <w:rPr>
          <w:color w:val="auto"/>
          <w:sz w:val="24"/>
          <w:szCs w:val="24"/>
          <w:highlight w:val="none"/>
        </w:rPr>
        <w:drawing>
          <wp:inline distT="0" distB="0" distL="114300" distR="114300">
            <wp:extent cx="6043295" cy="1299845"/>
            <wp:effectExtent l="0" t="0" r="14605" b="146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1"/>
                    <a:stretch>
                      <a:fillRect/>
                    </a:stretch>
                  </pic:blipFill>
                  <pic:spPr>
                    <a:xfrm>
                      <a:off x="0" y="0"/>
                      <a:ext cx="6043295" cy="1299845"/>
                    </a:xfrm>
                    <a:prstGeom prst="rect">
                      <a:avLst/>
                    </a:prstGeom>
                    <a:noFill/>
                    <a:ln>
                      <a:noFill/>
                    </a:ln>
                  </pic:spPr>
                </pic:pic>
              </a:graphicData>
            </a:graphic>
          </wp:inline>
        </w:drawing>
      </w:r>
    </w:p>
    <w:p w14:paraId="77C14DED">
      <w:pPr>
        <w:spacing w:line="440" w:lineRule="atLeast"/>
        <w:rPr>
          <w:rFonts w:hint="eastAsia" w:asciiTheme="minorEastAsia" w:hAnsiTheme="minorEastAsia" w:eastAsiaTheme="minorEastAsia" w:cstheme="minorEastAsia"/>
          <w:b/>
          <w:color w:val="auto"/>
          <w:sz w:val="24"/>
          <w:szCs w:val="24"/>
          <w:highlight w:val="none"/>
        </w:rPr>
      </w:pPr>
    </w:p>
    <w:p w14:paraId="1B20421A">
      <w:pPr>
        <w:spacing w:line="440" w:lineRule="atLeast"/>
        <w:rPr>
          <w:rFonts w:hint="eastAsia" w:asciiTheme="minorEastAsia" w:hAnsiTheme="minorEastAsia" w:eastAsiaTheme="minorEastAsia" w:cstheme="minorEastAsia"/>
          <w:b/>
          <w:color w:val="auto"/>
          <w:sz w:val="24"/>
          <w:szCs w:val="24"/>
          <w:highlight w:val="none"/>
        </w:rPr>
      </w:pPr>
    </w:p>
    <w:p w14:paraId="63779A03">
      <w:pPr>
        <w:keepNext w:val="0"/>
        <w:keepLines w:val="0"/>
        <w:pageBreakBefore w:val="0"/>
        <w:widowControl w:val="0"/>
        <w:kinsoku/>
        <w:wordWrap/>
        <w:topLinePunct w:val="0"/>
        <w:bidi w:val="0"/>
        <w:adjustRightInd/>
        <w:snapToGrid/>
        <w:spacing w:line="440" w:lineRule="atLeast"/>
        <w:ind w:left="0" w:leftChars="0" w:right="0" w:rightChars="0" w:firstLine="482" w:firstLineChars="200"/>
        <w:jc w:val="both"/>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投标人</w:t>
      </w:r>
      <w:r>
        <w:rPr>
          <w:rFonts w:hint="eastAsia" w:asciiTheme="minorEastAsia" w:hAnsiTheme="minorEastAsia" w:eastAsiaTheme="minorEastAsia" w:cstheme="minorEastAsia"/>
          <w:b/>
          <w:bCs/>
          <w:color w:val="auto"/>
          <w:sz w:val="24"/>
          <w:szCs w:val="24"/>
          <w:highlight w:val="none"/>
        </w:rPr>
        <w:t>（盖章）：  </w:t>
      </w:r>
    </w:p>
    <w:p w14:paraId="1CE892D4">
      <w:pPr>
        <w:keepNext w:val="0"/>
        <w:keepLines w:val="0"/>
        <w:pageBreakBefore w:val="0"/>
        <w:widowControl w:val="0"/>
        <w:kinsoku/>
        <w:wordWrap/>
        <w:topLinePunct w:val="0"/>
        <w:bidi w:val="0"/>
        <w:adjustRightInd/>
        <w:snapToGrid/>
        <w:spacing w:line="440" w:lineRule="atLeast"/>
        <w:ind w:left="0" w:leftChars="0" w:right="0" w:rightChars="0" w:firstLine="482" w:firstLineChars="200"/>
        <w:jc w:val="both"/>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              </w:t>
      </w:r>
    </w:p>
    <w:p w14:paraId="74448B6E">
      <w:pPr>
        <w:pStyle w:val="31"/>
        <w:keepNext w:val="0"/>
        <w:keepLines w:val="0"/>
        <w:pageBreakBefore w:val="0"/>
        <w:widowControl w:val="0"/>
        <w:kinsoku/>
        <w:wordWrap/>
        <w:topLinePunct w:val="0"/>
        <w:bidi w:val="0"/>
        <w:adjustRightInd/>
        <w:snapToGrid/>
        <w:ind w:left="0" w:leftChars="0" w:right="0" w:rightChars="0" w:firstLine="482" w:firstLineChars="200"/>
        <w:jc w:val="both"/>
        <w:outlineLvl w:val="9"/>
        <w:rPr>
          <w:rFonts w:hint="eastAsia" w:asciiTheme="minorEastAsia" w:hAnsiTheme="minorEastAsia" w:eastAsiaTheme="minorEastAsia" w:cstheme="minorEastAsia"/>
          <w:b/>
          <w:bCs/>
          <w:color w:val="auto"/>
          <w:sz w:val="24"/>
          <w:szCs w:val="24"/>
          <w:highlight w:val="none"/>
        </w:rPr>
      </w:pPr>
    </w:p>
    <w:p w14:paraId="5089F7AE">
      <w:pPr>
        <w:spacing w:line="440" w:lineRule="atLeast"/>
        <w:ind w:left="0" w:leftChars="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期： </w:t>
      </w:r>
      <w:r>
        <w:rPr>
          <w:rFonts w:hint="eastAsia" w:asciiTheme="minorEastAsia" w:hAnsiTheme="minorEastAsia" w:eastAsiaTheme="minorEastAsia" w:cstheme="minorEastAsia"/>
          <w:color w:val="auto"/>
          <w:sz w:val="24"/>
          <w:szCs w:val="24"/>
          <w:highlight w:val="none"/>
        </w:rPr>
        <w:t> </w:t>
      </w:r>
    </w:p>
    <w:p w14:paraId="6EBA7C66">
      <w:pPr>
        <w:spacing w:line="440" w:lineRule="atLeast"/>
        <w:rPr>
          <w:rFonts w:hint="eastAsia" w:asciiTheme="minorEastAsia" w:hAnsiTheme="minorEastAsia" w:eastAsiaTheme="minorEastAsia" w:cstheme="minorEastAsia"/>
          <w:color w:val="auto"/>
          <w:sz w:val="24"/>
          <w:szCs w:val="24"/>
          <w:highlight w:val="none"/>
        </w:rPr>
      </w:pPr>
    </w:p>
    <w:p w14:paraId="78C52210">
      <w:pPr>
        <w:pStyle w:val="33"/>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br w:type="page"/>
      </w:r>
      <w:bookmarkStart w:id="121" w:name="_Toc10011"/>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val="en-US" w:eastAsia="zh-CN"/>
        </w:rPr>
        <w:t>三：</w:t>
      </w:r>
      <w:bookmarkEnd w:id="121"/>
      <w:r>
        <w:rPr>
          <w:rFonts w:hint="eastAsia" w:asciiTheme="minorEastAsia" w:hAnsiTheme="minorEastAsia" w:eastAsiaTheme="minorEastAsia" w:cstheme="minorEastAsia"/>
          <w:color w:val="auto"/>
          <w:sz w:val="24"/>
          <w:szCs w:val="24"/>
          <w:highlight w:val="none"/>
          <w:lang w:val="en-US" w:eastAsia="zh-CN"/>
        </w:rPr>
        <w:t xml:space="preserve"> </w:t>
      </w:r>
    </w:p>
    <w:p w14:paraId="5CCC16AE">
      <w:pPr>
        <w:pStyle w:val="3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Theme="minorEastAsia" w:hAnsiTheme="minorEastAsia" w:eastAsiaTheme="minorEastAsia" w:cstheme="minorEastAsia"/>
          <w:b/>
          <w:color w:val="auto"/>
          <w:sz w:val="24"/>
          <w:szCs w:val="24"/>
          <w:highlight w:val="none"/>
          <w:lang w:val="en-GB" w:eastAsia="zh-CN"/>
        </w:rPr>
      </w:pPr>
      <w:bookmarkStart w:id="122" w:name="OLE_LINK14"/>
      <w:r>
        <w:rPr>
          <w:rFonts w:hint="eastAsia" w:asciiTheme="minorEastAsia" w:hAnsiTheme="minorEastAsia" w:eastAsiaTheme="minorEastAsia" w:cstheme="minorEastAsia"/>
          <w:b/>
          <w:color w:val="auto"/>
          <w:sz w:val="24"/>
          <w:szCs w:val="24"/>
          <w:highlight w:val="none"/>
          <w:lang w:val="en-GB" w:eastAsia="zh-CN"/>
        </w:rPr>
        <w:t>残疾人福利性单位声明函</w:t>
      </w:r>
      <w:bookmarkEnd w:id="122"/>
    </w:p>
    <w:p w14:paraId="5B035145">
      <w:pPr>
        <w:pStyle w:val="3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Theme="minorEastAsia" w:hAnsiTheme="minorEastAsia" w:eastAsiaTheme="minorEastAsia" w:cstheme="minorEastAsia"/>
          <w:b/>
          <w:color w:val="auto"/>
          <w:sz w:val="24"/>
          <w:szCs w:val="24"/>
          <w:highlight w:val="none"/>
          <w:lang w:val="en-GB" w:eastAsia="zh-CN"/>
        </w:rPr>
      </w:pPr>
    </w:p>
    <w:p w14:paraId="78FBE545">
      <w:pPr>
        <w:spacing w:line="588"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2017</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141号）的规定，本单位为符合条件的残疾人福利性单位，且本单位参加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201F1DC2">
      <w:pPr>
        <w:spacing w:line="588"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p w14:paraId="1830269F">
      <w:pPr>
        <w:spacing w:line="588" w:lineRule="exact"/>
        <w:ind w:firstLine="504" w:firstLineChars="200"/>
        <w:rPr>
          <w:rFonts w:hint="eastAsia" w:asciiTheme="minorEastAsia" w:hAnsiTheme="minorEastAsia" w:eastAsiaTheme="minorEastAsia" w:cstheme="minorEastAsia"/>
          <w:color w:val="auto"/>
          <w:spacing w:val="6"/>
          <w:sz w:val="24"/>
          <w:szCs w:val="24"/>
          <w:highlight w:val="none"/>
        </w:rPr>
      </w:pPr>
    </w:p>
    <w:p w14:paraId="20237780">
      <w:pPr>
        <w:spacing w:line="588" w:lineRule="exact"/>
        <w:ind w:firstLine="504" w:firstLineChars="200"/>
        <w:rPr>
          <w:rFonts w:hint="eastAsia" w:asciiTheme="minorEastAsia" w:hAnsiTheme="minorEastAsia" w:eastAsiaTheme="minorEastAsia" w:cstheme="minorEastAsia"/>
          <w:color w:val="auto"/>
          <w:spacing w:val="6"/>
          <w:sz w:val="24"/>
          <w:szCs w:val="24"/>
          <w:highlight w:val="none"/>
        </w:rPr>
      </w:pPr>
    </w:p>
    <w:p w14:paraId="27AB96D6">
      <w:pPr>
        <w:keepNext w:val="0"/>
        <w:keepLines w:val="0"/>
        <w:pageBreakBefore w:val="0"/>
        <w:widowControl w:val="0"/>
        <w:kinsoku/>
        <w:wordWrap/>
        <w:topLinePunct w:val="0"/>
        <w:bidi w:val="0"/>
        <w:adjustRightInd/>
        <w:snapToGrid/>
        <w:spacing w:line="440" w:lineRule="atLeast"/>
        <w:ind w:left="0" w:leftChars="0" w:right="0" w:rightChars="0" w:firstLine="0" w:firstLineChars="0"/>
        <w:jc w:val="both"/>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投标人</w:t>
      </w:r>
      <w:r>
        <w:rPr>
          <w:rFonts w:hint="eastAsia" w:asciiTheme="minorEastAsia" w:hAnsiTheme="minorEastAsia" w:eastAsiaTheme="minorEastAsia" w:cstheme="minorEastAsia"/>
          <w:b/>
          <w:bCs/>
          <w:color w:val="auto"/>
          <w:sz w:val="24"/>
          <w:szCs w:val="24"/>
          <w:highlight w:val="none"/>
        </w:rPr>
        <w:t>（盖章）：  </w:t>
      </w:r>
    </w:p>
    <w:p w14:paraId="5DC59D70">
      <w:pPr>
        <w:keepNext w:val="0"/>
        <w:keepLines w:val="0"/>
        <w:pageBreakBefore w:val="0"/>
        <w:widowControl w:val="0"/>
        <w:kinsoku/>
        <w:wordWrap/>
        <w:topLinePunct w:val="0"/>
        <w:bidi w:val="0"/>
        <w:adjustRightInd/>
        <w:snapToGrid/>
        <w:spacing w:line="440" w:lineRule="atLeast"/>
        <w:ind w:left="139" w:leftChars="-403" w:right="0" w:rightChars="0" w:hanging="985" w:hangingChars="409"/>
        <w:jc w:val="both"/>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              </w:t>
      </w:r>
    </w:p>
    <w:p w14:paraId="7D6BB45F">
      <w:pPr>
        <w:pStyle w:val="31"/>
        <w:keepNext w:val="0"/>
        <w:keepLines w:val="0"/>
        <w:pageBreakBefore w:val="0"/>
        <w:widowControl w:val="0"/>
        <w:kinsoku/>
        <w:wordWrap/>
        <w:topLinePunct w:val="0"/>
        <w:bidi w:val="0"/>
        <w:adjustRightInd/>
        <w:snapToGrid/>
        <w:ind w:left="0" w:leftChars="0" w:right="0" w:rightChars="0" w:firstLine="0" w:firstLineChars="0"/>
        <w:jc w:val="both"/>
        <w:outlineLvl w:val="9"/>
        <w:rPr>
          <w:rFonts w:hint="eastAsia" w:asciiTheme="minorEastAsia" w:hAnsiTheme="minorEastAsia" w:eastAsiaTheme="minorEastAsia" w:cstheme="minorEastAsia"/>
          <w:b/>
          <w:bCs/>
          <w:color w:val="auto"/>
          <w:sz w:val="24"/>
          <w:szCs w:val="24"/>
          <w:highlight w:val="none"/>
        </w:rPr>
      </w:pPr>
    </w:p>
    <w:p w14:paraId="1479FF42">
      <w:pPr>
        <w:tabs>
          <w:tab w:val="left" w:pos="4860"/>
        </w:tabs>
        <w:spacing w:line="588" w:lineRule="exact"/>
        <w:ind w:left="0" w:leftChars="0" w:right="1560" w:firstLine="0" w:firstLineChars="0"/>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期： </w:t>
      </w:r>
    </w:p>
    <w:p w14:paraId="2D074151">
      <w:pPr>
        <w:tabs>
          <w:tab w:val="left" w:pos="4860"/>
        </w:tabs>
        <w:spacing w:line="588" w:lineRule="exact"/>
        <w:ind w:left="0" w:leftChars="0" w:right="1560" w:firstLine="0" w:firstLineChars="0"/>
        <w:jc w:val="both"/>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z w:val="24"/>
          <w:szCs w:val="24"/>
          <w:highlight w:val="none"/>
        </w:rPr>
        <w:t> </w:t>
      </w:r>
    </w:p>
    <w:p w14:paraId="5F100C49">
      <w:pPr>
        <w:tabs>
          <w:tab w:val="left" w:pos="4860"/>
        </w:tabs>
        <w:spacing w:line="588" w:lineRule="exact"/>
        <w:ind w:right="156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备注说明：</w:t>
      </w:r>
    </w:p>
    <w:p w14:paraId="5E98230F">
      <w:pPr>
        <w:tabs>
          <w:tab w:val="left" w:pos="4860"/>
        </w:tabs>
        <w:spacing w:line="588" w:lineRule="exact"/>
        <w:ind w:right="156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1、如中标，将在中标公示中将此残疾人福利性单位声明函予以公示，接受社会监督；</w:t>
      </w:r>
    </w:p>
    <w:p w14:paraId="7EC681A4">
      <w:pPr>
        <w:tabs>
          <w:tab w:val="left" w:pos="4860"/>
        </w:tabs>
        <w:spacing w:line="588" w:lineRule="exact"/>
        <w:ind w:right="-94" w:rightChars="0"/>
        <w:jc w:val="left"/>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b/>
          <w:color w:val="auto"/>
          <w:sz w:val="24"/>
          <w:szCs w:val="24"/>
          <w:highlight w:val="none"/>
        </w:rPr>
        <w:t>2、供应商提供的《残疾人福利性单位声明函》与事实不符的，依照《政府采购法》第七</w:t>
      </w: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七条第一款的规定追究法律责任。</w:t>
      </w:r>
    </w:p>
    <w:p w14:paraId="11E2D441">
      <w:pPr>
        <w:pStyle w:val="11"/>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E9DE3C1">
      <w:pPr>
        <w:pStyle w:val="11"/>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52D9132">
      <w:pPr>
        <w:pStyle w:val="11"/>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019A845E">
      <w:pPr>
        <w:pStyle w:val="11"/>
        <w:snapToGrid w:val="0"/>
        <w:spacing w:line="360" w:lineRule="auto"/>
        <w:rPr>
          <w:rFonts w:hint="eastAsia" w:asciiTheme="minorEastAsia" w:hAnsiTheme="minorEastAsia" w:eastAsiaTheme="minorEastAsia" w:cstheme="minorEastAsia"/>
          <w:color w:val="auto"/>
          <w:sz w:val="24"/>
          <w:szCs w:val="24"/>
          <w:highlight w:val="none"/>
        </w:rPr>
      </w:pPr>
    </w:p>
    <w:p w14:paraId="30FF97F9">
      <w:pPr>
        <w:pStyle w:val="11"/>
        <w:snapToGrid w:val="0"/>
        <w:spacing w:line="360" w:lineRule="auto"/>
        <w:rPr>
          <w:rFonts w:hint="eastAsia" w:asciiTheme="minorEastAsia" w:hAnsiTheme="minorEastAsia" w:eastAsiaTheme="minorEastAsia" w:cstheme="minorEastAsia"/>
          <w:color w:val="auto"/>
          <w:sz w:val="24"/>
          <w:szCs w:val="24"/>
          <w:highlight w:val="none"/>
        </w:rPr>
      </w:pPr>
    </w:p>
    <w:p w14:paraId="4001EE05">
      <w:pPr>
        <w:pStyle w:val="11"/>
        <w:snapToGrid w:val="0"/>
        <w:spacing w:line="360" w:lineRule="auto"/>
        <w:rPr>
          <w:rFonts w:hint="eastAsia" w:asciiTheme="minorEastAsia" w:hAnsiTheme="minorEastAsia" w:eastAsiaTheme="minorEastAsia" w:cstheme="minorEastAsia"/>
          <w:color w:val="auto"/>
          <w:sz w:val="24"/>
          <w:szCs w:val="24"/>
          <w:highlight w:val="none"/>
        </w:rPr>
      </w:pPr>
    </w:p>
    <w:p w14:paraId="1BC46EEE">
      <w:pPr>
        <w:pStyle w:val="33"/>
        <w:jc w:val="left"/>
        <w:rPr>
          <w:rFonts w:hint="eastAsia" w:asciiTheme="minorEastAsia" w:hAnsiTheme="minorEastAsia" w:eastAsiaTheme="minorEastAsia" w:cstheme="minorEastAsia"/>
          <w:color w:val="auto"/>
          <w:kern w:val="2"/>
          <w:sz w:val="24"/>
          <w:szCs w:val="24"/>
          <w:highlight w:val="none"/>
          <w:lang w:val="en-US" w:eastAsia="zh-CN" w:bidi="ar-SA"/>
        </w:rPr>
      </w:pPr>
      <w:bookmarkStart w:id="123" w:name="_Toc32693"/>
      <w:r>
        <w:rPr>
          <w:rFonts w:hint="eastAsia" w:asciiTheme="minorEastAsia" w:hAnsiTheme="minorEastAsia" w:eastAsiaTheme="minorEastAsia" w:cstheme="minorEastAsia"/>
          <w:color w:val="auto"/>
          <w:kern w:val="2"/>
          <w:sz w:val="24"/>
          <w:szCs w:val="24"/>
          <w:highlight w:val="none"/>
          <w:lang w:val="en-US" w:eastAsia="zh-CN" w:bidi="ar-SA"/>
        </w:rPr>
        <w:t>附件四：</w:t>
      </w:r>
      <w:bookmarkEnd w:id="123"/>
    </w:p>
    <w:p w14:paraId="61ADF6D8">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投标产品（服务）适用中小企业扶持政策情况表</w:t>
      </w:r>
    </w:p>
    <w:p w14:paraId="38B2FDF3">
      <w:pPr>
        <w:pStyle w:val="8"/>
        <w:spacing w:before="9"/>
        <w:rPr>
          <w:rFonts w:hint="eastAsia" w:asciiTheme="minorEastAsia" w:hAnsiTheme="minorEastAsia" w:eastAsiaTheme="minorEastAsia" w:cstheme="minorEastAsia"/>
          <w:b/>
          <w:color w:val="auto"/>
          <w:sz w:val="24"/>
          <w:szCs w:val="24"/>
          <w:highlight w:val="none"/>
        </w:rPr>
      </w:pPr>
    </w:p>
    <w:tbl>
      <w:tblPr>
        <w:tblStyle w:val="23"/>
        <w:tblW w:w="9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2782"/>
        <w:gridCol w:w="2132"/>
        <w:gridCol w:w="1825"/>
        <w:gridCol w:w="1686"/>
      </w:tblGrid>
      <w:tr w14:paraId="152F4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jc w:val="center"/>
        </w:trPr>
        <w:tc>
          <w:tcPr>
            <w:tcW w:w="9440" w:type="dxa"/>
            <w:gridSpan w:val="5"/>
            <w:noWrap w:val="0"/>
            <w:vAlign w:val="top"/>
          </w:tcPr>
          <w:p w14:paraId="3CEBAD56">
            <w:pPr>
              <w:pStyle w:val="34"/>
              <w:spacing w:line="360" w:lineRule="auto"/>
              <w:ind w:firstLine="240" w:firstLineChars="1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如属所列情形的，请在括号内打“√”：</w:t>
            </w:r>
          </w:p>
          <w:p w14:paraId="4BDCCF95">
            <w:pPr>
              <w:pStyle w:val="34"/>
              <w:numPr>
                <w:ilvl w:val="0"/>
                <w:numId w:val="0"/>
              </w:numPr>
              <w:tabs>
                <w:tab w:val="left" w:pos="266"/>
                <w:tab w:val="left" w:pos="6039"/>
              </w:tabs>
              <w:spacing w:before="0" w:after="0" w:line="360" w:lineRule="auto"/>
              <w:ind w:left="106" w:leftChars="0" w:right="0" w:right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小微企业响应且产品由本企业制造或服务由本企业承担的（</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6C5D87E9">
            <w:pPr>
              <w:pStyle w:val="34"/>
              <w:numPr>
                <w:ilvl w:val="0"/>
                <w:numId w:val="0"/>
              </w:numPr>
              <w:tabs>
                <w:tab w:val="left" w:pos="266"/>
                <w:tab w:val="left" w:pos="6459"/>
              </w:tabs>
              <w:spacing w:before="0" w:after="0" w:line="360" w:lineRule="auto"/>
              <w:ind w:left="106" w:leftChars="0" w:right="2357" w:rightChars="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小微企业响应但产品由其他企业制造或服务由其他企业承担的（</w:t>
            </w:r>
            <w:r>
              <w:rPr>
                <w:rFonts w:hint="eastAsia" w:asciiTheme="minorEastAsia" w:hAnsiTheme="minorEastAsia" w:eastAsiaTheme="minorEastAsia" w:cstheme="minorEastAsia"/>
                <w:color w:val="auto"/>
                <w:spacing w:val="-17"/>
                <w:sz w:val="24"/>
                <w:szCs w:val="24"/>
                <w:highlight w:val="none"/>
              </w:rPr>
              <w:t xml:space="preserve">） </w:t>
            </w:r>
            <w:r>
              <w:rPr>
                <w:rFonts w:hint="eastAsia" w:asciiTheme="minorEastAsia" w:hAnsiTheme="minorEastAsia" w:eastAsiaTheme="minorEastAsia" w:cstheme="minorEastAsia"/>
                <w:b/>
                <w:color w:val="auto"/>
                <w:sz w:val="24"/>
                <w:szCs w:val="24"/>
                <w:highlight w:val="none"/>
              </w:rPr>
              <w:t>注：监狱企业、残疾人福利性企业视同小微企业。</w:t>
            </w:r>
          </w:p>
        </w:tc>
      </w:tr>
      <w:tr w14:paraId="2EA09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1015" w:type="dxa"/>
            <w:noWrap w:val="0"/>
            <w:vAlign w:val="top"/>
          </w:tcPr>
          <w:p w14:paraId="33B2790E">
            <w:pPr>
              <w:pStyle w:val="34"/>
              <w:spacing w:before="2" w:line="360" w:lineRule="auto"/>
              <w:rPr>
                <w:rFonts w:hint="eastAsia" w:asciiTheme="minorEastAsia" w:hAnsiTheme="minorEastAsia" w:eastAsiaTheme="minorEastAsia" w:cstheme="minorEastAsia"/>
                <w:b/>
                <w:color w:val="auto"/>
                <w:sz w:val="24"/>
                <w:szCs w:val="24"/>
                <w:highlight w:val="none"/>
              </w:rPr>
            </w:pPr>
          </w:p>
          <w:p w14:paraId="01A4DC79">
            <w:pPr>
              <w:pStyle w:val="34"/>
              <w:spacing w:line="360" w:lineRule="auto"/>
              <w:ind w:left="253" w:right="249"/>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782" w:type="dxa"/>
            <w:noWrap w:val="0"/>
            <w:vAlign w:val="top"/>
          </w:tcPr>
          <w:p w14:paraId="78463DCD">
            <w:pPr>
              <w:pStyle w:val="34"/>
              <w:spacing w:before="2" w:line="360" w:lineRule="auto"/>
              <w:rPr>
                <w:rFonts w:hint="eastAsia" w:asciiTheme="minorEastAsia" w:hAnsiTheme="minorEastAsia" w:eastAsiaTheme="minorEastAsia" w:cstheme="minorEastAsia"/>
                <w:b/>
                <w:color w:val="auto"/>
                <w:sz w:val="24"/>
                <w:szCs w:val="24"/>
                <w:highlight w:val="none"/>
              </w:rPr>
            </w:pPr>
          </w:p>
          <w:p w14:paraId="0CB9B77D">
            <w:pPr>
              <w:pStyle w:val="34"/>
              <w:spacing w:line="360" w:lineRule="auto"/>
              <w:ind w:left="49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产品（服务）名称</w:t>
            </w:r>
          </w:p>
        </w:tc>
        <w:tc>
          <w:tcPr>
            <w:tcW w:w="2132" w:type="dxa"/>
            <w:noWrap w:val="0"/>
            <w:vAlign w:val="top"/>
          </w:tcPr>
          <w:p w14:paraId="62B92802">
            <w:pPr>
              <w:pStyle w:val="34"/>
              <w:spacing w:before="2" w:line="360" w:lineRule="auto"/>
              <w:rPr>
                <w:rFonts w:hint="eastAsia" w:asciiTheme="minorEastAsia" w:hAnsiTheme="minorEastAsia" w:eastAsiaTheme="minorEastAsia" w:cstheme="minorEastAsia"/>
                <w:b/>
                <w:color w:val="auto"/>
                <w:sz w:val="24"/>
                <w:szCs w:val="24"/>
                <w:highlight w:val="none"/>
              </w:rPr>
            </w:pPr>
          </w:p>
          <w:p w14:paraId="50A2CDCB">
            <w:pPr>
              <w:pStyle w:val="34"/>
              <w:spacing w:line="360" w:lineRule="auto"/>
              <w:ind w:left="686" w:right="676"/>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w:t>
            </w:r>
          </w:p>
        </w:tc>
        <w:tc>
          <w:tcPr>
            <w:tcW w:w="1825" w:type="dxa"/>
            <w:noWrap w:val="0"/>
            <w:vAlign w:val="top"/>
          </w:tcPr>
          <w:p w14:paraId="5F4FF562">
            <w:pPr>
              <w:pStyle w:val="34"/>
              <w:spacing w:before="56" w:line="360" w:lineRule="auto"/>
              <w:ind w:left="431" w:right="42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w:t>
            </w:r>
          </w:p>
          <w:p w14:paraId="69101010">
            <w:pPr>
              <w:pStyle w:val="34"/>
              <w:spacing w:before="110" w:line="360" w:lineRule="auto"/>
              <w:ind w:left="431" w:right="42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企业类型</w:t>
            </w:r>
          </w:p>
        </w:tc>
        <w:tc>
          <w:tcPr>
            <w:tcW w:w="1686" w:type="dxa"/>
            <w:noWrap w:val="0"/>
            <w:vAlign w:val="top"/>
          </w:tcPr>
          <w:p w14:paraId="394F8311">
            <w:pPr>
              <w:pStyle w:val="34"/>
              <w:spacing w:before="2" w:line="360" w:lineRule="auto"/>
              <w:rPr>
                <w:rFonts w:hint="eastAsia" w:asciiTheme="minorEastAsia" w:hAnsiTheme="minorEastAsia" w:eastAsiaTheme="minorEastAsia" w:cstheme="minorEastAsia"/>
                <w:b/>
                <w:color w:val="auto"/>
                <w:sz w:val="24"/>
                <w:szCs w:val="24"/>
                <w:highlight w:val="none"/>
              </w:rPr>
            </w:pPr>
          </w:p>
          <w:p w14:paraId="2FE93CFB">
            <w:pPr>
              <w:pStyle w:val="34"/>
              <w:spacing w:line="360" w:lineRule="auto"/>
              <w:ind w:left="574" w:right="56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金额</w:t>
            </w:r>
          </w:p>
        </w:tc>
      </w:tr>
      <w:tr w14:paraId="65338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noWrap w:val="0"/>
            <w:vAlign w:val="top"/>
          </w:tcPr>
          <w:p w14:paraId="7EDD35AC">
            <w:pPr>
              <w:pStyle w:val="34"/>
              <w:spacing w:line="360" w:lineRule="auto"/>
              <w:ind w:firstLine="474"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w w:val="99"/>
                <w:sz w:val="24"/>
                <w:szCs w:val="24"/>
                <w:highlight w:val="none"/>
                <w:lang w:val="en-US" w:eastAsia="zh-CN"/>
              </w:rPr>
              <w:t>1</w:t>
            </w:r>
          </w:p>
        </w:tc>
        <w:tc>
          <w:tcPr>
            <w:tcW w:w="2782" w:type="dxa"/>
            <w:noWrap w:val="0"/>
            <w:vAlign w:val="top"/>
          </w:tcPr>
          <w:p w14:paraId="116DD75C">
            <w:pPr>
              <w:pStyle w:val="34"/>
              <w:spacing w:line="360" w:lineRule="auto"/>
              <w:rPr>
                <w:rFonts w:hint="eastAsia" w:asciiTheme="minorEastAsia" w:hAnsiTheme="minorEastAsia" w:eastAsiaTheme="minorEastAsia" w:cstheme="minorEastAsia"/>
                <w:color w:val="auto"/>
                <w:sz w:val="24"/>
                <w:szCs w:val="24"/>
                <w:highlight w:val="none"/>
              </w:rPr>
            </w:pPr>
          </w:p>
        </w:tc>
        <w:tc>
          <w:tcPr>
            <w:tcW w:w="2132" w:type="dxa"/>
            <w:noWrap w:val="0"/>
            <w:vAlign w:val="top"/>
          </w:tcPr>
          <w:p w14:paraId="114BB9A6">
            <w:pPr>
              <w:pStyle w:val="34"/>
              <w:spacing w:line="360" w:lineRule="auto"/>
              <w:rPr>
                <w:rFonts w:hint="eastAsia" w:asciiTheme="minorEastAsia" w:hAnsiTheme="minorEastAsia" w:eastAsiaTheme="minorEastAsia" w:cstheme="minorEastAsia"/>
                <w:color w:val="auto"/>
                <w:sz w:val="24"/>
                <w:szCs w:val="24"/>
                <w:highlight w:val="none"/>
              </w:rPr>
            </w:pPr>
          </w:p>
        </w:tc>
        <w:tc>
          <w:tcPr>
            <w:tcW w:w="1825" w:type="dxa"/>
            <w:noWrap w:val="0"/>
            <w:vAlign w:val="top"/>
          </w:tcPr>
          <w:p w14:paraId="06957FF0">
            <w:pPr>
              <w:pStyle w:val="34"/>
              <w:spacing w:line="360" w:lineRule="auto"/>
              <w:rPr>
                <w:rFonts w:hint="eastAsia" w:asciiTheme="minorEastAsia" w:hAnsiTheme="minorEastAsia" w:eastAsiaTheme="minorEastAsia" w:cstheme="minorEastAsia"/>
                <w:color w:val="auto"/>
                <w:sz w:val="24"/>
                <w:szCs w:val="24"/>
                <w:highlight w:val="none"/>
              </w:rPr>
            </w:pPr>
          </w:p>
        </w:tc>
        <w:tc>
          <w:tcPr>
            <w:tcW w:w="1686" w:type="dxa"/>
            <w:noWrap w:val="0"/>
            <w:vAlign w:val="top"/>
          </w:tcPr>
          <w:p w14:paraId="36C34DBB">
            <w:pPr>
              <w:pStyle w:val="34"/>
              <w:spacing w:line="360" w:lineRule="auto"/>
              <w:rPr>
                <w:rFonts w:hint="eastAsia" w:asciiTheme="minorEastAsia" w:hAnsiTheme="minorEastAsia" w:eastAsiaTheme="minorEastAsia" w:cstheme="minorEastAsia"/>
                <w:color w:val="auto"/>
                <w:sz w:val="24"/>
                <w:szCs w:val="24"/>
                <w:highlight w:val="none"/>
              </w:rPr>
            </w:pPr>
          </w:p>
        </w:tc>
      </w:tr>
      <w:tr w14:paraId="2834A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noWrap w:val="0"/>
            <w:vAlign w:val="top"/>
          </w:tcPr>
          <w:p w14:paraId="24E70CF2">
            <w:pPr>
              <w:pStyle w:val="34"/>
              <w:spacing w:line="360" w:lineRule="auto"/>
              <w:ind w:firstLine="474"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w w:val="99"/>
                <w:sz w:val="24"/>
                <w:szCs w:val="24"/>
                <w:highlight w:val="none"/>
              </w:rPr>
              <w:t>2</w:t>
            </w:r>
          </w:p>
        </w:tc>
        <w:tc>
          <w:tcPr>
            <w:tcW w:w="2782" w:type="dxa"/>
            <w:noWrap w:val="0"/>
            <w:vAlign w:val="top"/>
          </w:tcPr>
          <w:p w14:paraId="70E6357C">
            <w:pPr>
              <w:pStyle w:val="34"/>
              <w:spacing w:line="360" w:lineRule="auto"/>
              <w:rPr>
                <w:rFonts w:hint="eastAsia" w:asciiTheme="minorEastAsia" w:hAnsiTheme="minorEastAsia" w:eastAsiaTheme="minorEastAsia" w:cstheme="minorEastAsia"/>
                <w:color w:val="auto"/>
                <w:sz w:val="24"/>
                <w:szCs w:val="24"/>
                <w:highlight w:val="none"/>
              </w:rPr>
            </w:pPr>
          </w:p>
        </w:tc>
        <w:tc>
          <w:tcPr>
            <w:tcW w:w="2132" w:type="dxa"/>
            <w:noWrap w:val="0"/>
            <w:vAlign w:val="top"/>
          </w:tcPr>
          <w:p w14:paraId="3439976C">
            <w:pPr>
              <w:pStyle w:val="34"/>
              <w:spacing w:line="360" w:lineRule="auto"/>
              <w:rPr>
                <w:rFonts w:hint="eastAsia" w:asciiTheme="minorEastAsia" w:hAnsiTheme="minorEastAsia" w:eastAsiaTheme="minorEastAsia" w:cstheme="minorEastAsia"/>
                <w:color w:val="auto"/>
                <w:sz w:val="24"/>
                <w:szCs w:val="24"/>
                <w:highlight w:val="none"/>
              </w:rPr>
            </w:pPr>
          </w:p>
        </w:tc>
        <w:tc>
          <w:tcPr>
            <w:tcW w:w="1825" w:type="dxa"/>
            <w:noWrap w:val="0"/>
            <w:vAlign w:val="top"/>
          </w:tcPr>
          <w:p w14:paraId="22DB29F7">
            <w:pPr>
              <w:pStyle w:val="34"/>
              <w:spacing w:line="360" w:lineRule="auto"/>
              <w:rPr>
                <w:rFonts w:hint="eastAsia" w:asciiTheme="minorEastAsia" w:hAnsiTheme="minorEastAsia" w:eastAsiaTheme="minorEastAsia" w:cstheme="minorEastAsia"/>
                <w:color w:val="auto"/>
                <w:sz w:val="24"/>
                <w:szCs w:val="24"/>
                <w:highlight w:val="none"/>
              </w:rPr>
            </w:pPr>
          </w:p>
        </w:tc>
        <w:tc>
          <w:tcPr>
            <w:tcW w:w="1686" w:type="dxa"/>
            <w:noWrap w:val="0"/>
            <w:vAlign w:val="top"/>
          </w:tcPr>
          <w:p w14:paraId="5FA5DAD0">
            <w:pPr>
              <w:pStyle w:val="34"/>
              <w:spacing w:line="360" w:lineRule="auto"/>
              <w:rPr>
                <w:rFonts w:hint="eastAsia" w:asciiTheme="minorEastAsia" w:hAnsiTheme="minorEastAsia" w:eastAsiaTheme="minorEastAsia" w:cstheme="minorEastAsia"/>
                <w:color w:val="auto"/>
                <w:sz w:val="24"/>
                <w:szCs w:val="24"/>
                <w:highlight w:val="none"/>
              </w:rPr>
            </w:pPr>
          </w:p>
        </w:tc>
      </w:tr>
      <w:tr w14:paraId="0A270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noWrap w:val="0"/>
            <w:vAlign w:val="top"/>
          </w:tcPr>
          <w:p w14:paraId="47B0246D">
            <w:pPr>
              <w:pStyle w:val="34"/>
              <w:spacing w:line="360" w:lineRule="auto"/>
              <w:ind w:firstLine="474"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w w:val="99"/>
                <w:sz w:val="24"/>
                <w:szCs w:val="24"/>
                <w:highlight w:val="none"/>
              </w:rPr>
              <w:t>3</w:t>
            </w:r>
          </w:p>
        </w:tc>
        <w:tc>
          <w:tcPr>
            <w:tcW w:w="2782" w:type="dxa"/>
            <w:noWrap w:val="0"/>
            <w:vAlign w:val="top"/>
          </w:tcPr>
          <w:p w14:paraId="53F3BCE6">
            <w:pPr>
              <w:pStyle w:val="34"/>
              <w:spacing w:line="360" w:lineRule="auto"/>
              <w:rPr>
                <w:rFonts w:hint="eastAsia" w:asciiTheme="minorEastAsia" w:hAnsiTheme="minorEastAsia" w:eastAsiaTheme="minorEastAsia" w:cstheme="minorEastAsia"/>
                <w:color w:val="auto"/>
                <w:sz w:val="24"/>
                <w:szCs w:val="24"/>
                <w:highlight w:val="none"/>
              </w:rPr>
            </w:pPr>
          </w:p>
        </w:tc>
        <w:tc>
          <w:tcPr>
            <w:tcW w:w="2132" w:type="dxa"/>
            <w:noWrap w:val="0"/>
            <w:vAlign w:val="top"/>
          </w:tcPr>
          <w:p w14:paraId="41E03D53">
            <w:pPr>
              <w:pStyle w:val="34"/>
              <w:spacing w:line="360" w:lineRule="auto"/>
              <w:rPr>
                <w:rFonts w:hint="eastAsia" w:asciiTheme="minorEastAsia" w:hAnsiTheme="minorEastAsia" w:eastAsiaTheme="minorEastAsia" w:cstheme="minorEastAsia"/>
                <w:color w:val="auto"/>
                <w:sz w:val="24"/>
                <w:szCs w:val="24"/>
                <w:highlight w:val="none"/>
              </w:rPr>
            </w:pPr>
          </w:p>
        </w:tc>
        <w:tc>
          <w:tcPr>
            <w:tcW w:w="1825" w:type="dxa"/>
            <w:noWrap w:val="0"/>
            <w:vAlign w:val="top"/>
          </w:tcPr>
          <w:p w14:paraId="5A440E10">
            <w:pPr>
              <w:pStyle w:val="34"/>
              <w:spacing w:line="360" w:lineRule="auto"/>
              <w:rPr>
                <w:rFonts w:hint="eastAsia" w:asciiTheme="minorEastAsia" w:hAnsiTheme="minorEastAsia" w:eastAsiaTheme="minorEastAsia" w:cstheme="minorEastAsia"/>
                <w:color w:val="auto"/>
                <w:sz w:val="24"/>
                <w:szCs w:val="24"/>
                <w:highlight w:val="none"/>
              </w:rPr>
            </w:pPr>
          </w:p>
        </w:tc>
        <w:tc>
          <w:tcPr>
            <w:tcW w:w="1686" w:type="dxa"/>
            <w:noWrap w:val="0"/>
            <w:vAlign w:val="top"/>
          </w:tcPr>
          <w:p w14:paraId="790BB712">
            <w:pPr>
              <w:pStyle w:val="34"/>
              <w:spacing w:line="360" w:lineRule="auto"/>
              <w:rPr>
                <w:rFonts w:hint="eastAsia" w:asciiTheme="minorEastAsia" w:hAnsiTheme="minorEastAsia" w:eastAsiaTheme="minorEastAsia" w:cstheme="minorEastAsia"/>
                <w:color w:val="auto"/>
                <w:sz w:val="24"/>
                <w:szCs w:val="24"/>
                <w:highlight w:val="none"/>
              </w:rPr>
            </w:pPr>
          </w:p>
        </w:tc>
      </w:tr>
      <w:tr w14:paraId="39830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noWrap w:val="0"/>
            <w:vAlign w:val="top"/>
          </w:tcPr>
          <w:p w14:paraId="6D29AF64">
            <w:pPr>
              <w:pStyle w:val="34"/>
              <w:spacing w:line="360" w:lineRule="auto"/>
              <w:ind w:right="249" w:firstLine="240" w:firstLineChars="1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2782" w:type="dxa"/>
            <w:noWrap w:val="0"/>
            <w:vAlign w:val="top"/>
          </w:tcPr>
          <w:p w14:paraId="36C3F3D0">
            <w:pPr>
              <w:pStyle w:val="34"/>
              <w:spacing w:line="360" w:lineRule="auto"/>
              <w:rPr>
                <w:rFonts w:hint="eastAsia" w:asciiTheme="minorEastAsia" w:hAnsiTheme="minorEastAsia" w:eastAsiaTheme="minorEastAsia" w:cstheme="minorEastAsia"/>
                <w:color w:val="auto"/>
                <w:sz w:val="24"/>
                <w:szCs w:val="24"/>
                <w:highlight w:val="none"/>
              </w:rPr>
            </w:pPr>
          </w:p>
        </w:tc>
        <w:tc>
          <w:tcPr>
            <w:tcW w:w="2132" w:type="dxa"/>
            <w:noWrap w:val="0"/>
            <w:vAlign w:val="top"/>
          </w:tcPr>
          <w:p w14:paraId="1AD2168A">
            <w:pPr>
              <w:pStyle w:val="34"/>
              <w:spacing w:line="360" w:lineRule="auto"/>
              <w:rPr>
                <w:rFonts w:hint="eastAsia" w:asciiTheme="minorEastAsia" w:hAnsiTheme="minorEastAsia" w:eastAsiaTheme="minorEastAsia" w:cstheme="minorEastAsia"/>
                <w:color w:val="auto"/>
                <w:sz w:val="24"/>
                <w:szCs w:val="24"/>
                <w:highlight w:val="none"/>
              </w:rPr>
            </w:pPr>
          </w:p>
        </w:tc>
        <w:tc>
          <w:tcPr>
            <w:tcW w:w="1825" w:type="dxa"/>
            <w:noWrap w:val="0"/>
            <w:vAlign w:val="top"/>
          </w:tcPr>
          <w:p w14:paraId="240D2181">
            <w:pPr>
              <w:pStyle w:val="34"/>
              <w:spacing w:line="360" w:lineRule="auto"/>
              <w:rPr>
                <w:rFonts w:hint="eastAsia" w:asciiTheme="minorEastAsia" w:hAnsiTheme="minorEastAsia" w:eastAsiaTheme="minorEastAsia" w:cstheme="minorEastAsia"/>
                <w:color w:val="auto"/>
                <w:sz w:val="24"/>
                <w:szCs w:val="24"/>
                <w:highlight w:val="none"/>
              </w:rPr>
            </w:pPr>
          </w:p>
        </w:tc>
        <w:tc>
          <w:tcPr>
            <w:tcW w:w="1686" w:type="dxa"/>
            <w:noWrap w:val="0"/>
            <w:vAlign w:val="top"/>
          </w:tcPr>
          <w:p w14:paraId="22C3DB5A">
            <w:pPr>
              <w:pStyle w:val="34"/>
              <w:spacing w:line="360" w:lineRule="auto"/>
              <w:rPr>
                <w:rFonts w:hint="eastAsia" w:asciiTheme="minorEastAsia" w:hAnsiTheme="minorEastAsia" w:eastAsiaTheme="minorEastAsia" w:cstheme="minorEastAsia"/>
                <w:color w:val="auto"/>
                <w:sz w:val="24"/>
                <w:szCs w:val="24"/>
                <w:highlight w:val="none"/>
              </w:rPr>
            </w:pPr>
          </w:p>
        </w:tc>
      </w:tr>
      <w:tr w14:paraId="3527F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754" w:type="dxa"/>
            <w:gridSpan w:val="4"/>
            <w:noWrap w:val="0"/>
            <w:vAlign w:val="top"/>
          </w:tcPr>
          <w:p w14:paraId="4FDA47EA">
            <w:pPr>
              <w:pStyle w:val="34"/>
              <w:spacing w:line="360" w:lineRule="auto"/>
              <w:ind w:firstLine="1200" w:firstLineChars="5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小型、微型企业产品（服务）金额合计</w:t>
            </w:r>
          </w:p>
        </w:tc>
        <w:tc>
          <w:tcPr>
            <w:tcW w:w="1686" w:type="dxa"/>
            <w:noWrap w:val="0"/>
            <w:vAlign w:val="top"/>
          </w:tcPr>
          <w:p w14:paraId="73D29FBF">
            <w:pPr>
              <w:pStyle w:val="34"/>
              <w:spacing w:line="360" w:lineRule="auto"/>
              <w:rPr>
                <w:rFonts w:hint="eastAsia" w:asciiTheme="minorEastAsia" w:hAnsiTheme="minorEastAsia" w:eastAsiaTheme="minorEastAsia" w:cstheme="minorEastAsia"/>
                <w:color w:val="auto"/>
                <w:sz w:val="24"/>
                <w:szCs w:val="24"/>
                <w:highlight w:val="none"/>
              </w:rPr>
            </w:pPr>
          </w:p>
        </w:tc>
      </w:tr>
    </w:tbl>
    <w:p w14:paraId="152FECDB">
      <w:pPr>
        <w:pStyle w:val="8"/>
        <w:spacing w:before="70" w:line="360" w:lineRule="auto"/>
        <w:ind w:left="21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注：1、非小型或微型企业无需填写此表，本表所填产品名称、规格型号和制造商、金额须与《开标一览表》相应项一致。</w:t>
      </w:r>
    </w:p>
    <w:p w14:paraId="769BFA5B">
      <w:pPr>
        <w:pStyle w:val="8"/>
        <w:spacing w:before="70" w:line="360" w:lineRule="auto"/>
        <w:ind w:left="21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2、“制造商企业类型”栏，填写内容为“小型”、“微型”或“监狱企业”、“残疾人福利性企业”。</w:t>
      </w:r>
    </w:p>
    <w:p w14:paraId="0F648F4D">
      <w:pPr>
        <w:pStyle w:val="8"/>
        <w:spacing w:before="70" w:line="360" w:lineRule="auto"/>
        <w:ind w:left="21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3、所填内容将作为报价评分的依据，请投标人正确填写本表并确保内容真实。</w:t>
      </w:r>
    </w:p>
    <w:p w14:paraId="003E9460">
      <w:pPr>
        <w:pStyle w:val="9"/>
        <w:rPr>
          <w:rFonts w:hint="eastAsia"/>
          <w:color w:val="auto"/>
          <w:sz w:val="24"/>
          <w:szCs w:val="24"/>
          <w:highlight w:val="none"/>
        </w:rPr>
      </w:pPr>
    </w:p>
    <w:p w14:paraId="74C34163">
      <w:pPr>
        <w:keepNext w:val="0"/>
        <w:keepLines w:val="0"/>
        <w:pageBreakBefore w:val="0"/>
        <w:widowControl w:val="0"/>
        <w:kinsoku/>
        <w:wordWrap/>
        <w:topLinePunct w:val="0"/>
        <w:bidi w:val="0"/>
        <w:adjustRightInd/>
        <w:snapToGrid/>
        <w:spacing w:line="440" w:lineRule="atLeast"/>
        <w:ind w:left="0" w:leftChars="0" w:right="0" w:rightChars="0" w:firstLine="251" w:firstLineChars="104"/>
        <w:jc w:val="both"/>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投标人</w:t>
      </w:r>
      <w:r>
        <w:rPr>
          <w:rFonts w:hint="eastAsia" w:asciiTheme="minorEastAsia" w:hAnsiTheme="minorEastAsia" w:eastAsiaTheme="minorEastAsia" w:cstheme="minorEastAsia"/>
          <w:b/>
          <w:bCs/>
          <w:color w:val="auto"/>
          <w:sz w:val="24"/>
          <w:szCs w:val="24"/>
          <w:highlight w:val="none"/>
        </w:rPr>
        <w:t>（盖章）：  </w:t>
      </w:r>
    </w:p>
    <w:p w14:paraId="11F38748">
      <w:pPr>
        <w:pStyle w:val="31"/>
        <w:keepNext w:val="0"/>
        <w:keepLines w:val="0"/>
        <w:pageBreakBefore w:val="0"/>
        <w:widowControl w:val="0"/>
        <w:kinsoku/>
        <w:wordWrap/>
        <w:topLinePunct w:val="0"/>
        <w:bidi w:val="0"/>
        <w:adjustRightInd/>
        <w:snapToGrid/>
        <w:ind w:left="0" w:leftChars="0" w:right="0" w:rightChars="0" w:firstLine="251" w:firstLineChars="104"/>
        <w:jc w:val="both"/>
        <w:outlineLvl w:val="9"/>
        <w:rPr>
          <w:rFonts w:hint="eastAsia" w:asciiTheme="minorEastAsia" w:hAnsiTheme="minorEastAsia" w:eastAsiaTheme="minorEastAsia" w:cstheme="minorEastAsia"/>
          <w:b/>
          <w:bCs/>
          <w:color w:val="auto"/>
          <w:sz w:val="24"/>
          <w:szCs w:val="24"/>
          <w:highlight w:val="none"/>
        </w:rPr>
      </w:pPr>
    </w:p>
    <w:p w14:paraId="6875EC83">
      <w:pPr>
        <w:tabs>
          <w:tab w:val="left" w:pos="4860"/>
        </w:tabs>
        <w:spacing w:line="588" w:lineRule="exact"/>
        <w:ind w:left="0" w:leftChars="0" w:right="1560" w:firstLine="251" w:firstLineChars="104"/>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期： </w:t>
      </w:r>
    </w:p>
    <w:p w14:paraId="02BB1807">
      <w:pPr>
        <w:pStyle w:val="21"/>
        <w:ind w:left="0" w:leftChars="0" w:firstLine="0" w:firstLineChars="0"/>
        <w:rPr>
          <w:rFonts w:hint="eastAsia" w:ascii="宋体" w:hAnsi="宋体" w:eastAsia="宋体" w:cs="宋体"/>
          <w:color w:val="auto"/>
          <w:sz w:val="24"/>
          <w:szCs w:val="24"/>
          <w:highlight w:val="none"/>
        </w:rPr>
      </w:pPr>
    </w:p>
    <w:p w14:paraId="4B75B46D">
      <w:pPr>
        <w:tabs>
          <w:tab w:val="left" w:pos="4860"/>
        </w:tabs>
        <w:spacing w:line="588" w:lineRule="exact"/>
        <w:ind w:right="-94" w:rightChars="0"/>
        <w:jc w:val="center"/>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br w:type="page"/>
      </w:r>
      <w:bookmarkStart w:id="124" w:name="_Toc5518"/>
      <w:r>
        <w:rPr>
          <w:rFonts w:hint="eastAsia" w:ascii="宋体" w:hAnsi="宋体" w:eastAsia="宋体" w:cs="宋体"/>
          <w:b/>
          <w:bCs/>
          <w:color w:val="auto"/>
          <w:sz w:val="36"/>
          <w:szCs w:val="36"/>
          <w:highlight w:val="none"/>
          <w:lang w:eastAsia="zh-CN"/>
        </w:rPr>
        <w:t>第三章</w:t>
      </w:r>
      <w:r>
        <w:rPr>
          <w:rFonts w:hint="eastAsia" w:ascii="宋体" w:hAnsi="宋体" w:eastAsia="宋体" w:cs="宋体"/>
          <w:b/>
          <w:bCs/>
          <w:color w:val="auto"/>
          <w:sz w:val="36"/>
          <w:szCs w:val="36"/>
          <w:highlight w:val="none"/>
        </w:rPr>
        <w:t xml:space="preserve"> </w:t>
      </w:r>
      <w:bookmarkEnd w:id="95"/>
      <w:bookmarkEnd w:id="96"/>
      <w:bookmarkEnd w:id="97"/>
      <w:bookmarkEnd w:id="98"/>
      <w:bookmarkEnd w:id="99"/>
      <w:bookmarkEnd w:id="124"/>
      <w:r>
        <w:rPr>
          <w:rFonts w:hint="eastAsia" w:ascii="宋体" w:hAnsi="宋体" w:eastAsia="宋体" w:cs="宋体"/>
          <w:b/>
          <w:bCs/>
          <w:color w:val="auto"/>
          <w:sz w:val="36"/>
          <w:szCs w:val="36"/>
          <w:highlight w:val="none"/>
          <w:lang w:val="zh-TW" w:eastAsia="zh-TW"/>
        </w:rPr>
        <w:t>采购内容及要求</w:t>
      </w:r>
    </w:p>
    <w:p w14:paraId="45D63887">
      <w:pPr>
        <w:widowControl w:val="0"/>
        <w:adjustRightInd/>
        <w:snapToGrid/>
        <w:spacing w:after="0" w:line="500" w:lineRule="exact"/>
        <w:ind w:firstLine="480" w:firstLineChars="200"/>
        <w:jc w:val="both"/>
        <w:rPr>
          <w:rFonts w:hint="eastAsia"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一、采购内容及配置参数要求</w:t>
      </w:r>
    </w:p>
    <w:tbl>
      <w:tblPr>
        <w:tblStyle w:val="24"/>
        <w:tblW w:w="9838"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725"/>
        <w:gridCol w:w="7735"/>
        <w:gridCol w:w="865"/>
      </w:tblGrid>
      <w:tr w14:paraId="6AFD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13" w:type="dxa"/>
            <w:vAlign w:val="center"/>
          </w:tcPr>
          <w:p w14:paraId="171E7EF5">
            <w:pPr>
              <w:pStyle w:val="17"/>
              <w:ind w:left="0" w:leftChars="0" w:firstLine="0" w:firstLineChars="0"/>
              <w:jc w:val="center"/>
              <w:rPr>
                <w:rFonts w:hint="eastAsia"/>
                <w:color w:val="auto"/>
                <w:highlight w:val="none"/>
                <w:vertAlign w:val="baseline"/>
                <w:lang w:eastAsia="zh-CN"/>
              </w:rPr>
            </w:pPr>
            <w:r>
              <w:rPr>
                <w:rFonts w:hint="eastAsia"/>
                <w:color w:val="auto"/>
                <w:highlight w:val="none"/>
                <w:vertAlign w:val="baseline"/>
                <w:lang w:eastAsia="zh-CN"/>
              </w:rPr>
              <w:t>序号</w:t>
            </w:r>
          </w:p>
        </w:tc>
        <w:tc>
          <w:tcPr>
            <w:tcW w:w="725" w:type="dxa"/>
            <w:vAlign w:val="center"/>
          </w:tcPr>
          <w:p w14:paraId="5310722B">
            <w:pPr>
              <w:pStyle w:val="17"/>
              <w:ind w:left="0" w:leftChars="0" w:firstLine="0" w:firstLineChars="0"/>
              <w:jc w:val="center"/>
              <w:rPr>
                <w:rFonts w:hint="eastAsia"/>
                <w:color w:val="auto"/>
                <w:highlight w:val="none"/>
                <w:vertAlign w:val="baseline"/>
                <w:lang w:eastAsia="zh-CN"/>
              </w:rPr>
            </w:pPr>
            <w:r>
              <w:rPr>
                <w:rFonts w:hint="eastAsia" w:eastAsia="宋体" w:cs="Times New Roman"/>
                <w:color w:val="auto"/>
                <w:highlight w:val="none"/>
                <w:vertAlign w:val="baseline"/>
                <w:lang w:val="en-US" w:eastAsia="zh-CN"/>
              </w:rPr>
              <w:t>产品名称</w:t>
            </w:r>
          </w:p>
        </w:tc>
        <w:tc>
          <w:tcPr>
            <w:tcW w:w="7735" w:type="dxa"/>
            <w:vAlign w:val="center"/>
          </w:tcPr>
          <w:p w14:paraId="095BF314">
            <w:pPr>
              <w:pStyle w:val="17"/>
              <w:ind w:left="0" w:leftChars="0" w:firstLine="0" w:firstLineChars="0"/>
              <w:jc w:val="center"/>
              <w:rPr>
                <w:rFonts w:hint="eastAsia"/>
                <w:color w:val="auto"/>
                <w:highlight w:val="none"/>
                <w:vertAlign w:val="baseline"/>
                <w:lang w:eastAsia="zh-CN"/>
              </w:rPr>
            </w:pPr>
            <w:r>
              <w:rPr>
                <w:rFonts w:hint="eastAsia"/>
                <w:color w:val="auto"/>
                <w:highlight w:val="none"/>
                <w:vertAlign w:val="baseline"/>
                <w:lang w:eastAsia="zh-CN"/>
              </w:rPr>
              <w:t>材质品种、规格 、型号</w:t>
            </w:r>
          </w:p>
        </w:tc>
        <w:tc>
          <w:tcPr>
            <w:tcW w:w="865" w:type="dxa"/>
            <w:vAlign w:val="center"/>
          </w:tcPr>
          <w:p w14:paraId="6AC2312B">
            <w:pPr>
              <w:keepNext w:val="0"/>
              <w:keepLines w:val="0"/>
              <w:widowControl/>
              <w:suppressLineNumbers w:val="0"/>
              <w:jc w:val="center"/>
              <w:textAlignment w:val="center"/>
              <w:rPr>
                <w:rFonts w:hint="eastAsia"/>
                <w:color w:val="auto"/>
                <w:highlight w:val="none"/>
                <w:vertAlign w:val="baseline"/>
                <w:lang w:eastAsia="zh-CN"/>
              </w:rPr>
            </w:pPr>
            <w:r>
              <w:rPr>
                <w:rFonts w:hint="default" w:ascii="Arial" w:hAnsi="Arial" w:eastAsia="宋体" w:cs="Arial"/>
                <w:i w:val="0"/>
                <w:iCs w:val="0"/>
                <w:color w:val="auto"/>
                <w:kern w:val="0"/>
                <w:sz w:val="20"/>
                <w:szCs w:val="20"/>
                <w:highlight w:val="none"/>
                <w:u w:val="none"/>
                <w:lang w:val="en-US" w:eastAsia="zh-CN" w:bidi="ar"/>
              </w:rPr>
              <w:t>消耗量</w:t>
            </w:r>
          </w:p>
        </w:tc>
      </w:tr>
      <w:tr w14:paraId="4515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13" w:type="dxa"/>
            <w:vAlign w:val="center"/>
          </w:tcPr>
          <w:p w14:paraId="359B6114">
            <w:pPr>
              <w:pStyle w:val="17"/>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w:t>
            </w:r>
          </w:p>
        </w:tc>
        <w:tc>
          <w:tcPr>
            <w:tcW w:w="725" w:type="dxa"/>
            <w:vAlign w:val="center"/>
          </w:tcPr>
          <w:p w14:paraId="2419635C">
            <w:pPr>
              <w:pStyle w:val="17"/>
              <w:ind w:left="0" w:leftChars="0" w:firstLine="0" w:firstLineChars="0"/>
              <w:jc w:val="center"/>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发育评估箱</w:t>
            </w:r>
          </w:p>
        </w:tc>
        <w:tc>
          <w:tcPr>
            <w:tcW w:w="7735" w:type="dxa"/>
            <w:vAlign w:val="center"/>
          </w:tcPr>
          <w:p w14:paraId="153F9D73">
            <w:pPr>
              <w:pStyle w:val="17"/>
              <w:tabs>
                <w:tab w:val="left" w:pos="521"/>
              </w:tabs>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1</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原装正版，提供Griffiths资格认证培训名额。</w:t>
            </w:r>
          </w:p>
          <w:p w14:paraId="0C1EFB9A">
            <w:pPr>
              <w:pStyle w:val="17"/>
              <w:tabs>
                <w:tab w:val="left" w:pos="521"/>
              </w:tabs>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2</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操作手册需中文。</w:t>
            </w:r>
          </w:p>
          <w:p w14:paraId="7C0B4F74">
            <w:pPr>
              <w:pStyle w:val="17"/>
              <w:tabs>
                <w:tab w:val="left" w:pos="521"/>
              </w:tabs>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3</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适用于的儿童年龄段:0至8岁。具有国际儿童发育评估领域先进水平。</w:t>
            </w:r>
          </w:p>
          <w:p w14:paraId="25A65992">
            <w:pPr>
              <w:pStyle w:val="17"/>
              <w:tabs>
                <w:tab w:val="left" w:pos="521"/>
              </w:tabs>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4</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发育评估量表需包括6个领域:</w:t>
            </w:r>
          </w:p>
          <w:p w14:paraId="06854868">
            <w:pPr>
              <w:pStyle w:val="17"/>
              <w:tabs>
                <w:tab w:val="left" w:pos="521"/>
              </w:tabs>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4.1 运动：该领域测试孩子的运动技能，包括平衡性和协调控制动作的能力进行评估。测试项目包括与孩子年龄相对应的运动如:上下楼梯、踢球、骑自行车、小跳和跳跃等。</w:t>
            </w:r>
          </w:p>
          <w:p w14:paraId="7DCD9CBE">
            <w:pPr>
              <w:pStyle w:val="17"/>
              <w:tabs>
                <w:tab w:val="left" w:pos="521"/>
              </w:tabs>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4.2个人-社会：该领域评估孩子日常生活的熟练性，独立程度和与其他孩子的交往能力。测试项目包括与孩子年龄相对应的活动如:穿脱衣服、使用餐具、运用知识信息的能力，例如是否知道生日或住址等。</w:t>
            </w:r>
          </w:p>
          <w:p w14:paraId="34B80FA2">
            <w:pPr>
              <w:pStyle w:val="17"/>
              <w:tabs>
                <w:tab w:val="left" w:pos="521"/>
              </w:tabs>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4.3语言：该领域测试孩子接受和表达语言的能力。测试的项目包括与孩子年龄相对应的活动如:说出物体的颜色和名称，重复话语以及描述副图画并回答一系列关于内容的相同点/不同点的问题等。</w:t>
            </w:r>
          </w:p>
          <w:p w14:paraId="55BABF43">
            <w:pPr>
              <w:pStyle w:val="17"/>
              <w:tabs>
                <w:tab w:val="left" w:pos="521"/>
              </w:tabs>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4.4手眼协调：该领域评估孩子精细运动的技巧，手部灵巧性和视觉追踪能力使用的项目包括与孩子年龄相对应的活动如:串珠子、用剪刀剪、复制图形、写字母和数字等。</w:t>
            </w:r>
          </w:p>
          <w:p w14:paraId="7B0E743B">
            <w:pPr>
              <w:pStyle w:val="17"/>
              <w:tabs>
                <w:tab w:val="left" w:pos="521"/>
              </w:tabs>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4.5 表现：该领域测试孩子视觉空间能力，包括工作的速度及准确性。测试的项目包括与孩子年龄相对应的活动如:搭建桥或楼梯，完成拼图和模型制作等。</w:t>
            </w:r>
          </w:p>
          <w:p w14:paraId="01F528D5">
            <w:pPr>
              <w:pStyle w:val="17"/>
              <w:tabs>
                <w:tab w:val="left" w:pos="521"/>
              </w:tabs>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4.6实际推理：该领域评估孩子实际解决问题的能力，对数学基本概念的理解及有关道德和顺序问题的理解。测试的项目包括与孩子年龄相对应的活动如:数数，比较大小，形状，高矮。这个领域也测试孩子对日期的理解，视觉排序能力及对错与对的认识与理解。</w:t>
            </w:r>
          </w:p>
          <w:p w14:paraId="2D5554E0">
            <w:pPr>
              <w:pStyle w:val="17"/>
              <w:tabs>
                <w:tab w:val="left" w:pos="521"/>
              </w:tabs>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5</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该发育评估量表在国内各大医院已投入使用，且结果显示该种发育评估量表可以有效地评估中国儿童的运动功能、学习困难程度先天精神发育状况和发育障碍综合症，视力缺陷、自闭症、早产程度和社交/情感发育能力，并根据孩子0到8岁大脑发育各个阶段的对应标准进行可靠对比，提供实用分析，得到明确诊断结果。</w:t>
            </w:r>
          </w:p>
          <w:p w14:paraId="37020109">
            <w:pPr>
              <w:pStyle w:val="17"/>
              <w:tabs>
                <w:tab w:val="left" w:pos="521"/>
              </w:tabs>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6</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该测量表包括的工具及其材料对儿童安全无害，符合国家标准。</w:t>
            </w:r>
          </w:p>
        </w:tc>
        <w:tc>
          <w:tcPr>
            <w:tcW w:w="865" w:type="dxa"/>
            <w:vAlign w:val="center"/>
          </w:tcPr>
          <w:p w14:paraId="5F169D3F">
            <w:pPr>
              <w:pStyle w:val="17"/>
              <w:ind w:left="0" w:leftChars="0" w:firstLine="0" w:firstLineChars="0"/>
              <w:jc w:val="center"/>
              <w:rPr>
                <w:rFonts w:hint="default" w:eastAsia="宋体" w:cs="Times New Roman"/>
                <w:color w:val="auto"/>
                <w:highlight w:val="none"/>
                <w:vertAlign w:val="baseline"/>
                <w:lang w:val="en-US" w:eastAsia="zh-CN"/>
              </w:rPr>
            </w:pPr>
            <w:r>
              <w:rPr>
                <w:rFonts w:hint="eastAsia" w:eastAsia="宋体" w:cs="Times New Roman"/>
                <w:color w:val="auto"/>
                <w:highlight w:val="none"/>
                <w:vertAlign w:val="baseline"/>
                <w:lang w:val="en-US" w:eastAsia="zh-CN"/>
              </w:rPr>
              <w:t>1套</w:t>
            </w:r>
          </w:p>
        </w:tc>
      </w:tr>
      <w:tr w14:paraId="0105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13" w:type="dxa"/>
            <w:vAlign w:val="center"/>
          </w:tcPr>
          <w:p w14:paraId="4B67CA0E">
            <w:pPr>
              <w:pStyle w:val="17"/>
              <w:ind w:left="0" w:leftChars="0" w:firstLine="0" w:firstLineChars="0"/>
              <w:jc w:val="left"/>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725" w:type="dxa"/>
            <w:vAlign w:val="center"/>
          </w:tcPr>
          <w:p w14:paraId="52494771">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PEP-3工具箱</w:t>
            </w:r>
          </w:p>
        </w:tc>
        <w:tc>
          <w:tcPr>
            <w:tcW w:w="7735" w:type="dxa"/>
            <w:vAlign w:val="center"/>
          </w:tcPr>
          <w:p w14:paraId="26F0C32A">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一、产品简介：</w:t>
            </w:r>
          </w:p>
          <w:p w14:paraId="0BC2EFEC">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1</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通过对认知（语言/语前）、语言表达、语言理解、小肌肉、大肌肉、模仿（视觉/动作）、社交互动、个人自理等方面去评估，清楚幼儿当前发育水平的信息，了解不均衡的学习模式；</w:t>
            </w:r>
          </w:p>
          <w:p w14:paraId="26EF1CFD">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2</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病理量表可以作为诊断的辅助工具，识别幼儿在情感、人际关系、合作模式、游戏及材料嗜好、感觉模式和语言等领域的病理行为及程度；</w:t>
            </w:r>
          </w:p>
          <w:p w14:paraId="5743FEEC">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3</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评估结果可以作为评估治疗干预效果的重要指标。</w:t>
            </w:r>
          </w:p>
          <w:p w14:paraId="3D5FE1BE">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工具箱配置参数：包含评估工具26小包、测试员记录册（电子）、测试用书（电子）、儿童观察者报告（电子）、书写薄（电子）、评估员使用册（电子）、评估工具外箱1个</w:t>
            </w:r>
          </w:p>
          <w:p w14:paraId="764AFE3B">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二、功能介绍：</w:t>
            </w:r>
          </w:p>
          <w:p w14:paraId="4C5ABBF6">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1</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评定人管理功能：增加评定人信息，支持评定人独立账号登录，同时实现机构内评定数据互联互通，方便评定人员进行日常评估工作处理及档案检索。</w:t>
            </w:r>
          </w:p>
          <w:p w14:paraId="7F5120A8">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2</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用户管理功能：建档筛查儿童，儿童基本信息管理（包含：姓名、性别、出生日期、出生身长、父母姓名及联系方式，户籍标识、居住地），系统自动生成档案编号，方便后续筛查无需重复添加。多条件检索功能，可支持评定人通过多种条件检索用户。</w:t>
            </w:r>
          </w:p>
          <w:p w14:paraId="2C50D3A1">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3</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量表评估功能：评定人选择筛查儿童，系统自动是生成对应筛查内容，无需手工定义筛查范围，同时要求评定人填写用户当前基本身体状态信息。同时筛查完成后系统可生成筛查报告(报告内容不少于以下模块：基本信息、量表评估数据、发展量表评估数据、行为量表线条图，以及可对应设置IEP个别化教育计划）。系统可根据评估情况生成IEP计划内容，同时支撑评定人对系统生成的计划内容根据临床判断进行调整和修改。</w:t>
            </w:r>
          </w:p>
          <w:p w14:paraId="392D38CE">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4</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档案管理功能：评定人可通过多种条件进行档案检索及查看，同时可进行档案报告的打印及打印内容的设置选择。</w:t>
            </w:r>
          </w:p>
          <w:p w14:paraId="04107384">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5</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界面管理功能：可进行单位基本信息设置及软件基本信息设置包括修改两者的名称，同时支持用户更换评估师权限及转移儿童档案信息。</w:t>
            </w:r>
          </w:p>
          <w:p w14:paraId="0ECC739D">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6</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备份功能：该系统数据自动保存在阿里云平台，后续更换电脑无需担忧数据丢失。</w:t>
            </w:r>
          </w:p>
        </w:tc>
        <w:tc>
          <w:tcPr>
            <w:tcW w:w="865" w:type="dxa"/>
            <w:vAlign w:val="center"/>
          </w:tcPr>
          <w:p w14:paraId="4B2B79A0">
            <w:pPr>
              <w:pStyle w:val="17"/>
              <w:ind w:left="0" w:leftChars="0" w:firstLine="0" w:firstLineChars="0"/>
              <w:jc w:val="center"/>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val="en-US" w:eastAsia="zh-CN"/>
              </w:rPr>
              <w:t>1套</w:t>
            </w:r>
          </w:p>
        </w:tc>
      </w:tr>
      <w:tr w14:paraId="47E2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13" w:type="dxa"/>
            <w:vAlign w:val="center"/>
          </w:tcPr>
          <w:p w14:paraId="3F8BAE1E">
            <w:pPr>
              <w:pStyle w:val="17"/>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3</w:t>
            </w:r>
          </w:p>
        </w:tc>
        <w:tc>
          <w:tcPr>
            <w:tcW w:w="725" w:type="dxa"/>
            <w:vAlign w:val="center"/>
          </w:tcPr>
          <w:p w14:paraId="0B845F0B">
            <w:pPr>
              <w:pStyle w:val="17"/>
              <w:ind w:left="0" w:leftChars="0" w:firstLine="0" w:firstLineChars="0"/>
              <w:jc w:val="center"/>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脊柱测量尺</w:t>
            </w:r>
          </w:p>
        </w:tc>
        <w:tc>
          <w:tcPr>
            <w:tcW w:w="7735" w:type="dxa"/>
            <w:vAlign w:val="center"/>
          </w:tcPr>
          <w:p w14:paraId="23085277">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1</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便携、无辐射、实时、准确的评估脊柱侧弯评估及身体姿态等；</w:t>
            </w:r>
          </w:p>
          <w:p w14:paraId="7767D73F">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2</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符合《儿童青少年脊柱弯曲异常防控技术指南》数据采集要求；</w:t>
            </w:r>
          </w:p>
          <w:p w14:paraId="69442CF0">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3</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测试速度快，测试时间4-10秒，便于大样本量筛查和评估；</w:t>
            </w:r>
          </w:p>
          <w:p w14:paraId="1DF53036">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4</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设备操作简单，无须专业操作人员，随时进行评估测量；</w:t>
            </w:r>
          </w:p>
          <w:p w14:paraId="347A3518">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5</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测量角度范围：0°-30.0°;</w:t>
            </w:r>
          </w:p>
          <w:p w14:paraId="5A6EDB0C">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6</w:t>
            </w:r>
            <w:r>
              <w:rPr>
                <w:rFonts w:hint="eastAsia" w:eastAsia="宋体" w:cs="Times New Roman"/>
                <w:color w:val="auto"/>
                <w:highlight w:val="none"/>
                <w:vertAlign w:val="baseline"/>
                <w:lang w:val="en-US" w:eastAsia="zh-CN"/>
              </w:rPr>
              <w:t>.</w:t>
            </w:r>
            <w:r>
              <w:rPr>
                <w:rFonts w:hint="eastAsia" w:eastAsia="宋体" w:cs="Times New Roman"/>
                <w:color w:val="auto"/>
                <w:highlight w:val="none"/>
                <w:vertAlign w:val="baseline"/>
                <w:lang w:eastAsia="zh-CN"/>
              </w:rPr>
              <w:t>测量数据精度：1º，设备误差：＜1º；</w:t>
            </w:r>
          </w:p>
        </w:tc>
        <w:tc>
          <w:tcPr>
            <w:tcW w:w="865" w:type="dxa"/>
            <w:vAlign w:val="center"/>
          </w:tcPr>
          <w:p w14:paraId="7ACECB2A">
            <w:pPr>
              <w:pStyle w:val="17"/>
              <w:ind w:left="0" w:leftChars="0" w:firstLine="0" w:firstLineChars="0"/>
              <w:jc w:val="center"/>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val="en-US" w:eastAsia="zh-CN"/>
              </w:rPr>
              <w:t>1套</w:t>
            </w:r>
          </w:p>
        </w:tc>
      </w:tr>
      <w:tr w14:paraId="29D9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13" w:type="dxa"/>
            <w:vAlign w:val="center"/>
          </w:tcPr>
          <w:p w14:paraId="5878DFA3">
            <w:pPr>
              <w:pStyle w:val="17"/>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725" w:type="dxa"/>
            <w:vAlign w:val="center"/>
          </w:tcPr>
          <w:p w14:paraId="48ED1836">
            <w:pPr>
              <w:pStyle w:val="17"/>
              <w:ind w:left="0" w:leftChars="0" w:firstLine="0" w:firstLineChars="0"/>
              <w:jc w:val="center"/>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多维度体态评估仪</w:t>
            </w:r>
          </w:p>
        </w:tc>
        <w:tc>
          <w:tcPr>
            <w:tcW w:w="7735" w:type="dxa"/>
            <w:vAlign w:val="center"/>
          </w:tcPr>
          <w:p w14:paraId="24B20742">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1、体态结构：进行全身体态检测，头部，肩部，背部，臀部，腿部等检测。</w:t>
            </w:r>
          </w:p>
          <w:p w14:paraId="07D8FA5E">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骨盆检测：对骨盆位移程度、身体力线变化、盆底肌受力状态进行综合评估，筛查是否有骨盆前倾、骨盆旋移等问题。</w:t>
            </w:r>
          </w:p>
          <w:p w14:paraId="2AE9381F">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脊柱检测：综合评估儿童青少年的脊柱发育情况，筛查脊柱侧弯风险问题。</w:t>
            </w:r>
          </w:p>
          <w:p w14:paraId="36C4C1BF">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关节活动度：对颈、肩、躯干、肘关节、膝关节、髋关节的伸展、旋移程度，进行关节活动度的健康筛查。</w:t>
            </w:r>
          </w:p>
          <w:p w14:paraId="71EED3E0">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2、全身9大核心部位，20+项体态健康评估</w:t>
            </w:r>
          </w:p>
          <w:p w14:paraId="750DE871">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通过三维骨骼点检测技术，对肩型、腰臀型、腿型、肚型、后背等人体全身核心部位完成20+项体态健康诊断，直观的3D模型和精准数据，让体态健康评估可视化、标准化、数字化。赋能美体塑形、运动健身、产后康复、医疗康养等行业，帮助教练或形体老师快速、科学、全面地分析确定客户身体姿态问题，针对性制定运动训练计划，匹配矫正康复项目。</w:t>
            </w:r>
          </w:p>
          <w:p w14:paraId="65CAA2A8">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3、3D脊柱健康评估，全面测评脊柱侧弯等风险</w:t>
            </w:r>
          </w:p>
          <w:p w14:paraId="0F1901B5">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通过真实的3D人体模型，结合AI人体骨骼经络大数据，可以直观的查看脊柱形态，评估脊柱健康状态。辅助评估脊柱侧弯风险，评估颈部前伸、驼背、腰椎弯曲以及骨盆前倾等体态问题，为形体健康管理、体态矫正、运动风险评估等领域提供更加科学专业的参考。</w:t>
            </w:r>
          </w:p>
          <w:p w14:paraId="24027BA0">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具体参数：原始点云数量：约200万个；原始点云密度：约28个/cm2</w:t>
            </w:r>
          </w:p>
          <w:p w14:paraId="03776CA1">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操作系统：处理器、操作系统等关键部件符合国家安全可靠测评要求：</w:t>
            </w:r>
          </w:p>
          <w:p w14:paraId="7B8890DA">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显示：≥32寸高清全视角液晶触摸屏，屏幕亮度约350cd/m2G</w:t>
            </w:r>
          </w:p>
          <w:p w14:paraId="10B8F5D3">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设备尺寸：≥体测镜：1760*500*40mm;</w:t>
            </w:r>
          </w:p>
          <w:p w14:paraId="334EBCC5">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转台直径：≥450+2mm*91±2(H)mm</w:t>
            </w:r>
          </w:p>
          <w:p w14:paraId="642B1949">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最小使用总面积仅需大约1.7㎡;运输体积：约1880*650*288mm</w:t>
            </w:r>
          </w:p>
          <w:p w14:paraId="28A09D61">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设备材质：体测镜：高透镜面玻璃、铝型材表面氧化喷砂RAL7040灰色色框体.</w:t>
            </w:r>
          </w:p>
          <w:p w14:paraId="257AF286">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转台：ABS磨砂哑光RAL7040灰色</w:t>
            </w:r>
          </w:p>
          <w:p w14:paraId="7871860F">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设备重量：运输重量：约54KG</w:t>
            </w:r>
          </w:p>
          <w:p w14:paraId="0B2EBE34">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镜体净重：约32.5kg，转台：转台净重约7kg，毛重约8.5kg。</w:t>
            </w:r>
          </w:p>
          <w:p w14:paraId="69E0AB17">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工作环境：工作温度：-10℃℃~50℃</w:t>
            </w:r>
          </w:p>
          <w:p w14:paraId="724C59B6">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存储温度：-20°℃~70°</w:t>
            </w:r>
          </w:p>
          <w:p w14:paraId="21F49D24">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工作光照强度：室内100000lux</w:t>
            </w:r>
          </w:p>
          <w:p w14:paraId="3B5A5DD5">
            <w:pPr>
              <w:pStyle w:val="17"/>
              <w:ind w:left="0" w:leftChars="0" w:firstLine="0" w:firstLineChars="0"/>
              <w:jc w:val="left"/>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工作湿度：5%~90%RH，无冷凝</w:t>
            </w:r>
          </w:p>
        </w:tc>
        <w:tc>
          <w:tcPr>
            <w:tcW w:w="865" w:type="dxa"/>
            <w:vAlign w:val="center"/>
          </w:tcPr>
          <w:p w14:paraId="492EBEB3">
            <w:pPr>
              <w:pStyle w:val="17"/>
              <w:ind w:left="0" w:leftChars="0" w:firstLine="0" w:firstLineChars="0"/>
              <w:jc w:val="center"/>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val="en-US" w:eastAsia="zh-CN"/>
              </w:rPr>
              <w:t>1套</w:t>
            </w:r>
          </w:p>
        </w:tc>
      </w:tr>
      <w:tr w14:paraId="7E77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13" w:type="dxa"/>
            <w:vAlign w:val="center"/>
          </w:tcPr>
          <w:p w14:paraId="77F75965">
            <w:pPr>
              <w:pStyle w:val="17"/>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5</w:t>
            </w:r>
          </w:p>
        </w:tc>
        <w:tc>
          <w:tcPr>
            <w:tcW w:w="725" w:type="dxa"/>
            <w:vAlign w:val="center"/>
          </w:tcPr>
          <w:p w14:paraId="1E363B7D">
            <w:pPr>
              <w:pStyle w:val="17"/>
              <w:ind w:left="0" w:leftChars="0" w:firstLine="0" w:firstLineChars="0"/>
              <w:jc w:val="center"/>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eastAsia="zh-CN"/>
              </w:rPr>
              <w:t>情景互动康复训练仪</w:t>
            </w:r>
          </w:p>
        </w:tc>
        <w:tc>
          <w:tcPr>
            <w:tcW w:w="7735" w:type="dxa"/>
            <w:vAlign w:val="center"/>
          </w:tcPr>
          <w:p w14:paraId="5A9FB0AC">
            <w:pPr>
              <w:keepNext w:val="0"/>
              <w:keepLines w:val="0"/>
              <w:pageBreakBefore w:val="0"/>
              <w:widowControl/>
              <w:numPr>
                <w:ilvl w:val="0"/>
                <w:numId w:val="6"/>
              </w:numPr>
              <w:kinsoku/>
              <w:wordWrap/>
              <w:overflowPunct/>
              <w:topLinePunct w:val="0"/>
              <w:autoSpaceDE/>
              <w:autoSpaceDN/>
              <w:bidi w:val="0"/>
              <w:adjustRightInd/>
              <w:snapToGrid/>
              <w:spacing w:line="288" w:lineRule="auto"/>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硬件技术指标及参数：</w:t>
            </w:r>
          </w:p>
          <w:p w14:paraId="5E7FFE6C">
            <w:pPr>
              <w:keepNext w:val="0"/>
              <w:keepLines w:val="0"/>
              <w:pageBreakBefore w:val="0"/>
              <w:widowControl/>
              <w:numPr>
                <w:ilvl w:val="0"/>
                <w:numId w:val="0"/>
              </w:numPr>
              <w:kinsoku/>
              <w:wordWrap/>
              <w:overflowPunct/>
              <w:topLinePunct w:val="0"/>
              <w:autoSpaceDE/>
              <w:autoSpaceDN/>
              <w:bidi w:val="0"/>
              <w:adjustRightInd/>
              <w:snapToGrid/>
              <w:spacing w:line="288" w:lineRule="auto"/>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1、产品规格（长宽高）:≥87cm*73cm*190cm 2、电源：AC220V, 50Hz, 500VA</w:t>
            </w:r>
          </w:p>
          <w:p w14:paraId="4DE268D7">
            <w:pPr>
              <w:keepNext w:val="0"/>
              <w:keepLines w:val="0"/>
              <w:pageBreakBefore w:val="0"/>
              <w:widowControl/>
              <w:numPr>
                <w:ilvl w:val="0"/>
                <w:numId w:val="0"/>
              </w:numPr>
              <w:kinsoku/>
              <w:wordWrap/>
              <w:overflowPunct/>
              <w:topLinePunct w:val="0"/>
              <w:autoSpaceDE/>
              <w:autoSpaceDN/>
              <w:bidi w:val="0"/>
              <w:adjustRightInd/>
              <w:snapToGrid/>
              <w:spacing w:line="288" w:lineRule="auto"/>
              <w:jc w:val="both"/>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
              </w:rPr>
              <w:t>49寸LED电容多点触摸钢化防爆显示屏，功耗低，触控灵敏度高</w:t>
            </w:r>
          </w:p>
          <w:p w14:paraId="4A787D36">
            <w:pPr>
              <w:keepNext w:val="0"/>
              <w:keepLines w:val="0"/>
              <w:pageBreakBefore w:val="0"/>
              <w:widowControl/>
              <w:numPr>
                <w:ilvl w:val="0"/>
                <w:numId w:val="0"/>
              </w:numPr>
              <w:kinsoku/>
              <w:wordWrap/>
              <w:overflowPunct/>
              <w:topLinePunct w:val="0"/>
              <w:autoSpaceDE/>
              <w:autoSpaceDN/>
              <w:bidi w:val="0"/>
              <w:adjustRightInd/>
              <w:snapToGrid/>
              <w:spacing w:line="288" w:lineRule="auto"/>
              <w:jc w:val="both"/>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
              </w:rPr>
              <w:t>支架：整体化工业设计台车式结构，可万向移动带刹车轮</w:t>
            </w:r>
          </w:p>
          <w:p w14:paraId="49470334">
            <w:pPr>
              <w:keepNext w:val="0"/>
              <w:keepLines w:val="0"/>
              <w:pageBreakBefore w:val="0"/>
              <w:widowControl/>
              <w:numPr>
                <w:ilvl w:val="0"/>
                <w:numId w:val="0"/>
              </w:numPr>
              <w:kinsoku/>
              <w:wordWrap/>
              <w:overflowPunct/>
              <w:topLinePunct w:val="0"/>
              <w:autoSpaceDE/>
              <w:autoSpaceDN/>
              <w:bidi w:val="0"/>
              <w:adjustRightInd/>
              <w:snapToGrid/>
              <w:spacing w:line="288" w:lineRule="auto"/>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5、传感器：适应低光环境的主动式红外摄像头，可对儿童及成人全身25个关节点快速识别，无需设置及安装校准</w:t>
            </w:r>
          </w:p>
          <w:p w14:paraId="134E281A">
            <w:pPr>
              <w:keepNext w:val="0"/>
              <w:keepLines w:val="0"/>
              <w:pageBreakBefore w:val="0"/>
              <w:widowControl/>
              <w:numPr>
                <w:ilvl w:val="0"/>
                <w:numId w:val="0"/>
              </w:numPr>
              <w:kinsoku/>
              <w:wordWrap/>
              <w:overflowPunct/>
              <w:topLinePunct w:val="0"/>
              <w:autoSpaceDE/>
              <w:autoSpaceDN/>
              <w:bidi w:val="0"/>
              <w:adjustRightInd/>
              <w:snapToGrid/>
              <w:spacing w:line="288" w:lineRule="auto"/>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6、鼠标键盘：无线鼠标键盘，配有约2个USB2接口，MDMI高清接口输出</w:t>
            </w:r>
          </w:p>
          <w:p w14:paraId="24FB65C3">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
              </w:rPr>
              <w:t>二、系统技术参数及特点</w:t>
            </w:r>
          </w:p>
          <w:p w14:paraId="05E809DB">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sz w:val="21"/>
                <w:szCs w:val="21"/>
                <w:highlight w:val="none"/>
                <w:lang w:val="en-US" w:eastAsia="zh-CN"/>
              </w:rPr>
              <w:t>系统界面及游戏均使用Low Poly设计，3D动态画面，色彩鲜艳，简洁不失科技感，媲美页游，甚至能达到独立游戏的画面质感。</w:t>
            </w:r>
          </w:p>
          <w:p w14:paraId="14335F53">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
              </w:rPr>
              <w:t>无需传统量角器，无需佩带传感器，</w:t>
            </w:r>
            <w:r>
              <w:rPr>
                <w:rFonts w:hint="eastAsia" w:ascii="宋体" w:hAnsi="宋体" w:eastAsia="宋体" w:cs="宋体"/>
                <w:color w:val="auto"/>
                <w:sz w:val="21"/>
                <w:szCs w:val="21"/>
                <w:highlight w:val="none"/>
              </w:rPr>
              <w:t>采用智能关节识别技术</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
              </w:rPr>
              <w:t>传感器每秒捕捉</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kern w:val="2"/>
                <w:sz w:val="21"/>
                <w:szCs w:val="21"/>
                <w:highlight w:val="none"/>
                <w:lang w:val="en-US" w:eastAsia="zh-CN" w:bidi="ar"/>
              </w:rPr>
              <w:t>30次数据，</w:t>
            </w:r>
            <w:r>
              <w:rPr>
                <w:rFonts w:hint="eastAsia" w:ascii="宋体" w:hAnsi="宋体" w:eastAsia="宋体" w:cs="宋体"/>
                <w:b w:val="0"/>
                <w:bCs w:val="0"/>
                <w:color w:val="auto"/>
                <w:sz w:val="21"/>
                <w:szCs w:val="21"/>
                <w:highlight w:val="none"/>
                <w:lang w:val="en-US" w:eastAsia="zh-CN"/>
              </w:rPr>
              <w:t>实时跟踪全身关节活动度，可对用户全身≥25个关节点快速识别，对四肢和躯干关节活动度进行测量、评估，系统自动形成评测报告。</w:t>
            </w:r>
          </w:p>
          <w:p w14:paraId="50A1A921">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sz w:val="21"/>
                <w:szCs w:val="21"/>
                <w:highlight w:val="none"/>
                <w:lang w:val="en-US" w:eastAsia="zh-CN"/>
              </w:rPr>
              <w:t>三种操作方式：无线键盘鼠标操作、触摸屏操作、手势控制操作。</w:t>
            </w:r>
          </w:p>
          <w:p w14:paraId="29EAA2FE">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sz w:val="21"/>
                <w:szCs w:val="21"/>
                <w:highlight w:val="none"/>
                <w:lang w:val="en-US" w:eastAsia="zh-CN"/>
              </w:rPr>
              <w:t>主界面呼吸圈菜单一目了然，可以直观的看到每层菜单内容，逻辑清晰，操作便捷。</w:t>
            </w:r>
          </w:p>
          <w:p w14:paraId="1413838D">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sz w:val="21"/>
                <w:szCs w:val="21"/>
                <w:highlight w:val="none"/>
                <w:lang w:val="en-US" w:eastAsia="zh-CN"/>
              </w:rPr>
              <w:t>采用运动控制及姿势控制理论，运用反射、反应和平衡、姿势等原理构建趋于真实生活场景的动态3D趣味互动反馈游戏，激发训练者主动参与训练，让训练者运动控制、训练更加高效、测评及训练依从度高。</w:t>
            </w:r>
          </w:p>
          <w:p w14:paraId="49C73F2E">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sz w:val="21"/>
                <w:szCs w:val="21"/>
                <w:highlight w:val="none"/>
                <w:lang w:val="en-US" w:eastAsia="zh-CN"/>
              </w:rPr>
              <w:t>6大评测模块：躯干平衡、肩膀协调、单脚站立、功能性举手、从坐到站、上肢活动范围，涵盖全身功能评测，评测报告以X-Y轴象限图表展示，可做前后对比，数据图形化，治疗师可以录入诊断信息，康复状态一目了然，报告可打印输出。</w:t>
            </w:r>
          </w:p>
          <w:p w14:paraId="579CAEDA">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7、</w:t>
            </w:r>
            <w:r>
              <w:rPr>
                <w:rFonts w:hint="eastAsia" w:ascii="宋体" w:hAnsi="宋体" w:eastAsia="宋体" w:cs="宋体"/>
                <w:b w:val="0"/>
                <w:bCs w:val="0"/>
                <w:color w:val="auto"/>
                <w:sz w:val="21"/>
                <w:szCs w:val="21"/>
                <w:highlight w:val="none"/>
                <w:lang w:val="en-US" w:eastAsia="zh-CN"/>
              </w:rPr>
              <w:t>屏幕可实时对比显示患者训练过程，训练过程系统能随机抓拍患者训练照片，还原训练现场，激发患者训练热情，训练结束后系统自动记录并生成数据报告。</w:t>
            </w:r>
          </w:p>
          <w:p w14:paraId="0E21E3B4">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8、</w:t>
            </w:r>
            <w:r>
              <w:rPr>
                <w:rFonts w:hint="eastAsia" w:ascii="宋体" w:hAnsi="宋体" w:eastAsia="宋体" w:cs="宋体"/>
                <w:b w:val="0"/>
                <w:bCs w:val="0"/>
                <w:color w:val="auto"/>
                <w:sz w:val="21"/>
                <w:szCs w:val="21"/>
                <w:highlight w:val="none"/>
                <w:lang w:val="en-US" w:eastAsia="zh-CN"/>
              </w:rPr>
              <w:t>具有坐姿、站姿、步态、感统等多种训练方案；包括单部位训练，综合训练，多人综合训练，包含了上肢、下肢、躯干等各项肌力、ROM、平衡、协调、认知等功能康复训练。</w:t>
            </w:r>
          </w:p>
          <w:p w14:paraId="60D67070">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9、</w:t>
            </w:r>
            <w:r>
              <w:rPr>
                <w:rFonts w:hint="eastAsia" w:ascii="宋体" w:hAnsi="宋体" w:eastAsia="宋体" w:cs="宋体"/>
                <w:b w:val="0"/>
                <w:bCs w:val="0"/>
                <w:color w:val="auto"/>
                <w:sz w:val="21"/>
                <w:szCs w:val="21"/>
                <w:highlight w:val="none"/>
                <w:lang w:val="en-US" w:eastAsia="zh-CN"/>
              </w:rPr>
              <w:t>内置多种应用场景，反应时间、控制时间、反应模式、反应姿势均可以任意设置。健侧与患侧同步协调训练；正手训练、反手训练、交叉训练等多模式；颜色、图形、智力等多种训练游戏。</w:t>
            </w:r>
          </w:p>
          <w:p w14:paraId="7A77EC44">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10、</w:t>
            </w:r>
            <w:r>
              <w:rPr>
                <w:rFonts w:hint="eastAsia" w:ascii="宋体" w:hAnsi="宋体" w:eastAsia="宋体" w:cs="宋体"/>
                <w:b w:val="0"/>
                <w:bCs w:val="0"/>
                <w:color w:val="auto"/>
                <w:sz w:val="21"/>
                <w:szCs w:val="21"/>
                <w:highlight w:val="none"/>
                <w:lang w:val="en-US" w:eastAsia="zh-CN"/>
              </w:rPr>
              <w:t>提供≥66种康复训练模块：上肢协调动作（综合训练、肩部推举、水平外旋、斜向外展、斜向内收、水平外展，抱手上举、手臂划船等）、下肢动作训练（髋关节屈曲、髋关节外展、提膝、弓箭步、屈膝、站坐转移、侧跨步等）、躯干动作（躯干前屈、躯干侧屈、手臂外展、躯干转体等）、手眼协调（随机方向、整圆、上下、伸够、8字形、三角形等）、躯体平衡（随机方向、X形、十字形、左右等）、动态平衡（原地踏步、X形、走与跳、原地跑、原地跑与跳等）。</w:t>
            </w:r>
          </w:p>
          <w:p w14:paraId="02F172D6">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
              </w:rPr>
              <w:t>提供</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
              </w:rPr>
              <w:t>240种动作训练游戏及传统中医八段锦运动训练方式，每个训练游戏都可选择难易程度、组别、时间长短及游戏种类。</w:t>
            </w:r>
          </w:p>
          <w:p w14:paraId="1BFE3C59">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12、</w:t>
            </w:r>
            <w:r>
              <w:rPr>
                <w:rFonts w:hint="eastAsia" w:ascii="宋体" w:hAnsi="宋体" w:eastAsia="宋体" w:cs="宋体"/>
                <w:b w:val="0"/>
                <w:bCs w:val="0"/>
                <w:color w:val="auto"/>
                <w:sz w:val="21"/>
                <w:szCs w:val="21"/>
                <w:highlight w:val="none"/>
                <w:lang w:val="en-US" w:eastAsia="zh-CN"/>
              </w:rPr>
              <w:t>训练报告以柱形图、象限图、数字记录等形式显示详细的统计和详细的历史记录，包括训练项、完成次数、得分情况、时间统计、动作统计、训练详情等，可以查询每次训练项目，以及回溯训练内容，展示训练数据，便于前后纵向对比，治疗师可以录入诊断信息，可为临床科学研究提供相关数据支持，无纸化管理用户信息,所有的评测、训练报告均可以连接打印机打印。</w:t>
            </w:r>
          </w:p>
          <w:p w14:paraId="31E134A1">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13、</w:t>
            </w:r>
            <w:r>
              <w:rPr>
                <w:rFonts w:hint="eastAsia" w:ascii="宋体" w:hAnsi="宋体" w:eastAsia="宋体" w:cs="宋体"/>
                <w:b w:val="0"/>
                <w:bCs w:val="0"/>
                <w:color w:val="auto"/>
                <w:sz w:val="21"/>
                <w:szCs w:val="21"/>
                <w:highlight w:val="none"/>
                <w:lang w:val="en-US" w:eastAsia="zh-CN"/>
              </w:rPr>
              <w:t>处方可自由编辑储存，随时调用，储存数量无上限，处方训练游戏可以重复选择，交替选择。</w:t>
            </w:r>
          </w:p>
          <w:p w14:paraId="3F4B8A0F">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14、</w:t>
            </w:r>
            <w:r>
              <w:rPr>
                <w:rFonts w:hint="eastAsia" w:ascii="宋体" w:hAnsi="宋体" w:eastAsia="宋体" w:cs="宋体"/>
                <w:b w:val="0"/>
                <w:bCs w:val="0"/>
                <w:color w:val="auto"/>
                <w:sz w:val="21"/>
                <w:szCs w:val="21"/>
                <w:highlight w:val="none"/>
                <w:lang w:val="en-US" w:eastAsia="zh-CN"/>
              </w:rPr>
              <w:t>具备2个模拟虚拟环境功能，支持6个人同场竞技游戏训练，游戏模式应用实时抠像技术，使单个训练者或者多达6个训练者均可在屏幕上看到自己，实现单人或多人同时训练，运用趣味性的练习达到康复的目的。</w:t>
            </w:r>
          </w:p>
          <w:p w14:paraId="5F0F43DF">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15、</w:t>
            </w:r>
            <w:r>
              <w:rPr>
                <w:rFonts w:hint="eastAsia" w:ascii="宋体" w:hAnsi="宋体" w:eastAsia="宋体" w:cs="宋体"/>
                <w:b w:val="0"/>
                <w:bCs w:val="0"/>
                <w:color w:val="auto"/>
                <w:sz w:val="21"/>
                <w:szCs w:val="21"/>
                <w:highlight w:val="none"/>
                <w:lang w:val="en-US" w:eastAsia="zh-CN"/>
              </w:rPr>
              <w:t>具有切换肢体的识别有效状态功能，系统可对单个或多个肢体的识别与否进行选择，做健患肢对比训练，康复的针对性及精准性更高。此功能方便肢体残障患者康复使用，亦可用于肢体的强化康复。</w:t>
            </w:r>
          </w:p>
          <w:p w14:paraId="00AA65E0">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16、</w:t>
            </w:r>
            <w:r>
              <w:rPr>
                <w:rFonts w:hint="eastAsia" w:ascii="宋体" w:hAnsi="宋体" w:eastAsia="宋体" w:cs="宋体"/>
                <w:b w:val="0"/>
                <w:bCs w:val="0"/>
                <w:color w:val="auto"/>
                <w:sz w:val="21"/>
                <w:szCs w:val="21"/>
                <w:highlight w:val="none"/>
                <w:lang w:val="en-US" w:eastAsia="zh-CN"/>
              </w:rPr>
              <w:t>内置动态3D动画及图文帮助系统，指导标准化操作，可激发患者治疗的积极性；系统的计分设置，不断激励患者，更好的完成动作任务，获得加分，沉浸感、趣味性强。</w:t>
            </w:r>
          </w:p>
          <w:p w14:paraId="77125F1C">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17、</w:t>
            </w:r>
            <w:r>
              <w:rPr>
                <w:rFonts w:hint="eastAsia" w:ascii="宋体" w:hAnsi="宋体" w:eastAsia="宋体" w:cs="宋体"/>
                <w:b w:val="0"/>
                <w:bCs w:val="0"/>
                <w:color w:val="auto"/>
                <w:sz w:val="21"/>
                <w:szCs w:val="21"/>
                <w:highlight w:val="none"/>
                <w:lang w:val="en-US" w:eastAsia="zh-CN"/>
              </w:rPr>
              <w:t>系统可自由选择切换显示用户训练时四肢动作匹配度的百分比例，提高训练者康复的精准度。</w:t>
            </w:r>
          </w:p>
          <w:p w14:paraId="3917C9B6">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18、</w:t>
            </w:r>
            <w:r>
              <w:rPr>
                <w:rFonts w:hint="eastAsia" w:ascii="宋体" w:hAnsi="宋体" w:eastAsia="宋体" w:cs="宋体"/>
                <w:b w:val="0"/>
                <w:bCs w:val="0"/>
                <w:color w:val="auto"/>
                <w:sz w:val="21"/>
                <w:szCs w:val="21"/>
                <w:highlight w:val="none"/>
                <w:lang w:val="en-US" w:eastAsia="zh-CN"/>
              </w:rPr>
              <w:t>系统有森林、海洋、天空三种背景主题一键切换显示；数据库支持备份数据库、还原数据库、恢复出厂数据，清理患者信息功能。</w:t>
            </w:r>
          </w:p>
          <w:p w14:paraId="04857A2B">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19、</w:t>
            </w:r>
            <w:r>
              <w:rPr>
                <w:rFonts w:hint="eastAsia" w:ascii="宋体" w:hAnsi="宋体" w:eastAsia="宋体" w:cs="宋体"/>
                <w:b w:val="0"/>
                <w:bCs w:val="0"/>
                <w:color w:val="auto"/>
                <w:sz w:val="21"/>
                <w:szCs w:val="21"/>
                <w:highlight w:val="none"/>
                <w:lang w:val="en-US" w:eastAsia="zh-CN"/>
              </w:rPr>
              <w:t>支持中文、英文一键选择切换显示，满足国内临床需求。</w:t>
            </w:r>
          </w:p>
          <w:p w14:paraId="3BAB0DB7">
            <w:pPr>
              <w:pStyle w:val="17"/>
              <w:ind w:left="0" w:leftChars="0" w:firstLine="0" w:firstLineChars="0"/>
              <w:jc w:val="left"/>
              <w:rPr>
                <w:rFonts w:hint="eastAsia" w:eastAsia="宋体" w:cs="Times New Roman"/>
                <w:color w:val="auto"/>
                <w:highlight w:val="none"/>
                <w:vertAlign w:val="baseline"/>
                <w:lang w:eastAsia="zh-CN"/>
              </w:rPr>
            </w:pPr>
            <w:r>
              <w:rPr>
                <w:rFonts w:hint="eastAsia" w:ascii="宋体" w:hAnsi="宋体" w:eastAsia="宋体" w:cs="宋体"/>
                <w:b w:val="0"/>
                <w:bCs w:val="0"/>
                <w:color w:val="auto"/>
                <w:kern w:val="2"/>
                <w:sz w:val="21"/>
                <w:szCs w:val="21"/>
                <w:highlight w:val="none"/>
                <w:lang w:val="en-US" w:eastAsia="zh-CN" w:bidi="ar-SA"/>
              </w:rPr>
              <w:t>20、</w:t>
            </w:r>
            <w:r>
              <w:rPr>
                <w:rFonts w:hint="eastAsia" w:ascii="宋体" w:hAnsi="宋体" w:eastAsia="宋体" w:cs="宋体"/>
                <w:b w:val="0"/>
                <w:bCs w:val="0"/>
                <w:color w:val="auto"/>
                <w:sz w:val="21"/>
                <w:szCs w:val="21"/>
                <w:highlight w:val="none"/>
                <w:lang w:val="en-US" w:eastAsia="zh-CN"/>
              </w:rPr>
              <w:t>提供系统免费升级服务。</w:t>
            </w:r>
          </w:p>
        </w:tc>
        <w:tc>
          <w:tcPr>
            <w:tcW w:w="865" w:type="dxa"/>
            <w:vAlign w:val="center"/>
          </w:tcPr>
          <w:p w14:paraId="332B0344">
            <w:pPr>
              <w:pStyle w:val="17"/>
              <w:ind w:left="0" w:leftChars="0" w:firstLine="0" w:firstLineChars="0"/>
              <w:jc w:val="center"/>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val="en-US" w:eastAsia="zh-CN"/>
              </w:rPr>
              <w:t>1套</w:t>
            </w:r>
          </w:p>
        </w:tc>
      </w:tr>
      <w:tr w14:paraId="4D30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13" w:type="dxa"/>
            <w:vAlign w:val="center"/>
          </w:tcPr>
          <w:p w14:paraId="6BE52050">
            <w:pPr>
              <w:pStyle w:val="17"/>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6</w:t>
            </w:r>
          </w:p>
        </w:tc>
        <w:tc>
          <w:tcPr>
            <w:tcW w:w="725" w:type="dxa"/>
            <w:vAlign w:val="center"/>
          </w:tcPr>
          <w:p w14:paraId="0AC9782C">
            <w:pPr>
              <w:pStyle w:val="17"/>
              <w:ind w:left="0" w:leftChars="0" w:firstLine="0" w:firstLineChars="0"/>
              <w:jc w:val="center"/>
              <w:rPr>
                <w:rFonts w:hint="eastAsia" w:eastAsia="宋体" w:cs="Times New Roman"/>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多功能训练组合</w:t>
            </w:r>
          </w:p>
        </w:tc>
        <w:tc>
          <w:tcPr>
            <w:tcW w:w="7735" w:type="dxa"/>
            <w:vAlign w:val="center"/>
          </w:tcPr>
          <w:p w14:paraId="3518F076">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1.该产品是一个多功能的专项训练及统合训练的载体。</w:t>
            </w:r>
          </w:p>
          <w:p w14:paraId="46E32003">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2.该秋千架结合功能性秋千及器械能对前庭觉、平衡觉进行全方位的专项训练，</w:t>
            </w:r>
          </w:p>
          <w:p w14:paraId="646B48A7">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特别针对直线加速度、垂直加速度和综合加速度失调儿童有明显效果；</w:t>
            </w:r>
          </w:p>
          <w:p w14:paraId="59629CC7">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3.结合触觉训练产品进行触觉失调的专项训练；</w:t>
            </w:r>
          </w:p>
          <w:p w14:paraId="1014D1CE">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4.结合本体训练产品可进行本体失调的专项训练；</w:t>
            </w:r>
          </w:p>
          <w:p w14:paraId="7BCCD640">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5.结合不同类型产品可以进行多种感觉统合训练。如视、听、动觉的统合训练。</w:t>
            </w:r>
          </w:p>
          <w:p w14:paraId="455FAED5">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6.配置不同产品可以适合各年龄阶段的儿童过行感觉统合训练。</w:t>
            </w:r>
          </w:p>
          <w:p w14:paraId="22DAE12F">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7.可同时拾配两个或两个以上的秋千使用，进行多人训练。</w:t>
            </w:r>
          </w:p>
          <w:p w14:paraId="120F0B83">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钢结构，尺寸≥：长5*宽3*高2.4m</w:t>
            </w:r>
          </w:p>
          <w:p w14:paraId="2BFC0385">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配置清单：攀爬墙组合1套；猴子架1套；魔术床1套；弹力布1套（3色，每色3张）；钢架区域内8cm厚软包垫1套；鸟巢秋千1件；圆木马吊缆 1 件</w:t>
            </w:r>
          </w:p>
          <w:p w14:paraId="438D746F">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eastAsia="宋体" w:cs="Times New Roman"/>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飞碟秋千1件；南瓜秋千1件；网缆1件；吊袋 1 件；羊角球 1个；花生球1个；按摩球1寸；蓝色光面按摩球1个；红色触点按摩球1个</w:t>
            </w:r>
          </w:p>
        </w:tc>
        <w:tc>
          <w:tcPr>
            <w:tcW w:w="865" w:type="dxa"/>
            <w:vAlign w:val="center"/>
          </w:tcPr>
          <w:p w14:paraId="39F8C09E">
            <w:pPr>
              <w:pStyle w:val="17"/>
              <w:ind w:left="0" w:leftChars="0" w:firstLine="0" w:firstLineChars="0"/>
              <w:jc w:val="center"/>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val="en-US" w:eastAsia="zh-CN"/>
              </w:rPr>
              <w:t>1套</w:t>
            </w:r>
          </w:p>
        </w:tc>
      </w:tr>
      <w:tr w14:paraId="314C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13" w:type="dxa"/>
            <w:vAlign w:val="center"/>
          </w:tcPr>
          <w:p w14:paraId="0AD5AEA6">
            <w:pPr>
              <w:pStyle w:val="17"/>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7</w:t>
            </w:r>
          </w:p>
        </w:tc>
        <w:tc>
          <w:tcPr>
            <w:tcW w:w="725" w:type="dxa"/>
            <w:vAlign w:val="center"/>
          </w:tcPr>
          <w:p w14:paraId="55FA2A51">
            <w:pPr>
              <w:pStyle w:val="17"/>
              <w:ind w:left="0" w:leftChars="0" w:firstLine="0" w:firstLineChars="0"/>
              <w:jc w:val="center"/>
              <w:rPr>
                <w:rFonts w:hint="eastAsia" w:eastAsia="宋体" w:cs="Times New Roman"/>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手功能综合康复训练桌</w:t>
            </w:r>
          </w:p>
        </w:tc>
        <w:tc>
          <w:tcPr>
            <w:tcW w:w="7735" w:type="dxa"/>
            <w:vAlign w:val="center"/>
          </w:tcPr>
          <w:p w14:paraId="1CE0E64C">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1.用途：手功能综合训练桌设计用于儿童手功能的物理和功能康复训练。</w:t>
            </w:r>
          </w:p>
          <w:p w14:paraId="24E885DB">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2.各模块采用304不锈钢材质，表面镀环保镍。</w:t>
            </w:r>
          </w:p>
          <w:p w14:paraId="27033B12">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3.训练桌包含一个配重总成（4列配重,每列12个配重块可任意调节负重）以及12个手功能训练模块；每列配备一个趣味卡通面贴,12个手功能训练模块配备12生肖趣味说明。提供实物图片核实参数。</w:t>
            </w:r>
          </w:p>
          <w:p w14:paraId="20A6EAA1">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4.4列独立配重:每列配重共12块，重量范围50g~2000g;最上面5个配重为塑料配重，每块50g,共计250g;下面7块金属配重，每块250g，7块共计1750g。</w:t>
            </w:r>
          </w:p>
          <w:p w14:paraId="11C23CF9">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5.桌子：支撑脚采用五金制作而成，表面做灰色喷粉处理，并配备防滑脚撑。</w:t>
            </w:r>
          </w:p>
          <w:p w14:paraId="321808C1">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6.尺寸约：120cm 宽：120cm  高：65cm（含配重126cm）</w:t>
            </w:r>
          </w:p>
          <w:p w14:paraId="75575596">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7.拇指训练模块：旨在提高手掌运动和力量的精准度和肌肉协调性，和眼手协调。活动范围：0～11cm。</w:t>
            </w:r>
          </w:p>
          <w:p w14:paraId="08B94AD3">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8.手腕屈伸训练：旨在提高手掌抓握能力，眼手协调；前臂肌肉力量和协调性，以及改善手腕活动范围。活动范围：±75°，握杆可调距离0～1.5cm。</w:t>
            </w:r>
          </w:p>
          <w:p w14:paraId="6969736B">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9.前臂旋前旋后训练：旨在强化和调动前臂肌肉，以改善手腕旋转范围，肌肉力量和协调性，和眼手协调。活动范围：±180°。</w:t>
            </w:r>
          </w:p>
          <w:p w14:paraId="6D21F73E">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10.全指抓捏训练：旨在提高4指和拇指对向屈曲的力量和肌肉协调性，和眼手协调。活动范围：握杆最大张开角度：90°；最大张开距离22cm。</w:t>
            </w:r>
          </w:p>
          <w:p w14:paraId="42ADAB36">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11.侧捏协调训练：旨在提高拇指和四指对向运动的力量和耐力，和手指肌肉协调性，以及手指的活动范围和精准度。活动范围：0～7cm。</w:t>
            </w:r>
          </w:p>
          <w:p w14:paraId="306D1218">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12.手指伸展训练：旨在强化每个手指力量和耐力，改善手指的伸展范围和活动准确度。活动范围：0～10cm。</w:t>
            </w:r>
          </w:p>
          <w:p w14:paraId="67652A3F">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13.球状抓握训练：旨在提高五指抓握能力，眼手协调，和改善手指活动范围和活动准确度，以及提高手掌力量和耐力。活动范围：±2.5圈。</w:t>
            </w:r>
          </w:p>
          <w:p w14:paraId="666212E0">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14.柱状抓握训练（4种抓握尺寸）：1个直径渐变的圆柱握杆，旨在提高手掌的圆柱抓握能力，和眼手协调。活动范围：±5圈。</w:t>
            </w:r>
          </w:p>
          <w:p w14:paraId="6AFF7BA0">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15.腕部尺偏、桡偏训练：旨在强化和调动前臂肌肉，以改善手腕内收外展范围，肌肉力量和协调性，和眼手协调。活动范围：±50°。</w:t>
            </w:r>
          </w:p>
          <w:p w14:paraId="2F33627A">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16.手指屈曲训练：旨在提高4指各自的屈曲力量和耐力，和眼手协调。活动范围：0～10cm。</w:t>
            </w:r>
          </w:p>
          <w:p w14:paraId="58B6B8F0">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17.平拉训练：旨在提高五指抓握能力和肩部内收范围，改善手部肌肉协调性和上肢肌肉力量。活动范围：0～30cm。</w:t>
            </w:r>
          </w:p>
          <w:p w14:paraId="75BB71C5">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18.提拉训练：旨在提高五指抓握能力和肩部外展范围，改善手部肌肉协调性和上肢肌肉力量。活动范围：0～30cm。</w:t>
            </w:r>
          </w:p>
          <w:p w14:paraId="744B57C4">
            <w:pPr>
              <w:pStyle w:val="17"/>
              <w:ind w:left="0" w:leftChars="0" w:firstLine="0" w:firstLineChars="0"/>
              <w:jc w:val="left"/>
              <w:rPr>
                <w:rFonts w:hint="eastAsia" w:eastAsia="宋体" w:cs="Times New Roman"/>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19.尼龙搭扣扣合力：旨在尼龙搭扣的稳定性。固定带的尼龙搭扣扣合后,应能承受力30N的水平静拉力,持续30s,不应出现撕裂及脱离现象。</w:t>
            </w:r>
          </w:p>
        </w:tc>
        <w:tc>
          <w:tcPr>
            <w:tcW w:w="865" w:type="dxa"/>
            <w:vAlign w:val="center"/>
          </w:tcPr>
          <w:p w14:paraId="6CD0146B">
            <w:pPr>
              <w:pStyle w:val="17"/>
              <w:ind w:left="0" w:leftChars="0" w:firstLine="0" w:firstLineChars="0"/>
              <w:jc w:val="center"/>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val="en-US" w:eastAsia="zh-CN"/>
              </w:rPr>
              <w:t>1套</w:t>
            </w:r>
          </w:p>
        </w:tc>
      </w:tr>
      <w:tr w14:paraId="1580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13" w:type="dxa"/>
            <w:vAlign w:val="center"/>
          </w:tcPr>
          <w:p w14:paraId="49C4C389">
            <w:pPr>
              <w:pStyle w:val="17"/>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8</w:t>
            </w:r>
          </w:p>
        </w:tc>
        <w:tc>
          <w:tcPr>
            <w:tcW w:w="725" w:type="dxa"/>
            <w:vAlign w:val="center"/>
          </w:tcPr>
          <w:p w14:paraId="69E2A223">
            <w:pPr>
              <w:pStyle w:val="17"/>
              <w:ind w:left="0" w:leftChars="0" w:firstLine="0" w:firstLineChars="0"/>
              <w:jc w:val="center"/>
              <w:rPr>
                <w:rFonts w:hint="eastAsia" w:eastAsia="宋体" w:cs="Times New Roman"/>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OT操作台</w:t>
            </w:r>
          </w:p>
        </w:tc>
        <w:tc>
          <w:tcPr>
            <w:tcW w:w="7735" w:type="dxa"/>
            <w:vAlign w:val="center"/>
          </w:tcPr>
          <w:p w14:paraId="350EC7E7">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规格：≥195x105x97cm</w:t>
            </w:r>
          </w:p>
          <w:p w14:paraId="462F5E93">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材质：可移动框架，主体为木架，型钢</w:t>
            </w:r>
          </w:p>
          <w:p w14:paraId="73BD82ED">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钢件表面喷塑三侧板高度可调，调节范围：0-36cm</w:t>
            </w:r>
          </w:p>
          <w:p w14:paraId="6E14DBAD">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eastAsia="宋体" w:cs="Times New Roman"/>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OT组合训练车附件：上肢协调功能训练器、分指板、分指板弧形、铁棍插板、木钉板、套圈板、几何插板、动物插板、模拟作业工具、上螺丝、上螺母、手指阶梯、捶球训练器、堆杯、腕部功能训练器、串彩链、旋转套板、手指插球器。</w:t>
            </w:r>
          </w:p>
        </w:tc>
        <w:tc>
          <w:tcPr>
            <w:tcW w:w="865" w:type="dxa"/>
            <w:vAlign w:val="center"/>
          </w:tcPr>
          <w:p w14:paraId="7451373E">
            <w:pPr>
              <w:pStyle w:val="17"/>
              <w:ind w:left="0" w:leftChars="0" w:firstLine="0" w:firstLineChars="0"/>
              <w:jc w:val="center"/>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val="en-US" w:eastAsia="zh-CN"/>
              </w:rPr>
              <w:t>1套</w:t>
            </w:r>
          </w:p>
        </w:tc>
      </w:tr>
      <w:tr w14:paraId="3C37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13" w:type="dxa"/>
            <w:vAlign w:val="center"/>
          </w:tcPr>
          <w:p w14:paraId="066DAB46">
            <w:pPr>
              <w:pStyle w:val="17"/>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9</w:t>
            </w:r>
          </w:p>
        </w:tc>
        <w:tc>
          <w:tcPr>
            <w:tcW w:w="725" w:type="dxa"/>
            <w:vAlign w:val="center"/>
          </w:tcPr>
          <w:p w14:paraId="0E6F87F9">
            <w:pPr>
              <w:pStyle w:val="17"/>
              <w:ind w:left="0" w:leftChars="0" w:firstLine="0" w:firstLineChars="0"/>
              <w:jc w:val="center"/>
              <w:rPr>
                <w:rFonts w:hint="eastAsia" w:eastAsia="宋体" w:cs="Times New Roman"/>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生活适应互动训练仪</w:t>
            </w:r>
          </w:p>
        </w:tc>
        <w:tc>
          <w:tcPr>
            <w:tcW w:w="7735" w:type="dxa"/>
            <w:vAlign w:val="center"/>
          </w:tcPr>
          <w:p w14:paraId="66D05847">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外观整洁、无划痕、磨损、凹陷、裂缝、变形、毛刺等缺陷，表面涂层无气泡、龟裂、脱落现象,一体化机壳，无拼接；</w:t>
            </w:r>
          </w:p>
          <w:p w14:paraId="37049B98">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设备采用方形倒角设计，直边加圆弧形、无棱角、无磕碰隐患；</w:t>
            </w:r>
          </w:p>
          <w:p w14:paraId="2E4B00DB">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设备尺寸</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rPr>
              <w:t>700mm ×300mm ×300mm</w:t>
            </w:r>
            <w:r>
              <w:rPr>
                <w:rFonts w:hint="eastAsia" w:ascii="宋体" w:hAnsi="宋体" w:eastAsia="宋体" w:cs="宋体"/>
                <w:color w:val="auto"/>
                <w:sz w:val="21"/>
                <w:szCs w:val="21"/>
                <w:highlight w:val="none"/>
                <w:lang w:eastAsia="zh-CN"/>
              </w:rPr>
              <w:t>；</w:t>
            </w:r>
          </w:p>
          <w:p w14:paraId="2D6B3C8F">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智能互动显示部分：显示技术DLP(0.33"DMD)，投影光源RGB LED，亮度700 ANSI 流明，分辨率1080P (1920X1080)；</w:t>
            </w:r>
          </w:p>
          <w:p w14:paraId="11C478FE">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设备采用</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rPr>
              <w:t>2个喇叭单元，采用高性能钕铁硼三文治磁路，磁通密度高</w:t>
            </w:r>
          </w:p>
          <w:p w14:paraId="76EC3EF4">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蓝牙连接功能，具有蓝牙连接功能，可与移动终端进行蓝牙连接播放音乐；</w:t>
            </w:r>
          </w:p>
          <w:p w14:paraId="169F0FA9">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动态捕捉功能：具有人体动作捕捉功能，可实时捕捉人体动作，包括手部、腿部、膝部、脚尖等部位和手部空间精细位移同时做出图像反馈。</w:t>
            </w:r>
          </w:p>
          <w:p w14:paraId="5E6F4D45">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空间位置识别功能：设备具有广度与纵深识别功能，可捕捉使用者在横向与纵向及高度的空间位置变化；</w:t>
            </w:r>
          </w:p>
          <w:p w14:paraId="5F6E0E39">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智能提醒功能：设备可识别使用者空间位置，并自动做出语音提醒，提示使用者如何处于最佳感应位置；</w:t>
            </w:r>
          </w:p>
          <w:p w14:paraId="393C266F">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设备配件：设备含有遥控器1个，</w:t>
            </w:r>
            <w:r>
              <w:rPr>
                <w:rFonts w:hint="eastAsia" w:ascii="宋体" w:hAnsi="宋体" w:eastAsia="宋体" w:cs="宋体"/>
                <w:color w:val="auto"/>
                <w:sz w:val="21"/>
                <w:szCs w:val="21"/>
                <w:highlight w:val="none"/>
                <w:lang w:val="en-US" w:eastAsia="zh-CN"/>
              </w:rPr>
              <w:t>地拉超高清幕布1台，教材1本、</w:t>
            </w:r>
            <w:r>
              <w:rPr>
                <w:rFonts w:hint="eastAsia" w:ascii="宋体" w:hAnsi="宋体" w:eastAsia="宋体" w:cs="宋体"/>
                <w:color w:val="auto"/>
                <w:sz w:val="21"/>
                <w:szCs w:val="21"/>
                <w:highlight w:val="none"/>
              </w:rPr>
              <w:t>电源线1</w:t>
            </w:r>
            <w:r>
              <w:rPr>
                <w:rFonts w:hint="eastAsia" w:ascii="宋体" w:hAnsi="宋体" w:eastAsia="宋体" w:cs="宋体"/>
                <w:color w:val="auto"/>
                <w:sz w:val="21"/>
                <w:szCs w:val="21"/>
                <w:highlight w:val="none"/>
                <w:lang w:val="en-US" w:eastAsia="zh-CN"/>
              </w:rPr>
              <w:t>根</w:t>
            </w:r>
            <w:r>
              <w:rPr>
                <w:rFonts w:hint="eastAsia" w:ascii="宋体" w:hAnsi="宋体" w:eastAsia="宋体" w:cs="宋体"/>
                <w:color w:val="auto"/>
                <w:sz w:val="21"/>
                <w:szCs w:val="21"/>
                <w:highlight w:val="none"/>
              </w:rPr>
              <w:t>，说明书1份；</w:t>
            </w:r>
          </w:p>
          <w:p w14:paraId="3D381A53">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互动软件：含有个人生活、家庭生活、社会生活共1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场景以上训练软件，软件分为教学与训练两种模式，可进行进阶试训练；</w:t>
            </w:r>
          </w:p>
          <w:p w14:paraId="4030D47F">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软件运行：软件使用三维立体互动场景，使用者通过肢体动作隔空操控软件；</w:t>
            </w:r>
          </w:p>
          <w:p w14:paraId="4506A7A4">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电磁兼容测试：设备通过静电空气放电抗扰度测试，对设备按键缝隙部位施加±8千伏的电压进行空气放电，测试20次，设备工作正常，符合标准a类要求；</w:t>
            </w:r>
          </w:p>
          <w:p w14:paraId="1E259FC2">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设备安全性：</w:t>
            </w:r>
          </w:p>
          <w:p w14:paraId="72C9B4F8">
            <w:pPr>
              <w:keepNext w:val="0"/>
              <w:keepLines w:val="0"/>
              <w:pageBreakBefore w:val="0"/>
              <w:widowControl/>
              <w:kinsoku/>
              <w:wordWrap/>
              <w:overflowPunct/>
              <w:topLinePunct w:val="0"/>
              <w:autoSpaceDE/>
              <w:autoSpaceDN/>
              <w:bidi w:val="0"/>
              <w:adjustRightInd/>
              <w:snapToGrid/>
              <w:spacing w:line="288"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14.1</w:t>
            </w:r>
            <w:r>
              <w:rPr>
                <w:rFonts w:hint="eastAsia" w:ascii="宋体" w:hAnsi="宋体" w:eastAsia="宋体" w:cs="宋体"/>
                <w:color w:val="auto"/>
                <w:sz w:val="21"/>
                <w:szCs w:val="21"/>
                <w:highlight w:val="none"/>
              </w:rPr>
              <w:t>电源适应性：设备电源接入198V 49Hz、198V 51Hz、220V 50Hz、242V 49Hz、242V 51Hz每种组</w:t>
            </w:r>
            <w:r>
              <w:rPr>
                <w:rFonts w:hint="eastAsia" w:ascii="宋体" w:hAnsi="宋体" w:eastAsia="宋体" w:cs="宋体"/>
                <w:color w:val="auto"/>
                <w:sz w:val="21"/>
                <w:szCs w:val="21"/>
                <w:highlight w:val="none"/>
                <w:lang w:eastAsia="zh-CN"/>
              </w:rPr>
              <w:t>；</w:t>
            </w:r>
          </w:p>
          <w:p w14:paraId="4F829AD0">
            <w:pPr>
              <w:keepNext w:val="0"/>
              <w:keepLines w:val="0"/>
              <w:pageBreakBefore w:val="0"/>
              <w:widowControl/>
              <w:kinsoku/>
              <w:wordWrap/>
              <w:overflowPunct/>
              <w:topLinePunct w:val="0"/>
              <w:autoSpaceDE/>
              <w:autoSpaceDN/>
              <w:bidi w:val="0"/>
              <w:adjustRightInd/>
              <w:snapToGrid/>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14.2</w:t>
            </w:r>
            <w:r>
              <w:rPr>
                <w:rFonts w:hint="eastAsia" w:ascii="宋体" w:hAnsi="宋体" w:eastAsia="宋体" w:cs="宋体"/>
                <w:color w:val="auto"/>
                <w:sz w:val="21"/>
                <w:szCs w:val="21"/>
                <w:highlight w:val="none"/>
              </w:rPr>
              <w:t>抗电强度：L、N保护接地端子，承受AC1500V 60s绝缘不被击穿；</w:t>
            </w:r>
          </w:p>
          <w:p w14:paraId="66EADFC5">
            <w:pPr>
              <w:keepNext w:val="0"/>
              <w:keepLines w:val="0"/>
              <w:pageBreakBefore w:val="0"/>
              <w:widowControl/>
              <w:kinsoku/>
              <w:wordWrap/>
              <w:overflowPunct/>
              <w:topLinePunct w:val="0"/>
              <w:autoSpaceDE/>
              <w:autoSpaceDN/>
              <w:bidi w:val="0"/>
              <w:adjustRightInd/>
              <w:snapToGrid/>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14.3</w:t>
            </w:r>
            <w:r>
              <w:rPr>
                <w:rFonts w:hint="eastAsia" w:ascii="宋体" w:hAnsi="宋体" w:eastAsia="宋体" w:cs="宋体"/>
                <w:color w:val="auto"/>
                <w:sz w:val="21"/>
                <w:szCs w:val="21"/>
                <w:highlight w:val="none"/>
              </w:rPr>
              <w:t>接触电流：在242V与198V电压测试下，设备电流均小于3.5mA</w:t>
            </w:r>
          </w:p>
          <w:p w14:paraId="27E2266F">
            <w:pPr>
              <w:keepNext w:val="0"/>
              <w:keepLines w:val="0"/>
              <w:pageBreakBefore w:val="0"/>
              <w:widowControl/>
              <w:kinsoku/>
              <w:wordWrap/>
              <w:overflowPunct/>
              <w:topLinePunct w:val="0"/>
              <w:autoSpaceDE/>
              <w:autoSpaceDN/>
              <w:bidi w:val="0"/>
              <w:adjustRightInd/>
              <w:snapToGrid/>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设备通过环境测试：</w:t>
            </w:r>
          </w:p>
          <w:p w14:paraId="706766BF">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15.1</w:t>
            </w:r>
            <w:r>
              <w:rPr>
                <w:rFonts w:hint="eastAsia" w:ascii="宋体" w:hAnsi="宋体" w:eastAsia="宋体" w:cs="宋体"/>
                <w:color w:val="auto"/>
                <w:sz w:val="21"/>
                <w:szCs w:val="21"/>
                <w:highlight w:val="none"/>
              </w:rPr>
              <w:t>低温负荷测试：设备在-10℃低温环境，工作</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小时无异常；</w:t>
            </w:r>
          </w:p>
          <w:p w14:paraId="42C090C6">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15.2</w:t>
            </w:r>
            <w:r>
              <w:rPr>
                <w:rFonts w:hint="eastAsia" w:ascii="宋体" w:hAnsi="宋体" w:eastAsia="宋体" w:cs="宋体"/>
                <w:color w:val="auto"/>
                <w:sz w:val="21"/>
                <w:szCs w:val="21"/>
                <w:highlight w:val="none"/>
              </w:rPr>
              <w:t>高温负荷测试：设备在50℃高温环境，工作</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小时无异常；</w:t>
            </w:r>
          </w:p>
          <w:p w14:paraId="079C3E29">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16.3</w:t>
            </w:r>
            <w:r>
              <w:rPr>
                <w:rFonts w:hint="eastAsia" w:ascii="宋体" w:hAnsi="宋体" w:eastAsia="宋体" w:cs="宋体"/>
                <w:color w:val="auto"/>
                <w:sz w:val="21"/>
                <w:szCs w:val="21"/>
                <w:highlight w:val="none"/>
              </w:rPr>
              <w:t>恒定湿热负荷测试：设备在40℃,90％RH湿度环境，工作</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小时无异常；</w:t>
            </w:r>
          </w:p>
          <w:p w14:paraId="566F202C">
            <w:pPr>
              <w:pStyle w:val="17"/>
              <w:ind w:left="0" w:leftChars="0" w:firstLine="0" w:firstLineChars="0"/>
              <w:jc w:val="left"/>
              <w:rPr>
                <w:rFonts w:hint="eastAsia" w:eastAsia="宋体" w:cs="Times New Roman"/>
                <w:color w:val="auto"/>
                <w:highlight w:val="none"/>
                <w:vertAlign w:val="baseline"/>
                <w:lang w:eastAsia="zh-CN"/>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设备通过阻燃测试：设备经过两次燃烧测试，离火自燃与闪烁时间均在4秒以内，且燃烧后状态未燃烧到支撑位置，阻燃达到V-0级</w:t>
            </w:r>
            <w:r>
              <w:rPr>
                <w:rFonts w:hint="eastAsia" w:ascii="宋体" w:hAnsi="宋体" w:eastAsia="宋体" w:cs="宋体"/>
                <w:color w:val="auto"/>
                <w:sz w:val="21"/>
                <w:szCs w:val="21"/>
                <w:highlight w:val="none"/>
                <w:lang w:eastAsia="zh-CN"/>
              </w:rPr>
              <w:t>。</w:t>
            </w:r>
          </w:p>
        </w:tc>
        <w:tc>
          <w:tcPr>
            <w:tcW w:w="865" w:type="dxa"/>
            <w:vAlign w:val="center"/>
          </w:tcPr>
          <w:p w14:paraId="462BBDFB">
            <w:pPr>
              <w:pStyle w:val="17"/>
              <w:ind w:left="0" w:leftChars="0" w:firstLine="0" w:firstLineChars="0"/>
              <w:jc w:val="center"/>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val="en-US" w:eastAsia="zh-CN"/>
              </w:rPr>
              <w:t>1套</w:t>
            </w:r>
          </w:p>
        </w:tc>
      </w:tr>
      <w:tr w14:paraId="3721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13" w:type="dxa"/>
            <w:vAlign w:val="center"/>
          </w:tcPr>
          <w:p w14:paraId="1D9DE005">
            <w:pPr>
              <w:pStyle w:val="17"/>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10</w:t>
            </w:r>
          </w:p>
        </w:tc>
        <w:tc>
          <w:tcPr>
            <w:tcW w:w="725" w:type="dxa"/>
            <w:vAlign w:val="center"/>
          </w:tcPr>
          <w:p w14:paraId="057447C3">
            <w:pPr>
              <w:pStyle w:val="17"/>
              <w:ind w:left="0" w:leftChars="0" w:firstLine="0" w:firstLineChars="0"/>
              <w:jc w:val="center"/>
              <w:rPr>
                <w:rFonts w:hint="eastAsia" w:eastAsia="宋体" w:cs="Times New Roman"/>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儿童用悬吊训练器</w:t>
            </w:r>
          </w:p>
        </w:tc>
        <w:tc>
          <w:tcPr>
            <w:tcW w:w="7735" w:type="dxa"/>
            <w:vAlign w:val="center"/>
          </w:tcPr>
          <w:p w14:paraId="03B64B6D">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主要功能：以悬吊技术为核心，与滑轨技术紧密连接，并结合其他康复训练有关的的辅助设备，实现个体化训练，多人化训练同时进，并针对性训练。恢复患者平衡功能，协调能力、控制能力、支配能力，缓解全身痉挛状态，改善关节活动度，增强肌力，达到中枢神经系统的通路重建功能。集神经发育疗法、感觉统合训练、平衡姿态矫正，引导教育于一体，用于肌张力的缓解、肌力的增强、平衡协调性的提高。</w:t>
            </w:r>
          </w:p>
          <w:p w14:paraId="5490B0E3">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二、适用范围：3个月-18岁</w:t>
            </w:r>
          </w:p>
          <w:p w14:paraId="7D775BC7">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三、基本配置：</w:t>
            </w:r>
          </w:p>
          <w:p w14:paraId="4C42C097">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1、滑轨：长度3米，钢化铝合金材质，承重大于200KG，滑轨外形尺寸</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81*67mm（±5mm）；，内径</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53mm（±5mm），滑轨上部具有独立凹槽2组用于滑轨部分固定安装；滑轨下部具有独立凹槽1组用于8轮三轴静音滑车固定与滑行。数量：1根。</w:t>
            </w:r>
          </w:p>
          <w:p w14:paraId="155AC27D">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2、滑车：8轮三轴静音滑车，八个轮子全部置入轨道内，具有随时锁定功能，同时具有锁定功能，三角型尺寸650*120*250mm（±10mm）。数量：3个</w:t>
            </w:r>
            <w:r>
              <w:rPr>
                <w:rFonts w:hint="eastAsia" w:ascii="宋体" w:hAnsi="宋体" w:cs="宋体"/>
                <w:i w:val="0"/>
                <w:iCs w:val="0"/>
                <w:color w:val="auto"/>
                <w:kern w:val="0"/>
                <w:sz w:val="21"/>
                <w:szCs w:val="21"/>
                <w:highlight w:val="none"/>
                <w:u w:val="none"/>
                <w:lang w:val="en-US" w:eastAsia="zh-CN" w:bidi="ar"/>
              </w:rPr>
              <w:t>。提供滑车图片佐证参数。</w:t>
            </w:r>
          </w:p>
          <w:p w14:paraId="43E05E2E">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3、悬吊器：外形尺寸：670*180*70mm（±10mm），配备2根5米红绳，内置2个不锈钢安全钩，内有锁定装置，具备任意滑动位置随时锁定的效果。数量：4套</w:t>
            </w:r>
          </w:p>
          <w:p w14:paraId="48727504">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4、分组训练装置：4.1平衡协调训练系统：</w:t>
            </w:r>
          </w:p>
          <w:p w14:paraId="43F6D6B8">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4.1.1方形晃板：木质四角有连接环，尺寸1000*1000*100mm（±10mm），软包；4.1.2滑索绳子2根（长度：60cm（±10mm））；4.1.3腰腹部固定带2根，长度：（50cm*10cm 1根；55cm*10cm 1根）（±10mm）4.2支撑摆动训练系统：4.2.1支撑摆动训练器：15mm（±2mm）复合板，最大承重：50KG，尺寸：625*380mm（±2mm）；4.2.2红绳2根（两边均为锁扣）长度：约1.5米；绳夹2个；手扶装置2件；4.3感觉运动训练系统：4.3.1吊袋1套，最大承重：50KG，尺寸：1100*850mm（±10mm）；4.3.2吊船1套，最大承重：50KG，尺寸：1700*800*180mm（±10mm）；4.3.3滑索悬带2根（绳长：75cm（±5cm），全长≥1.1米）；</w:t>
            </w:r>
          </w:p>
          <w:p w14:paraId="04E03C37">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知动运动训练系统：4.4.1绳梯（配两块坐扳）1套，最大承重：50KG，尺寸：1650*1000mm（±10mm）；4.4.2悬吊棒1根，最大承重：50KG，尺寸：1100*100mm（±10mm）；4.4.3悬吊棒2根，长1700mm（±10mm），最大承重：50KG，材料：木制/钢；4.4.4滑索悬带2根（绳长：75cm（±5cm），全长≥1.1米）；4.4.5悬吊鞋1对，最大承重：150KG，尺寸：180*100*25mm（±5cm）；</w:t>
            </w:r>
          </w:p>
          <w:p w14:paraId="7408899B">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4.4.6绳钩6个，材质碳钢；4.5儿童行走及爬行训练装置</w:t>
            </w:r>
          </w:p>
          <w:p w14:paraId="641937C0">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4.5.1行走装具1组4.5.2悬带1套（2个）4.5.3平衡气垫2个4.5.4治疗作业板1套4.5.5平衡板1套4.5.6滑索手把2个4.5.7宽悬带2个4.5.8横抱桶1个4.6抗阻力运动训练系统：4.6.1滑索弹性绳长30cm(±5cm)高阻力附栓扣2根；4.6.2滑索弹性绳长30cm(±5cm)中阻力附栓扣2根；4.6.3滑索弹性绳长30cm(±5cm)低阻力附栓扣2根；4.6.4滑索弹性绳长60cm(±5cm)高阻力附栓扣2根；4.6.5滑索弹性绳长60cm(±5cm)中阻力附栓扣2根；4.6.6滑索弹性绳长60cm(±5cm)低阻力附栓扣2根；</w:t>
            </w:r>
          </w:p>
          <w:p w14:paraId="73238BB0">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4.7 </w:t>
            </w:r>
            <w:r>
              <w:rPr>
                <w:rFonts w:hint="eastAsia"/>
                <w:b w:val="0"/>
                <w:bCs w:val="0"/>
                <w:color w:val="auto"/>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儿童红外纽安球 1个</w:t>
            </w:r>
          </w:p>
          <w:p w14:paraId="51AF1E22">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主要功能:通过红外、热敷、振动等方法达到刺激神经末梢、扩展毛细血管促进血液循环、改善手指痉挛、提升手部肌力、改善抓握力、提升灵活性、促进手指被动训练等，用于各种原因造成的手功能异常、手指肌张力异常、手无力、手指屈曲痉挛、手指肌肉萎缩等问题改善。</w:t>
            </w:r>
            <w:r>
              <w:rPr>
                <w:rFonts w:hint="eastAsia" w:ascii="宋体" w:hAnsi="宋体" w:cs="宋体"/>
                <w:i w:val="0"/>
                <w:iCs w:val="0"/>
                <w:color w:val="auto"/>
                <w:kern w:val="0"/>
                <w:sz w:val="21"/>
                <w:szCs w:val="21"/>
                <w:highlight w:val="none"/>
                <w:u w:val="none"/>
                <w:lang w:val="en-US" w:eastAsia="zh-CN" w:bidi="ar"/>
              </w:rPr>
              <w:t>提供产品图片及功能说明。</w:t>
            </w:r>
          </w:p>
          <w:p w14:paraId="64C4D7CD">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4.7.1工作电压3.7V 4.7.2工作电流380ma 4.7.3电池容量1800ma 4.7.4充电器5V/1A 4.7.5充满电可以使用200分钟，自动充电提示 4.7.6具有5种工作模式、6种工作力度模式1；直线运动模式2；动5停1 模式3；动2停0.5 模式4；动8停2 模式5；动3停0.516 4.7.7工作温度：内约58度，外约42-45度4.7.8工作时间：约10分钟一循环4.7.9工作转速：6500转，工作频率：5000赫兹4.7.10具有自动模式跟手动模式，可自由切换，自动模式工作力度自动循环由小到大；手动模式工作力度可以自由调节大小档位。</w:t>
            </w:r>
          </w:p>
          <w:p w14:paraId="3749C2E3">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4.8 </w:t>
            </w:r>
            <w:r>
              <w:rPr>
                <w:rFonts w:hint="eastAsia"/>
                <w:b w:val="0"/>
                <w:bCs w:val="0"/>
                <w:color w:val="auto"/>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记忆型姿态控制管理训练装置 1套</w:t>
            </w:r>
          </w:p>
          <w:p w14:paraId="36FBB5CB">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一种以真空方式塑造出可以稳定四肢或躯干的姿态控制装置。具有易调整，可塑性的特点，体位垫与患者接触面大，分散了压力，增强了包裹性和平衡性，提升了安全感，增强了体位支撑，可以用作支撑面角度的改变和头、躯干、四肢的姿势控制，以代偿、代替、改变其部分功能从而达到最大康复效果。</w:t>
            </w:r>
            <w:r>
              <w:rPr>
                <w:rFonts w:hint="eastAsia" w:ascii="宋体" w:hAnsi="宋体" w:cs="宋体"/>
                <w:i w:val="0"/>
                <w:iCs w:val="0"/>
                <w:color w:val="auto"/>
                <w:kern w:val="0"/>
                <w:sz w:val="21"/>
                <w:szCs w:val="21"/>
                <w:highlight w:val="none"/>
                <w:u w:val="none"/>
                <w:lang w:val="en-US" w:eastAsia="zh-CN" w:bidi="ar"/>
              </w:rPr>
              <w:t>提供产品图片及功能说明。</w:t>
            </w:r>
          </w:p>
          <w:p w14:paraId="1A98A9BD">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4.9日常维护工具包:1套</w:t>
            </w:r>
          </w:p>
          <w:p w14:paraId="2189CA28">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五、适应症:脑瘫儿童、感觉统合失调、智力发育迟缓、儿童注意力不集中、儿童孤独症儿童斜颈、儿童骨盆倾斜、儿童脊柱倾斜等方面的训练康复都有非常好的疗效。</w:t>
            </w:r>
          </w:p>
          <w:p w14:paraId="49BC83F6">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六、资质要求:</w:t>
            </w:r>
          </w:p>
          <w:p w14:paraId="5F554EA3">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1、提供国家康复器械质量监督检验中心出具的检验报告；</w:t>
            </w:r>
          </w:p>
          <w:p w14:paraId="480FA751">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eastAsia="宋体" w:cs="Times New Roman"/>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2、提供质量技术监督管理部门备案的企业标准。</w:t>
            </w:r>
          </w:p>
        </w:tc>
        <w:tc>
          <w:tcPr>
            <w:tcW w:w="865" w:type="dxa"/>
            <w:vAlign w:val="center"/>
          </w:tcPr>
          <w:p w14:paraId="611193DC">
            <w:pPr>
              <w:pStyle w:val="18"/>
              <w:bidi w:val="0"/>
              <w:rPr>
                <w:rFonts w:hint="eastAsia"/>
                <w:color w:val="auto"/>
                <w:highlight w:val="none"/>
                <w:lang w:eastAsia="zh-CN"/>
              </w:rPr>
            </w:pPr>
            <w:r>
              <w:rPr>
                <w:rFonts w:hint="eastAsia"/>
                <w:color w:val="auto"/>
                <w:highlight w:val="none"/>
                <w:lang w:val="en-US" w:eastAsia="zh-CN"/>
              </w:rPr>
              <w:t>1套</w:t>
            </w:r>
          </w:p>
        </w:tc>
      </w:tr>
      <w:tr w14:paraId="0F66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13" w:type="dxa"/>
            <w:vAlign w:val="center"/>
          </w:tcPr>
          <w:p w14:paraId="31FE1EE2">
            <w:pPr>
              <w:pStyle w:val="17"/>
              <w:ind w:left="0" w:leftChars="0"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11</w:t>
            </w:r>
          </w:p>
        </w:tc>
        <w:tc>
          <w:tcPr>
            <w:tcW w:w="725" w:type="dxa"/>
            <w:vAlign w:val="center"/>
          </w:tcPr>
          <w:p w14:paraId="24B4064D">
            <w:pPr>
              <w:pStyle w:val="17"/>
              <w:ind w:left="0" w:leftChars="0" w:firstLine="0" w:firstLineChars="0"/>
              <w:jc w:val="center"/>
              <w:rPr>
                <w:rFonts w:hint="eastAsia" w:eastAsia="宋体" w:cs="Times New Roman"/>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眼动认知评估与训练仪</w:t>
            </w:r>
          </w:p>
        </w:tc>
        <w:tc>
          <w:tcPr>
            <w:tcW w:w="7735" w:type="dxa"/>
            <w:vAlign w:val="center"/>
          </w:tcPr>
          <w:p w14:paraId="4FAF3893">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1、治疗范围：针对认知损害进行全面评估与训练，包括感知觉能力、基 本认知能力、思维能力、数学能力、社会行为能力、艺术能力等多项能 力训练专题。</w:t>
            </w:r>
          </w:p>
          <w:p w14:paraId="5080393D">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2、主要功能特点2.1 眼动辅助评估/训练模块2.11 眼动辅助评估：可针对注意力障碍、单侧忽略、阅读障碍、视觉 跟踪进行辅助评估；快速、直观、准确地对患者注意力的诊断；2.12 眼动训练：包括≥ 10 个眼动训练项目，可提供注意力训练方 案，内容为打虫子、余光狗、追踪、选购商品、阅读、滑雪、轨迹球、 找水果、切水果、电子琴、找数字特制训练题目。</w:t>
            </w:r>
          </w:p>
          <w:p w14:paraId="4C8AC0EE">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 认知障碍评定模块</w:t>
            </w:r>
          </w:p>
          <w:p w14:paraId="78AA1523">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2.21 提供不少于 27 个儿童认知功能障碍相关评估量表，应包括：NYLS 3-7 儿童气质问卷、Rutter 儿童行为问卷、儿童孤独症评定量表、儿童 社交焦虑量表、简易智力检测量表、儿童感觉统合发展评定量表等。</w:t>
            </w:r>
          </w:p>
          <w:p w14:paraId="10DA13D0">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2.22 需提供动态洛文斯顿工具箱的计算及分析系统</w:t>
            </w:r>
          </w:p>
          <w:p w14:paraId="0DA2635B">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2.23 动态洛文斯顿分析系统软件能自动定量分析脑功能各个维度静态水平和动态水平。</w:t>
            </w:r>
          </w:p>
          <w:p w14:paraId="516DABE8">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2.24 根据动态洛文斯顿分析系统软件分析，治疗师能确定被试者脑功 能维度的短板、长板</w:t>
            </w:r>
          </w:p>
          <w:p w14:paraId="43B8E140">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2.25 通过动态洛文斯顿分析系统确定被试者最具潜力、最容易干预、 最具康复成效的维度，为精准处方训练提供客观指导</w:t>
            </w:r>
          </w:p>
          <w:p w14:paraId="68CAC46F">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2.26 </w:t>
            </w:r>
            <w:r>
              <w:rPr>
                <w:rFonts w:hint="eastAsia"/>
                <w:b w:val="0"/>
                <w:bCs w:val="0"/>
                <w:color w:val="auto"/>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动态洛文斯顿作业疗法认知评定测试内容由 7 个认知领域的 28 个子测验构成，包括定向、意识、视知觉、空间知觉、动作运用、视运动组织、思维操作；</w:t>
            </w:r>
            <w:r>
              <w:rPr>
                <w:rFonts w:hint="eastAsia" w:ascii="宋体" w:hAnsi="宋体" w:cs="宋体"/>
                <w:i w:val="0"/>
                <w:iCs w:val="0"/>
                <w:color w:val="auto"/>
                <w:kern w:val="0"/>
                <w:sz w:val="21"/>
                <w:szCs w:val="21"/>
                <w:highlight w:val="none"/>
                <w:u w:val="none"/>
                <w:lang w:val="en-US" w:eastAsia="zh-CN" w:bidi="ar"/>
              </w:rPr>
              <w:t>提供设备页面截图。</w:t>
            </w:r>
          </w:p>
          <w:p w14:paraId="0E0687FD">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2.27 </w:t>
            </w:r>
            <w:r>
              <w:rPr>
                <w:rFonts w:hint="eastAsia"/>
                <w:b w:val="0"/>
                <w:bCs w:val="0"/>
                <w:color w:val="auto"/>
                <w:sz w:val="21"/>
                <w:szCs w:val="21"/>
                <w:highlight w:val="none"/>
                <w:lang w:val="en-US" w:eastAsia="zh-CN"/>
              </w:rPr>
              <w:t>★</w:t>
            </w:r>
            <w:r>
              <w:rPr>
                <w:rFonts w:hint="eastAsia" w:ascii="宋体" w:hAnsi="宋体" w:eastAsia="宋体" w:cs="宋体"/>
                <w:i w:val="0"/>
                <w:iCs w:val="0"/>
                <w:color w:val="auto"/>
                <w:kern w:val="0"/>
                <w:sz w:val="21"/>
                <w:szCs w:val="21"/>
                <w:highlight w:val="none"/>
                <w:u w:val="none"/>
                <w:lang w:val="en-US" w:eastAsia="zh-CN" w:bidi="ar"/>
              </w:rPr>
              <w:t>动态洛文斯顿分析系统评分方法：每个分子测验包括三个评分： 静态评分（提示前）；动态评分（提示分）；提示后评分（提示后）。</w:t>
            </w:r>
            <w:r>
              <w:rPr>
                <w:rFonts w:hint="eastAsia" w:ascii="宋体" w:hAnsi="宋体" w:cs="宋体"/>
                <w:i w:val="0"/>
                <w:iCs w:val="0"/>
                <w:color w:val="auto"/>
                <w:kern w:val="0"/>
                <w:sz w:val="21"/>
                <w:szCs w:val="21"/>
                <w:highlight w:val="none"/>
                <w:u w:val="none"/>
                <w:lang w:val="en-US" w:eastAsia="zh-CN" w:bidi="ar"/>
              </w:rPr>
              <w:t>提供设备页面截图。</w:t>
            </w:r>
          </w:p>
          <w:p w14:paraId="70F6A9BD">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3、认知障碍训练模块</w:t>
            </w:r>
          </w:p>
          <w:p w14:paraId="77D13431">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 应包括感知觉能力、基本认知能力、思维能力、数学能力、社会行 为能力、艺术能力等 6 大认知主题， ≥100 个训练题目；</w:t>
            </w:r>
          </w:p>
          <w:p w14:paraId="69BAFB64">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  AR 增强现实训练：AR 卡片≥4 套，应至少包括常见的动物、植物 、 交通工具等常见的 ADL 生活物品；</w:t>
            </w:r>
          </w:p>
          <w:p w14:paraId="716C238C">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 脑功能临床训练的细分亚型≥5 个，而且每个亚型的子亚型分类≥3 个；</w:t>
            </w:r>
          </w:p>
          <w:p w14:paraId="0D69D399">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 训练应具有难度梯度自适应调整算法，医生也可手动调整难易程度。</w:t>
            </w:r>
          </w:p>
          <w:p w14:paraId="20F3F646">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4、后台病案管理功能：4.1 专业数据库存储功能，能存储上百万条以上的治疗数据；4.2 可录入并查询病人一般情况、病史、认知评定结果与报告、康复治 疗计划及处方设定、信息迁移等；4.3 可提供完整的统计报表数据分析模块：从训练状态、训练成绩、疑 难点分析、训练进步情况等方面分析个体的训练情况。</w:t>
            </w:r>
          </w:p>
          <w:p w14:paraId="3CB5D3C0">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5、系统管理功能</w:t>
            </w:r>
          </w:p>
          <w:p w14:paraId="0719AC81">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 可对科室的训练资源进行排班管理，并保证最大程度的利用；</w:t>
            </w:r>
          </w:p>
          <w:p w14:paraId="2B672EF2">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5.2针对不同的用户可以开通相应的权限；</w:t>
            </w:r>
          </w:p>
          <w:p w14:paraId="270899E5">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5.3对系统操作日志有清晰的记录，包括操作内容、时间、用户等。</w:t>
            </w:r>
          </w:p>
          <w:p w14:paraId="001D2DD5">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6、系统配置清单：</w:t>
            </w:r>
          </w:p>
          <w:p w14:paraId="24AD3C1B">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6.1软件：认知康复训练与评估软件1套</w:t>
            </w:r>
          </w:p>
          <w:p w14:paraId="129733E8">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6.2触控显示器：≥23 寸高清电容触控屏，分辨率≥1920x10801个</w:t>
            </w:r>
          </w:p>
          <w:p w14:paraId="23E31A3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6.3 AR高清摄像头，分辨率≥1920x10801个                  </w:t>
            </w:r>
          </w:p>
          <w:p w14:paraId="11150CC2">
            <w:pPr>
              <w:pStyle w:val="17"/>
              <w:ind w:left="0" w:leftChars="0" w:firstLine="0" w:firstLineChars="0"/>
              <w:jc w:val="left"/>
              <w:rPr>
                <w:rFonts w:hint="eastAsia" w:eastAsia="宋体" w:cs="Times New Roman"/>
                <w:color w:val="auto"/>
                <w:highlight w:val="none"/>
                <w:vertAlign w:val="baseline"/>
                <w:lang w:eastAsia="zh-CN"/>
              </w:rPr>
            </w:pPr>
            <w:r>
              <w:rPr>
                <w:rFonts w:hint="eastAsia" w:ascii="宋体" w:hAnsi="宋体" w:eastAsia="宋体" w:cs="宋体"/>
                <w:i w:val="0"/>
                <w:iCs w:val="0"/>
                <w:color w:val="auto"/>
                <w:kern w:val="0"/>
                <w:sz w:val="21"/>
                <w:szCs w:val="21"/>
                <w:highlight w:val="none"/>
                <w:u w:val="none"/>
                <w:lang w:val="en-US" w:eastAsia="zh-CN" w:bidi="ar"/>
              </w:rPr>
              <w:t>6.4 眼动跟踪传感器：近红外波长≥850nm； 眼动捕捉范围不小于 50-95cm，采样率≥120Hz；可通过算法剔除头部相对位移速度不低于40cm/s1个</w:t>
            </w:r>
          </w:p>
        </w:tc>
        <w:tc>
          <w:tcPr>
            <w:tcW w:w="865" w:type="dxa"/>
            <w:vAlign w:val="center"/>
          </w:tcPr>
          <w:p w14:paraId="2B135A6F">
            <w:pPr>
              <w:pStyle w:val="17"/>
              <w:ind w:left="0" w:leftChars="0" w:firstLine="0" w:firstLineChars="0"/>
              <w:jc w:val="center"/>
              <w:rPr>
                <w:rFonts w:hint="eastAsia" w:eastAsia="宋体" w:cs="Times New Roman"/>
                <w:color w:val="auto"/>
                <w:highlight w:val="none"/>
                <w:vertAlign w:val="baseline"/>
                <w:lang w:eastAsia="zh-CN"/>
              </w:rPr>
            </w:pPr>
            <w:r>
              <w:rPr>
                <w:rFonts w:hint="eastAsia" w:eastAsia="宋体" w:cs="Times New Roman"/>
                <w:color w:val="auto"/>
                <w:highlight w:val="none"/>
                <w:vertAlign w:val="baseline"/>
                <w:lang w:val="en-US" w:eastAsia="zh-CN"/>
              </w:rPr>
              <w:t>1套</w:t>
            </w:r>
          </w:p>
        </w:tc>
      </w:tr>
    </w:tbl>
    <w:p w14:paraId="0E60CC88">
      <w:pPr>
        <w:pStyle w:val="17"/>
        <w:rPr>
          <w:rFonts w:hint="eastAsia"/>
          <w:color w:val="auto"/>
          <w:highlight w:val="none"/>
          <w:lang w:eastAsia="zh-CN"/>
        </w:rPr>
      </w:pPr>
    </w:p>
    <w:p w14:paraId="417734F6">
      <w:pPr>
        <w:keepNext/>
        <w:keepLines/>
        <w:spacing w:before="120" w:beforeLines="50" w:line="360" w:lineRule="auto"/>
        <w:outlineLvl w:val="2"/>
        <w:rPr>
          <w:rFonts w:hint="eastAsia" w:asciiTheme="minorEastAsia" w:hAnsiTheme="minorEastAsia" w:eastAsiaTheme="minorEastAsia" w:cstheme="minorEastAsia"/>
          <w:b/>
          <w:bCs/>
          <w:color w:val="auto"/>
          <w:sz w:val="30"/>
          <w:szCs w:val="30"/>
          <w:highlight w:val="none"/>
        </w:rPr>
      </w:pPr>
      <w:bookmarkStart w:id="125" w:name="_Toc486423873"/>
      <w:bookmarkStart w:id="126" w:name="_Toc493956023"/>
      <w:bookmarkStart w:id="127" w:name="_Toc13564444"/>
      <w:bookmarkStart w:id="128" w:name="_Toc493957135"/>
      <w:r>
        <w:rPr>
          <w:rFonts w:hint="eastAsia" w:asciiTheme="minorEastAsia" w:hAnsiTheme="minorEastAsia" w:eastAsiaTheme="minorEastAsia" w:cstheme="minorEastAsia"/>
          <w:b/>
          <w:bCs/>
          <w:color w:val="auto"/>
          <w:sz w:val="30"/>
          <w:szCs w:val="30"/>
          <w:highlight w:val="none"/>
          <w:lang w:val="en-US" w:eastAsia="zh-CN"/>
        </w:rPr>
        <w:t>二、</w:t>
      </w:r>
      <w:r>
        <w:rPr>
          <w:rFonts w:hint="eastAsia" w:asciiTheme="minorEastAsia" w:hAnsiTheme="minorEastAsia" w:eastAsiaTheme="minorEastAsia" w:cstheme="minorEastAsia"/>
          <w:b/>
          <w:bCs/>
          <w:color w:val="auto"/>
          <w:sz w:val="30"/>
          <w:szCs w:val="30"/>
          <w:highlight w:val="none"/>
        </w:rPr>
        <w:t>商务要求</w:t>
      </w:r>
      <w:bookmarkEnd w:id="125"/>
      <w:bookmarkEnd w:id="126"/>
      <w:bookmarkEnd w:id="127"/>
      <w:bookmarkEnd w:id="128"/>
    </w:p>
    <w:p w14:paraId="6CEB3864">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1、工期要求：</w:t>
      </w:r>
    </w:p>
    <w:p w14:paraId="4510C75B">
      <w:pPr>
        <w:snapToGrid w:val="0"/>
        <w:spacing w:line="360" w:lineRule="auto"/>
        <w:ind w:firstLine="51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（1）本项目在合同签订后，</w:t>
      </w:r>
      <w:r>
        <w:rPr>
          <w:rFonts w:hint="eastAsia" w:asciiTheme="minorEastAsia" w:hAnsiTheme="minorEastAsia" w:eastAsiaTheme="minorEastAsia" w:cstheme="minorEastAsia"/>
          <w:color w:val="auto"/>
          <w:kern w:val="0"/>
          <w:sz w:val="24"/>
          <w:highlight w:val="none"/>
          <w:lang w:eastAsia="zh-CN"/>
        </w:rPr>
        <w:t>设备</w:t>
      </w:r>
      <w:r>
        <w:rPr>
          <w:rFonts w:hint="eastAsia" w:asciiTheme="minorEastAsia" w:hAnsiTheme="minorEastAsia" w:eastAsiaTheme="minorEastAsia" w:cstheme="minorEastAsia"/>
          <w:color w:val="auto"/>
          <w:kern w:val="0"/>
          <w:sz w:val="24"/>
          <w:highlight w:val="none"/>
        </w:rPr>
        <w:t>交货期根据工程进度计划安排设备的到货及安装时间。供应商</w:t>
      </w:r>
      <w:r>
        <w:rPr>
          <w:rFonts w:hint="eastAsia" w:asciiTheme="minorEastAsia" w:hAnsiTheme="minorEastAsia" w:eastAsiaTheme="minorEastAsia" w:cstheme="minorEastAsia"/>
          <w:color w:val="auto"/>
          <w:kern w:val="0"/>
          <w:sz w:val="24"/>
          <w:highlight w:val="none"/>
          <w:lang w:val="en-US" w:eastAsia="zh-CN"/>
        </w:rPr>
        <w:t>必须</w:t>
      </w:r>
      <w:r>
        <w:rPr>
          <w:rFonts w:hint="eastAsia" w:asciiTheme="minorEastAsia" w:hAnsiTheme="minorEastAsia" w:eastAsiaTheme="minorEastAsia" w:cstheme="minorEastAsia"/>
          <w:color w:val="auto"/>
          <w:kern w:val="0"/>
          <w:sz w:val="24"/>
          <w:highlight w:val="none"/>
        </w:rPr>
        <w:t>在</w:t>
      </w:r>
      <w:r>
        <w:rPr>
          <w:rFonts w:hint="eastAsia" w:asciiTheme="minorEastAsia" w:hAnsiTheme="minorEastAsia" w:eastAsiaTheme="minorEastAsia" w:cstheme="minorEastAsia"/>
          <w:color w:val="auto"/>
          <w:kern w:val="0"/>
          <w:sz w:val="24"/>
          <w:highlight w:val="none"/>
          <w:lang w:val="en-US" w:eastAsia="zh-CN"/>
        </w:rPr>
        <w:t>合同签订后30日历天内交货</w:t>
      </w:r>
      <w:r>
        <w:rPr>
          <w:rFonts w:hint="eastAsia" w:asciiTheme="minorEastAsia" w:hAnsiTheme="minorEastAsia" w:eastAsiaTheme="minorEastAsia" w:cstheme="minorEastAsia"/>
          <w:color w:val="auto"/>
          <w:kern w:val="0"/>
          <w:sz w:val="24"/>
          <w:highlight w:val="none"/>
        </w:rPr>
        <w:t>。并根据采购人要求在规定时间内完成所有安装调试工作</w:t>
      </w:r>
      <w:r>
        <w:rPr>
          <w:rFonts w:hint="eastAsia" w:asciiTheme="minorEastAsia" w:hAnsiTheme="minorEastAsia" w:eastAsiaTheme="minorEastAsia" w:cstheme="minorEastAsia"/>
          <w:color w:val="auto"/>
          <w:kern w:val="0"/>
          <w:sz w:val="24"/>
          <w:highlight w:val="none"/>
          <w:lang w:eastAsia="zh-CN"/>
        </w:rPr>
        <w:t>，安装时如有场地损坏需及时修复。</w:t>
      </w:r>
    </w:p>
    <w:p w14:paraId="183A0E1C">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eastAsia="zh-CN"/>
        </w:rPr>
        <w:t>设备</w:t>
      </w:r>
      <w:r>
        <w:rPr>
          <w:rFonts w:hint="eastAsia" w:asciiTheme="minorEastAsia" w:hAnsiTheme="minorEastAsia" w:eastAsiaTheme="minorEastAsia" w:cstheme="minorEastAsia"/>
          <w:color w:val="auto"/>
          <w:kern w:val="0"/>
          <w:sz w:val="24"/>
          <w:highlight w:val="none"/>
        </w:rPr>
        <w:t>交货后如发现不符合要求的设备，采购人有权拒绝接受，并按延期交货进行处理。</w:t>
      </w:r>
    </w:p>
    <w:p w14:paraId="3AEBBFF5">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2、交货地点：签订合同后免费送至采购人指定地点</w:t>
      </w:r>
      <w:r>
        <w:rPr>
          <w:rFonts w:hint="eastAsia" w:asciiTheme="minorEastAsia" w:hAnsiTheme="minorEastAsia" w:eastAsiaTheme="minorEastAsia" w:cstheme="minorEastAsia"/>
          <w:color w:val="auto"/>
          <w:kern w:val="0"/>
          <w:sz w:val="24"/>
          <w:highlight w:val="none"/>
          <w:lang w:eastAsia="zh-CN"/>
        </w:rPr>
        <w:t>。</w:t>
      </w:r>
    </w:p>
    <w:p w14:paraId="44307B87">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3、培训计划</w:t>
      </w:r>
    </w:p>
    <w:p w14:paraId="36663340">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（1）培训地点：设备安装现场。</w:t>
      </w:r>
    </w:p>
    <w:p w14:paraId="7DADEA22">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（2）培训人数：全部操作人员。</w:t>
      </w:r>
    </w:p>
    <w:p w14:paraId="11C25127">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（3）培训时间：能熟练掌握操作和维护保养。需外地培训的应同时向采购单位提供书面说明，并盖章确认。</w:t>
      </w:r>
    </w:p>
    <w:p w14:paraId="3FF742BC">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（4）培训服务要求：供应商应对采购人的</w:t>
      </w:r>
      <w:r>
        <w:rPr>
          <w:rFonts w:hint="eastAsia" w:asciiTheme="minorEastAsia" w:hAnsiTheme="minorEastAsia" w:eastAsiaTheme="minorEastAsia" w:cstheme="minorEastAsia"/>
          <w:color w:val="auto"/>
          <w:kern w:val="0"/>
          <w:sz w:val="24"/>
          <w:highlight w:val="none"/>
          <w:lang w:eastAsia="zh-CN"/>
        </w:rPr>
        <w:t>操作</w:t>
      </w:r>
      <w:r>
        <w:rPr>
          <w:rFonts w:hint="eastAsia" w:asciiTheme="minorEastAsia" w:hAnsiTheme="minorEastAsia" w:eastAsiaTheme="minorEastAsia" w:cstheme="minorEastAsia"/>
          <w:color w:val="auto"/>
          <w:kern w:val="0"/>
          <w:sz w:val="24"/>
          <w:highlight w:val="none"/>
        </w:rPr>
        <w:t>人员进行培训并承担所有费用，使其能对</w:t>
      </w:r>
      <w:r>
        <w:rPr>
          <w:rFonts w:hint="eastAsia" w:asciiTheme="minorEastAsia" w:hAnsiTheme="minorEastAsia" w:eastAsiaTheme="minorEastAsia" w:cstheme="minorEastAsia"/>
          <w:color w:val="auto"/>
          <w:kern w:val="0"/>
          <w:sz w:val="24"/>
          <w:highlight w:val="none"/>
          <w:lang w:eastAsia="zh-CN"/>
        </w:rPr>
        <w:t>设备</w:t>
      </w:r>
      <w:r>
        <w:rPr>
          <w:rFonts w:hint="eastAsia" w:asciiTheme="minorEastAsia" w:hAnsiTheme="minorEastAsia" w:eastAsiaTheme="minorEastAsia" w:cstheme="minorEastAsia"/>
          <w:color w:val="auto"/>
          <w:kern w:val="0"/>
          <w:sz w:val="24"/>
          <w:highlight w:val="none"/>
        </w:rPr>
        <w:t>进行日常的维护保养并能对一般故障及时进行维修。所有的维修图纸、维修手册及维修调试软件的密码及专用的维修工具应全部免费提供。供应商应对采购人的操作人员进行培训并承担所有费用，使其能较熟练的使用设备完成日常所需开展的项目。</w:t>
      </w:r>
    </w:p>
    <w:p w14:paraId="5D826929">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rPr>
        <w:t>、付款方式：</w:t>
      </w:r>
      <w:r>
        <w:rPr>
          <w:rFonts w:hint="eastAsia" w:asciiTheme="minorEastAsia" w:hAnsiTheme="minorEastAsia" w:eastAsiaTheme="minorEastAsia" w:cstheme="minorEastAsia"/>
          <w:color w:val="auto"/>
          <w:kern w:val="0"/>
          <w:sz w:val="24"/>
          <w:highlight w:val="none"/>
          <w:lang w:eastAsia="zh-CN"/>
        </w:rPr>
        <w:t>签订合同后</w:t>
      </w:r>
      <w:r>
        <w:rPr>
          <w:rFonts w:hint="eastAsia" w:asciiTheme="minorEastAsia" w:hAnsiTheme="minorEastAsia" w:eastAsiaTheme="minorEastAsia" w:cstheme="minorEastAsia"/>
          <w:color w:val="auto"/>
          <w:kern w:val="0"/>
          <w:sz w:val="24"/>
          <w:highlight w:val="none"/>
          <w:lang w:val="en-US" w:eastAsia="zh-CN"/>
        </w:rPr>
        <w:t>15日历天内，采购人向中标人支付合同总价40%的预付款；</w:t>
      </w:r>
      <w:r>
        <w:rPr>
          <w:rFonts w:hint="eastAsia" w:asciiTheme="minorEastAsia" w:hAnsiTheme="minorEastAsia" w:eastAsiaTheme="minorEastAsia" w:cstheme="minorEastAsia"/>
          <w:color w:val="auto"/>
          <w:kern w:val="0"/>
          <w:sz w:val="24"/>
          <w:highlight w:val="none"/>
          <w:lang w:eastAsia="zh-CN"/>
        </w:rPr>
        <w:t>设备进场安装完成并经调试验收合格后</w:t>
      </w:r>
      <w:r>
        <w:rPr>
          <w:rFonts w:hint="eastAsia" w:asciiTheme="minorEastAsia" w:hAnsiTheme="minorEastAsia" w:eastAsiaTheme="minorEastAsia" w:cstheme="minorEastAsia"/>
          <w:color w:val="auto"/>
          <w:kern w:val="0"/>
          <w:sz w:val="24"/>
          <w:highlight w:val="none"/>
          <w:lang w:val="en-US" w:eastAsia="zh-CN"/>
        </w:rPr>
        <w:t>15日历天</w:t>
      </w:r>
      <w:r>
        <w:rPr>
          <w:rFonts w:hint="eastAsia" w:asciiTheme="minorEastAsia" w:hAnsiTheme="minorEastAsia" w:eastAsiaTheme="minorEastAsia" w:cstheme="minorEastAsia"/>
          <w:color w:val="auto"/>
          <w:kern w:val="0"/>
          <w:sz w:val="24"/>
          <w:highlight w:val="none"/>
          <w:lang w:eastAsia="zh-CN"/>
        </w:rPr>
        <w:t>内支付合同</w:t>
      </w:r>
      <w:r>
        <w:rPr>
          <w:rFonts w:hint="eastAsia" w:asciiTheme="minorEastAsia" w:hAnsiTheme="minorEastAsia" w:eastAsiaTheme="minorEastAsia" w:cstheme="minorEastAsia"/>
          <w:color w:val="auto"/>
          <w:kern w:val="0"/>
          <w:sz w:val="24"/>
          <w:highlight w:val="none"/>
          <w:lang w:val="en-US" w:eastAsia="zh-CN"/>
        </w:rPr>
        <w:t>价</w:t>
      </w:r>
      <w:r>
        <w:rPr>
          <w:rFonts w:hint="eastAsia" w:asciiTheme="minorEastAsia" w:hAnsiTheme="minorEastAsia" w:eastAsiaTheme="minorEastAsia" w:cstheme="minorEastAsia"/>
          <w:color w:val="auto"/>
          <w:kern w:val="0"/>
          <w:sz w:val="24"/>
          <w:highlight w:val="none"/>
          <w:lang w:eastAsia="zh-CN"/>
        </w:rPr>
        <w:t>的</w:t>
      </w:r>
      <w:r>
        <w:rPr>
          <w:rFonts w:hint="eastAsia" w:asciiTheme="minorEastAsia" w:hAnsiTheme="minorEastAsia" w:eastAsiaTheme="minorEastAsia" w:cstheme="minorEastAsia"/>
          <w:color w:val="auto"/>
          <w:kern w:val="0"/>
          <w:sz w:val="24"/>
          <w:highlight w:val="none"/>
          <w:lang w:val="en-US" w:eastAsia="zh-CN"/>
        </w:rPr>
        <w:t>95%，剩余5%作为质保金，待保修期满后15个工作日内支付</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（以实际签订的合同为准）</w:t>
      </w:r>
    </w:p>
    <w:p w14:paraId="6AFB5C22">
      <w:pPr>
        <w:keepNext/>
        <w:keepLines/>
        <w:spacing w:before="120" w:beforeLines="50" w:line="360" w:lineRule="auto"/>
        <w:outlineLvl w:val="2"/>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lang w:val="en-US" w:eastAsia="zh-CN"/>
        </w:rPr>
        <w:t>三、</w:t>
      </w:r>
      <w:r>
        <w:rPr>
          <w:rFonts w:hint="eastAsia" w:asciiTheme="minorEastAsia" w:hAnsiTheme="minorEastAsia" w:eastAsiaTheme="minorEastAsia" w:cstheme="minorEastAsia"/>
          <w:b/>
          <w:bCs/>
          <w:color w:val="auto"/>
          <w:sz w:val="30"/>
          <w:szCs w:val="30"/>
          <w:highlight w:val="none"/>
        </w:rPr>
        <w:t>质量保证及售后服务</w:t>
      </w:r>
    </w:p>
    <w:p w14:paraId="0E20B312">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1、供应商应按招标文件规定的</w:t>
      </w:r>
      <w:r>
        <w:rPr>
          <w:rFonts w:hint="eastAsia" w:asciiTheme="minorEastAsia" w:hAnsiTheme="minorEastAsia" w:eastAsiaTheme="minorEastAsia" w:cstheme="minorEastAsia"/>
          <w:color w:val="auto"/>
          <w:kern w:val="0"/>
          <w:sz w:val="24"/>
          <w:highlight w:val="none"/>
          <w:lang w:eastAsia="zh-CN"/>
        </w:rPr>
        <w:t>设备</w:t>
      </w:r>
      <w:r>
        <w:rPr>
          <w:rFonts w:hint="eastAsia" w:asciiTheme="minorEastAsia" w:hAnsiTheme="minorEastAsia" w:eastAsiaTheme="minorEastAsia" w:cstheme="minorEastAsia"/>
          <w:color w:val="auto"/>
          <w:kern w:val="0"/>
          <w:sz w:val="24"/>
          <w:highlight w:val="none"/>
        </w:rPr>
        <w:t>性能、技术要求、质量标准向采购人提供未经使用的全新</w:t>
      </w:r>
      <w:r>
        <w:rPr>
          <w:rFonts w:hint="eastAsia" w:asciiTheme="minorEastAsia" w:hAnsiTheme="minorEastAsia" w:eastAsiaTheme="minorEastAsia" w:cstheme="minorEastAsia"/>
          <w:color w:val="auto"/>
          <w:kern w:val="0"/>
          <w:sz w:val="24"/>
          <w:highlight w:val="none"/>
          <w:lang w:eastAsia="zh-CN"/>
        </w:rPr>
        <w:t>设备</w:t>
      </w:r>
      <w:r>
        <w:rPr>
          <w:rFonts w:hint="eastAsia" w:asciiTheme="minorEastAsia" w:hAnsiTheme="minorEastAsia" w:eastAsiaTheme="minorEastAsia" w:cstheme="minorEastAsia"/>
          <w:color w:val="auto"/>
          <w:kern w:val="0"/>
          <w:sz w:val="24"/>
          <w:highlight w:val="none"/>
        </w:rPr>
        <w:t>。</w:t>
      </w:r>
    </w:p>
    <w:p w14:paraId="4A6E765F">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2、供应商提供的</w:t>
      </w:r>
      <w:r>
        <w:rPr>
          <w:rFonts w:hint="eastAsia" w:asciiTheme="minorEastAsia" w:hAnsiTheme="minorEastAsia" w:eastAsiaTheme="minorEastAsia" w:cstheme="minorEastAsia"/>
          <w:color w:val="auto"/>
          <w:kern w:val="0"/>
          <w:sz w:val="24"/>
          <w:highlight w:val="none"/>
          <w:lang w:eastAsia="zh-CN"/>
        </w:rPr>
        <w:t>设备</w:t>
      </w:r>
      <w:r>
        <w:rPr>
          <w:rFonts w:hint="eastAsia" w:asciiTheme="minorEastAsia" w:hAnsiTheme="minorEastAsia" w:eastAsiaTheme="minorEastAsia" w:cstheme="minorEastAsia"/>
          <w:color w:val="auto"/>
          <w:kern w:val="0"/>
          <w:sz w:val="24"/>
          <w:highlight w:val="none"/>
        </w:rPr>
        <w:t>在质保期内因货物本身的质量问题发生故障，供应商应负责免费更换。对达不到技术要求者，根据实际情况，经双方协商，可按以下办法处理：</w:t>
      </w:r>
    </w:p>
    <w:p w14:paraId="10C2571B">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（1）更换：由供应商承担所发生的全部费用。</w:t>
      </w:r>
    </w:p>
    <w:p w14:paraId="43169974">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（2）贬值处理：由双方合议定价。</w:t>
      </w:r>
    </w:p>
    <w:p w14:paraId="105AF51D">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（3）退货处理：供应商应退还采购人支付的合同款，同时应承担该货物的直接费用（运输、保险、检验、货款利息及银行手续费等）。</w:t>
      </w:r>
    </w:p>
    <w:p w14:paraId="5585C3FD">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3、如在使用过程中发生质量问题或出现故障，供应商在接到采购人通知后在</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小时内响应，服务</w:t>
      </w:r>
      <w:r>
        <w:rPr>
          <w:rFonts w:hint="eastAsia" w:asciiTheme="minorEastAsia" w:hAnsiTheme="minorEastAsia" w:eastAsiaTheme="minorEastAsia" w:cstheme="minorEastAsia"/>
          <w:color w:val="auto"/>
          <w:kern w:val="0"/>
          <w:sz w:val="24"/>
          <w:highlight w:val="none"/>
          <w:lang w:eastAsia="zh-CN"/>
        </w:rPr>
        <w:t>人员</w:t>
      </w:r>
      <w:r>
        <w:rPr>
          <w:rFonts w:hint="eastAsia" w:asciiTheme="minorEastAsia" w:hAnsiTheme="minorEastAsia" w:eastAsiaTheme="minorEastAsia" w:cstheme="minorEastAsia"/>
          <w:color w:val="auto"/>
          <w:kern w:val="0"/>
          <w:sz w:val="24"/>
          <w:highlight w:val="none"/>
          <w:lang w:val="en-US" w:eastAsia="zh-CN"/>
        </w:rPr>
        <w:t>48</w:t>
      </w:r>
      <w:r>
        <w:rPr>
          <w:rFonts w:hint="eastAsia" w:asciiTheme="minorEastAsia" w:hAnsiTheme="minorEastAsia" w:eastAsiaTheme="minorEastAsia" w:cstheme="minorEastAsia"/>
          <w:color w:val="auto"/>
          <w:kern w:val="0"/>
          <w:sz w:val="24"/>
          <w:highlight w:val="none"/>
        </w:rPr>
        <w:t>小时内上门服务，不能解决的须提供同等性能、同等配置的设备进行替换。在质保期内，与质保和维修相关的所有费用由供应商负责。</w:t>
      </w:r>
    </w:p>
    <w:p w14:paraId="640A5170">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4、在质保期内，供应商应对货物出现的质量及安全问题负责处理解决并承担一切费用。</w:t>
      </w:r>
    </w:p>
    <w:p w14:paraId="7CC7DC4E">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r>
        <w:rPr>
          <w:rFonts w:hint="eastAsia" w:asciiTheme="minorEastAsia" w:hAnsiTheme="minorEastAsia" w:eastAsiaTheme="minorEastAsia" w:cstheme="minorEastAsia"/>
          <w:color w:val="auto"/>
          <w:kern w:val="0"/>
          <w:sz w:val="24"/>
          <w:highlight w:val="none"/>
          <w:lang w:eastAsia="zh-CN"/>
        </w:rPr>
        <w:t>机器</w:t>
      </w:r>
      <w:r>
        <w:rPr>
          <w:rFonts w:hint="eastAsia" w:asciiTheme="minorEastAsia" w:hAnsiTheme="minorEastAsia" w:eastAsiaTheme="minorEastAsia" w:cstheme="minorEastAsia"/>
          <w:color w:val="auto"/>
          <w:kern w:val="0"/>
          <w:sz w:val="24"/>
          <w:highlight w:val="none"/>
        </w:rPr>
        <w:t>在保质期内如遇频繁的质量问题，供应商应当予以全新更换或全面检修，并延长相应的保修期。</w:t>
      </w:r>
    </w:p>
    <w:p w14:paraId="60473DF6">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6、整机免费保修期为</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年，因人为因素出现的故障不在免费保修范围内。超过保修期的产品，终生维修，维修时只收部件成本费。</w:t>
      </w:r>
    </w:p>
    <w:p w14:paraId="0199FD81">
      <w:pPr>
        <w:snapToGrid w:val="0"/>
        <w:spacing w:line="360" w:lineRule="auto"/>
        <w:ind w:firstLine="51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highlight w:val="none"/>
        </w:rPr>
        <w:t>7、</w:t>
      </w:r>
      <w:r>
        <w:rPr>
          <w:rFonts w:hint="eastAsia" w:asciiTheme="minorEastAsia" w:hAnsiTheme="minorEastAsia" w:eastAsiaTheme="minorEastAsia" w:cstheme="minorEastAsia"/>
          <w:color w:val="auto"/>
          <w:kern w:val="0"/>
          <w:sz w:val="24"/>
          <w:szCs w:val="24"/>
          <w:highlight w:val="none"/>
        </w:rPr>
        <w:t>中标人提供纸质和电子版中文操作手册、</w:t>
      </w:r>
      <w:r>
        <w:rPr>
          <w:rFonts w:hint="eastAsia" w:asciiTheme="minorEastAsia" w:hAnsiTheme="minorEastAsia" w:eastAsiaTheme="minorEastAsia" w:cstheme="minorEastAsia"/>
          <w:color w:val="auto"/>
          <w:kern w:val="0"/>
          <w:sz w:val="24"/>
          <w:szCs w:val="24"/>
          <w:highlight w:val="none"/>
          <w:lang w:val="en-US" w:eastAsia="zh-CN"/>
        </w:rPr>
        <w:t>安装手册、维护手册、</w:t>
      </w:r>
      <w:r>
        <w:rPr>
          <w:rFonts w:hint="eastAsia" w:asciiTheme="minorEastAsia" w:hAnsiTheme="minorEastAsia" w:eastAsiaTheme="minorEastAsia" w:cstheme="minorEastAsia"/>
          <w:color w:val="auto"/>
          <w:kern w:val="0"/>
          <w:sz w:val="24"/>
          <w:szCs w:val="24"/>
          <w:highlight w:val="none"/>
        </w:rPr>
        <w:t>维修手册二套。随机工具1套</w:t>
      </w:r>
      <w:r>
        <w:rPr>
          <w:rFonts w:hint="eastAsia" w:asciiTheme="minorEastAsia" w:hAnsiTheme="minorEastAsia" w:eastAsiaTheme="minorEastAsia" w:cstheme="minorEastAsia"/>
          <w:color w:val="auto"/>
          <w:kern w:val="0"/>
          <w:sz w:val="24"/>
          <w:szCs w:val="24"/>
          <w:highlight w:val="none"/>
          <w:lang w:eastAsia="zh-CN"/>
        </w:rPr>
        <w:t>。</w:t>
      </w:r>
    </w:p>
    <w:p w14:paraId="5EF8EDDD">
      <w:pPr>
        <w:keepNext/>
        <w:keepLines/>
        <w:spacing w:before="120" w:beforeLines="50" w:line="360" w:lineRule="auto"/>
        <w:outlineLvl w:val="2"/>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lang w:val="en-US" w:eastAsia="zh-CN"/>
        </w:rPr>
        <w:t>四、</w:t>
      </w:r>
      <w:r>
        <w:rPr>
          <w:rFonts w:hint="eastAsia" w:asciiTheme="minorEastAsia" w:hAnsiTheme="minorEastAsia" w:eastAsiaTheme="minorEastAsia" w:cstheme="minorEastAsia"/>
          <w:b/>
          <w:bCs/>
          <w:color w:val="auto"/>
          <w:sz w:val="30"/>
          <w:szCs w:val="30"/>
          <w:highlight w:val="none"/>
        </w:rPr>
        <w:t xml:space="preserve">验收 </w:t>
      </w:r>
    </w:p>
    <w:p w14:paraId="240C97B5">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1、采购人对供应商提交的货物依据招标文件上的技术规格要求和国家有关质量标准进行现场初步验收，外观、说明书符合招标文件技术要求的，给予签收，初步验收不合格的不予签收。</w:t>
      </w:r>
    </w:p>
    <w:p w14:paraId="6FFEFF07">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2、供应商交货前应对产品做出全面检查和对验收文件进行整理，并列出清单，作为采购人收货验收和使用的技术条件依据，检验的结果应随货物交采购人。</w:t>
      </w:r>
    </w:p>
    <w:p w14:paraId="21183EE0">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3、采购人对供应商提供的货物在使用前进行调试时，供应商需负责安装并培训采购人的使用操作人员，并协助采购人一起调试，直到符合技术要求，采购人才做最终验收。</w:t>
      </w:r>
    </w:p>
    <w:p w14:paraId="2BD6D0AA">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4、验收中发现设备达不到验收标准或合同的规定，供应商必须更换有关部件，使设备最终达到规定的性能指标和功能要求，并且赔偿由此给用户造成的损失。</w:t>
      </w:r>
    </w:p>
    <w:p w14:paraId="70DDCA88">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5、本项目完工后，由采购人</w:t>
      </w:r>
      <w:r>
        <w:rPr>
          <w:rFonts w:hint="eastAsia" w:asciiTheme="minorEastAsia" w:hAnsiTheme="minorEastAsia" w:eastAsiaTheme="minorEastAsia" w:cstheme="minorEastAsia"/>
          <w:color w:val="auto"/>
          <w:kern w:val="0"/>
          <w:sz w:val="24"/>
          <w:highlight w:val="none"/>
          <w:lang w:val="en-US" w:eastAsia="zh-CN"/>
        </w:rPr>
        <w:t>组织初</w:t>
      </w:r>
      <w:r>
        <w:rPr>
          <w:rFonts w:hint="eastAsia" w:asciiTheme="minorEastAsia" w:hAnsiTheme="minorEastAsia" w:eastAsiaTheme="minorEastAsia" w:cstheme="minorEastAsia"/>
          <w:color w:val="auto"/>
          <w:kern w:val="0"/>
          <w:sz w:val="24"/>
          <w:highlight w:val="none"/>
        </w:rPr>
        <w:t>步验收及最终验收。</w:t>
      </w:r>
    </w:p>
    <w:p w14:paraId="15F2CB58">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6、验收标准：与产品原始技术数据表及投标书技术规格一致，并符合国家有关技术规范和技术标准。</w:t>
      </w:r>
    </w:p>
    <w:p w14:paraId="7510F8F3">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7、验收时供应商必须在现场，验收完毕后作出验收结果报告，验收费用由供应商承担。</w:t>
      </w:r>
    </w:p>
    <w:p w14:paraId="51F5A13E">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8、验收交付前供应商应承担工程照管、成品保护、保管等工作并承担有关的各项费用。</w:t>
      </w:r>
    </w:p>
    <w:p w14:paraId="57FE6258">
      <w:pPr>
        <w:keepNext/>
        <w:keepLines/>
        <w:spacing w:before="120" w:beforeLines="50" w:line="360" w:lineRule="auto"/>
        <w:outlineLvl w:val="2"/>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六 其他说明</w:t>
      </w:r>
    </w:p>
    <w:p w14:paraId="2715320E">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1、所投设备及设备安装、调试须符合设计要求、院感要求、相关的技术规范，所需费用计入投标总价。</w:t>
      </w:r>
    </w:p>
    <w:p w14:paraId="4A44C1C5">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2、供应商在投标文件中应明确所选用设备的品牌、厂家以及质量等级。投标设备应为原厂全新产品，谢绝翻新产品参与投标。</w:t>
      </w:r>
    </w:p>
    <w:p w14:paraId="7D296191">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3、安装现场的情况请供应商自行到工地现场进行现场踏勘。</w:t>
      </w:r>
    </w:p>
    <w:p w14:paraId="08510937">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4、任何合理化建议或技术偏离，可专列章节说明并报价，供采购人评标时参考。</w:t>
      </w:r>
    </w:p>
    <w:p w14:paraId="29704F44">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5、本项目所涉及的设备数量，为实际供货数量。</w:t>
      </w:r>
    </w:p>
    <w:p w14:paraId="39D563FB">
      <w:pPr>
        <w:snapToGrid w:val="0"/>
        <w:spacing w:line="360" w:lineRule="auto"/>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、供应商中标后，在签订合同时应向采购人提交制造商针对本项目的授权书（授权代理商提供）。</w:t>
      </w:r>
    </w:p>
    <w:p w14:paraId="676B8588">
      <w:pPr>
        <w:snapToGrid w:val="0"/>
        <w:spacing w:line="360" w:lineRule="auto"/>
        <w:ind w:firstLine="510"/>
        <w:rPr>
          <w:rFonts w:hint="eastAsia" w:ascii="仿宋" w:hAnsi="仿宋" w:eastAsia="仿宋" w:cs="仿宋"/>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7</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中标供应商</w:t>
      </w:r>
      <w:r>
        <w:rPr>
          <w:rFonts w:hint="eastAsia" w:asciiTheme="minorEastAsia" w:hAnsiTheme="minorEastAsia" w:eastAsiaTheme="minorEastAsia" w:cstheme="minorEastAsia"/>
          <w:color w:val="auto"/>
          <w:kern w:val="0"/>
          <w:sz w:val="24"/>
          <w:highlight w:val="none"/>
          <w:lang w:eastAsia="zh-CN"/>
        </w:rPr>
        <w:t>中标后需</w:t>
      </w:r>
      <w:r>
        <w:rPr>
          <w:rFonts w:hint="eastAsia" w:asciiTheme="minorEastAsia" w:hAnsiTheme="minorEastAsia" w:eastAsiaTheme="minorEastAsia" w:cstheme="minorEastAsia"/>
          <w:color w:val="auto"/>
          <w:kern w:val="0"/>
          <w:sz w:val="24"/>
          <w:highlight w:val="none"/>
          <w:lang w:val="en-US" w:eastAsia="zh-CN"/>
        </w:rPr>
        <w:t>向采购单位</w:t>
      </w:r>
      <w:r>
        <w:rPr>
          <w:rFonts w:hint="eastAsia" w:asciiTheme="minorEastAsia" w:hAnsiTheme="minorEastAsia" w:eastAsiaTheme="minorEastAsia" w:cstheme="minorEastAsia"/>
          <w:color w:val="auto"/>
          <w:kern w:val="0"/>
          <w:sz w:val="24"/>
          <w:highlight w:val="none"/>
        </w:rPr>
        <w:t>提供</w:t>
      </w:r>
      <w:r>
        <w:rPr>
          <w:rFonts w:hint="eastAsia" w:asciiTheme="minorEastAsia" w:hAnsiTheme="minorEastAsia" w:eastAsiaTheme="minorEastAsia" w:cstheme="minorEastAsia"/>
          <w:color w:val="auto"/>
          <w:kern w:val="0"/>
          <w:sz w:val="24"/>
          <w:highlight w:val="none"/>
          <w:lang w:val="en-US" w:eastAsia="zh-CN"/>
        </w:rPr>
        <w:t>采购需求中标有</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内容的由</w:t>
      </w:r>
      <w:r>
        <w:rPr>
          <w:rFonts w:hint="eastAsia" w:asciiTheme="minorEastAsia" w:hAnsiTheme="minorEastAsia" w:eastAsiaTheme="minorEastAsia" w:cstheme="minorEastAsia"/>
          <w:color w:val="auto"/>
          <w:kern w:val="0"/>
          <w:sz w:val="24"/>
          <w:highlight w:val="none"/>
        </w:rPr>
        <w:t>质量检验机构出具的</w:t>
      </w:r>
      <w:r>
        <w:rPr>
          <w:rFonts w:hint="eastAsia" w:asciiTheme="minorEastAsia" w:hAnsiTheme="minorEastAsia" w:eastAsiaTheme="minorEastAsia" w:cstheme="minorEastAsia"/>
          <w:color w:val="auto"/>
          <w:kern w:val="0"/>
          <w:sz w:val="24"/>
          <w:highlight w:val="none"/>
          <w:lang w:val="en-US" w:eastAsia="zh-CN"/>
        </w:rPr>
        <w:t>检验报告</w:t>
      </w:r>
      <w:r>
        <w:rPr>
          <w:rFonts w:hint="eastAsia" w:asciiTheme="minorEastAsia" w:hAnsiTheme="minorEastAsia" w:eastAsiaTheme="minorEastAsia" w:cstheme="minorEastAsia"/>
          <w:color w:val="auto"/>
          <w:kern w:val="0"/>
          <w:sz w:val="24"/>
          <w:highlight w:val="none"/>
        </w:rPr>
        <w:t>原件。</w:t>
      </w:r>
    </w:p>
    <w:p w14:paraId="6F4AD501">
      <w:pPr>
        <w:widowControl w:val="0"/>
        <w:adjustRightInd/>
        <w:snapToGrid/>
        <w:spacing w:after="0" w:line="500" w:lineRule="exact"/>
        <w:ind w:firstLine="480" w:firstLineChars="200"/>
        <w:jc w:val="both"/>
        <w:rPr>
          <w:rFonts w:hint="eastAsia" w:ascii="宋体" w:hAnsi="宋体" w:eastAsia="宋体" w:cs="Times New Roman"/>
          <w:color w:val="auto"/>
          <w:kern w:val="2"/>
          <w:sz w:val="24"/>
          <w:szCs w:val="24"/>
          <w:highlight w:val="none"/>
          <w:lang w:eastAsia="zh-CN"/>
        </w:rPr>
      </w:pPr>
    </w:p>
    <w:p w14:paraId="361043AA">
      <w:pPr>
        <w:pStyle w:val="8"/>
        <w:rPr>
          <w:rFonts w:hint="eastAsia"/>
          <w:color w:val="auto"/>
          <w:highlight w:val="none"/>
        </w:rPr>
      </w:pPr>
    </w:p>
    <w:p w14:paraId="62816295">
      <w:pPr>
        <w:numPr>
          <w:ilvl w:val="0"/>
          <w:numId w:val="0"/>
        </w:numPr>
        <w:spacing w:line="360" w:lineRule="auto"/>
        <w:jc w:val="center"/>
        <w:outlineLvl w:val="0"/>
        <w:rPr>
          <w:rFonts w:hint="eastAsia" w:ascii="宋体" w:hAnsi="宋体" w:eastAsia="宋体" w:cs="Times New Roman"/>
          <w:b/>
          <w:color w:val="auto"/>
          <w:kern w:val="2"/>
          <w:sz w:val="36"/>
          <w:szCs w:val="36"/>
          <w:highlight w:val="none"/>
          <w:lang w:val="en-US" w:eastAsia="zh-CN" w:bidi="ar-SA"/>
        </w:rPr>
      </w:pPr>
    </w:p>
    <w:p w14:paraId="4099A88E">
      <w:pPr>
        <w:numPr>
          <w:ilvl w:val="0"/>
          <w:numId w:val="0"/>
        </w:numPr>
        <w:spacing w:line="360" w:lineRule="auto"/>
        <w:jc w:val="center"/>
        <w:outlineLvl w:val="0"/>
        <w:rPr>
          <w:rFonts w:hint="eastAsia" w:ascii="宋体" w:hAnsi="宋体" w:eastAsia="宋体" w:cs="Times New Roman"/>
          <w:b/>
          <w:color w:val="auto"/>
          <w:kern w:val="2"/>
          <w:sz w:val="36"/>
          <w:szCs w:val="36"/>
          <w:highlight w:val="none"/>
          <w:lang w:val="en-US" w:eastAsia="zh-CN" w:bidi="ar-SA"/>
        </w:rPr>
      </w:pPr>
    </w:p>
    <w:p w14:paraId="7084F4CE">
      <w:pPr>
        <w:widowControl w:val="0"/>
        <w:adjustRightInd/>
        <w:snapToGrid/>
        <w:spacing w:after="0" w:line="500" w:lineRule="exact"/>
        <w:jc w:val="both"/>
        <w:rPr>
          <w:rFonts w:hint="eastAsia" w:ascii="宋体" w:hAnsi="宋体"/>
          <w:color w:val="auto"/>
          <w:sz w:val="36"/>
          <w:szCs w:val="36"/>
          <w:highlight w:val="none"/>
        </w:rPr>
      </w:pPr>
      <w:bookmarkStart w:id="129" w:name="_Toc11240"/>
      <w:bookmarkStart w:id="130" w:name="_Toc29160"/>
    </w:p>
    <w:p w14:paraId="73B2EC4D">
      <w:pPr>
        <w:widowControl w:val="0"/>
        <w:adjustRightInd/>
        <w:snapToGrid/>
        <w:spacing w:after="0" w:line="500" w:lineRule="exact"/>
        <w:jc w:val="center"/>
        <w:rPr>
          <w:rFonts w:hint="eastAsia" w:ascii="宋体" w:hAnsi="宋体"/>
          <w:color w:val="auto"/>
          <w:sz w:val="36"/>
          <w:szCs w:val="36"/>
          <w:highlight w:val="none"/>
        </w:rPr>
      </w:pPr>
    </w:p>
    <w:p w14:paraId="5660E544">
      <w:pPr>
        <w:widowControl w:val="0"/>
        <w:adjustRightInd/>
        <w:snapToGrid/>
        <w:spacing w:after="0" w:line="500" w:lineRule="exact"/>
        <w:jc w:val="center"/>
        <w:rPr>
          <w:rFonts w:hint="eastAsia" w:ascii="宋体" w:hAnsi="宋体"/>
          <w:color w:val="auto"/>
          <w:sz w:val="36"/>
          <w:szCs w:val="36"/>
          <w:highlight w:val="none"/>
        </w:rPr>
      </w:pPr>
    </w:p>
    <w:p w14:paraId="3F63A664">
      <w:pPr>
        <w:widowControl w:val="0"/>
        <w:adjustRightInd/>
        <w:snapToGrid/>
        <w:spacing w:after="0" w:line="500" w:lineRule="exact"/>
        <w:jc w:val="center"/>
        <w:rPr>
          <w:rFonts w:hint="eastAsia" w:ascii="宋体" w:hAnsi="宋体"/>
          <w:color w:val="auto"/>
          <w:sz w:val="36"/>
          <w:szCs w:val="36"/>
          <w:highlight w:val="none"/>
        </w:rPr>
      </w:pPr>
    </w:p>
    <w:p w14:paraId="5A4E68DD">
      <w:pPr>
        <w:widowControl w:val="0"/>
        <w:adjustRightInd/>
        <w:snapToGrid/>
        <w:spacing w:after="0" w:line="500" w:lineRule="exact"/>
        <w:jc w:val="center"/>
        <w:rPr>
          <w:rFonts w:hint="eastAsia" w:ascii="宋体" w:hAnsi="宋体"/>
          <w:color w:val="auto"/>
          <w:sz w:val="36"/>
          <w:szCs w:val="36"/>
          <w:highlight w:val="none"/>
        </w:rPr>
      </w:pPr>
    </w:p>
    <w:p w14:paraId="480F6611">
      <w:pPr>
        <w:widowControl w:val="0"/>
        <w:adjustRightInd/>
        <w:snapToGrid/>
        <w:spacing w:after="0" w:line="500" w:lineRule="exact"/>
        <w:jc w:val="center"/>
        <w:rPr>
          <w:rFonts w:hint="eastAsia" w:ascii="宋体" w:hAnsi="宋体"/>
          <w:color w:val="auto"/>
          <w:sz w:val="36"/>
          <w:szCs w:val="36"/>
          <w:highlight w:val="none"/>
        </w:rPr>
      </w:pPr>
    </w:p>
    <w:p w14:paraId="5BFAACE6">
      <w:pPr>
        <w:widowControl w:val="0"/>
        <w:adjustRightInd/>
        <w:snapToGrid/>
        <w:spacing w:after="0" w:line="500" w:lineRule="exact"/>
        <w:jc w:val="center"/>
        <w:rPr>
          <w:rFonts w:hint="eastAsia" w:ascii="宋体" w:hAnsi="宋体"/>
          <w:color w:val="auto"/>
          <w:sz w:val="36"/>
          <w:szCs w:val="36"/>
          <w:highlight w:val="none"/>
        </w:rPr>
      </w:pPr>
    </w:p>
    <w:p w14:paraId="057BDC5D">
      <w:pPr>
        <w:widowControl w:val="0"/>
        <w:adjustRightInd/>
        <w:snapToGrid/>
        <w:spacing w:after="0" w:line="500" w:lineRule="exact"/>
        <w:jc w:val="center"/>
        <w:rPr>
          <w:rFonts w:hint="eastAsia" w:ascii="宋体" w:hAnsi="宋体"/>
          <w:color w:val="auto"/>
          <w:sz w:val="36"/>
          <w:szCs w:val="36"/>
          <w:highlight w:val="none"/>
        </w:rPr>
      </w:pPr>
    </w:p>
    <w:p w14:paraId="1BCD84C7">
      <w:pPr>
        <w:widowControl w:val="0"/>
        <w:adjustRightInd/>
        <w:snapToGrid/>
        <w:spacing w:after="0" w:line="500" w:lineRule="exact"/>
        <w:jc w:val="center"/>
        <w:rPr>
          <w:rFonts w:hint="eastAsia" w:ascii="宋体" w:hAnsi="宋体"/>
          <w:color w:val="auto"/>
          <w:sz w:val="36"/>
          <w:szCs w:val="36"/>
          <w:highlight w:val="none"/>
        </w:rPr>
      </w:pPr>
    </w:p>
    <w:p w14:paraId="4C639DDC">
      <w:pPr>
        <w:widowControl w:val="0"/>
        <w:adjustRightInd/>
        <w:snapToGrid/>
        <w:spacing w:after="0" w:line="500" w:lineRule="exact"/>
        <w:jc w:val="center"/>
        <w:rPr>
          <w:rFonts w:hint="eastAsia" w:ascii="宋体" w:hAnsi="宋体"/>
          <w:color w:val="auto"/>
          <w:sz w:val="36"/>
          <w:szCs w:val="36"/>
          <w:highlight w:val="none"/>
        </w:rPr>
      </w:pPr>
    </w:p>
    <w:p w14:paraId="7FDCD0F2">
      <w:pPr>
        <w:widowControl w:val="0"/>
        <w:adjustRightInd/>
        <w:snapToGrid/>
        <w:spacing w:after="0" w:line="500" w:lineRule="exact"/>
        <w:jc w:val="center"/>
        <w:rPr>
          <w:rFonts w:hint="eastAsia" w:ascii="宋体" w:hAnsi="宋体"/>
          <w:color w:val="auto"/>
          <w:sz w:val="36"/>
          <w:szCs w:val="36"/>
          <w:highlight w:val="none"/>
        </w:rPr>
      </w:pPr>
    </w:p>
    <w:p w14:paraId="0525348E">
      <w:pPr>
        <w:widowControl w:val="0"/>
        <w:adjustRightInd/>
        <w:snapToGrid/>
        <w:spacing w:after="0" w:line="500" w:lineRule="exact"/>
        <w:jc w:val="center"/>
        <w:rPr>
          <w:rFonts w:hint="eastAsia" w:ascii="宋体" w:hAnsi="宋体"/>
          <w:color w:val="auto"/>
          <w:sz w:val="36"/>
          <w:szCs w:val="36"/>
          <w:highlight w:val="none"/>
        </w:rPr>
      </w:pPr>
    </w:p>
    <w:p w14:paraId="7A1FFEEE">
      <w:pPr>
        <w:widowControl w:val="0"/>
        <w:adjustRightInd/>
        <w:snapToGrid/>
        <w:spacing w:after="0" w:line="500" w:lineRule="exact"/>
        <w:jc w:val="center"/>
        <w:rPr>
          <w:rFonts w:hint="eastAsia" w:ascii="宋体" w:hAnsi="宋体"/>
          <w:b/>
          <w:color w:val="auto"/>
          <w:sz w:val="36"/>
          <w:szCs w:val="36"/>
          <w:highlight w:val="none"/>
        </w:rPr>
      </w:pPr>
      <w:r>
        <w:rPr>
          <w:rFonts w:hint="eastAsia" w:ascii="宋体" w:hAnsi="宋体"/>
          <w:color w:val="auto"/>
          <w:sz w:val="36"/>
          <w:szCs w:val="36"/>
          <w:highlight w:val="none"/>
        </w:rPr>
        <w:t xml:space="preserve">第四部分 </w:t>
      </w:r>
      <w:bookmarkStart w:id="131" w:name="_Toc272368144"/>
      <w:r>
        <w:rPr>
          <w:rFonts w:hint="eastAsia" w:ascii="宋体" w:hAnsi="宋体"/>
          <w:color w:val="auto"/>
          <w:sz w:val="36"/>
          <w:szCs w:val="36"/>
          <w:highlight w:val="none"/>
        </w:rPr>
        <w:t>合同主要条款</w:t>
      </w:r>
    </w:p>
    <w:p w14:paraId="08521CA7">
      <w:pPr>
        <w:keepNext w:val="0"/>
        <w:keepLines w:val="0"/>
        <w:pageBreakBefore w:val="0"/>
        <w:widowControl w:val="0"/>
        <w:kinsoku/>
        <w:topLinePunct w:val="0"/>
        <w:bidi w:val="0"/>
        <w:adjustRightInd/>
        <w:spacing w:after="0" w:line="240" w:lineRule="auto"/>
        <w:jc w:val="center"/>
        <w:rPr>
          <w:rFonts w:hint="eastAsia" w:ascii="Calibri" w:hAnsi="Calibri" w:eastAsia="宋体"/>
          <w:b/>
          <w:color w:val="auto"/>
          <w:kern w:val="2"/>
          <w:sz w:val="28"/>
          <w:szCs w:val="28"/>
          <w:highlight w:val="none"/>
        </w:rPr>
      </w:pPr>
      <w:r>
        <w:rPr>
          <w:rFonts w:hint="eastAsia" w:ascii="Calibri" w:hAnsi="Calibri" w:eastAsia="宋体"/>
          <w:b/>
          <w:color w:val="auto"/>
          <w:kern w:val="2"/>
          <w:sz w:val="28"/>
          <w:szCs w:val="28"/>
          <w:highlight w:val="none"/>
        </w:rPr>
        <w:t>(以实际签订的条款为准)</w:t>
      </w:r>
    </w:p>
    <w:bookmarkEnd w:id="131"/>
    <w:p w14:paraId="73DADAF9">
      <w:pPr>
        <w:pStyle w:val="48"/>
        <w:spacing w:before="0" w:beforeAutospacing="0" w:after="0" w:afterAutospacing="0" w:line="360" w:lineRule="auto"/>
        <w:ind w:right="960"/>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合同编号：  </w:t>
      </w:r>
    </w:p>
    <w:p w14:paraId="0081B756">
      <w:pPr>
        <w:pStyle w:val="48"/>
        <w:spacing w:before="0" w:beforeAutospacing="0" w:after="0" w:afterAutospacing="0" w:line="360" w:lineRule="auto"/>
        <w:ind w:right="960"/>
        <w:jc w:val="right"/>
        <w:rPr>
          <w:rFonts w:hint="eastAsia" w:ascii="仿宋" w:hAnsi="仿宋" w:eastAsia="仿宋" w:cs="仿宋"/>
          <w:color w:val="auto"/>
          <w:highlight w:val="none"/>
        </w:rPr>
      </w:pPr>
    </w:p>
    <w:p w14:paraId="2D9EC0B6">
      <w:pPr>
        <w:pStyle w:val="48"/>
        <w:spacing w:before="0" w:beforeAutospacing="0" w:after="0" w:afterAutospacing="0" w:line="360" w:lineRule="auto"/>
        <w:ind w:right="960"/>
        <w:jc w:val="right"/>
        <w:rPr>
          <w:rFonts w:hint="eastAsia" w:ascii="仿宋" w:hAnsi="仿宋" w:eastAsia="仿宋" w:cs="仿宋"/>
          <w:color w:val="auto"/>
          <w:highlight w:val="none"/>
        </w:rPr>
      </w:pPr>
    </w:p>
    <w:p w14:paraId="7A59DD1D">
      <w:pPr>
        <w:pStyle w:val="48"/>
        <w:spacing w:before="0" w:beforeAutospacing="0" w:after="0" w:afterAutospacing="0" w:line="360" w:lineRule="auto"/>
        <w:ind w:right="960"/>
        <w:jc w:val="right"/>
        <w:rPr>
          <w:rFonts w:hint="eastAsia" w:ascii="仿宋" w:hAnsi="仿宋" w:eastAsia="仿宋" w:cs="仿宋"/>
          <w:color w:val="auto"/>
          <w:highlight w:val="none"/>
        </w:rPr>
      </w:pPr>
    </w:p>
    <w:p w14:paraId="4FFAF6C0">
      <w:pPr>
        <w:pStyle w:val="48"/>
        <w:spacing w:before="0" w:beforeAutospacing="0" w:after="0" w:afterAutospacing="0" w:line="360" w:lineRule="auto"/>
        <w:ind w:right="960"/>
        <w:jc w:val="right"/>
        <w:rPr>
          <w:rFonts w:hint="eastAsia" w:ascii="仿宋" w:hAnsi="仿宋" w:eastAsia="仿宋" w:cs="仿宋"/>
          <w:color w:val="auto"/>
          <w:highlight w:val="none"/>
        </w:rPr>
      </w:pPr>
    </w:p>
    <w:p w14:paraId="379E30FD">
      <w:pPr>
        <w:pStyle w:val="19"/>
        <w:spacing w:line="360" w:lineRule="auto"/>
        <w:ind w:firstLine="960" w:firstLineChars="400"/>
        <w:rPr>
          <w:rFonts w:hint="eastAsia" w:ascii="仿宋" w:hAnsi="仿宋" w:eastAsia="仿宋" w:cs="仿宋"/>
          <w:color w:val="auto"/>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p>
    <w:p w14:paraId="1DFF854E">
      <w:pPr>
        <w:pStyle w:val="48"/>
        <w:spacing w:before="0" w:beforeAutospacing="0" w:after="0" w:afterAutospacing="0" w:line="360" w:lineRule="auto"/>
        <w:ind w:right="960"/>
        <w:jc w:val="both"/>
        <w:rPr>
          <w:rFonts w:hint="eastAsia" w:ascii="仿宋" w:hAnsi="仿宋" w:eastAsia="仿宋" w:cs="仿宋"/>
          <w:color w:val="auto"/>
          <w:highlight w:val="none"/>
        </w:rPr>
      </w:pPr>
    </w:p>
    <w:p w14:paraId="0BC1C1A9">
      <w:pPr>
        <w:pStyle w:val="48"/>
        <w:spacing w:before="0" w:beforeAutospacing="0" w:after="0" w:afterAutospacing="0" w:line="360" w:lineRule="auto"/>
        <w:ind w:right="960"/>
        <w:jc w:val="both"/>
        <w:rPr>
          <w:rFonts w:hint="eastAsia" w:ascii="仿宋" w:hAnsi="仿宋" w:eastAsia="仿宋" w:cs="仿宋"/>
          <w:color w:val="auto"/>
          <w:highlight w:val="none"/>
        </w:rPr>
      </w:pPr>
    </w:p>
    <w:p w14:paraId="6C5452F8">
      <w:pPr>
        <w:pStyle w:val="48"/>
        <w:spacing w:before="0" w:beforeAutospacing="0" w:after="0" w:afterAutospacing="0" w:line="360" w:lineRule="auto"/>
        <w:ind w:right="960"/>
        <w:jc w:val="both"/>
        <w:rPr>
          <w:rFonts w:hint="eastAsia" w:ascii="仿宋" w:hAnsi="仿宋" w:eastAsia="仿宋" w:cs="仿宋"/>
          <w:color w:val="auto"/>
          <w:highlight w:val="none"/>
        </w:rPr>
      </w:pPr>
    </w:p>
    <w:p w14:paraId="543612A3">
      <w:pPr>
        <w:pStyle w:val="48"/>
        <w:spacing w:before="0" w:beforeAutospacing="0" w:after="0" w:afterAutospacing="0" w:line="360" w:lineRule="auto"/>
        <w:ind w:right="960" w:firstLine="960" w:firstLineChars="400"/>
        <w:jc w:val="both"/>
        <w:rPr>
          <w:rFonts w:hint="eastAsia" w:ascii="仿宋" w:hAnsi="仿宋" w:eastAsia="仿宋" w:cs="仿宋"/>
          <w:color w:val="auto"/>
          <w:highlight w:val="none"/>
        </w:rPr>
      </w:pPr>
      <w:r>
        <w:rPr>
          <w:rFonts w:hint="eastAsia" w:ascii="仿宋" w:hAnsi="仿宋" w:eastAsia="仿宋" w:cs="仿宋"/>
          <w:color w:val="auto"/>
          <w:highlight w:val="none"/>
        </w:rPr>
        <w:t>采购人：（以下称甲方）</w:t>
      </w:r>
      <w:r>
        <w:rPr>
          <w:rFonts w:hint="eastAsia" w:ascii="仿宋" w:hAnsi="仿宋" w:eastAsia="仿宋" w:cs="仿宋"/>
          <w:color w:val="auto"/>
          <w:highlight w:val="none"/>
          <w:u w:val="single"/>
        </w:rPr>
        <w:t xml:space="preserve">　　　   　  　  </w:t>
      </w:r>
    </w:p>
    <w:p w14:paraId="157A99C7">
      <w:pPr>
        <w:pStyle w:val="19"/>
        <w:spacing w:after="240" w:afterLines="100" w:line="360" w:lineRule="auto"/>
        <w:rPr>
          <w:rFonts w:hint="eastAsia" w:ascii="仿宋" w:hAnsi="仿宋" w:eastAsia="仿宋" w:cs="仿宋"/>
          <w:color w:val="auto"/>
          <w:highlight w:val="none"/>
        </w:rPr>
      </w:pPr>
    </w:p>
    <w:p w14:paraId="3E30F33A">
      <w:pPr>
        <w:pStyle w:val="19"/>
        <w:spacing w:after="240" w:afterLines="100" w:line="360" w:lineRule="auto"/>
        <w:rPr>
          <w:rFonts w:hint="eastAsia" w:ascii="仿宋" w:hAnsi="仿宋" w:eastAsia="仿宋" w:cs="仿宋"/>
          <w:color w:val="auto"/>
          <w:highlight w:val="none"/>
        </w:rPr>
      </w:pPr>
    </w:p>
    <w:p w14:paraId="28E3F6EA">
      <w:pPr>
        <w:pStyle w:val="19"/>
        <w:spacing w:after="240" w:afterLines="100" w:line="360" w:lineRule="auto"/>
        <w:ind w:firstLine="960" w:firstLineChars="400"/>
        <w:rPr>
          <w:rFonts w:hint="eastAsia" w:ascii="仿宋" w:hAnsi="仿宋" w:eastAsia="仿宋" w:cs="仿宋"/>
          <w:color w:val="auto"/>
          <w:highlight w:val="none"/>
          <w:u w:val="single"/>
        </w:rPr>
      </w:pPr>
      <w:r>
        <w:rPr>
          <w:rFonts w:hint="eastAsia" w:ascii="仿宋" w:hAnsi="仿宋" w:eastAsia="仿宋" w:cs="仿宋"/>
          <w:color w:val="auto"/>
          <w:highlight w:val="none"/>
        </w:rPr>
        <w:t>中标人：（以下称乙方）</w:t>
      </w:r>
      <w:r>
        <w:rPr>
          <w:rFonts w:hint="eastAsia" w:ascii="仿宋" w:hAnsi="仿宋" w:eastAsia="仿宋" w:cs="仿宋"/>
          <w:color w:val="auto"/>
          <w:highlight w:val="none"/>
          <w:u w:val="single"/>
        </w:rPr>
        <w:t xml:space="preserve">　　　　  　     </w:t>
      </w:r>
    </w:p>
    <w:p w14:paraId="7BDE0773">
      <w:pPr>
        <w:pStyle w:val="19"/>
        <w:spacing w:after="240" w:afterLines="100" w:line="360" w:lineRule="auto"/>
        <w:rPr>
          <w:rFonts w:hint="eastAsia" w:ascii="仿宋" w:hAnsi="仿宋" w:eastAsia="仿宋" w:cs="仿宋"/>
          <w:color w:val="auto"/>
          <w:highlight w:val="none"/>
          <w:u w:val="single"/>
        </w:rPr>
      </w:pPr>
    </w:p>
    <w:p w14:paraId="463BC9FB">
      <w:pPr>
        <w:pStyle w:val="19"/>
        <w:spacing w:after="240" w:afterLines="100" w:line="360" w:lineRule="auto"/>
        <w:rPr>
          <w:rFonts w:hint="eastAsia" w:ascii="仿宋" w:hAnsi="仿宋" w:eastAsia="仿宋" w:cs="仿宋"/>
          <w:color w:val="auto"/>
          <w:highlight w:val="none"/>
          <w:u w:val="single"/>
        </w:rPr>
      </w:pPr>
    </w:p>
    <w:p w14:paraId="0564570C">
      <w:pPr>
        <w:pStyle w:val="19"/>
        <w:spacing w:after="240" w:afterLines="100" w:line="360" w:lineRule="auto"/>
        <w:ind w:firstLine="960" w:firstLineChars="400"/>
        <w:rPr>
          <w:rFonts w:hint="eastAsia" w:ascii="仿宋" w:hAnsi="仿宋" w:eastAsia="仿宋" w:cs="仿宋"/>
          <w:color w:val="auto"/>
          <w:highlight w:val="none"/>
          <w:u w:val="single"/>
        </w:rPr>
      </w:pPr>
      <w:r>
        <w:rPr>
          <w:rFonts w:hint="eastAsia" w:ascii="仿宋" w:hAnsi="仿宋" w:eastAsia="仿宋" w:cs="仿宋"/>
          <w:color w:val="auto"/>
          <w:highlight w:val="none"/>
        </w:rPr>
        <w:t>签署地点：</w:t>
      </w:r>
      <w:r>
        <w:rPr>
          <w:rFonts w:hint="eastAsia" w:ascii="仿宋" w:hAnsi="仿宋" w:eastAsia="仿宋" w:cs="仿宋"/>
          <w:color w:val="auto"/>
          <w:highlight w:val="none"/>
          <w:u w:val="single"/>
        </w:rPr>
        <w:t xml:space="preserve">　　　　  　                 </w:t>
      </w:r>
    </w:p>
    <w:p w14:paraId="2DB7B56A">
      <w:pPr>
        <w:pStyle w:val="19"/>
        <w:spacing w:after="240" w:afterLines="100" w:line="360" w:lineRule="auto"/>
        <w:rPr>
          <w:rFonts w:hint="eastAsia" w:ascii="仿宋" w:hAnsi="仿宋" w:eastAsia="仿宋" w:cs="仿宋"/>
          <w:color w:val="auto"/>
          <w:highlight w:val="none"/>
          <w:u w:val="single"/>
        </w:rPr>
      </w:pPr>
    </w:p>
    <w:p w14:paraId="46715123">
      <w:pPr>
        <w:pStyle w:val="19"/>
        <w:spacing w:after="240" w:afterLines="100" w:line="360" w:lineRule="auto"/>
        <w:rPr>
          <w:rFonts w:hint="eastAsia" w:ascii="仿宋" w:hAnsi="仿宋" w:eastAsia="仿宋" w:cs="仿宋"/>
          <w:color w:val="auto"/>
          <w:highlight w:val="none"/>
          <w:u w:val="single"/>
        </w:rPr>
      </w:pPr>
    </w:p>
    <w:p w14:paraId="6D32BB7F">
      <w:pPr>
        <w:pStyle w:val="19"/>
        <w:spacing w:after="240" w:afterLines="100" w:line="360" w:lineRule="auto"/>
        <w:ind w:firstLine="960" w:firstLineChars="400"/>
        <w:rPr>
          <w:rFonts w:hint="eastAsia" w:ascii="仿宋" w:hAnsi="仿宋" w:eastAsia="仿宋" w:cs="仿宋"/>
          <w:color w:val="auto"/>
          <w:highlight w:val="none"/>
          <w:u w:val="single"/>
        </w:rPr>
      </w:pPr>
      <w:r>
        <w:rPr>
          <w:rFonts w:hint="eastAsia" w:ascii="仿宋" w:hAnsi="仿宋" w:eastAsia="仿宋" w:cs="仿宋"/>
          <w:color w:val="auto"/>
          <w:highlight w:val="none"/>
        </w:rPr>
        <w:t>签署日期：</w:t>
      </w:r>
      <w:r>
        <w:rPr>
          <w:rFonts w:hint="eastAsia" w:ascii="仿宋" w:hAnsi="仿宋" w:eastAsia="仿宋" w:cs="仿宋"/>
          <w:color w:val="auto"/>
          <w:highlight w:val="none"/>
          <w:u w:val="single"/>
        </w:rPr>
        <w:t xml:space="preserve">　　　　  　                 </w:t>
      </w:r>
    </w:p>
    <w:p w14:paraId="6EE73F08">
      <w:pPr>
        <w:pStyle w:val="19"/>
        <w:spacing w:after="240" w:afterLines="100" w:line="360" w:lineRule="auto"/>
        <w:rPr>
          <w:rFonts w:hint="eastAsia" w:ascii="仿宋" w:hAnsi="仿宋" w:eastAsia="仿宋" w:cs="仿宋"/>
          <w:color w:val="auto"/>
          <w:highlight w:val="none"/>
          <w:u w:val="single"/>
        </w:rPr>
      </w:pPr>
    </w:p>
    <w:p w14:paraId="1D2221C6">
      <w:pPr>
        <w:snapToGrid w:val="0"/>
        <w:spacing w:line="500" w:lineRule="exact"/>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招标文件（采购编号为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并</w:t>
      </w:r>
      <w:r>
        <w:rPr>
          <w:rFonts w:hint="eastAsia" w:asciiTheme="minorEastAsia" w:hAnsiTheme="minorEastAsia" w:eastAsiaTheme="minorEastAsia" w:cstheme="minorEastAsia"/>
          <w:color w:val="auto"/>
          <w:sz w:val="24"/>
          <w:highlight w:val="none"/>
        </w:rPr>
        <w:t>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日公开招标会上，经评标委员会评定</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(乙方)为中标人。甲、乙双方依据《中华人民共和国政府采购法》、《中华人民共和国民法典》等相关法律法规和招标文件的要求，在平等自愿的基础上，同意按照下面的条款和条件，签署本合同。</w:t>
      </w:r>
    </w:p>
    <w:p w14:paraId="36C36721">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第一条　合同标的</w:t>
      </w:r>
    </w:p>
    <w:p w14:paraId="0A0150DF">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 </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根据</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需求提供下列货物：</w:t>
      </w:r>
      <w:r>
        <w:rPr>
          <w:rFonts w:hint="eastAsia" w:asciiTheme="minorEastAsia" w:hAnsiTheme="minorEastAsia" w:eastAsiaTheme="minorEastAsia" w:cstheme="minorEastAsia"/>
          <w:color w:val="auto"/>
          <w:highlight w:val="none"/>
          <w:u w:val="single"/>
        </w:rPr>
        <w:t xml:space="preserve">           </w:t>
      </w:r>
    </w:p>
    <w:p w14:paraId="373EAA09">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货物名称、规格及数量详见“</w:t>
      </w:r>
      <w:r>
        <w:rPr>
          <w:rFonts w:hint="eastAsia" w:asciiTheme="minorEastAsia" w:hAnsiTheme="minorEastAsia" w:eastAsiaTheme="minorEastAsia" w:cstheme="minorEastAsia"/>
          <w:color w:val="auto"/>
          <w:highlight w:val="none"/>
          <w:lang w:eastAsia="zh-CN"/>
        </w:rPr>
        <w:t>采购需求</w:t>
      </w:r>
      <w:r>
        <w:rPr>
          <w:rFonts w:hint="eastAsia" w:asciiTheme="minorEastAsia" w:hAnsiTheme="minorEastAsia" w:eastAsiaTheme="minorEastAsia" w:cstheme="minorEastAsia"/>
          <w:color w:val="auto"/>
          <w:highlight w:val="none"/>
        </w:rPr>
        <w:t>”。</w:t>
      </w:r>
    </w:p>
    <w:p w14:paraId="1220BDDA">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第二条　合同总价款</w:t>
      </w:r>
    </w:p>
    <w:p w14:paraId="635818C4">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本合同项下货物总价款为人民币</w:t>
      </w:r>
      <w:r>
        <w:rPr>
          <w:rFonts w:hint="eastAsia" w:asciiTheme="minorEastAsia" w:hAnsiTheme="minorEastAsia" w:eastAsiaTheme="minorEastAsia" w:cstheme="minorEastAsia"/>
          <w:color w:val="auto"/>
          <w:highlight w:val="none"/>
          <w:u w:val="single"/>
        </w:rPr>
        <w:t xml:space="preserve">       （大写）（￥：）            </w:t>
      </w:r>
      <w:r>
        <w:rPr>
          <w:rFonts w:hint="eastAsia" w:asciiTheme="minorEastAsia" w:hAnsiTheme="minorEastAsia" w:eastAsiaTheme="minorEastAsia" w:cstheme="minorEastAsia"/>
          <w:color w:val="auto"/>
          <w:highlight w:val="none"/>
        </w:rPr>
        <w:t>，分项价款在“投标报价表”中有明确规定。</w:t>
      </w:r>
    </w:p>
    <w:p w14:paraId="137758AA">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本合同总价款是货款、标准附件、产品标配的备品备件、专用工具、包装、运输、装卸、保险、税金、货到就位以及安装、调试、培训、保修等一切税金和费用，如有漏项，视同已包含在其它项目中，合同单价不做调整。</w:t>
      </w:r>
    </w:p>
    <w:p w14:paraId="1EEF4A34">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本合同总价款还包含</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应当提供的伴随服务/售后服务费用。</w:t>
      </w:r>
    </w:p>
    <w:p w14:paraId="5BF28E6F">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 本项目所涉及的设备数量，为实际供货数量。</w:t>
      </w:r>
    </w:p>
    <w:p w14:paraId="05598C75">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第三条　组成本合同的有关文件</w:t>
      </w:r>
    </w:p>
    <w:p w14:paraId="6A353BBB">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下列文件构成本合同的组成部分，应该认为是一个整体，彼此相互解释，相互补充。组成合同的多个文件的优先支配地位的次序如下：</w:t>
      </w:r>
    </w:p>
    <w:p w14:paraId="68C3789A">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本合同书　</w:t>
      </w:r>
    </w:p>
    <w:p w14:paraId="16A2482F">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（2）中标通知书</w:t>
      </w:r>
      <w:r>
        <w:rPr>
          <w:rFonts w:hint="eastAsia" w:asciiTheme="minorEastAsia" w:hAnsiTheme="minorEastAsia" w:eastAsiaTheme="minorEastAsia" w:cstheme="minorEastAsia"/>
          <w:color w:val="auto"/>
          <w:highlight w:val="none"/>
        </w:rPr>
        <w:tab/>
      </w:r>
    </w:p>
    <w:p w14:paraId="2D585495">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（3）中标人澄清修改文件</w:t>
      </w:r>
    </w:p>
    <w:p w14:paraId="2BF2900A">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（4）中标人投标文件</w:t>
      </w:r>
    </w:p>
    <w:p w14:paraId="6C41E166">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（5）招标文件澄清修改文件</w:t>
      </w:r>
    </w:p>
    <w:p w14:paraId="61E86F4D">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（6）招标文件</w:t>
      </w:r>
    </w:p>
    <w:p w14:paraId="1122C48C">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第四条　权利保证</w:t>
      </w:r>
    </w:p>
    <w:p w14:paraId="52E3E590">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保证提供的货物不存在对任何第三方侵权行为（包括商标、专利、版权、知识产权等）。若发生侵权行为，由</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负全责，应承担由此发生的一切经济和法律责任，并赔偿</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30%的合同货款的。</w:t>
      </w:r>
    </w:p>
    <w:p w14:paraId="2345BDE4">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第五条　质量保证及售后服务</w:t>
      </w:r>
    </w:p>
    <w:p w14:paraId="22E7220B">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应按招标文件规定的货物性能、技术要求、质量标准向</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提供未经使用的全新产品。</w:t>
      </w:r>
    </w:p>
    <w:p w14:paraId="674B8B85">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highlight w:val="none"/>
        </w:rPr>
        <w:t>提供的货物在质保期内因货物本身的质量问题发生故障，</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highlight w:val="none"/>
        </w:rPr>
        <w:t>应负责免费更换。对达不到技术要求者，根据实际情况，经双方协商，可按以下办法处理：</w:t>
      </w:r>
    </w:p>
    <w:p w14:paraId="16A7965C">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（1）更换：由</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highlight w:val="none"/>
        </w:rPr>
        <w:t>承担所发生的全部费用。</w:t>
      </w:r>
    </w:p>
    <w:p w14:paraId="0387A762">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（2）贬值处理：由双方合议定价。</w:t>
      </w:r>
    </w:p>
    <w:p w14:paraId="4A8513DB">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（3）退货处理：</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highlight w:val="none"/>
        </w:rPr>
        <w:t>应退还</w:t>
      </w:r>
      <w:r>
        <w:rPr>
          <w:rFonts w:hint="eastAsia" w:asciiTheme="minorEastAsia" w:hAnsiTheme="minorEastAsia" w:eastAsiaTheme="minorEastAsia" w:cstheme="minorEastAsia"/>
          <w:color w:val="auto"/>
          <w:kern w:val="0"/>
          <w:sz w:val="24"/>
          <w:highlight w:val="none"/>
          <w:lang w:eastAsia="zh-CN"/>
        </w:rPr>
        <w:t>甲方</w:t>
      </w:r>
      <w:r>
        <w:rPr>
          <w:rFonts w:hint="eastAsia" w:asciiTheme="minorEastAsia" w:hAnsiTheme="minorEastAsia" w:eastAsiaTheme="minorEastAsia" w:cstheme="minorEastAsia"/>
          <w:color w:val="auto"/>
          <w:kern w:val="0"/>
          <w:sz w:val="24"/>
          <w:highlight w:val="none"/>
        </w:rPr>
        <w:t>支付的合同款，同时应承担该货物的直接费用（运输、保险、检验、货款利息及银行手续费等）。</w:t>
      </w:r>
    </w:p>
    <w:p w14:paraId="480DBEAB">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如在使用过程中发生质量问题或出现故障，供应商在接到采购人通知后在1小时内响应，服务工程师48小时内上门服务，不能解决的须提供同等性能、同等配置的设备进行替换。在质保期内，与质保和维修相关的所有费用由供应商负责。</w:t>
      </w:r>
    </w:p>
    <w:p w14:paraId="57B730EF">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4、在质保期内，</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highlight w:val="none"/>
        </w:rPr>
        <w:t>应对货物出现的质量及安全问题负责处理解决并承担一切费用。</w:t>
      </w:r>
    </w:p>
    <w:p w14:paraId="520D854E">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5、机器在保质期内如遇频繁的质量问题，</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highlight w:val="none"/>
        </w:rPr>
        <w:t>应当予以全新更换或全面检修，并延长相应的保修期。</w:t>
      </w:r>
    </w:p>
    <w:p w14:paraId="5B800D31">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6、整机免费保修期为</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年，因人为因素出现的故障不在免费保修范围内。超过保修期的产品，终生维修，维修时只收部件成本费。</w:t>
      </w:r>
    </w:p>
    <w:p w14:paraId="64AA3300">
      <w:pPr>
        <w:snapToGrid w:val="0"/>
        <w:spacing w:line="500" w:lineRule="exact"/>
        <w:ind w:firstLine="51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highlight w:val="none"/>
        </w:rPr>
        <w:t>7、</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szCs w:val="24"/>
          <w:highlight w:val="none"/>
        </w:rPr>
        <w:t>提供纸质和电子版中文操作手册、</w:t>
      </w:r>
      <w:r>
        <w:rPr>
          <w:rFonts w:hint="eastAsia" w:asciiTheme="minorEastAsia" w:hAnsiTheme="minorEastAsia" w:eastAsiaTheme="minorEastAsia" w:cstheme="minorEastAsia"/>
          <w:color w:val="auto"/>
          <w:kern w:val="0"/>
          <w:sz w:val="24"/>
          <w:szCs w:val="24"/>
          <w:highlight w:val="none"/>
          <w:lang w:val="en-US" w:eastAsia="zh-CN"/>
        </w:rPr>
        <w:t>安装手册、维护手册、</w:t>
      </w:r>
      <w:r>
        <w:rPr>
          <w:rFonts w:hint="eastAsia" w:asciiTheme="minorEastAsia" w:hAnsiTheme="minorEastAsia" w:eastAsiaTheme="minorEastAsia" w:cstheme="minorEastAsia"/>
          <w:color w:val="auto"/>
          <w:kern w:val="0"/>
          <w:sz w:val="24"/>
          <w:szCs w:val="24"/>
          <w:highlight w:val="none"/>
        </w:rPr>
        <w:t>维修手册二套。随机工具1套</w:t>
      </w:r>
      <w:r>
        <w:rPr>
          <w:rFonts w:hint="eastAsia" w:asciiTheme="minorEastAsia" w:hAnsiTheme="minorEastAsia" w:eastAsiaTheme="minorEastAsia" w:cstheme="minorEastAsia"/>
          <w:color w:val="auto"/>
          <w:kern w:val="0"/>
          <w:sz w:val="24"/>
          <w:szCs w:val="24"/>
          <w:highlight w:val="none"/>
          <w:lang w:eastAsia="zh-CN"/>
        </w:rPr>
        <w:t>。</w:t>
      </w:r>
    </w:p>
    <w:p w14:paraId="71DF1318">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第六条  包装要求</w:t>
      </w:r>
    </w:p>
    <w:p w14:paraId="54027CD9">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1、除合同另有规定外，</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提供的全部货物均应按标准保护措施进行包装。该包装应适应于远距离运输、防潮、防震、防锈和防野蛮装卸，以确保货物安全无损运抵指定地点。由于包装不善所引起的货物损失均由</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承担。</w:t>
      </w:r>
    </w:p>
    <w:p w14:paraId="187159A6">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2、每一包装单元内应附详细的装箱单和质量合格凭证。</w:t>
      </w:r>
    </w:p>
    <w:p w14:paraId="7B525BD8">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第七条　交货时间、方式、地点</w:t>
      </w:r>
    </w:p>
    <w:p w14:paraId="04C26E19">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 </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应按照本合同或招标文件规定的时间和方式向</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交付货物：</w:t>
      </w:r>
    </w:p>
    <w:p w14:paraId="115EEF8D">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（1）本项目为交钥匙工程，在合同签订后，设备交货期根据工程进度计划安排设备的到货及安装时间。</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在</w:t>
      </w:r>
      <w:r>
        <w:rPr>
          <w:rFonts w:hint="eastAsia" w:asciiTheme="minorEastAsia" w:hAnsiTheme="minorEastAsia" w:eastAsiaTheme="minorEastAsia" w:cstheme="minorEastAsia"/>
          <w:color w:val="auto"/>
          <w:highlight w:val="none"/>
          <w:lang w:val="en-US" w:eastAsia="zh-CN"/>
        </w:rPr>
        <w:t>合同签订后30日历天内交货</w:t>
      </w:r>
      <w:r>
        <w:rPr>
          <w:rFonts w:hint="eastAsia" w:asciiTheme="minorEastAsia" w:hAnsiTheme="minorEastAsia" w:eastAsiaTheme="minorEastAsia" w:cstheme="minorEastAsia"/>
          <w:color w:val="auto"/>
          <w:highlight w:val="none"/>
        </w:rPr>
        <w:t>。并根据</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要求在规定时间内完成所有安装调试工作。</w:t>
      </w:r>
      <w:r>
        <w:rPr>
          <w:rFonts w:hint="eastAsia" w:asciiTheme="minorEastAsia" w:hAnsiTheme="minorEastAsia" w:eastAsiaTheme="minorEastAsia" w:cstheme="minorEastAsia"/>
          <w:color w:val="auto"/>
          <w:highlight w:val="none"/>
          <w:lang w:eastAsia="zh-CN"/>
        </w:rPr>
        <w:t>安装时如有场地损坏乙方需及时修复。</w:t>
      </w:r>
      <w:r>
        <w:rPr>
          <w:rFonts w:hint="eastAsia" w:asciiTheme="minorEastAsia" w:hAnsiTheme="minorEastAsia" w:eastAsiaTheme="minorEastAsia" w:cstheme="minorEastAsia"/>
          <w:color w:val="auto"/>
          <w:highlight w:val="none"/>
        </w:rPr>
        <w:t>设备交货后如发现不符合要求的设备，</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有权拒绝接受，并按延期交货进行处理。</w:t>
      </w:r>
    </w:p>
    <w:p w14:paraId="69C0781C">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（2）交货地点为</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kern w:val="0"/>
          <w:sz w:val="24"/>
          <w:highlight w:val="none"/>
        </w:rPr>
        <w:t>签订合同后免费送至采购人指定地点</w:t>
      </w:r>
      <w:r>
        <w:rPr>
          <w:rFonts w:hint="eastAsia" w:asciiTheme="minorEastAsia" w:hAnsiTheme="minorEastAsia" w:eastAsiaTheme="minorEastAsia" w:cstheme="minorEastAsia"/>
          <w:color w:val="auto"/>
          <w:szCs w:val="24"/>
          <w:highlight w:val="none"/>
        </w:rPr>
        <w:t>。</w:t>
      </w:r>
    </w:p>
    <w:p w14:paraId="61F00511">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交付的货物应当完全符合本合同或者招标文件所规定的货物、数量和规格要求。</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不得少交或多交货物。</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提供的货物不符合招标文件和合同规定的，</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有权拒收货物，由此引起的风险，由</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承担。</w:t>
      </w:r>
    </w:p>
    <w:p w14:paraId="4581C87B">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第八条　培训计划</w:t>
      </w:r>
    </w:p>
    <w:p w14:paraId="47FDCE01">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1、培训地点：设备安装现场。</w:t>
      </w:r>
    </w:p>
    <w:p w14:paraId="3F17B83B">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2、培训人数：全部操作人员。</w:t>
      </w:r>
    </w:p>
    <w:p w14:paraId="162FBAD4">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3、培训时间：能熟练掌握操作和维护保养。需外地培训的应同时向采购单位提供书面说明，并盖章确认。</w:t>
      </w:r>
    </w:p>
    <w:p w14:paraId="7961C1F7">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4、培训服务要求：</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highlight w:val="none"/>
        </w:rPr>
        <w:t>应对</w:t>
      </w:r>
      <w:r>
        <w:rPr>
          <w:rFonts w:hint="eastAsia" w:asciiTheme="minorEastAsia" w:hAnsiTheme="minorEastAsia" w:eastAsiaTheme="minorEastAsia" w:cstheme="minorEastAsia"/>
          <w:color w:val="auto"/>
          <w:kern w:val="0"/>
          <w:sz w:val="24"/>
          <w:highlight w:val="none"/>
          <w:lang w:eastAsia="zh-CN"/>
        </w:rPr>
        <w:t>甲方</w:t>
      </w:r>
      <w:r>
        <w:rPr>
          <w:rFonts w:hint="eastAsia" w:asciiTheme="minorEastAsia" w:hAnsiTheme="minorEastAsia" w:eastAsiaTheme="minorEastAsia" w:cstheme="minorEastAsia"/>
          <w:color w:val="auto"/>
          <w:kern w:val="0"/>
          <w:sz w:val="24"/>
          <w:highlight w:val="none"/>
        </w:rPr>
        <w:t>的维修人员进行培训并承担所有费用，使其能对设备进行日常的维护保养并能对一般故障及时进行维修。所有的维修图纸、维修手册及维修调试软件的密码及专用的维修工具应全部免费提供。</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highlight w:val="none"/>
        </w:rPr>
        <w:t>应对</w:t>
      </w:r>
      <w:r>
        <w:rPr>
          <w:rFonts w:hint="eastAsia" w:asciiTheme="minorEastAsia" w:hAnsiTheme="minorEastAsia" w:eastAsiaTheme="minorEastAsia" w:cstheme="minorEastAsia"/>
          <w:color w:val="auto"/>
          <w:kern w:val="0"/>
          <w:sz w:val="24"/>
          <w:highlight w:val="none"/>
          <w:lang w:eastAsia="zh-CN"/>
        </w:rPr>
        <w:t>甲方</w:t>
      </w:r>
      <w:r>
        <w:rPr>
          <w:rFonts w:hint="eastAsia" w:asciiTheme="minorEastAsia" w:hAnsiTheme="minorEastAsia" w:eastAsiaTheme="minorEastAsia" w:cstheme="minorEastAsia"/>
          <w:color w:val="auto"/>
          <w:kern w:val="0"/>
          <w:sz w:val="24"/>
          <w:highlight w:val="none"/>
        </w:rPr>
        <w:t>的操作人员进行培训并承担所有费用，使其能较熟练的使用设备完成日常所需开展的项目。</w:t>
      </w:r>
    </w:p>
    <w:p w14:paraId="4731A472">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第九条  验收</w:t>
      </w:r>
    </w:p>
    <w:p w14:paraId="209C08D8">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eastAsia="zh-CN"/>
        </w:rPr>
        <w:t>甲方</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highlight w:val="none"/>
        </w:rPr>
        <w:t>提交的货物依据招标文件上的技术规格要求和国家有关质量标准进行现场初步验收，外观、说明书符合招标文件技术要求的，给予签收，初步验收不合格的不予签收。</w:t>
      </w:r>
    </w:p>
    <w:p w14:paraId="2C3E1A6B">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highlight w:val="none"/>
        </w:rPr>
        <w:t>交货前应对产品做出全面检查和对验收文件进行整理，并列出清单，作为</w:t>
      </w:r>
      <w:r>
        <w:rPr>
          <w:rFonts w:hint="eastAsia" w:asciiTheme="minorEastAsia" w:hAnsiTheme="minorEastAsia" w:eastAsiaTheme="minorEastAsia" w:cstheme="minorEastAsia"/>
          <w:color w:val="auto"/>
          <w:kern w:val="0"/>
          <w:sz w:val="24"/>
          <w:highlight w:val="none"/>
          <w:lang w:eastAsia="zh-CN"/>
        </w:rPr>
        <w:t>甲方</w:t>
      </w:r>
      <w:r>
        <w:rPr>
          <w:rFonts w:hint="eastAsia" w:asciiTheme="minorEastAsia" w:hAnsiTheme="minorEastAsia" w:eastAsiaTheme="minorEastAsia" w:cstheme="minorEastAsia"/>
          <w:color w:val="auto"/>
          <w:kern w:val="0"/>
          <w:sz w:val="24"/>
          <w:highlight w:val="none"/>
        </w:rPr>
        <w:t>收货验收和使用的技术条件依据，检验的结果应随货物交</w:t>
      </w:r>
      <w:r>
        <w:rPr>
          <w:rFonts w:hint="eastAsia" w:asciiTheme="minorEastAsia" w:hAnsiTheme="minorEastAsia" w:eastAsiaTheme="minorEastAsia" w:cstheme="minorEastAsia"/>
          <w:color w:val="auto"/>
          <w:kern w:val="0"/>
          <w:sz w:val="24"/>
          <w:highlight w:val="none"/>
          <w:lang w:eastAsia="zh-CN"/>
        </w:rPr>
        <w:t>甲方</w:t>
      </w:r>
      <w:r>
        <w:rPr>
          <w:rFonts w:hint="eastAsia" w:asciiTheme="minorEastAsia" w:hAnsiTheme="minorEastAsia" w:eastAsiaTheme="minorEastAsia" w:cstheme="minorEastAsia"/>
          <w:color w:val="auto"/>
          <w:kern w:val="0"/>
          <w:sz w:val="24"/>
          <w:highlight w:val="none"/>
        </w:rPr>
        <w:t>。</w:t>
      </w:r>
    </w:p>
    <w:p w14:paraId="066EC534">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eastAsia="zh-CN"/>
        </w:rPr>
        <w:t>甲方</w:t>
      </w:r>
      <w:r>
        <w:rPr>
          <w:rFonts w:hint="eastAsia" w:asciiTheme="minorEastAsia" w:hAnsiTheme="minorEastAsia" w:eastAsiaTheme="minorEastAsia" w:cstheme="minorEastAsia"/>
          <w:color w:val="auto"/>
          <w:kern w:val="0"/>
          <w:sz w:val="24"/>
          <w:highlight w:val="none"/>
        </w:rPr>
        <w:t>对</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highlight w:val="none"/>
        </w:rPr>
        <w:t>提供的货物在使用前进行调试时，</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highlight w:val="none"/>
        </w:rPr>
        <w:t>需负责安装并培训</w:t>
      </w:r>
      <w:r>
        <w:rPr>
          <w:rFonts w:hint="eastAsia" w:asciiTheme="minorEastAsia" w:hAnsiTheme="minorEastAsia" w:eastAsiaTheme="minorEastAsia" w:cstheme="minorEastAsia"/>
          <w:color w:val="auto"/>
          <w:kern w:val="0"/>
          <w:sz w:val="24"/>
          <w:highlight w:val="none"/>
          <w:lang w:eastAsia="zh-CN"/>
        </w:rPr>
        <w:t>甲方</w:t>
      </w:r>
      <w:r>
        <w:rPr>
          <w:rFonts w:hint="eastAsia" w:asciiTheme="minorEastAsia" w:hAnsiTheme="minorEastAsia" w:eastAsiaTheme="minorEastAsia" w:cstheme="minorEastAsia"/>
          <w:color w:val="auto"/>
          <w:kern w:val="0"/>
          <w:sz w:val="24"/>
          <w:highlight w:val="none"/>
        </w:rPr>
        <w:t>的使用操作人员，并协助</w:t>
      </w:r>
      <w:r>
        <w:rPr>
          <w:rFonts w:hint="eastAsia" w:asciiTheme="minorEastAsia" w:hAnsiTheme="minorEastAsia" w:eastAsiaTheme="minorEastAsia" w:cstheme="minorEastAsia"/>
          <w:color w:val="auto"/>
          <w:kern w:val="0"/>
          <w:sz w:val="24"/>
          <w:highlight w:val="none"/>
          <w:lang w:eastAsia="zh-CN"/>
        </w:rPr>
        <w:t>甲方</w:t>
      </w:r>
      <w:r>
        <w:rPr>
          <w:rFonts w:hint="eastAsia" w:asciiTheme="minorEastAsia" w:hAnsiTheme="minorEastAsia" w:eastAsiaTheme="minorEastAsia" w:cstheme="minorEastAsia"/>
          <w:color w:val="auto"/>
          <w:kern w:val="0"/>
          <w:sz w:val="24"/>
          <w:highlight w:val="none"/>
        </w:rPr>
        <w:t>一起调试，直到符合技术要求，</w:t>
      </w:r>
      <w:r>
        <w:rPr>
          <w:rFonts w:hint="eastAsia" w:asciiTheme="minorEastAsia" w:hAnsiTheme="minorEastAsia" w:eastAsiaTheme="minorEastAsia" w:cstheme="minorEastAsia"/>
          <w:color w:val="auto"/>
          <w:kern w:val="0"/>
          <w:sz w:val="24"/>
          <w:highlight w:val="none"/>
          <w:lang w:eastAsia="zh-CN"/>
        </w:rPr>
        <w:t>甲方</w:t>
      </w:r>
      <w:r>
        <w:rPr>
          <w:rFonts w:hint="eastAsia" w:asciiTheme="minorEastAsia" w:hAnsiTheme="minorEastAsia" w:eastAsiaTheme="minorEastAsia" w:cstheme="minorEastAsia"/>
          <w:color w:val="auto"/>
          <w:kern w:val="0"/>
          <w:sz w:val="24"/>
          <w:highlight w:val="none"/>
        </w:rPr>
        <w:t>才做最终验收。</w:t>
      </w:r>
    </w:p>
    <w:p w14:paraId="137B4374">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4、验收中发现设备达不到验收标准或合同的规定，</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highlight w:val="none"/>
        </w:rPr>
        <w:t>必须更换有关部件，使设备最终达到规定的性能指标和功能要求，并且赔偿由此给用户造成的损失。</w:t>
      </w:r>
    </w:p>
    <w:p w14:paraId="450C2C57">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5、本项目完工后，由</w:t>
      </w:r>
      <w:r>
        <w:rPr>
          <w:rFonts w:hint="eastAsia" w:asciiTheme="minorEastAsia" w:hAnsiTheme="minorEastAsia" w:eastAsiaTheme="minorEastAsia" w:cstheme="minorEastAsia"/>
          <w:color w:val="auto"/>
          <w:kern w:val="0"/>
          <w:sz w:val="24"/>
          <w:highlight w:val="none"/>
          <w:lang w:eastAsia="zh-CN"/>
        </w:rPr>
        <w:t>甲方</w:t>
      </w:r>
      <w:r>
        <w:rPr>
          <w:rFonts w:hint="eastAsia" w:asciiTheme="minorEastAsia" w:hAnsiTheme="minorEastAsia" w:eastAsiaTheme="minorEastAsia" w:cstheme="minorEastAsia"/>
          <w:color w:val="auto"/>
          <w:kern w:val="0"/>
          <w:sz w:val="24"/>
          <w:highlight w:val="none"/>
          <w:lang w:val="en-US" w:eastAsia="zh-CN"/>
        </w:rPr>
        <w:t>组织</w:t>
      </w:r>
      <w:r>
        <w:rPr>
          <w:rFonts w:hint="eastAsia" w:asciiTheme="minorEastAsia" w:hAnsiTheme="minorEastAsia" w:eastAsiaTheme="minorEastAsia" w:cstheme="minorEastAsia"/>
          <w:color w:val="auto"/>
          <w:kern w:val="0"/>
          <w:sz w:val="24"/>
          <w:highlight w:val="none"/>
        </w:rPr>
        <w:t>初步验收及最终验收。</w:t>
      </w:r>
    </w:p>
    <w:p w14:paraId="1230ADA6">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6、验收标准：与产品原始技术数据表及投标书技术规格一致，并符合国家有关技术规范和技术标准。</w:t>
      </w:r>
    </w:p>
    <w:p w14:paraId="5E4BBEDA">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7、验收时</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highlight w:val="none"/>
        </w:rPr>
        <w:t>必须在现场，验收完毕后作出验收结果报告，验收费用由</w:t>
      </w:r>
      <w:r>
        <w:rPr>
          <w:rFonts w:hint="eastAsia" w:asciiTheme="minorEastAsia" w:hAnsiTheme="minorEastAsia" w:eastAsiaTheme="minorEastAsia" w:cstheme="minorEastAsia"/>
          <w:color w:val="auto"/>
          <w:kern w:val="0"/>
          <w:sz w:val="24"/>
          <w:highlight w:val="none"/>
          <w:lang w:eastAsia="zh-CN"/>
        </w:rPr>
        <w:t>乙方</w:t>
      </w:r>
      <w:r>
        <w:rPr>
          <w:rFonts w:hint="eastAsia" w:asciiTheme="minorEastAsia" w:hAnsiTheme="minorEastAsia" w:eastAsiaTheme="minorEastAsia" w:cstheme="minorEastAsia"/>
          <w:color w:val="auto"/>
          <w:kern w:val="0"/>
          <w:sz w:val="24"/>
          <w:highlight w:val="none"/>
        </w:rPr>
        <w:t>承担。</w:t>
      </w:r>
    </w:p>
    <w:p w14:paraId="79951225">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pacing w:val="-6"/>
          <w:kern w:val="0"/>
          <w:sz w:val="24"/>
          <w:highlight w:val="none"/>
        </w:rPr>
        <w:t>8、验收交付前</w:t>
      </w:r>
      <w:r>
        <w:rPr>
          <w:rFonts w:hint="eastAsia" w:asciiTheme="minorEastAsia" w:hAnsiTheme="minorEastAsia" w:eastAsiaTheme="minorEastAsia" w:cstheme="minorEastAsia"/>
          <w:color w:val="auto"/>
          <w:spacing w:val="-6"/>
          <w:kern w:val="0"/>
          <w:sz w:val="24"/>
          <w:highlight w:val="none"/>
          <w:lang w:eastAsia="zh-CN"/>
        </w:rPr>
        <w:t>乙方</w:t>
      </w:r>
      <w:r>
        <w:rPr>
          <w:rFonts w:hint="eastAsia" w:asciiTheme="minorEastAsia" w:hAnsiTheme="minorEastAsia" w:eastAsiaTheme="minorEastAsia" w:cstheme="minorEastAsia"/>
          <w:color w:val="auto"/>
          <w:spacing w:val="-6"/>
          <w:kern w:val="0"/>
          <w:sz w:val="24"/>
          <w:highlight w:val="none"/>
        </w:rPr>
        <w:t>应承担工程照管、成品保护、保管等工作并承担有关的各项费用。</w:t>
      </w:r>
    </w:p>
    <w:p w14:paraId="1FD2EB43">
      <w:pPr>
        <w:snapToGrid w:val="0"/>
        <w:spacing w:line="500" w:lineRule="exact"/>
        <w:ind w:firstLine="510"/>
        <w:rPr>
          <w:rFonts w:hint="eastAsia" w:asciiTheme="minorEastAsia" w:hAnsiTheme="minorEastAsia" w:eastAsiaTheme="minorEastAsia" w:cstheme="minorEastAsia"/>
          <w:color w:val="auto"/>
          <w:spacing w:val="-6"/>
          <w:kern w:val="0"/>
          <w:sz w:val="24"/>
          <w:highlight w:val="none"/>
        </w:rPr>
      </w:pPr>
      <w:r>
        <w:rPr>
          <w:rFonts w:hint="eastAsia" w:asciiTheme="minorEastAsia" w:hAnsiTheme="minorEastAsia" w:eastAsiaTheme="minorEastAsia" w:cstheme="minorEastAsia"/>
          <w:color w:val="auto"/>
          <w:spacing w:val="-6"/>
          <w:kern w:val="0"/>
          <w:sz w:val="24"/>
          <w:highlight w:val="none"/>
        </w:rPr>
        <w:t>第十条　　货款支付</w:t>
      </w:r>
    </w:p>
    <w:p w14:paraId="2F0CA3BF">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1、本合同项下所有款项均以人民币支付。</w:t>
      </w:r>
    </w:p>
    <w:p w14:paraId="78CB5FAF">
      <w:pPr>
        <w:snapToGrid w:val="0"/>
        <w:spacing w:line="500" w:lineRule="exact"/>
        <w:ind w:firstLine="51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2、本项目采用固定总价承包，除设计变更和签证引起的工程量变化以外合同价一律不作调整。</w:t>
      </w:r>
    </w:p>
    <w:p w14:paraId="78F73E2E">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3、付款方式：</w:t>
      </w:r>
      <w:r>
        <w:rPr>
          <w:rFonts w:hint="eastAsia" w:asciiTheme="minorEastAsia" w:hAnsiTheme="minorEastAsia" w:eastAsiaTheme="minorEastAsia" w:cstheme="minorEastAsia"/>
          <w:color w:val="auto"/>
          <w:kern w:val="0"/>
          <w:sz w:val="24"/>
          <w:highlight w:val="none"/>
          <w:lang w:eastAsia="zh-CN"/>
        </w:rPr>
        <w:t>签订合同后</w:t>
      </w:r>
      <w:r>
        <w:rPr>
          <w:rFonts w:hint="eastAsia" w:asciiTheme="minorEastAsia" w:hAnsiTheme="minorEastAsia" w:eastAsiaTheme="minorEastAsia" w:cstheme="minorEastAsia"/>
          <w:color w:val="auto"/>
          <w:kern w:val="0"/>
          <w:sz w:val="24"/>
          <w:highlight w:val="none"/>
          <w:lang w:val="en-US" w:eastAsia="zh-CN"/>
        </w:rPr>
        <w:t>15日历天内，采购人向中标人支付合同总价40%的预付款；</w:t>
      </w:r>
      <w:r>
        <w:rPr>
          <w:rFonts w:hint="eastAsia" w:asciiTheme="minorEastAsia" w:hAnsiTheme="minorEastAsia" w:eastAsiaTheme="minorEastAsia" w:cstheme="minorEastAsia"/>
          <w:color w:val="auto"/>
          <w:kern w:val="0"/>
          <w:sz w:val="24"/>
          <w:highlight w:val="none"/>
          <w:lang w:eastAsia="zh-CN"/>
        </w:rPr>
        <w:t>设备进场安装完成并经调试验收合格后</w:t>
      </w:r>
      <w:r>
        <w:rPr>
          <w:rFonts w:hint="eastAsia" w:asciiTheme="minorEastAsia" w:hAnsiTheme="minorEastAsia" w:eastAsiaTheme="minorEastAsia" w:cstheme="minorEastAsia"/>
          <w:color w:val="auto"/>
          <w:kern w:val="0"/>
          <w:sz w:val="24"/>
          <w:highlight w:val="none"/>
          <w:lang w:val="en-US" w:eastAsia="zh-CN"/>
        </w:rPr>
        <w:t>15日历天</w:t>
      </w:r>
      <w:r>
        <w:rPr>
          <w:rFonts w:hint="eastAsia" w:asciiTheme="minorEastAsia" w:hAnsiTheme="minorEastAsia" w:eastAsiaTheme="minorEastAsia" w:cstheme="minorEastAsia"/>
          <w:color w:val="auto"/>
          <w:kern w:val="0"/>
          <w:sz w:val="24"/>
          <w:highlight w:val="none"/>
          <w:lang w:eastAsia="zh-CN"/>
        </w:rPr>
        <w:t>内支付合同</w:t>
      </w:r>
      <w:r>
        <w:rPr>
          <w:rFonts w:hint="eastAsia" w:asciiTheme="minorEastAsia" w:hAnsiTheme="minorEastAsia" w:eastAsiaTheme="minorEastAsia" w:cstheme="minorEastAsia"/>
          <w:color w:val="auto"/>
          <w:kern w:val="0"/>
          <w:sz w:val="24"/>
          <w:highlight w:val="none"/>
          <w:lang w:val="en-US" w:eastAsia="zh-CN"/>
        </w:rPr>
        <w:t>价</w:t>
      </w:r>
      <w:r>
        <w:rPr>
          <w:rFonts w:hint="eastAsia" w:asciiTheme="minorEastAsia" w:hAnsiTheme="minorEastAsia" w:eastAsiaTheme="minorEastAsia" w:cstheme="minorEastAsia"/>
          <w:color w:val="auto"/>
          <w:kern w:val="0"/>
          <w:sz w:val="24"/>
          <w:highlight w:val="none"/>
          <w:lang w:eastAsia="zh-CN"/>
        </w:rPr>
        <w:t>的</w:t>
      </w:r>
      <w:r>
        <w:rPr>
          <w:rFonts w:hint="eastAsia" w:asciiTheme="minorEastAsia" w:hAnsiTheme="minorEastAsia" w:eastAsiaTheme="minorEastAsia" w:cstheme="minorEastAsia"/>
          <w:color w:val="auto"/>
          <w:kern w:val="0"/>
          <w:sz w:val="24"/>
          <w:highlight w:val="none"/>
          <w:lang w:val="en-US" w:eastAsia="zh-CN"/>
        </w:rPr>
        <w:t>95%，剩余5%作为质保金，待质保期满后15个工作日内支付</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（以实际签订的合同为准）</w:t>
      </w:r>
    </w:p>
    <w:p w14:paraId="48DF62BA">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第十二条　违约责任</w:t>
      </w:r>
    </w:p>
    <w:p w14:paraId="52EB0435">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无正当理由拒收货物、拒付货物款的，由</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向</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偿付合同总价的3%违约金。</w:t>
      </w:r>
    </w:p>
    <w:p w14:paraId="3F12B615">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未按合同规定的期限向</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支付货款的，每逾期1天</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向</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偿付欠款总额的5‰滞纳金，但累计滞纳金总额不超过欠款总额的3%。</w:t>
      </w:r>
    </w:p>
    <w:p w14:paraId="7E9E978F">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3、如</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不能交付货物，</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有权扣留全部履约保证金；同时</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应向</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支付合同总价3％的违约金。</w:t>
      </w:r>
    </w:p>
    <w:p w14:paraId="1C7B5E6D">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逾期交付货物的，每逾期1天，</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向</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偿付逾期交货部分货款总额的5‰的滞纳金。如</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逾期交货达</w:t>
      </w:r>
      <w:r>
        <w:rPr>
          <w:rFonts w:hint="eastAsia" w:asciiTheme="minorEastAsia" w:hAnsiTheme="minorEastAsia" w:eastAsiaTheme="minorEastAsia" w:cstheme="minorEastAsia"/>
          <w:color w:val="auto"/>
          <w:highlight w:val="none"/>
          <w:lang w:val="en-US" w:eastAsia="zh-CN"/>
        </w:rPr>
        <w:t>30</w:t>
      </w:r>
      <w:r>
        <w:rPr>
          <w:rFonts w:hint="eastAsia" w:asciiTheme="minorEastAsia" w:hAnsiTheme="minorEastAsia" w:eastAsiaTheme="minorEastAsia" w:cstheme="minorEastAsia"/>
          <w:color w:val="auto"/>
          <w:highlight w:val="none"/>
        </w:rPr>
        <w:t>天，</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有权解除合同，解除合同的通知自到达</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时生效。</w:t>
      </w:r>
    </w:p>
    <w:p w14:paraId="3C686DE1">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在履行合同过程中，如果</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遇到不能按时交货情况，应及时以书面形式将不能按时交货的理由、预期延误时间通知</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收到</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通知后，认为其理由正当的，可酌情延长交货时间；不认可</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不能按时交货理由的，按逾期交付货物处理。</w:t>
      </w:r>
    </w:p>
    <w:p w14:paraId="6C9951C7">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所交付的货物品种、型号、规格、技术指标不符合合同规定的，</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有权拒收。</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拒收的，</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应向</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支付货款总额3%的违约金。</w:t>
      </w:r>
    </w:p>
    <w:p w14:paraId="030268D7">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6、在</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承诺的或国家规定的质量保证期内（取两者中最长的期限），如经</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两次维修或更换，货物仍不能达到合同约定的质量标准，</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有权退货，</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应退回全部货款，并按第13.3款处理，同时，</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还须赔偿</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因此遭受的损失。</w:t>
      </w:r>
    </w:p>
    <w:p w14:paraId="333BFD70">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未按本合同的规定和“服务承诺”提供伴随服务/售后服务的，应按合同总价款的5%向</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承担违约责任。</w:t>
      </w:r>
    </w:p>
    <w:p w14:paraId="7B298D05">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在承担上述3～7款一项或多项违约责任后，仍应继续履行合同规定的义务（</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解除合同的除外）。</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未能及时追究</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的任何一项违约责任并不表明</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放弃追究</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该项或其他违约责任。</w:t>
      </w:r>
    </w:p>
    <w:p w14:paraId="3877D29F">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第十三条　合同的转让和分包</w:t>
      </w:r>
    </w:p>
    <w:p w14:paraId="3053E2D6">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不得擅自部分或全部转让其应履行的合同义务；</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不得擅自分包其应履行的合同义务。</w:t>
      </w:r>
    </w:p>
    <w:p w14:paraId="03D97A9A">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第十四条　合同的变更和终止</w:t>
      </w:r>
    </w:p>
    <w:p w14:paraId="36624DA7">
      <w:pPr>
        <w:pStyle w:val="48"/>
        <w:widowControl w:val="0"/>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除《政府采购法》第50条第二款规定的情形外，本合同一经签订，双方不得擅自变更、中止或终止合同。</w:t>
      </w:r>
    </w:p>
    <w:p w14:paraId="5F2D8E25">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第十五条  不可抗力</w:t>
      </w:r>
    </w:p>
    <w:p w14:paraId="41B5349C">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1、如果双方中任何一方遭遇法律规定的不可抗力，致使合同履行受阻时，履行合同的期限应予延长，延长的期限应相当于不可抗力所影响的时间。</w:t>
      </w:r>
    </w:p>
    <w:p w14:paraId="2FDADFFA">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2、受事故影响的一方应在不可抗力的事故发生后尽快书面形式通知另一方，并尽快将有关部门出具的证明文件送达另一方。</w:t>
      </w:r>
    </w:p>
    <w:p w14:paraId="2531F6CB">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3、不可抗力使合同的某些内容有变更必要的， 双方应通过协商达成进一步履行合同的协议，因不可抗力致使合同不能履行的，合同终止。</w:t>
      </w:r>
    </w:p>
    <w:p w14:paraId="5CB3FE8C">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第十六条　争议的解决</w:t>
      </w:r>
    </w:p>
    <w:p w14:paraId="0B7D5E8C">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1、因货物的质量问题发生争议的，应当邀请国家认可的质量检测机构对货物质量进行鉴定。货物符合标准的，鉴定费由</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承担；货物不符合质量标准的，鉴定费由</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承担。</w:t>
      </w:r>
    </w:p>
    <w:p w14:paraId="3BFB327F">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2、因履行本合同引起的或与本合同有关的争议，</w:t>
      </w:r>
      <w:r>
        <w:rPr>
          <w:rFonts w:hint="eastAsia" w:asciiTheme="minorEastAsia" w:hAnsiTheme="minorEastAsia" w:eastAsiaTheme="minorEastAsia" w:cstheme="minorEastAsia"/>
          <w:color w:val="auto"/>
          <w:highlight w:val="none"/>
          <w:lang w:val="en-US" w:eastAsia="zh-CN"/>
        </w:rPr>
        <w:t>甲、乙</w:t>
      </w:r>
      <w:r>
        <w:rPr>
          <w:rFonts w:hint="eastAsia" w:asciiTheme="minorEastAsia" w:hAnsiTheme="minorEastAsia" w:eastAsiaTheme="minorEastAsia" w:cstheme="minorEastAsia"/>
          <w:color w:val="auto"/>
          <w:highlight w:val="none"/>
        </w:rPr>
        <w:t>双方应首先通过友好协商解决，如果协商不能解决争议，则向</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eastAsia="zh-CN"/>
        </w:rPr>
        <w:t>衢州</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仲裁委员会按其仲裁规则申请仲裁。</w:t>
      </w:r>
    </w:p>
    <w:p w14:paraId="0339889B">
      <w:pPr>
        <w:pStyle w:val="48"/>
        <w:spacing w:before="0" w:beforeAutospacing="0" w:after="0" w:afterAutospacing="0"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3、在仲裁期间，本合同应继续履行。</w:t>
      </w:r>
    </w:p>
    <w:p w14:paraId="7D536F47">
      <w:pPr>
        <w:pStyle w:val="48"/>
        <w:spacing w:before="0" w:beforeAutospacing="0" w:after="0" w:afterAutospacing="0" w:line="50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第十七条　合同生效及其他</w:t>
      </w:r>
    </w:p>
    <w:p w14:paraId="328F957E">
      <w:pPr>
        <w:pStyle w:val="48"/>
        <w:spacing w:before="0" w:beforeAutospacing="0" w:after="0" w:afterAutospacing="0" w:line="50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1、合同经双方负责人或被委托人签字并加盖单位公章。</w:t>
      </w:r>
    </w:p>
    <w:p w14:paraId="66A49C7D">
      <w:pPr>
        <w:pStyle w:val="48"/>
        <w:spacing w:before="0" w:beforeAutospacing="0" w:after="0" w:afterAutospacing="0" w:line="50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2、合同执行中涉及采购资金和采购内容修改或补充的，须</w:t>
      </w:r>
      <w:r>
        <w:rPr>
          <w:rFonts w:hint="eastAsia" w:asciiTheme="minorEastAsia" w:hAnsiTheme="minorEastAsia" w:eastAsiaTheme="minorEastAsia" w:cstheme="minorEastAsia"/>
          <w:color w:val="auto"/>
          <w:highlight w:val="none"/>
          <w:lang w:val="en-US" w:eastAsia="zh-CN"/>
        </w:rPr>
        <w:t>经同级</w:t>
      </w:r>
      <w:r>
        <w:rPr>
          <w:rFonts w:hint="eastAsia" w:asciiTheme="minorEastAsia" w:hAnsiTheme="minorEastAsia" w:eastAsiaTheme="minorEastAsia" w:cstheme="minorEastAsia"/>
          <w:color w:val="auto"/>
          <w:highlight w:val="none"/>
        </w:rPr>
        <w:t>财政部门批准，并签书面补充协议报政府采购监督管理部门备案，方可作为合同不可分割的一部分。</w:t>
      </w:r>
    </w:p>
    <w:p w14:paraId="1BC4668D">
      <w:pPr>
        <w:pStyle w:val="48"/>
        <w:spacing w:before="0" w:beforeAutospacing="0" w:after="0" w:afterAutospacing="0" w:line="50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3、本合同自签订之日起生效。</w:t>
      </w:r>
    </w:p>
    <w:p w14:paraId="34441AA8">
      <w:pPr>
        <w:pStyle w:val="48"/>
        <w:spacing w:before="0" w:beforeAutospacing="0" w:after="0" w:afterAutospacing="0" w:line="50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4、本合同一式六份，</w:t>
      </w:r>
      <w:r>
        <w:rPr>
          <w:rFonts w:hint="eastAsia" w:asciiTheme="minorEastAsia" w:hAnsiTheme="minorEastAsia" w:eastAsiaTheme="minorEastAsia" w:cstheme="minorEastAsia"/>
          <w:color w:val="auto"/>
          <w:highlight w:val="none"/>
          <w:lang w:eastAsia="zh-CN"/>
        </w:rPr>
        <w:t>甲乙</w:t>
      </w:r>
      <w:r>
        <w:rPr>
          <w:rFonts w:hint="eastAsia" w:asciiTheme="minorEastAsia" w:hAnsiTheme="minorEastAsia" w:eastAsiaTheme="minorEastAsia" w:cstheme="minorEastAsia"/>
          <w:color w:val="auto"/>
          <w:highlight w:val="none"/>
        </w:rPr>
        <w:t>双方各执二份，一份交代理机构存档，一份报送政府采购监督管理部门备案。</w:t>
      </w:r>
    </w:p>
    <w:p w14:paraId="7ABBA4FF">
      <w:pPr>
        <w:pStyle w:val="48"/>
        <w:spacing w:before="0" w:beforeAutospacing="0" w:after="0" w:afterAutospacing="0" w:line="50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eastAsia="zh-CN"/>
        </w:rPr>
        <w:t>浙江聚尚工程项目管理有限公司</w:t>
      </w:r>
      <w:r>
        <w:rPr>
          <w:rFonts w:hint="eastAsia" w:asciiTheme="minorEastAsia" w:hAnsiTheme="minorEastAsia" w:eastAsiaTheme="minorEastAsia" w:cstheme="minorEastAsia"/>
          <w:color w:val="auto"/>
          <w:highlight w:val="none"/>
        </w:rPr>
        <w:t>为</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的采购代理机构，根据</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的授权代其采购确定</w:t>
      </w:r>
      <w:r>
        <w:rPr>
          <w:rFonts w:hint="eastAsia" w:asciiTheme="minorEastAsia" w:hAnsiTheme="minorEastAsia" w:eastAsiaTheme="minorEastAsia" w:cstheme="minorEastAsia"/>
          <w:color w:val="auto"/>
          <w:highlight w:val="none"/>
          <w:lang w:eastAsia="zh-CN"/>
        </w:rPr>
        <w:t>乙方</w:t>
      </w:r>
      <w:r>
        <w:rPr>
          <w:rFonts w:hint="eastAsia" w:asciiTheme="minorEastAsia" w:hAnsiTheme="minorEastAsia" w:eastAsiaTheme="minorEastAsia" w:cstheme="minorEastAsia"/>
          <w:color w:val="auto"/>
          <w:highlight w:val="none"/>
        </w:rPr>
        <w:t>为中标人，但不承担本合同规定的</w:t>
      </w:r>
      <w:r>
        <w:rPr>
          <w:rFonts w:hint="eastAsia" w:asciiTheme="minorEastAsia" w:hAnsiTheme="minorEastAsia" w:eastAsiaTheme="minorEastAsia" w:cstheme="minorEastAsia"/>
          <w:color w:val="auto"/>
          <w:highlight w:val="none"/>
          <w:lang w:eastAsia="zh-CN"/>
        </w:rPr>
        <w:t>甲方</w:t>
      </w:r>
      <w:r>
        <w:rPr>
          <w:rFonts w:hint="eastAsia" w:asciiTheme="minorEastAsia" w:hAnsiTheme="minorEastAsia" w:eastAsiaTheme="minorEastAsia" w:cstheme="minorEastAsia"/>
          <w:color w:val="auto"/>
          <w:highlight w:val="none"/>
        </w:rPr>
        <w:t>的权利、责任和义务。</w:t>
      </w:r>
    </w:p>
    <w:p w14:paraId="5499D42B">
      <w:pPr>
        <w:pStyle w:val="48"/>
        <w:spacing w:before="0" w:beforeAutospacing="0" w:after="0" w:afterAutospacing="0" w:line="500" w:lineRule="exact"/>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6、本合同应按照中华人民共和国的现行法律进行解释。</w:t>
      </w:r>
    </w:p>
    <w:p w14:paraId="2F132CB4">
      <w:pPr>
        <w:pStyle w:val="49"/>
        <w:snapToGrid w:val="0"/>
        <w:spacing w:line="500" w:lineRule="exact"/>
        <w:rPr>
          <w:rFonts w:hint="eastAsia" w:ascii="仿宋" w:hAnsi="仿宋" w:eastAsia="仿宋" w:cs="仿宋"/>
          <w:color w:val="auto"/>
          <w:sz w:val="24"/>
          <w:highlight w:val="none"/>
        </w:rPr>
      </w:pPr>
    </w:p>
    <w:p w14:paraId="1AE50B86">
      <w:pPr>
        <w:pStyle w:val="49"/>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甲</w:t>
      </w:r>
      <w:r>
        <w:rPr>
          <w:rFonts w:hint="eastAsia" w:ascii="宋体" w:hAnsi="宋体" w:eastAsia="宋体" w:cs="宋体"/>
          <w:color w:val="auto"/>
          <w:sz w:val="24"/>
          <w:highlight w:val="none"/>
        </w:rPr>
        <w:t>　方(盖章)：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乙</w:t>
      </w:r>
      <w:r>
        <w:rPr>
          <w:rFonts w:hint="eastAsia" w:ascii="宋体" w:hAnsi="宋体" w:eastAsia="宋体" w:cs="宋体"/>
          <w:color w:val="auto"/>
          <w:sz w:val="24"/>
          <w:highlight w:val="none"/>
        </w:rPr>
        <w:t>　方(盖章)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6654321">
      <w:pPr>
        <w:pStyle w:val="49"/>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负责人或被委托人 (签字或盖章)：      负责人或被委托人 (签字或盖章)：</w:t>
      </w:r>
    </w:p>
    <w:p w14:paraId="54AF4AC6">
      <w:pPr>
        <w:pStyle w:val="49"/>
        <w:snapToGrid w:val="0"/>
        <w:spacing w:line="5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p>
    <w:p w14:paraId="73E53465">
      <w:pPr>
        <w:pStyle w:val="49"/>
        <w:snapToGrid w:val="0"/>
        <w:spacing w:line="5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邮政编码：</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4D8A8693">
      <w:pPr>
        <w:pStyle w:val="49"/>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电　　话：</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145B18F2">
      <w:pPr>
        <w:pStyle w:val="49"/>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开户银行：</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0022AD9C">
      <w:pPr>
        <w:pStyle w:val="49"/>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账　　号：</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36F0BBCE">
      <w:pPr>
        <w:pStyle w:val="49"/>
        <w:snapToGrid w:val="0"/>
        <w:spacing w:line="500" w:lineRule="exact"/>
        <w:ind w:firstLine="1320" w:firstLineChars="550"/>
        <w:rPr>
          <w:rFonts w:hint="eastAsia" w:ascii="宋体" w:hAnsi="宋体" w:eastAsia="宋体" w:cs="宋体"/>
          <w:color w:val="auto"/>
          <w:sz w:val="24"/>
          <w:highlight w:val="none"/>
        </w:rPr>
      </w:pPr>
    </w:p>
    <w:p w14:paraId="55A3C52B">
      <w:pPr>
        <w:pStyle w:val="49"/>
        <w:snapToGrid w:val="0"/>
        <w:spacing w:line="500" w:lineRule="exact"/>
        <w:ind w:firstLine="1320" w:firstLineChars="5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年　 月　 日　　　　　　                年　 月 　日 </w:t>
      </w:r>
    </w:p>
    <w:p w14:paraId="37D79FD0">
      <w:pPr>
        <w:rPr>
          <w:rFonts w:hint="eastAsia" w:ascii="宋体" w:hAnsi="宋体" w:eastAsia="宋体" w:cs="宋体"/>
          <w:color w:val="auto"/>
          <w:sz w:val="24"/>
          <w:szCs w:val="24"/>
          <w:highlight w:val="none"/>
        </w:rPr>
        <w:sectPr>
          <w:footerReference r:id="rId5" w:type="default"/>
          <w:pgSz w:w="11906" w:h="16838"/>
          <w:pgMar w:top="1440" w:right="1429" w:bottom="1440" w:left="1236" w:header="851" w:footer="850" w:gutter="0"/>
          <w:pgNumType w:fmt="decimal"/>
          <w:cols w:space="0" w:num="1"/>
          <w:docGrid w:linePitch="312" w:charSpace="0"/>
        </w:sectPr>
      </w:pPr>
    </w:p>
    <w:p w14:paraId="418C6FED">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第五章</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评标原则及方法</w:t>
      </w:r>
      <w:bookmarkEnd w:id="129"/>
      <w:bookmarkEnd w:id="130"/>
    </w:p>
    <w:p w14:paraId="4123B1EF">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根</w:t>
      </w:r>
      <w:r>
        <w:rPr>
          <w:rFonts w:hint="eastAsia" w:ascii="宋体" w:hAnsi="宋体" w:eastAsia="宋体" w:cs="宋体"/>
          <w:color w:val="auto"/>
          <w:sz w:val="24"/>
          <w:szCs w:val="24"/>
          <w:highlight w:val="none"/>
        </w:rPr>
        <w:t>据《中华人民共和国政府采购法》等相关法规特制定以下评标办法。</w:t>
      </w:r>
    </w:p>
    <w:p w14:paraId="7A3F166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、评标原则</w:t>
      </w:r>
    </w:p>
    <w:p w14:paraId="28DC01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遵循公平、公正、科学、择优原则和诚实、信誉、效率的服务原则。本着科学、严谨的态度，认真进行评标。择优选用，推进技术进步，确保工程质量、交货按期，节约投资，最大限度的保护当事人权益。严格按照</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的商务、技术要求，对响应文件进行综合评定，提出优选方案，编写评标报告。对落标单位，</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不做任何落标解释。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不得以任何方式干扰招投标工作的进行，一经发现其响应文件将被拒绝。</w:t>
      </w:r>
    </w:p>
    <w:p w14:paraId="5169A5DE">
      <w:pPr>
        <w:autoSpaceDE w:val="0"/>
        <w:autoSpaceDN w:val="0"/>
        <w:adjustRightInd w:val="0"/>
        <w:snapToGrid w:val="0"/>
        <w:spacing w:line="500" w:lineRule="exact"/>
        <w:jc w:val="left"/>
        <w:outlineLvl w:val="1"/>
        <w:rPr>
          <w:rFonts w:hint="eastAsia" w:ascii="宋体" w:hAnsi="宋体" w:eastAsia="宋体" w:cs="宋体"/>
          <w:b/>
          <w:bCs/>
          <w:color w:val="auto"/>
          <w:sz w:val="24"/>
          <w:szCs w:val="24"/>
          <w:highlight w:val="none"/>
          <w:lang w:val="zh-CN"/>
        </w:rPr>
      </w:pPr>
      <w:bookmarkStart w:id="132" w:name="_Toc476644266"/>
      <w:bookmarkStart w:id="133" w:name="_Toc476644721"/>
      <w:r>
        <w:rPr>
          <w:rFonts w:hint="eastAsia" w:ascii="宋体" w:hAnsi="宋体" w:eastAsia="宋体" w:cs="宋体"/>
          <w:b/>
          <w:bCs/>
          <w:color w:val="auto"/>
          <w:sz w:val="24"/>
          <w:szCs w:val="24"/>
          <w:highlight w:val="none"/>
          <w:lang w:val="zh-CN"/>
        </w:rPr>
        <w:t>二、评标委员会的组成</w:t>
      </w:r>
      <w:bookmarkEnd w:id="132"/>
      <w:bookmarkEnd w:id="133"/>
    </w:p>
    <w:p w14:paraId="10AB90C8">
      <w:pPr>
        <w:autoSpaceDE w:val="0"/>
        <w:autoSpaceDN w:val="0"/>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评标委员会共5人组成，其中采购单位代表1名，其余4名专家从专家库中随机抽取产生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评标委员会对投标文件进行评审。</w:t>
      </w:r>
    </w:p>
    <w:p w14:paraId="3A4F97B9">
      <w:pPr>
        <w:autoSpaceDE w:val="0"/>
        <w:autoSpaceDN w:val="0"/>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询标期间，投标人法</w:t>
      </w:r>
      <w:r>
        <w:rPr>
          <w:rFonts w:hint="eastAsia" w:ascii="宋体" w:hAnsi="宋体" w:eastAsia="宋体" w:cs="宋体"/>
          <w:color w:val="auto"/>
          <w:sz w:val="24"/>
          <w:szCs w:val="24"/>
          <w:highlight w:val="none"/>
          <w:lang w:val="en-US" w:eastAsia="zh-CN"/>
        </w:rPr>
        <w:t>定代表人</w:t>
      </w:r>
      <w:r>
        <w:rPr>
          <w:rFonts w:hint="eastAsia" w:ascii="宋体" w:hAnsi="宋体" w:eastAsia="宋体" w:cs="宋体"/>
          <w:color w:val="auto"/>
          <w:sz w:val="24"/>
          <w:szCs w:val="24"/>
          <w:highlight w:val="none"/>
        </w:rPr>
        <w:t>或法定代表人授权委托</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必须</w:t>
      </w:r>
      <w:r>
        <w:rPr>
          <w:rFonts w:hint="eastAsia" w:ascii="宋体" w:hAnsi="宋体" w:eastAsia="宋体" w:cs="宋体"/>
          <w:color w:val="auto"/>
          <w:sz w:val="24"/>
          <w:szCs w:val="24"/>
          <w:highlight w:val="none"/>
          <w:lang w:eastAsia="zh-CN"/>
        </w:rPr>
        <w:t>在线，</w:t>
      </w:r>
      <w:r>
        <w:rPr>
          <w:rFonts w:hint="eastAsia" w:ascii="宋体" w:hAnsi="宋体" w:eastAsia="宋体" w:cs="宋体"/>
          <w:color w:val="auto"/>
          <w:sz w:val="24"/>
          <w:szCs w:val="24"/>
          <w:highlight w:val="none"/>
        </w:rPr>
        <w:t>负责解答有关事宜。如不在</w:t>
      </w:r>
      <w:r>
        <w:rPr>
          <w:rFonts w:hint="eastAsia" w:ascii="宋体" w:hAnsi="宋体" w:eastAsia="宋体" w:cs="宋体"/>
          <w:color w:val="auto"/>
          <w:sz w:val="24"/>
          <w:szCs w:val="24"/>
          <w:highlight w:val="none"/>
          <w:lang w:eastAsia="zh-CN"/>
        </w:rPr>
        <w:t>线或未在规定时间内回复</w:t>
      </w:r>
      <w:r>
        <w:rPr>
          <w:rFonts w:hint="eastAsia" w:ascii="宋体" w:hAnsi="宋体" w:eastAsia="宋体" w:cs="宋体"/>
          <w:color w:val="auto"/>
          <w:sz w:val="24"/>
          <w:szCs w:val="24"/>
          <w:highlight w:val="none"/>
        </w:rPr>
        <w:t>，则事后不得对采购过程及结果提出异议。</w:t>
      </w:r>
    </w:p>
    <w:p w14:paraId="34C3DF87">
      <w:pPr>
        <w:spacing w:line="480" w:lineRule="exact"/>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sz w:val="24"/>
          <w:szCs w:val="24"/>
          <w:highlight w:val="none"/>
          <w:lang w:val="en-US" w:eastAsia="zh-CN"/>
        </w:rPr>
        <w:t>三</w:t>
      </w:r>
      <w:r>
        <w:rPr>
          <w:rFonts w:hint="eastAsia" w:ascii="宋体" w:hAnsi="宋体" w:eastAsia="宋体" w:cs="宋体"/>
          <w:b/>
          <w:bCs w:val="0"/>
          <w:i w:val="0"/>
          <w:iCs w:val="0"/>
          <w:color w:val="auto"/>
          <w:sz w:val="24"/>
          <w:szCs w:val="24"/>
          <w:highlight w:val="none"/>
        </w:rPr>
        <w:t>、评标</w:t>
      </w:r>
      <w:r>
        <w:rPr>
          <w:rFonts w:hint="eastAsia" w:ascii="宋体" w:hAnsi="宋体" w:eastAsia="宋体" w:cs="宋体"/>
          <w:b/>
          <w:bCs w:val="0"/>
          <w:i w:val="0"/>
          <w:iCs w:val="0"/>
          <w:color w:val="auto"/>
          <w:sz w:val="24"/>
          <w:szCs w:val="24"/>
          <w:highlight w:val="none"/>
          <w:lang w:val="en-US" w:eastAsia="zh-CN"/>
        </w:rPr>
        <w:t>方法</w:t>
      </w:r>
    </w:p>
    <w:p w14:paraId="13A20F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134" w:name="_Toc221356903"/>
      <w:bookmarkStart w:id="135" w:name="_Toc221356966"/>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投标报价是指报价合计。</w:t>
      </w:r>
    </w:p>
    <w:p w14:paraId="112288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本项目采用综合评分法，即以投标人完全响应招标文件设定的全部责任条款为前提。由评标委员会按招标文件中规定的各项因素进行综合评审，确定综合得分最高的投标人为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。如最高综合得分相同，投标报价低者为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；如综合得分和投标报价均相同，则采购单位现场抽签确定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。计算结果</w:t>
      </w:r>
      <w:r>
        <w:rPr>
          <w:rFonts w:hint="eastAsia" w:ascii="宋体" w:hAnsi="宋体" w:eastAsia="宋体" w:cs="宋体"/>
          <w:color w:val="auto"/>
          <w:sz w:val="24"/>
          <w:szCs w:val="24"/>
          <w:highlight w:val="none"/>
          <w:lang w:eastAsia="zh-CN"/>
        </w:rPr>
        <w:t>按四舍五入，</w:t>
      </w:r>
      <w:r>
        <w:rPr>
          <w:rFonts w:hint="eastAsia" w:ascii="宋体" w:hAnsi="宋体" w:eastAsia="宋体" w:cs="宋体"/>
          <w:color w:val="auto"/>
          <w:sz w:val="24"/>
          <w:szCs w:val="24"/>
          <w:highlight w:val="none"/>
        </w:rPr>
        <w:t>保留两位小数。</w:t>
      </w:r>
    </w:p>
    <w:p w14:paraId="38A50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评标标准</w:t>
      </w:r>
    </w:p>
    <w:p w14:paraId="092BE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各投标人的综合得分为报价得分和</w:t>
      </w:r>
      <w:r>
        <w:rPr>
          <w:rFonts w:hint="eastAsia" w:ascii="宋体" w:hAnsi="宋体" w:cs="宋体"/>
          <w:color w:val="auto"/>
          <w:sz w:val="24"/>
          <w:szCs w:val="24"/>
          <w:highlight w:val="none"/>
          <w:lang w:eastAsia="zh-CN"/>
        </w:rPr>
        <w:t>资信技术</w:t>
      </w:r>
      <w:r>
        <w:rPr>
          <w:rFonts w:hint="eastAsia" w:ascii="宋体" w:hAnsi="宋体" w:eastAsia="宋体" w:cs="宋体"/>
          <w:color w:val="auto"/>
          <w:sz w:val="24"/>
          <w:szCs w:val="24"/>
          <w:highlight w:val="none"/>
        </w:rPr>
        <w:t>得分之和，总分为100分，其中：报价分</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商务技术文件</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分。各投标人的资信</w:t>
      </w:r>
      <w:r>
        <w:rPr>
          <w:rFonts w:hint="eastAsia" w:ascii="宋体" w:hAnsi="宋体" w:eastAsia="宋体" w:cs="宋体"/>
          <w:color w:val="auto"/>
          <w:sz w:val="24"/>
          <w:szCs w:val="24"/>
          <w:highlight w:val="none"/>
          <w:lang w:eastAsia="zh-CN"/>
        </w:rPr>
        <w:t>评分由评标委员会统一打分，</w:t>
      </w:r>
      <w:r>
        <w:rPr>
          <w:rFonts w:hint="eastAsia" w:ascii="宋体" w:hAnsi="宋体" w:eastAsia="宋体" w:cs="宋体"/>
          <w:color w:val="auto"/>
          <w:sz w:val="24"/>
          <w:szCs w:val="24"/>
          <w:highlight w:val="none"/>
        </w:rPr>
        <w:t>技术评分按照评标委员会成员的独立评分结果汇总后的算术平均分计算；各投标人的报价分得分按低价优先法计算。</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zh-TW" w:eastAsia="zh-TW"/>
        </w:rPr>
        <w:t>计算时</w:t>
      </w:r>
      <w:r>
        <w:rPr>
          <w:rFonts w:hint="eastAsia" w:ascii="宋体" w:hAnsi="宋体" w:eastAsia="宋体" w:cs="宋体"/>
          <w:color w:val="auto"/>
          <w:sz w:val="24"/>
          <w:szCs w:val="24"/>
          <w:highlight w:val="none"/>
        </w:rPr>
        <w:t>四舍五入</w:t>
      </w:r>
      <w:r>
        <w:rPr>
          <w:rFonts w:hint="eastAsia" w:ascii="宋体" w:hAnsi="宋体" w:eastAsia="宋体" w:cs="宋体"/>
          <w:color w:val="auto"/>
          <w:sz w:val="24"/>
          <w:szCs w:val="24"/>
          <w:highlight w:val="none"/>
          <w:lang w:val="zh-TW" w:eastAsia="zh-TW"/>
        </w:rPr>
        <w:t>保留小数</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eastAsia="zh-TW"/>
        </w:rPr>
        <w:t>位</w:t>
      </w:r>
      <w:r>
        <w:rPr>
          <w:rFonts w:hint="eastAsia" w:ascii="宋体" w:hAnsi="宋体" w:eastAsia="宋体" w:cs="宋体"/>
          <w:color w:val="auto"/>
          <w:sz w:val="24"/>
          <w:szCs w:val="24"/>
          <w:highlight w:val="none"/>
          <w:lang w:val="zh-TW"/>
        </w:rPr>
        <w:t>）</w:t>
      </w:r>
    </w:p>
    <w:p w14:paraId="1CD523A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3.1报价分（</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2B90F26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3.1.1报价得分采用低价优先法准则，即满足招标文件要求且投标价格最低的投标报价为评标基准价。</w:t>
      </w:r>
    </w:p>
    <w:p w14:paraId="232E3D8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3.1.2报价得分按下列公式计算：</w:t>
      </w:r>
    </w:p>
    <w:p w14:paraId="4B195DC0">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报价得分=（评标基准价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投标报价）×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结果四舍五入，保留两位小数。</w:t>
      </w:r>
    </w:p>
    <w:p w14:paraId="51B2B43E">
      <w:pPr>
        <w:pStyle w:val="4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40" w:lineRule="exact"/>
        <w:ind w:left="0" w:right="0" w:firstLine="420"/>
        <w:jc w:val="both"/>
        <w:textAlignment w:val="baseline"/>
        <w:rPr>
          <w:rFonts w:hint="eastAsia" w:ascii="宋体" w:hAnsi="宋体" w:eastAsia="宋体" w:cs="宋体"/>
          <w:b w:val="0"/>
          <w:bCs w:val="0"/>
          <w:color w:val="auto"/>
          <w:kern w:val="2"/>
          <w:sz w:val="24"/>
          <w:szCs w:val="24"/>
          <w:highlight w:val="none"/>
          <w:u w:val="none"/>
          <w:shd w:val="clear"/>
          <w:lang w:val="en-US" w:eastAsia="zh-CN" w:bidi="ar-SA"/>
        </w:rPr>
      </w:pPr>
      <w:r>
        <w:rPr>
          <w:rFonts w:hint="eastAsia" w:ascii="宋体" w:hAnsi="宋体" w:eastAsia="宋体" w:cs="宋体"/>
          <w:b w:val="0"/>
          <w:bCs w:val="0"/>
          <w:color w:val="auto"/>
          <w:kern w:val="2"/>
          <w:sz w:val="24"/>
          <w:szCs w:val="24"/>
          <w:highlight w:val="none"/>
          <w:u w:val="none"/>
          <w:shd w:val="clear"/>
          <w:lang w:val="en-US" w:eastAsia="zh-CN" w:bidi="ar-SA"/>
        </w:rPr>
        <w:t>3.1.3 关于中小企业参与政府采购活动的规定： 因本项目已是专门面向中小企业进行采购，根据文</w:t>
      </w:r>
      <w:r>
        <w:rPr>
          <w:rFonts w:hint="eastAsia" w:ascii="宋体" w:hAnsi="宋体" w:eastAsia="宋体" w:cs="宋体"/>
          <w:b w:val="0"/>
          <w:bCs w:val="0"/>
          <w:color w:val="auto"/>
          <w:kern w:val="2"/>
          <w:sz w:val="24"/>
          <w:szCs w:val="24"/>
          <w:highlight w:val="none"/>
          <w:u w:val="none"/>
          <w:shd w:val="clear"/>
          <w:lang w:val="en-US" w:eastAsia="zh-CN" w:bidi="ar-SA"/>
        </w:rPr>
        <mc:AlternateContent>
          <mc:Choice Requires="wps">
            <w:drawing>
              <wp:anchor distT="0" distB="0" distL="114300" distR="114300" simplePos="0" relativeHeight="251660288" behindDoc="0" locked="0" layoutInCell="0" allowOverlap="1">
                <wp:simplePos x="0" y="0"/>
                <wp:positionH relativeFrom="page">
                  <wp:posOffset>3717925</wp:posOffset>
                </wp:positionH>
                <wp:positionV relativeFrom="page">
                  <wp:posOffset>10175875</wp:posOffset>
                </wp:positionV>
                <wp:extent cx="267970" cy="8064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267970" cy="80645"/>
                        </a:xfrm>
                        <a:prstGeom prst="rect">
                          <a:avLst/>
                        </a:prstGeom>
                        <a:noFill/>
                        <a:ln>
                          <a:noFill/>
                        </a:ln>
                        <a:effectLst/>
                      </wps:spPr>
                      <wps:txbx>
                        <w:txbxContent>
                          <w:p w14:paraId="4E38CA83">
                            <w:pPr>
                              <w:spacing w:before="20" w:line="86" w:lineRule="exact"/>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wps:txbx>
                      <wps:bodyPr lIns="0" tIns="0" rIns="0" bIns="0" upright="1"/>
                    </wps:wsp>
                  </a:graphicData>
                </a:graphic>
              </wp:anchor>
            </w:drawing>
          </mc:Choice>
          <mc:Fallback>
            <w:pict>
              <v:shape id="_x0000_s1026" o:spid="_x0000_s1026" o:spt="202" type="#_x0000_t202" style="position:absolute;left:0pt;margin-left:292.75pt;margin-top:801.25pt;height:6.35pt;width:21.1pt;mso-position-horizontal-relative:page;mso-position-vertical-relative:page;z-index:251660288;mso-width-relative:page;mso-height-relative:page;" filled="f" stroked="f" coordsize="21600,21600" o:allowincell="f" o:gfxdata="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Me4UtsAAAANAQAADwAAAAAAAAABACAAAAAiAAAAZHJzL2Rvd25yZXYu&#10;eG1sUEsBAhQAFAAAAAgAh07iQDWJaGy/AQAAgAMAAA4AAAAAAAAAAQAgAAAAKgEAAGRycy9lMm9E&#10;b2MueG1sUEsFBgAAAAAGAAYAWQEAAFsFAAAAAA==&#10;">
                <v:fill on="f" focussize="0,0"/>
                <v:stroke on="f"/>
                <v:imagedata o:title=""/>
                <o:lock v:ext="edit" aspectratio="f"/>
                <v:textbox inset="0mm,0mm,0mm,0mm">
                  <w:txbxContent>
                    <w:p w14:paraId="4E38CA83">
                      <w:pPr>
                        <w:spacing w:before="20" w:line="86" w:lineRule="exact"/>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 xml:space="preserve">      </w:t>
                      </w:r>
                      <w:r>
                        <w:rPr>
                          <w:rFonts w:ascii="Times New Roman" w:hAnsi="Times New Roman" w:eastAsia="Times New Roman" w:cs="Times New Roman"/>
                          <w:spacing w:val="-4"/>
                          <w:position w:val="-1"/>
                          <w:sz w:val="18"/>
                          <w:szCs w:val="18"/>
                        </w:rPr>
                        <w:t>-</w:t>
                      </w:r>
                    </w:p>
                  </w:txbxContent>
                </v:textbox>
              </v:shape>
            </w:pict>
          </mc:Fallback>
        </mc:AlternateContent>
      </w:r>
      <w:r>
        <w:rPr>
          <w:rFonts w:hint="eastAsia" w:ascii="宋体" w:hAnsi="宋体" w:eastAsia="宋体" w:cs="宋体"/>
          <w:b w:val="0"/>
          <w:bCs w:val="0"/>
          <w:color w:val="auto"/>
          <w:kern w:val="2"/>
          <w:sz w:val="24"/>
          <w:szCs w:val="24"/>
          <w:highlight w:val="none"/>
          <w:u w:val="none"/>
          <w:shd w:val="clear"/>
          <w:lang w:val="en-US" w:eastAsia="zh-CN" w:bidi="ar-SA"/>
        </w:rPr>
        <w:t>件规定专门面向中小企业采购的项目或者标项，不再执行价格评审优惠的扶持政策。</w:t>
      </w:r>
    </w:p>
    <w:p w14:paraId="1BDBB94A">
      <w:pPr>
        <w:pStyle w:val="40"/>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440" w:lineRule="exact"/>
        <w:ind w:left="0" w:right="0" w:firstLine="420"/>
        <w:jc w:val="both"/>
        <w:textAlignment w:val="baseline"/>
        <w:rPr>
          <w:rFonts w:hint="eastAsia" w:ascii="宋体" w:hAnsi="宋体" w:eastAsia="宋体" w:cs="宋体"/>
          <w:b w:val="0"/>
          <w:bCs w:val="0"/>
          <w:color w:val="auto"/>
          <w:kern w:val="2"/>
          <w:sz w:val="24"/>
          <w:szCs w:val="24"/>
          <w:highlight w:val="none"/>
          <w:u w:val="none"/>
          <w:shd w:val="clear"/>
          <w:lang w:val="en-US" w:eastAsia="en-US" w:bidi="ar-SA"/>
        </w:rPr>
      </w:pPr>
      <w:r>
        <w:rPr>
          <w:rFonts w:hint="eastAsia" w:ascii="宋体" w:hAnsi="宋体" w:eastAsia="宋体" w:cs="宋体"/>
          <w:b w:val="0"/>
          <w:bCs w:val="0"/>
          <w:color w:val="auto"/>
          <w:kern w:val="2"/>
          <w:sz w:val="24"/>
          <w:szCs w:val="24"/>
          <w:highlight w:val="none"/>
          <w:u w:val="none"/>
          <w:shd w:val="clear"/>
          <w:lang w:val="en-US" w:eastAsia="en-US" w:bidi="ar-SA"/>
        </w:rPr>
        <w:t>3.1.4 关于衢银发【2020】4 号文件的精神：根据衢银发【2020】4 号文件的工作措施（四）取得衢州市政府采购合同的供应商，均可凭政府采购合同及应收账款收益权，向银行申请质押融资。</w:t>
      </w:r>
    </w:p>
    <w:p w14:paraId="0F982C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 xml:space="preserve">3.2 </w:t>
      </w:r>
      <w:r>
        <w:rPr>
          <w:rFonts w:hint="eastAsia" w:ascii="宋体" w:hAnsi="宋体" w:cs="宋体"/>
          <w:color w:val="auto"/>
          <w:sz w:val="24"/>
          <w:szCs w:val="24"/>
          <w:highlight w:val="none"/>
          <w:lang w:eastAsia="zh-CN"/>
        </w:rPr>
        <w:t>商务技术文件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p w14:paraId="0EDDEE90">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商务技术</w:t>
      </w:r>
      <w:r>
        <w:rPr>
          <w:rFonts w:hint="eastAsia" w:ascii="宋体" w:hAnsi="宋体" w:eastAsia="宋体" w:cs="宋体"/>
          <w:color w:val="auto"/>
          <w:sz w:val="24"/>
          <w:szCs w:val="24"/>
          <w:highlight w:val="none"/>
        </w:rPr>
        <w:t>评分按照评标委员会成员的独立评分结果汇总后的算术平均分计算。</w:t>
      </w:r>
    </w:p>
    <w:tbl>
      <w:tblPr>
        <w:tblStyle w:val="23"/>
        <w:tblW w:w="9519"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1"/>
        <w:gridCol w:w="1350"/>
        <w:gridCol w:w="6774"/>
        <w:gridCol w:w="934"/>
      </w:tblGrid>
      <w:tr w14:paraId="047C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461" w:type="dxa"/>
            <w:noWrap w:val="0"/>
            <w:vAlign w:val="center"/>
          </w:tcPr>
          <w:p w14:paraId="16E0E949">
            <w:pPr>
              <w:widowControl/>
              <w:spacing w:line="372"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序号</w:t>
            </w:r>
          </w:p>
        </w:tc>
        <w:tc>
          <w:tcPr>
            <w:tcW w:w="1350" w:type="dxa"/>
            <w:noWrap w:val="0"/>
            <w:vAlign w:val="center"/>
          </w:tcPr>
          <w:p w14:paraId="44C7B395">
            <w:pPr>
              <w:widowControl/>
              <w:spacing w:line="372" w:lineRule="auto"/>
              <w:jc w:val="center"/>
              <w:textAlignment w:val="cente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评审项目</w:t>
            </w:r>
          </w:p>
        </w:tc>
        <w:tc>
          <w:tcPr>
            <w:tcW w:w="6774" w:type="dxa"/>
            <w:noWrap w:val="0"/>
            <w:vAlign w:val="center"/>
          </w:tcPr>
          <w:p w14:paraId="08029F44">
            <w:pPr>
              <w:widowControl/>
              <w:spacing w:line="372" w:lineRule="auto"/>
              <w:jc w:val="center"/>
              <w:textAlignment w:val="cente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评分标准</w:t>
            </w:r>
          </w:p>
        </w:tc>
        <w:tc>
          <w:tcPr>
            <w:tcW w:w="934" w:type="dxa"/>
            <w:noWrap w:val="0"/>
            <w:vAlign w:val="center"/>
          </w:tcPr>
          <w:p w14:paraId="06880FD4">
            <w:pPr>
              <w:widowControl/>
              <w:spacing w:line="372" w:lineRule="auto"/>
              <w:jc w:val="center"/>
              <w:textAlignment w:val="cente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分值</w:t>
            </w:r>
          </w:p>
        </w:tc>
      </w:tr>
      <w:tr w14:paraId="13D3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5" w:hRule="atLeast"/>
        </w:trPr>
        <w:tc>
          <w:tcPr>
            <w:tcW w:w="461" w:type="dxa"/>
            <w:noWrap w:val="0"/>
            <w:vAlign w:val="center"/>
          </w:tcPr>
          <w:p w14:paraId="6E345B94">
            <w:pPr>
              <w:widowControl/>
              <w:spacing w:line="372"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p>
        </w:tc>
        <w:tc>
          <w:tcPr>
            <w:tcW w:w="1350" w:type="dxa"/>
            <w:noWrap w:val="0"/>
            <w:vAlign w:val="center"/>
          </w:tcPr>
          <w:p w14:paraId="1F8EF567">
            <w:pPr>
              <w:widowControl/>
              <w:spacing w:line="372" w:lineRule="auto"/>
              <w:jc w:val="center"/>
              <w:textAlignment w:val="cente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类似</w:t>
            </w:r>
            <w:r>
              <w:rPr>
                <w:rFonts w:hint="eastAsia" w:ascii="宋体" w:hAnsi="宋体" w:cs="宋体"/>
                <w:b w:val="0"/>
                <w:bCs w:val="0"/>
                <w:color w:val="auto"/>
                <w:sz w:val="21"/>
                <w:szCs w:val="21"/>
                <w:highlight w:val="none"/>
              </w:rPr>
              <w:t>业绩</w:t>
            </w:r>
          </w:p>
        </w:tc>
        <w:tc>
          <w:tcPr>
            <w:tcW w:w="6774" w:type="dxa"/>
            <w:noWrap w:val="0"/>
            <w:vAlign w:val="center"/>
          </w:tcPr>
          <w:p w14:paraId="7ABCF3D4">
            <w:pPr>
              <w:widowControl/>
              <w:spacing w:line="372" w:lineRule="auto"/>
              <w:rPr>
                <w:rFonts w:hint="eastAsia"/>
                <w:b w:val="0"/>
                <w:bCs w:val="0"/>
                <w:color w:val="auto"/>
                <w:sz w:val="21"/>
                <w:szCs w:val="21"/>
                <w:highlight w:val="none"/>
              </w:rPr>
            </w:pPr>
            <w:r>
              <w:rPr>
                <w:b w:val="0"/>
                <w:bCs w:val="0"/>
                <w:color w:val="auto"/>
                <w:sz w:val="21"/>
                <w:szCs w:val="21"/>
                <w:highlight w:val="none"/>
              </w:rPr>
              <w:t>自</w:t>
            </w:r>
            <w:r>
              <w:rPr>
                <w:rFonts w:hint="eastAsia"/>
                <w:b w:val="0"/>
                <w:bCs w:val="0"/>
                <w:color w:val="auto"/>
                <w:sz w:val="21"/>
                <w:szCs w:val="21"/>
                <w:highlight w:val="none"/>
                <w:lang w:val="en-US" w:eastAsia="zh-CN"/>
              </w:rPr>
              <w:t>2021</w:t>
            </w:r>
            <w:r>
              <w:rPr>
                <w:b w:val="0"/>
                <w:bCs w:val="0"/>
                <w:color w:val="auto"/>
                <w:sz w:val="21"/>
                <w:szCs w:val="21"/>
                <w:highlight w:val="none"/>
              </w:rPr>
              <w:t>年1月1日起（以合同签订之日为准）至</w:t>
            </w:r>
            <w:r>
              <w:rPr>
                <w:rFonts w:hint="eastAsia"/>
                <w:b w:val="0"/>
                <w:bCs w:val="0"/>
                <w:color w:val="auto"/>
                <w:sz w:val="21"/>
                <w:szCs w:val="21"/>
                <w:highlight w:val="none"/>
              </w:rPr>
              <w:t>投标截止时间止</w:t>
            </w:r>
            <w:r>
              <w:rPr>
                <w:rFonts w:hint="eastAsia"/>
                <w:b w:val="0"/>
                <w:bCs w:val="0"/>
                <w:color w:val="auto"/>
                <w:sz w:val="21"/>
                <w:szCs w:val="21"/>
                <w:highlight w:val="none"/>
                <w:lang w:eastAsia="zh-CN"/>
              </w:rPr>
              <w:t>，</w:t>
            </w:r>
            <w:r>
              <w:rPr>
                <w:b w:val="0"/>
                <w:bCs w:val="0"/>
                <w:color w:val="auto"/>
                <w:sz w:val="21"/>
                <w:szCs w:val="21"/>
                <w:highlight w:val="none"/>
              </w:rPr>
              <w:t>投标人具有</w:t>
            </w:r>
            <w:r>
              <w:rPr>
                <w:rFonts w:hint="eastAsia"/>
                <w:b w:val="0"/>
                <w:bCs w:val="0"/>
                <w:color w:val="auto"/>
                <w:sz w:val="21"/>
                <w:szCs w:val="21"/>
                <w:highlight w:val="none"/>
              </w:rPr>
              <w:t>康复设备</w:t>
            </w:r>
            <w:r>
              <w:rPr>
                <w:rFonts w:hint="eastAsia"/>
                <w:b w:val="0"/>
                <w:bCs w:val="0"/>
                <w:color w:val="auto"/>
                <w:sz w:val="21"/>
                <w:szCs w:val="21"/>
                <w:highlight w:val="none"/>
                <w:lang w:val="en-US" w:eastAsia="zh-CN"/>
              </w:rPr>
              <w:t>项目</w:t>
            </w:r>
            <w:r>
              <w:rPr>
                <w:rFonts w:hint="eastAsia"/>
                <w:b w:val="0"/>
                <w:bCs w:val="0"/>
                <w:color w:val="auto"/>
                <w:sz w:val="21"/>
                <w:szCs w:val="21"/>
                <w:highlight w:val="none"/>
              </w:rPr>
              <w:t>业绩</w:t>
            </w:r>
            <w:r>
              <w:rPr>
                <w:rFonts w:hint="eastAsia"/>
                <w:b w:val="0"/>
                <w:bCs w:val="0"/>
                <w:color w:val="auto"/>
                <w:sz w:val="21"/>
                <w:szCs w:val="21"/>
                <w:highlight w:val="none"/>
                <w:lang w:val="en-US" w:eastAsia="zh-CN"/>
              </w:rPr>
              <w:t>的</w:t>
            </w:r>
            <w:r>
              <w:rPr>
                <w:b w:val="0"/>
                <w:bCs w:val="0"/>
                <w:color w:val="auto"/>
                <w:sz w:val="21"/>
                <w:szCs w:val="21"/>
                <w:highlight w:val="none"/>
              </w:rPr>
              <w:t>，每提供一个合同得</w:t>
            </w:r>
            <w:r>
              <w:rPr>
                <w:rFonts w:hint="eastAsia"/>
                <w:b w:val="0"/>
                <w:bCs w:val="0"/>
                <w:color w:val="auto"/>
                <w:sz w:val="21"/>
                <w:szCs w:val="21"/>
                <w:highlight w:val="none"/>
                <w:lang w:val="en-US" w:eastAsia="zh-CN"/>
              </w:rPr>
              <w:t>1</w:t>
            </w:r>
            <w:r>
              <w:rPr>
                <w:rFonts w:hint="eastAsia"/>
                <w:b w:val="0"/>
                <w:bCs w:val="0"/>
                <w:color w:val="auto"/>
                <w:sz w:val="21"/>
                <w:szCs w:val="21"/>
                <w:highlight w:val="none"/>
              </w:rPr>
              <w:t>分，最高得</w:t>
            </w:r>
            <w:r>
              <w:rPr>
                <w:rFonts w:hint="eastAsia"/>
                <w:b w:val="0"/>
                <w:bCs w:val="0"/>
                <w:color w:val="auto"/>
                <w:sz w:val="21"/>
                <w:szCs w:val="21"/>
                <w:highlight w:val="none"/>
                <w:lang w:val="en-US" w:eastAsia="zh-CN"/>
              </w:rPr>
              <w:t>2</w:t>
            </w:r>
            <w:r>
              <w:rPr>
                <w:rFonts w:hint="eastAsia"/>
                <w:b w:val="0"/>
                <w:bCs w:val="0"/>
                <w:color w:val="auto"/>
                <w:sz w:val="21"/>
                <w:szCs w:val="21"/>
                <w:highlight w:val="none"/>
              </w:rPr>
              <w:t>分。</w:t>
            </w:r>
          </w:p>
          <w:p w14:paraId="0DB00C39">
            <w:pPr>
              <w:widowControl/>
              <w:spacing w:line="372" w:lineRule="auto"/>
              <w:jc w:val="left"/>
              <w:textAlignment w:val="center"/>
              <w:rPr>
                <w:b w:val="0"/>
                <w:bCs w:val="0"/>
                <w:color w:val="auto"/>
                <w:sz w:val="21"/>
                <w:szCs w:val="21"/>
                <w:highlight w:val="none"/>
              </w:rPr>
            </w:pPr>
            <w:r>
              <w:rPr>
                <w:b w:val="0"/>
                <w:bCs w:val="0"/>
                <w:color w:val="auto"/>
                <w:sz w:val="21"/>
                <w:szCs w:val="21"/>
                <w:highlight w:val="none"/>
              </w:rPr>
              <w:t>注：</w:t>
            </w:r>
            <w:r>
              <w:rPr>
                <w:rFonts w:hint="eastAsia"/>
                <w:b w:val="0"/>
                <w:bCs w:val="0"/>
                <w:color w:val="auto"/>
                <w:sz w:val="21"/>
                <w:szCs w:val="21"/>
                <w:highlight w:val="none"/>
              </w:rPr>
              <w:t>投标文件中提供合同扫描件，否则不得分</w:t>
            </w:r>
            <w:r>
              <w:rPr>
                <w:b w:val="0"/>
                <w:bCs w:val="0"/>
                <w:color w:val="auto"/>
                <w:sz w:val="21"/>
                <w:szCs w:val="21"/>
                <w:highlight w:val="none"/>
              </w:rPr>
              <w:t>。</w:t>
            </w:r>
            <w:bookmarkStart w:id="159" w:name="_GoBack"/>
            <w:bookmarkEnd w:id="159"/>
          </w:p>
        </w:tc>
        <w:tc>
          <w:tcPr>
            <w:tcW w:w="934" w:type="dxa"/>
            <w:noWrap w:val="0"/>
            <w:vAlign w:val="center"/>
          </w:tcPr>
          <w:p w14:paraId="1B95737E">
            <w:pPr>
              <w:widowControl/>
              <w:spacing w:line="372" w:lineRule="auto"/>
              <w:jc w:val="cente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rPr>
              <w:t>分</w:t>
            </w:r>
          </w:p>
        </w:tc>
      </w:tr>
      <w:tr w14:paraId="3716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28" w:hRule="atLeast"/>
        </w:trPr>
        <w:tc>
          <w:tcPr>
            <w:tcW w:w="461" w:type="dxa"/>
            <w:noWrap w:val="0"/>
            <w:vAlign w:val="center"/>
          </w:tcPr>
          <w:p w14:paraId="521F92AE">
            <w:pPr>
              <w:widowControl w:val="0"/>
              <w:adjustRightInd/>
              <w:snapToGrid/>
              <w:spacing w:after="0" w:line="300" w:lineRule="exact"/>
              <w:jc w:val="center"/>
              <w:rPr>
                <w:rFonts w:hint="eastAsia" w:ascii="微软雅黑" w:hAnsi="微软雅黑" w:eastAsia="宋体" w:cs="微软雅黑"/>
                <w:bCs/>
                <w:color w:val="auto"/>
                <w:kern w:val="2"/>
                <w:sz w:val="21"/>
                <w:szCs w:val="21"/>
                <w:highlight w:val="none"/>
                <w:lang w:val="en-US" w:eastAsia="zh-CN"/>
              </w:rPr>
            </w:pPr>
            <w:r>
              <w:rPr>
                <w:rFonts w:hint="eastAsia" w:ascii="微软雅黑" w:hAnsi="微软雅黑" w:cs="微软雅黑"/>
                <w:bCs/>
                <w:color w:val="auto"/>
                <w:kern w:val="2"/>
                <w:sz w:val="21"/>
                <w:szCs w:val="21"/>
                <w:highlight w:val="none"/>
                <w:lang w:val="en-US" w:eastAsia="zh-CN"/>
              </w:rPr>
              <w:t>2</w:t>
            </w:r>
          </w:p>
        </w:tc>
        <w:tc>
          <w:tcPr>
            <w:tcW w:w="1350" w:type="dxa"/>
            <w:noWrap w:val="0"/>
            <w:vAlign w:val="center"/>
          </w:tcPr>
          <w:p w14:paraId="45CC8D49">
            <w:pPr>
              <w:widowControl w:val="0"/>
              <w:adjustRightInd/>
              <w:snapToGrid/>
              <w:spacing w:after="0" w:line="300" w:lineRule="exact"/>
              <w:jc w:val="center"/>
              <w:rPr>
                <w:rFonts w:hint="default" w:eastAsia="宋体"/>
                <w:b w:val="0"/>
                <w:bCs w:val="0"/>
                <w:color w:val="auto"/>
                <w:sz w:val="21"/>
                <w:szCs w:val="21"/>
                <w:highlight w:val="none"/>
                <w:lang w:val="en-US" w:eastAsia="zh-CN"/>
              </w:rPr>
            </w:pPr>
            <w:r>
              <w:rPr>
                <w:rFonts w:hint="eastAsia" w:ascii="宋体" w:hAnsi="宋体" w:cs="宋体"/>
                <w:color w:val="auto"/>
                <w:highlight w:val="none"/>
                <w:shd w:val="clear" w:color="auto" w:fill="auto"/>
                <w:lang w:val="en-US" w:eastAsia="zh-CN"/>
              </w:rPr>
              <w:t>体系认证证书</w:t>
            </w:r>
          </w:p>
        </w:tc>
        <w:tc>
          <w:tcPr>
            <w:tcW w:w="6774" w:type="dxa"/>
            <w:noWrap w:val="0"/>
            <w:vAlign w:val="center"/>
          </w:tcPr>
          <w:p w14:paraId="4E488690">
            <w:pPr>
              <w:pStyle w:val="54"/>
              <w:keepNext w:val="0"/>
              <w:keepLines w:val="0"/>
              <w:pageBreakBefore w:val="0"/>
              <w:widowControl w:val="0"/>
              <w:kinsoku/>
              <w:overflowPunct/>
              <w:topLinePunct w:val="0"/>
              <w:bidi w:val="0"/>
              <w:snapToGrid w:val="0"/>
              <w:spacing w:after="0" w:line="288" w:lineRule="auto"/>
              <w:jc w:val="both"/>
              <w:textAlignment w:val="auto"/>
              <w:rPr>
                <w:rFonts w:hint="eastAsia"/>
                <w:color w:val="auto"/>
                <w:highlight w:val="none"/>
              </w:rPr>
            </w:pPr>
            <w:r>
              <w:rPr>
                <w:rFonts w:hint="eastAsia"/>
                <w:color w:val="auto"/>
                <w:highlight w:val="none"/>
              </w:rPr>
              <w:t>投标人具有质量管理体系认证证书、环境管理体系认证证书、职业健康安全管理体系认证证书，每提供一个得1分，最高得3分。</w:t>
            </w:r>
          </w:p>
          <w:p w14:paraId="4685DAE5">
            <w:pPr>
              <w:widowControl w:val="0"/>
              <w:adjustRightInd/>
              <w:snapToGrid/>
              <w:spacing w:after="0" w:line="300" w:lineRule="exact"/>
              <w:rPr>
                <w:rFonts w:hint="default" w:ascii="宋体" w:hAnsi="宋体" w:eastAsia="宋体" w:cs="宋体"/>
                <w:b w:val="0"/>
                <w:bCs w:val="0"/>
                <w:color w:val="auto"/>
                <w:sz w:val="21"/>
                <w:szCs w:val="21"/>
                <w:highlight w:val="none"/>
                <w:lang w:val="en-US" w:eastAsia="zh-CN"/>
              </w:rPr>
            </w:pPr>
            <w:r>
              <w:rPr>
                <w:rFonts w:hint="eastAsia"/>
                <w:color w:val="auto"/>
                <w:highlight w:val="none"/>
              </w:rPr>
              <w:t>注：投标文件中提供证书扫描件加盖公章放入商务技术文件中，否则不得分。</w:t>
            </w:r>
          </w:p>
        </w:tc>
        <w:tc>
          <w:tcPr>
            <w:tcW w:w="934" w:type="dxa"/>
            <w:noWrap w:val="0"/>
            <w:vAlign w:val="center"/>
          </w:tcPr>
          <w:p w14:paraId="28743D1F">
            <w:pPr>
              <w:widowControl/>
              <w:spacing w:line="372" w:lineRule="auto"/>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0-3分</w:t>
            </w:r>
          </w:p>
        </w:tc>
      </w:tr>
      <w:tr w14:paraId="09BF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9" w:hRule="atLeast"/>
        </w:trPr>
        <w:tc>
          <w:tcPr>
            <w:tcW w:w="461" w:type="dxa"/>
            <w:noWrap w:val="0"/>
            <w:vAlign w:val="center"/>
          </w:tcPr>
          <w:p w14:paraId="7A8D358A">
            <w:pPr>
              <w:widowControl/>
              <w:spacing w:line="372" w:lineRule="auto"/>
              <w:jc w:val="center"/>
              <w:rPr>
                <w:rFonts w:hint="eastAsia"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3</w:t>
            </w:r>
          </w:p>
        </w:tc>
        <w:tc>
          <w:tcPr>
            <w:tcW w:w="1350" w:type="dxa"/>
            <w:noWrap w:val="0"/>
            <w:vAlign w:val="center"/>
          </w:tcPr>
          <w:p w14:paraId="04C3F2DB">
            <w:pPr>
              <w:widowControl/>
              <w:spacing w:line="372" w:lineRule="auto"/>
              <w:jc w:val="center"/>
              <w:rPr>
                <w:b w:val="0"/>
                <w:bCs w:val="0"/>
                <w:color w:val="auto"/>
                <w:sz w:val="21"/>
                <w:szCs w:val="21"/>
                <w:highlight w:val="none"/>
              </w:rPr>
            </w:pPr>
            <w:r>
              <w:rPr>
                <w:rFonts w:hint="eastAsia"/>
                <w:b w:val="0"/>
                <w:bCs w:val="0"/>
                <w:color w:val="auto"/>
                <w:sz w:val="21"/>
                <w:szCs w:val="21"/>
                <w:highlight w:val="none"/>
              </w:rPr>
              <w:t>项目实施团队</w:t>
            </w:r>
          </w:p>
        </w:tc>
        <w:tc>
          <w:tcPr>
            <w:tcW w:w="6774" w:type="dxa"/>
            <w:noWrap w:val="0"/>
            <w:vAlign w:val="center"/>
          </w:tcPr>
          <w:p w14:paraId="5C8F3C90">
            <w:pPr>
              <w:widowControl/>
              <w:spacing w:line="372" w:lineRule="auto"/>
              <w:rPr>
                <w:b w:val="0"/>
                <w:bCs w:val="0"/>
                <w:color w:val="auto"/>
                <w:sz w:val="21"/>
                <w:szCs w:val="21"/>
                <w:highlight w:val="none"/>
              </w:rPr>
            </w:pPr>
            <w:r>
              <w:rPr>
                <w:b w:val="0"/>
                <w:bCs w:val="0"/>
                <w:color w:val="auto"/>
                <w:sz w:val="21"/>
                <w:szCs w:val="21"/>
                <w:highlight w:val="none"/>
              </w:rPr>
              <w:t>投标人拟派项目实施团队的专业岗位配置情况、技术能力总体水平、人员素质、专业分布、经验等情况：</w:t>
            </w:r>
          </w:p>
          <w:p w14:paraId="13C381AE">
            <w:pPr>
              <w:widowControl/>
              <w:spacing w:line="372" w:lineRule="auto"/>
              <w:rPr>
                <w:b w:val="0"/>
                <w:bCs w:val="0"/>
                <w:color w:val="auto"/>
                <w:sz w:val="21"/>
                <w:szCs w:val="21"/>
                <w:highlight w:val="none"/>
              </w:rPr>
            </w:pPr>
            <w:r>
              <w:rPr>
                <w:rFonts w:hint="eastAsia"/>
                <w:b w:val="0"/>
                <w:bCs w:val="0"/>
                <w:color w:val="auto"/>
                <w:sz w:val="21"/>
                <w:szCs w:val="21"/>
                <w:highlight w:val="none"/>
                <w:lang w:val="en-US" w:eastAsia="zh-CN"/>
              </w:rPr>
              <w:t>1.</w:t>
            </w:r>
            <w:r>
              <w:rPr>
                <w:b w:val="0"/>
                <w:bCs w:val="0"/>
                <w:color w:val="auto"/>
                <w:sz w:val="21"/>
                <w:szCs w:val="21"/>
                <w:highlight w:val="none"/>
              </w:rPr>
              <w:t>实施团队人员配备充足、从业经验丰富、岗位配置情况合理、专业分布情况完全贴合项目实际需求有利于项目实施的得</w:t>
            </w:r>
            <w:r>
              <w:rPr>
                <w:rFonts w:hint="eastAsia"/>
                <w:b w:val="0"/>
                <w:bCs w:val="0"/>
                <w:color w:val="auto"/>
                <w:sz w:val="21"/>
                <w:szCs w:val="21"/>
                <w:highlight w:val="none"/>
                <w:lang w:val="en-US" w:eastAsia="zh-CN"/>
              </w:rPr>
              <w:t>4.01-5</w:t>
            </w:r>
            <w:r>
              <w:rPr>
                <w:b w:val="0"/>
                <w:bCs w:val="0"/>
                <w:color w:val="auto"/>
                <w:sz w:val="21"/>
                <w:szCs w:val="21"/>
                <w:highlight w:val="none"/>
              </w:rPr>
              <w:t>分；</w:t>
            </w:r>
          </w:p>
          <w:p w14:paraId="62127E9F">
            <w:pPr>
              <w:widowControl/>
              <w:spacing w:line="372" w:lineRule="auto"/>
              <w:rPr>
                <w:b w:val="0"/>
                <w:bCs w:val="0"/>
                <w:color w:val="auto"/>
                <w:sz w:val="21"/>
                <w:szCs w:val="21"/>
                <w:highlight w:val="none"/>
              </w:rPr>
            </w:pPr>
            <w:r>
              <w:rPr>
                <w:rFonts w:hint="eastAsia"/>
                <w:b w:val="0"/>
                <w:bCs w:val="0"/>
                <w:color w:val="auto"/>
                <w:sz w:val="21"/>
                <w:szCs w:val="21"/>
                <w:highlight w:val="none"/>
                <w:lang w:val="en-US" w:eastAsia="zh-CN"/>
              </w:rPr>
              <w:t>2.</w:t>
            </w:r>
            <w:r>
              <w:rPr>
                <w:b w:val="0"/>
                <w:bCs w:val="0"/>
                <w:color w:val="auto"/>
                <w:sz w:val="21"/>
                <w:szCs w:val="21"/>
                <w:highlight w:val="none"/>
              </w:rPr>
              <w:t>实施团队人员配备情况一般、从业经验、岗位配置情况、专业分布情况仅能满足项目基本需求的得</w:t>
            </w:r>
            <w:r>
              <w:rPr>
                <w:rFonts w:hint="eastAsia"/>
                <w:b w:val="0"/>
                <w:bCs w:val="0"/>
                <w:color w:val="auto"/>
                <w:sz w:val="21"/>
                <w:szCs w:val="21"/>
                <w:highlight w:val="none"/>
                <w:lang w:val="en-US" w:eastAsia="zh-CN"/>
              </w:rPr>
              <w:t>2.01-4</w:t>
            </w:r>
            <w:r>
              <w:rPr>
                <w:b w:val="0"/>
                <w:bCs w:val="0"/>
                <w:color w:val="auto"/>
                <w:sz w:val="21"/>
                <w:szCs w:val="21"/>
                <w:highlight w:val="none"/>
              </w:rPr>
              <w:t>分；</w:t>
            </w:r>
          </w:p>
          <w:p w14:paraId="1B9BDE8D">
            <w:pPr>
              <w:widowControl/>
              <w:spacing w:line="372" w:lineRule="auto"/>
              <w:rPr>
                <w:b w:val="0"/>
                <w:bCs w:val="0"/>
                <w:color w:val="auto"/>
                <w:sz w:val="21"/>
                <w:szCs w:val="21"/>
                <w:highlight w:val="none"/>
              </w:rPr>
            </w:pPr>
            <w:r>
              <w:rPr>
                <w:rFonts w:hint="eastAsia"/>
                <w:b w:val="0"/>
                <w:bCs w:val="0"/>
                <w:color w:val="auto"/>
                <w:sz w:val="21"/>
                <w:szCs w:val="21"/>
                <w:highlight w:val="none"/>
                <w:lang w:val="en-US" w:eastAsia="zh-CN"/>
              </w:rPr>
              <w:t>3.</w:t>
            </w:r>
            <w:r>
              <w:rPr>
                <w:b w:val="0"/>
                <w:bCs w:val="0"/>
                <w:color w:val="auto"/>
                <w:sz w:val="21"/>
                <w:szCs w:val="21"/>
                <w:highlight w:val="none"/>
              </w:rPr>
              <w:t>实施团队人员配备情况、从业经验、岗位配置情况、专业分布情况存在轻微或明显缺陷不利于项目实施的得</w:t>
            </w:r>
            <w:r>
              <w:rPr>
                <w:rFonts w:hint="eastAsia"/>
                <w:b w:val="0"/>
                <w:bCs w:val="0"/>
                <w:color w:val="auto"/>
                <w:sz w:val="21"/>
                <w:szCs w:val="21"/>
                <w:highlight w:val="none"/>
                <w:lang w:val="en-US" w:eastAsia="zh-CN"/>
              </w:rPr>
              <w:t>0-2</w:t>
            </w:r>
            <w:r>
              <w:rPr>
                <w:b w:val="0"/>
                <w:bCs w:val="0"/>
                <w:color w:val="auto"/>
                <w:sz w:val="21"/>
                <w:szCs w:val="21"/>
                <w:highlight w:val="none"/>
              </w:rPr>
              <w:t>分；</w:t>
            </w:r>
          </w:p>
        </w:tc>
        <w:tc>
          <w:tcPr>
            <w:tcW w:w="934" w:type="dxa"/>
            <w:noWrap w:val="0"/>
            <w:vAlign w:val="center"/>
          </w:tcPr>
          <w:p w14:paraId="4232EA73">
            <w:pPr>
              <w:widowControl/>
              <w:spacing w:line="372" w:lineRule="auto"/>
              <w:jc w:val="center"/>
              <w:textAlignment w:val="cente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rPr>
              <w:t>分</w:t>
            </w:r>
          </w:p>
        </w:tc>
      </w:tr>
      <w:tr w14:paraId="01DF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6" w:hRule="atLeast"/>
        </w:trPr>
        <w:tc>
          <w:tcPr>
            <w:tcW w:w="461" w:type="dxa"/>
            <w:noWrap w:val="0"/>
            <w:vAlign w:val="center"/>
          </w:tcPr>
          <w:p w14:paraId="66923A86">
            <w:pPr>
              <w:widowControl/>
              <w:spacing w:line="372" w:lineRule="auto"/>
              <w:jc w:val="center"/>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4</w:t>
            </w:r>
          </w:p>
        </w:tc>
        <w:tc>
          <w:tcPr>
            <w:tcW w:w="1350" w:type="dxa"/>
            <w:noWrap w:val="0"/>
            <w:vAlign w:val="center"/>
          </w:tcPr>
          <w:p w14:paraId="0C9A1F46">
            <w:pPr>
              <w:widowControl/>
              <w:spacing w:line="372" w:lineRule="auto"/>
              <w:jc w:val="cente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技术响应情况</w:t>
            </w:r>
          </w:p>
        </w:tc>
        <w:tc>
          <w:tcPr>
            <w:tcW w:w="6774" w:type="dxa"/>
            <w:noWrap w:val="0"/>
            <w:vAlign w:val="center"/>
          </w:tcPr>
          <w:p w14:paraId="1DD9835E">
            <w:pPr>
              <w:widowControl/>
              <w:spacing w:line="372" w:lineRule="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根据投标产品响应的技术要求是否符合招标文件的要求及符合程度进行评价，所有技术要求响应招标需求的得20分；带“★”指标为重点审查指标，有负偏离或没有提供相关依据或存在缺陷、瑕疵的每项扣3分，其他一般要求有负偏离或存在缺陷、瑕疵的每项扣1分。评审依据：凭投标文件中提供的技术规格偏离表以及佐证材料的真实性客观评审。</w:t>
            </w:r>
          </w:p>
          <w:p w14:paraId="416B7356">
            <w:pPr>
              <w:widowControl/>
              <w:spacing w:line="372" w:lineRule="auto"/>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注：仅在技术规格偏离表中作出简单响应而没有详细阐述或提供相关依据的，评审小组可能作出不利评审，是否属无偏离或负偏离以评标委员会统一判定为准。</w:t>
            </w:r>
          </w:p>
        </w:tc>
        <w:tc>
          <w:tcPr>
            <w:tcW w:w="934" w:type="dxa"/>
            <w:noWrap w:val="0"/>
            <w:vAlign w:val="center"/>
          </w:tcPr>
          <w:p w14:paraId="40D08567">
            <w:pPr>
              <w:widowControl/>
              <w:spacing w:line="372" w:lineRule="auto"/>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0-20分</w:t>
            </w:r>
          </w:p>
        </w:tc>
      </w:tr>
      <w:tr w14:paraId="4579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6" w:hRule="atLeast"/>
        </w:trPr>
        <w:tc>
          <w:tcPr>
            <w:tcW w:w="461" w:type="dxa"/>
            <w:noWrap w:val="0"/>
            <w:vAlign w:val="center"/>
          </w:tcPr>
          <w:p w14:paraId="78E4571B">
            <w:pPr>
              <w:widowControl/>
              <w:spacing w:line="372" w:lineRule="auto"/>
              <w:jc w:val="center"/>
              <w:rPr>
                <w:rFonts w:hint="eastAsia"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5</w:t>
            </w:r>
          </w:p>
        </w:tc>
        <w:tc>
          <w:tcPr>
            <w:tcW w:w="1350" w:type="dxa"/>
            <w:noWrap w:val="0"/>
            <w:vAlign w:val="center"/>
          </w:tcPr>
          <w:p w14:paraId="761B5329">
            <w:pPr>
              <w:widowControl/>
              <w:spacing w:line="372" w:lineRule="auto"/>
              <w:jc w:val="center"/>
              <w:rPr>
                <w:rFonts w:hint="default"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项目理解与分析</w:t>
            </w:r>
          </w:p>
        </w:tc>
        <w:tc>
          <w:tcPr>
            <w:tcW w:w="6774" w:type="dxa"/>
            <w:noWrap w:val="0"/>
            <w:vAlign w:val="center"/>
          </w:tcPr>
          <w:p w14:paraId="23D0BBB3">
            <w:pPr>
              <w:widowControl/>
              <w:spacing w:line="372" w:lineRule="auto"/>
              <w:rPr>
                <w:b w:val="0"/>
                <w:bCs w:val="0"/>
                <w:color w:val="auto"/>
                <w:sz w:val="21"/>
                <w:szCs w:val="21"/>
                <w:highlight w:val="none"/>
              </w:rPr>
            </w:pPr>
            <w:r>
              <w:rPr>
                <w:b w:val="0"/>
                <w:bCs w:val="0"/>
                <w:color w:val="auto"/>
                <w:sz w:val="21"/>
                <w:szCs w:val="21"/>
                <w:highlight w:val="none"/>
              </w:rPr>
              <w:t>根据投标人对本项目的优势与有利条件的分析，对</w:t>
            </w:r>
            <w:r>
              <w:rPr>
                <w:rFonts w:hint="eastAsia"/>
                <w:b w:val="0"/>
                <w:bCs w:val="0"/>
                <w:color w:val="auto"/>
                <w:sz w:val="21"/>
                <w:szCs w:val="21"/>
                <w:highlight w:val="none"/>
                <w:lang w:val="en-US" w:eastAsia="zh-CN"/>
              </w:rPr>
              <w:t>采购方</w:t>
            </w:r>
            <w:r>
              <w:rPr>
                <w:b w:val="0"/>
                <w:bCs w:val="0"/>
                <w:color w:val="auto"/>
                <w:sz w:val="21"/>
                <w:szCs w:val="21"/>
                <w:highlight w:val="none"/>
              </w:rPr>
              <w:t>康复设备功能需求的理解程度，对本项目需求的理解与分析并详细说明拟投入产品的工艺和细节，对</w:t>
            </w:r>
            <w:r>
              <w:rPr>
                <w:rFonts w:hint="eastAsia"/>
                <w:b w:val="0"/>
                <w:bCs w:val="0"/>
                <w:color w:val="auto"/>
                <w:sz w:val="21"/>
                <w:szCs w:val="21"/>
                <w:highlight w:val="none"/>
                <w:lang w:val="en-US" w:eastAsia="zh-CN"/>
              </w:rPr>
              <w:t>采购方</w:t>
            </w:r>
            <w:r>
              <w:rPr>
                <w:b w:val="0"/>
                <w:bCs w:val="0"/>
                <w:color w:val="auto"/>
                <w:sz w:val="21"/>
                <w:szCs w:val="21"/>
                <w:highlight w:val="none"/>
              </w:rPr>
              <w:t>现有场地和设备设施的熟悉程度，对本项目难点和要点的剖析，以及提出克服难点和要点的技术措施：</w:t>
            </w:r>
          </w:p>
          <w:p w14:paraId="4F7984EC">
            <w:pPr>
              <w:widowControl/>
              <w:spacing w:line="372" w:lineRule="auto"/>
              <w:rPr>
                <w:b w:val="0"/>
                <w:bCs w:val="0"/>
                <w:color w:val="auto"/>
                <w:sz w:val="21"/>
                <w:szCs w:val="21"/>
                <w:highlight w:val="none"/>
              </w:rPr>
            </w:pPr>
            <w:r>
              <w:rPr>
                <w:rFonts w:hint="eastAsia"/>
                <w:b w:val="0"/>
                <w:bCs w:val="0"/>
                <w:color w:val="auto"/>
                <w:sz w:val="21"/>
                <w:szCs w:val="21"/>
                <w:highlight w:val="none"/>
                <w:lang w:val="en-US" w:eastAsia="zh-CN"/>
              </w:rPr>
              <w:t>1.</w:t>
            </w:r>
            <w:r>
              <w:rPr>
                <w:b w:val="0"/>
                <w:bCs w:val="0"/>
                <w:color w:val="auto"/>
                <w:sz w:val="21"/>
                <w:szCs w:val="21"/>
                <w:highlight w:val="none"/>
              </w:rPr>
              <w:t>对上述内容理解与分析准确完整、认识深刻透彻、理解到位、技术措施操作性强能完全满足本项目实施要求且有利于项目实施的得</w:t>
            </w:r>
            <w:r>
              <w:rPr>
                <w:rFonts w:hint="eastAsia"/>
                <w:b w:val="0"/>
                <w:bCs w:val="0"/>
                <w:color w:val="auto"/>
                <w:sz w:val="21"/>
                <w:szCs w:val="21"/>
                <w:highlight w:val="none"/>
                <w:lang w:val="en-US" w:eastAsia="zh-CN"/>
              </w:rPr>
              <w:t>6.01-8</w:t>
            </w:r>
            <w:r>
              <w:rPr>
                <w:b w:val="0"/>
                <w:bCs w:val="0"/>
                <w:color w:val="auto"/>
                <w:sz w:val="21"/>
                <w:szCs w:val="21"/>
                <w:highlight w:val="none"/>
              </w:rPr>
              <w:t>分；</w:t>
            </w:r>
          </w:p>
          <w:p w14:paraId="685B5C75">
            <w:pPr>
              <w:widowControl/>
              <w:spacing w:line="372" w:lineRule="auto"/>
              <w:rPr>
                <w:b w:val="0"/>
                <w:bCs w:val="0"/>
                <w:color w:val="auto"/>
                <w:sz w:val="21"/>
                <w:szCs w:val="21"/>
                <w:highlight w:val="none"/>
              </w:rPr>
            </w:pPr>
            <w:r>
              <w:rPr>
                <w:rFonts w:hint="eastAsia"/>
                <w:b w:val="0"/>
                <w:bCs w:val="0"/>
                <w:color w:val="auto"/>
                <w:sz w:val="21"/>
                <w:szCs w:val="21"/>
                <w:highlight w:val="none"/>
                <w:lang w:val="en-US" w:eastAsia="zh-CN"/>
              </w:rPr>
              <w:t>2.</w:t>
            </w:r>
            <w:r>
              <w:rPr>
                <w:b w:val="0"/>
                <w:bCs w:val="0"/>
                <w:color w:val="auto"/>
                <w:sz w:val="21"/>
                <w:szCs w:val="21"/>
                <w:highlight w:val="none"/>
              </w:rPr>
              <w:t>对上述内容均有理解与分析内容、技术措施基本能满足项目实施要求的得</w:t>
            </w:r>
            <w:r>
              <w:rPr>
                <w:rFonts w:hint="eastAsia"/>
                <w:b w:val="0"/>
                <w:bCs w:val="0"/>
                <w:color w:val="auto"/>
                <w:sz w:val="21"/>
                <w:szCs w:val="21"/>
                <w:highlight w:val="none"/>
                <w:lang w:val="en-US" w:eastAsia="zh-CN"/>
              </w:rPr>
              <w:t>3.01-6</w:t>
            </w:r>
            <w:r>
              <w:rPr>
                <w:b w:val="0"/>
                <w:bCs w:val="0"/>
                <w:color w:val="auto"/>
                <w:sz w:val="21"/>
                <w:szCs w:val="21"/>
                <w:highlight w:val="none"/>
              </w:rPr>
              <w:t>分；</w:t>
            </w:r>
          </w:p>
          <w:p w14:paraId="09A9022A">
            <w:pPr>
              <w:widowControl/>
              <w:spacing w:line="372" w:lineRule="auto"/>
              <w:rPr>
                <w:b w:val="0"/>
                <w:bCs w:val="0"/>
                <w:color w:val="auto"/>
                <w:sz w:val="21"/>
                <w:szCs w:val="21"/>
                <w:highlight w:val="none"/>
              </w:rPr>
            </w:pPr>
            <w:r>
              <w:rPr>
                <w:rFonts w:hint="eastAsia"/>
                <w:b w:val="0"/>
                <w:bCs w:val="0"/>
                <w:color w:val="auto"/>
                <w:sz w:val="21"/>
                <w:szCs w:val="21"/>
                <w:highlight w:val="none"/>
                <w:lang w:val="en-US" w:eastAsia="zh-CN"/>
              </w:rPr>
              <w:t>3.</w:t>
            </w:r>
            <w:r>
              <w:rPr>
                <w:b w:val="0"/>
                <w:bCs w:val="0"/>
                <w:color w:val="auto"/>
                <w:sz w:val="21"/>
                <w:szCs w:val="21"/>
                <w:highlight w:val="none"/>
              </w:rPr>
              <w:t>对上述内容的理解与分析有缺项内容、不利于项目实施的</w:t>
            </w:r>
            <w:r>
              <w:rPr>
                <w:rFonts w:hint="eastAsia"/>
                <w:b w:val="0"/>
                <w:bCs w:val="0"/>
                <w:color w:val="auto"/>
                <w:sz w:val="21"/>
                <w:szCs w:val="21"/>
                <w:highlight w:val="none"/>
                <w:lang w:val="en-US" w:eastAsia="zh-CN"/>
              </w:rPr>
              <w:t>0-3</w:t>
            </w:r>
            <w:r>
              <w:rPr>
                <w:b w:val="0"/>
                <w:bCs w:val="0"/>
                <w:color w:val="auto"/>
                <w:sz w:val="21"/>
                <w:szCs w:val="21"/>
                <w:highlight w:val="none"/>
              </w:rPr>
              <w:t>分 ；</w:t>
            </w:r>
          </w:p>
        </w:tc>
        <w:tc>
          <w:tcPr>
            <w:tcW w:w="934" w:type="dxa"/>
            <w:noWrap w:val="0"/>
            <w:vAlign w:val="center"/>
          </w:tcPr>
          <w:p w14:paraId="3B54DC20">
            <w:pPr>
              <w:widowControl/>
              <w:spacing w:line="372" w:lineRule="auto"/>
              <w:jc w:val="center"/>
              <w:textAlignment w:val="cente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8</w:t>
            </w:r>
            <w:r>
              <w:rPr>
                <w:rFonts w:hint="eastAsia" w:ascii="宋体" w:hAnsi="宋体" w:cs="宋体"/>
                <w:b w:val="0"/>
                <w:bCs w:val="0"/>
                <w:color w:val="auto"/>
                <w:sz w:val="21"/>
                <w:szCs w:val="21"/>
                <w:highlight w:val="none"/>
              </w:rPr>
              <w:t>分</w:t>
            </w:r>
          </w:p>
        </w:tc>
      </w:tr>
      <w:tr w14:paraId="465B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0" w:hRule="atLeast"/>
        </w:trPr>
        <w:tc>
          <w:tcPr>
            <w:tcW w:w="461" w:type="dxa"/>
            <w:noWrap w:val="0"/>
            <w:vAlign w:val="center"/>
          </w:tcPr>
          <w:p w14:paraId="4CEBA36D">
            <w:pPr>
              <w:widowControl/>
              <w:spacing w:line="360" w:lineRule="auto"/>
              <w:ind w:right="145" w:rightChars="69"/>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p>
        </w:tc>
        <w:tc>
          <w:tcPr>
            <w:tcW w:w="1350" w:type="dxa"/>
            <w:noWrap w:val="0"/>
            <w:vAlign w:val="center"/>
          </w:tcPr>
          <w:p w14:paraId="68C551F7">
            <w:pPr>
              <w:widowControl/>
              <w:spacing w:line="360" w:lineRule="auto"/>
              <w:ind w:right="145" w:rightChars="69"/>
              <w:jc w:val="center"/>
              <w:rPr>
                <w:rFonts w:hint="eastAsia"/>
                <w:b w:val="0"/>
                <w:bCs w:val="0"/>
                <w:color w:val="auto"/>
                <w:sz w:val="21"/>
                <w:szCs w:val="21"/>
                <w:highlight w:val="none"/>
              </w:rPr>
            </w:pPr>
            <w:r>
              <w:rPr>
                <w:rFonts w:hint="eastAsia"/>
                <w:b w:val="0"/>
                <w:bCs w:val="0"/>
                <w:color w:val="auto"/>
                <w:sz w:val="21"/>
                <w:szCs w:val="21"/>
                <w:highlight w:val="none"/>
              </w:rPr>
              <w:t>实施方案</w:t>
            </w:r>
          </w:p>
        </w:tc>
        <w:tc>
          <w:tcPr>
            <w:tcW w:w="6774" w:type="dxa"/>
            <w:noWrap w:val="0"/>
            <w:vAlign w:val="center"/>
          </w:tcPr>
          <w:p w14:paraId="22A5CC97">
            <w:pPr>
              <w:widowControl/>
              <w:spacing w:line="360" w:lineRule="auto"/>
              <w:ind w:right="145" w:rightChars="69"/>
              <w:rPr>
                <w:rFonts w:hint="eastAsia" w:ascii="宋体" w:hAnsi="宋体" w:eastAsia="宋体" w:cs="宋体"/>
                <w:b w:val="0"/>
                <w:bCs w:val="0"/>
                <w:color w:val="auto"/>
                <w:sz w:val="21"/>
                <w:szCs w:val="21"/>
                <w:highlight w:val="none"/>
                <w:lang w:eastAsia="zh-CN"/>
              </w:rPr>
            </w:pPr>
            <w:r>
              <w:rPr>
                <w:rFonts w:ascii="宋体" w:hAnsi="宋体" w:cs="宋体"/>
                <w:b w:val="0"/>
                <w:bCs w:val="0"/>
                <w:color w:val="auto"/>
                <w:sz w:val="21"/>
                <w:szCs w:val="21"/>
                <w:highlight w:val="none"/>
              </w:rPr>
              <w:t>根据投标人对本项目制定的详细实施方案(包括但不限于总体规划方案和分步实施方案、现场踏勘方案、设计规划介绍、交货计划、项目实施时间进度安排、人力资源安排、质量目标、关键技术解决方案、包装、运输、安装、调试、验收方案等)</w:t>
            </w:r>
            <w:r>
              <w:rPr>
                <w:rFonts w:hint="eastAsia" w:ascii="宋体" w:hAnsi="宋体" w:cs="宋体"/>
                <w:b w:val="0"/>
                <w:bCs w:val="0"/>
                <w:color w:val="auto"/>
                <w:sz w:val="21"/>
                <w:szCs w:val="21"/>
                <w:highlight w:val="none"/>
                <w:lang w:eastAsia="zh-CN"/>
              </w:rPr>
              <w:t>。</w:t>
            </w:r>
          </w:p>
          <w:p w14:paraId="67D7FB7D">
            <w:pPr>
              <w:widowControl/>
              <w:spacing w:line="360" w:lineRule="auto"/>
              <w:ind w:right="145" w:rightChars="69"/>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ascii="宋体" w:hAnsi="宋体" w:cs="宋体"/>
                <w:b w:val="0"/>
                <w:bCs w:val="0"/>
                <w:color w:val="auto"/>
                <w:sz w:val="21"/>
                <w:szCs w:val="21"/>
                <w:highlight w:val="none"/>
              </w:rPr>
              <w:t>方案内容准确完整、成熟有效、严密完善、合理可行、前瞻性强、前后逻辑一致、在满足项目需求的基础上能有利于项目实施的得</w:t>
            </w:r>
            <w:r>
              <w:rPr>
                <w:rFonts w:hint="eastAsia" w:ascii="宋体" w:hAnsi="宋体" w:cs="宋体"/>
                <w:b w:val="0"/>
                <w:bCs w:val="0"/>
                <w:color w:val="auto"/>
                <w:sz w:val="21"/>
                <w:szCs w:val="21"/>
                <w:highlight w:val="none"/>
                <w:lang w:val="en-US" w:eastAsia="zh-CN"/>
              </w:rPr>
              <w:t>8.01-12</w:t>
            </w:r>
            <w:r>
              <w:rPr>
                <w:rFonts w:ascii="宋体" w:hAnsi="宋体" w:cs="宋体"/>
                <w:b w:val="0"/>
                <w:bCs w:val="0"/>
                <w:color w:val="auto"/>
                <w:sz w:val="21"/>
                <w:szCs w:val="21"/>
                <w:highlight w:val="none"/>
              </w:rPr>
              <w:t>分 ；</w:t>
            </w:r>
          </w:p>
          <w:p w14:paraId="160E72E3">
            <w:pPr>
              <w:widowControl/>
              <w:spacing w:line="360" w:lineRule="auto"/>
              <w:ind w:right="145" w:rightChars="69"/>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2.</w:t>
            </w:r>
            <w:r>
              <w:rPr>
                <w:rFonts w:ascii="宋体" w:hAnsi="宋体" w:cs="宋体"/>
                <w:b w:val="0"/>
                <w:bCs w:val="0"/>
                <w:color w:val="auto"/>
                <w:sz w:val="21"/>
                <w:szCs w:val="21"/>
                <w:highlight w:val="none"/>
              </w:rPr>
              <w:t>方案内容完整、有一定可行性、能完全满足项目需求的得</w:t>
            </w:r>
            <w:r>
              <w:rPr>
                <w:rFonts w:hint="eastAsia" w:ascii="宋体" w:hAnsi="宋体" w:cs="宋体"/>
                <w:b w:val="0"/>
                <w:bCs w:val="0"/>
                <w:color w:val="auto"/>
                <w:sz w:val="21"/>
                <w:szCs w:val="21"/>
                <w:highlight w:val="none"/>
                <w:lang w:val="en-US" w:eastAsia="zh-CN"/>
              </w:rPr>
              <w:t>4.01-8</w:t>
            </w:r>
            <w:r>
              <w:rPr>
                <w:rFonts w:ascii="宋体" w:hAnsi="宋体" w:cs="宋体"/>
                <w:b w:val="0"/>
                <w:bCs w:val="0"/>
                <w:color w:val="auto"/>
                <w:sz w:val="21"/>
                <w:szCs w:val="21"/>
                <w:highlight w:val="none"/>
              </w:rPr>
              <w:t>分；</w:t>
            </w:r>
          </w:p>
          <w:p w14:paraId="379E0148">
            <w:pPr>
              <w:widowControl/>
              <w:spacing w:line="360" w:lineRule="auto"/>
              <w:ind w:right="145" w:rightChars="69"/>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ascii="宋体" w:hAnsi="宋体" w:cs="宋体"/>
                <w:b w:val="0"/>
                <w:bCs w:val="0"/>
                <w:color w:val="auto"/>
                <w:sz w:val="21"/>
                <w:szCs w:val="21"/>
                <w:highlight w:val="none"/>
              </w:rPr>
              <w:t>对上述方案中具体小项内容虽都有对应的方案描述、但可行性、逻辑性、针对性欠佳、方案有轻微缺陷仅能基本满足项目需求的得</w:t>
            </w:r>
            <w:r>
              <w:rPr>
                <w:rFonts w:hint="eastAsia" w:ascii="宋体" w:hAnsi="宋体" w:cs="宋体"/>
                <w:b w:val="0"/>
                <w:bCs w:val="0"/>
                <w:color w:val="auto"/>
                <w:sz w:val="21"/>
                <w:szCs w:val="21"/>
                <w:highlight w:val="none"/>
                <w:lang w:val="en-US" w:eastAsia="zh-CN"/>
              </w:rPr>
              <w:t>0-4</w:t>
            </w:r>
            <w:r>
              <w:rPr>
                <w:rFonts w:ascii="宋体" w:hAnsi="宋体" w:cs="宋体"/>
                <w:b w:val="0"/>
                <w:bCs w:val="0"/>
                <w:color w:val="auto"/>
                <w:sz w:val="21"/>
                <w:szCs w:val="21"/>
                <w:highlight w:val="none"/>
              </w:rPr>
              <w:t>分；</w:t>
            </w:r>
          </w:p>
        </w:tc>
        <w:tc>
          <w:tcPr>
            <w:tcW w:w="934" w:type="dxa"/>
            <w:noWrap w:val="0"/>
            <w:vAlign w:val="center"/>
          </w:tcPr>
          <w:p w14:paraId="347637ED">
            <w:pPr>
              <w:widowControl/>
              <w:spacing w:line="360" w:lineRule="auto"/>
              <w:ind w:right="145" w:rightChars="69"/>
              <w:jc w:val="center"/>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12</w:t>
            </w:r>
            <w:r>
              <w:rPr>
                <w:rFonts w:hint="eastAsia" w:ascii="宋体" w:hAnsi="宋体" w:cs="宋体"/>
                <w:b w:val="0"/>
                <w:bCs w:val="0"/>
                <w:color w:val="auto"/>
                <w:sz w:val="21"/>
                <w:szCs w:val="21"/>
                <w:highlight w:val="none"/>
              </w:rPr>
              <w:t>分</w:t>
            </w:r>
          </w:p>
        </w:tc>
      </w:tr>
      <w:tr w14:paraId="2839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5" w:hRule="atLeast"/>
        </w:trPr>
        <w:tc>
          <w:tcPr>
            <w:tcW w:w="461" w:type="dxa"/>
            <w:noWrap w:val="0"/>
            <w:vAlign w:val="center"/>
          </w:tcPr>
          <w:p w14:paraId="13F74C13">
            <w:pPr>
              <w:widowControl/>
              <w:spacing w:line="372"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p>
        </w:tc>
        <w:tc>
          <w:tcPr>
            <w:tcW w:w="1350" w:type="dxa"/>
            <w:noWrap w:val="0"/>
            <w:vAlign w:val="center"/>
          </w:tcPr>
          <w:p w14:paraId="6340577A">
            <w:pPr>
              <w:widowControl/>
              <w:spacing w:line="372"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应急预案和处理方案</w:t>
            </w:r>
          </w:p>
        </w:tc>
        <w:tc>
          <w:tcPr>
            <w:tcW w:w="6774" w:type="dxa"/>
            <w:noWrap w:val="0"/>
            <w:vAlign w:val="center"/>
          </w:tcPr>
          <w:p w14:paraId="6D1DB760">
            <w:pPr>
              <w:widowControl/>
              <w:spacing w:line="372" w:lineRule="auto"/>
              <w:rPr>
                <w:rFonts w:ascii="宋体" w:hAnsi="宋体" w:cs="宋体"/>
                <w:b w:val="0"/>
                <w:bCs w:val="0"/>
                <w:color w:val="auto"/>
                <w:sz w:val="21"/>
                <w:szCs w:val="21"/>
                <w:highlight w:val="none"/>
              </w:rPr>
            </w:pPr>
            <w:r>
              <w:rPr>
                <w:rFonts w:ascii="宋体" w:hAnsi="宋体" w:cs="宋体"/>
                <w:b w:val="0"/>
                <w:bCs w:val="0"/>
                <w:color w:val="auto"/>
                <w:sz w:val="21"/>
                <w:szCs w:val="21"/>
                <w:highlight w:val="none"/>
              </w:rPr>
              <w:t>根据投标人对本项目质量保障措施以及对项目实施过程中可能遇到的突发情况的预估和应对措施(包括但不限于对突发事件的应急预案和处理方案等)</w:t>
            </w:r>
          </w:p>
          <w:p w14:paraId="54239C85">
            <w:pPr>
              <w:widowControl/>
              <w:spacing w:line="372" w:lineRule="auto"/>
              <w:rPr>
                <w:rFonts w:ascii="宋体" w:hAnsi="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ascii="宋体" w:hAnsi="宋体" w:cs="宋体"/>
                <w:b w:val="0"/>
                <w:bCs w:val="0"/>
                <w:color w:val="auto"/>
                <w:sz w:val="21"/>
                <w:szCs w:val="21"/>
                <w:highlight w:val="none"/>
              </w:rPr>
              <w:t>质量保障措施成熟有效、严密完整、合理可行、对可能遇到突发情况的预估前瞻性和针对性强、承诺的应急保障及危机处置预案内容覆盖全面、</w:t>
            </w:r>
            <w:r>
              <w:rPr>
                <w:rFonts w:hint="eastAsia" w:ascii="宋体" w:hAnsi="宋体" w:cs="宋体"/>
                <w:b w:val="0"/>
                <w:bCs w:val="0"/>
                <w:color w:val="auto"/>
                <w:sz w:val="21"/>
                <w:szCs w:val="21"/>
                <w:highlight w:val="none"/>
                <w:lang w:val="en-US" w:eastAsia="zh-CN"/>
              </w:rPr>
              <w:t>2.</w:t>
            </w:r>
            <w:r>
              <w:rPr>
                <w:rFonts w:ascii="宋体" w:hAnsi="宋体" w:cs="宋体"/>
                <w:b w:val="0"/>
                <w:bCs w:val="0"/>
                <w:color w:val="auto"/>
                <w:sz w:val="21"/>
                <w:szCs w:val="21"/>
                <w:highlight w:val="none"/>
              </w:rPr>
              <w:t>可操作性强、在满足项目需求的基础上能有利于项目实施的得</w:t>
            </w:r>
            <w:r>
              <w:rPr>
                <w:rFonts w:hint="eastAsia" w:ascii="宋体" w:hAnsi="宋体" w:cs="宋体"/>
                <w:b w:val="0"/>
                <w:bCs w:val="0"/>
                <w:color w:val="auto"/>
                <w:sz w:val="21"/>
                <w:szCs w:val="21"/>
                <w:highlight w:val="none"/>
                <w:lang w:val="en-US" w:eastAsia="zh-CN"/>
              </w:rPr>
              <w:t>6.01-10</w:t>
            </w:r>
            <w:r>
              <w:rPr>
                <w:rFonts w:ascii="宋体" w:hAnsi="宋体" w:cs="宋体"/>
                <w:b w:val="0"/>
                <w:bCs w:val="0"/>
                <w:color w:val="auto"/>
                <w:sz w:val="21"/>
                <w:szCs w:val="21"/>
                <w:highlight w:val="none"/>
              </w:rPr>
              <w:t>分；</w:t>
            </w:r>
          </w:p>
          <w:p w14:paraId="1FEE2BFC">
            <w:pPr>
              <w:widowControl/>
              <w:spacing w:line="372" w:lineRule="auto"/>
              <w:rPr>
                <w:rFonts w:ascii="宋体" w:hAnsi="宋体" w:cs="宋体"/>
                <w:b w:val="0"/>
                <w:bCs w:val="0"/>
                <w:color w:val="auto"/>
                <w:sz w:val="21"/>
                <w:szCs w:val="21"/>
                <w:highlight w:val="none"/>
              </w:rPr>
            </w:pPr>
            <w:r>
              <w:rPr>
                <w:rFonts w:ascii="宋体" w:hAnsi="宋体" w:cs="宋体"/>
                <w:b w:val="0"/>
                <w:bCs w:val="0"/>
                <w:color w:val="auto"/>
                <w:sz w:val="21"/>
                <w:szCs w:val="21"/>
                <w:highlight w:val="none"/>
              </w:rPr>
              <w:t>对上述内容均有预估和措施内容、对突发情况的预估和应对有正确认识和解决思路、基本能满足项目实施要求的得</w:t>
            </w:r>
            <w:r>
              <w:rPr>
                <w:rFonts w:hint="eastAsia" w:ascii="宋体" w:hAnsi="宋体" w:cs="宋体"/>
                <w:b w:val="0"/>
                <w:bCs w:val="0"/>
                <w:color w:val="auto"/>
                <w:sz w:val="21"/>
                <w:szCs w:val="21"/>
                <w:highlight w:val="none"/>
                <w:lang w:val="en-US" w:eastAsia="zh-CN"/>
              </w:rPr>
              <w:t>3.01-6</w:t>
            </w:r>
            <w:r>
              <w:rPr>
                <w:rFonts w:ascii="宋体" w:hAnsi="宋体" w:cs="宋体"/>
                <w:b w:val="0"/>
                <w:bCs w:val="0"/>
                <w:color w:val="auto"/>
                <w:sz w:val="21"/>
                <w:szCs w:val="21"/>
                <w:highlight w:val="none"/>
              </w:rPr>
              <w:t>分；</w:t>
            </w:r>
          </w:p>
          <w:p w14:paraId="4FDB75CF">
            <w:pPr>
              <w:widowControl/>
              <w:spacing w:line="372"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ascii="宋体" w:hAnsi="宋体" w:cs="宋体"/>
                <w:b w:val="0"/>
                <w:bCs w:val="0"/>
                <w:color w:val="auto"/>
                <w:sz w:val="21"/>
                <w:szCs w:val="21"/>
                <w:highlight w:val="none"/>
              </w:rPr>
              <w:t>对上述内容的预估和措施有缺项内容、不利于项目实施的得</w:t>
            </w:r>
            <w:r>
              <w:rPr>
                <w:rFonts w:hint="eastAsia" w:ascii="宋体" w:hAnsi="宋体" w:cs="宋体"/>
                <w:b w:val="0"/>
                <w:bCs w:val="0"/>
                <w:color w:val="auto"/>
                <w:sz w:val="21"/>
                <w:szCs w:val="21"/>
                <w:highlight w:val="none"/>
                <w:lang w:val="en-US" w:eastAsia="zh-CN"/>
              </w:rPr>
              <w:t>0-3</w:t>
            </w:r>
            <w:r>
              <w:rPr>
                <w:rFonts w:ascii="宋体" w:hAnsi="宋体" w:cs="宋体"/>
                <w:b w:val="0"/>
                <w:bCs w:val="0"/>
                <w:color w:val="auto"/>
                <w:sz w:val="21"/>
                <w:szCs w:val="21"/>
                <w:highlight w:val="none"/>
              </w:rPr>
              <w:t>分 ；</w:t>
            </w:r>
          </w:p>
        </w:tc>
        <w:tc>
          <w:tcPr>
            <w:tcW w:w="934" w:type="dxa"/>
            <w:noWrap w:val="0"/>
            <w:vAlign w:val="center"/>
          </w:tcPr>
          <w:p w14:paraId="363D340C">
            <w:pPr>
              <w:widowControl/>
              <w:spacing w:line="372" w:lineRule="auto"/>
              <w:jc w:val="center"/>
              <w:textAlignment w:val="center"/>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10</w:t>
            </w:r>
            <w:r>
              <w:rPr>
                <w:rFonts w:hint="eastAsia" w:ascii="宋体" w:hAnsi="宋体" w:cs="宋体"/>
                <w:b w:val="0"/>
                <w:bCs w:val="0"/>
                <w:color w:val="auto"/>
                <w:sz w:val="21"/>
                <w:szCs w:val="21"/>
                <w:highlight w:val="none"/>
              </w:rPr>
              <w:t>分</w:t>
            </w:r>
          </w:p>
        </w:tc>
      </w:tr>
      <w:tr w14:paraId="4255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5" w:hRule="atLeast"/>
        </w:trPr>
        <w:tc>
          <w:tcPr>
            <w:tcW w:w="461" w:type="dxa"/>
            <w:noWrap w:val="0"/>
            <w:vAlign w:val="center"/>
          </w:tcPr>
          <w:p w14:paraId="126E027A">
            <w:pPr>
              <w:widowControl/>
              <w:spacing w:line="372" w:lineRule="auto"/>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p>
        </w:tc>
        <w:tc>
          <w:tcPr>
            <w:tcW w:w="1350" w:type="dxa"/>
            <w:noWrap w:val="0"/>
            <w:vAlign w:val="center"/>
          </w:tcPr>
          <w:p w14:paraId="12587CE7">
            <w:pPr>
              <w:widowControl/>
              <w:spacing w:line="372"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培训方案</w:t>
            </w:r>
          </w:p>
        </w:tc>
        <w:tc>
          <w:tcPr>
            <w:tcW w:w="6774" w:type="dxa"/>
            <w:noWrap w:val="0"/>
            <w:vAlign w:val="center"/>
          </w:tcPr>
          <w:p w14:paraId="5F68A0BA">
            <w:pPr>
              <w:widowControl/>
              <w:spacing w:line="372" w:lineRule="auto"/>
              <w:rPr>
                <w:rFonts w:ascii="宋体" w:hAnsi="宋体" w:eastAsia="宋体" w:cs="宋体"/>
                <w:b w:val="0"/>
                <w:bCs w:val="0"/>
                <w:color w:val="auto"/>
                <w:sz w:val="21"/>
                <w:szCs w:val="21"/>
                <w:highlight w:val="none"/>
              </w:rPr>
            </w:pPr>
            <w:r>
              <w:rPr>
                <w:rFonts w:ascii="宋体" w:hAnsi="宋体" w:eastAsia="宋体" w:cs="宋体"/>
                <w:b w:val="0"/>
                <w:bCs w:val="0"/>
                <w:color w:val="auto"/>
                <w:sz w:val="21"/>
                <w:szCs w:val="21"/>
                <w:highlight w:val="none"/>
              </w:rPr>
              <w:t>根据投标人针对本项目制定的培训方案(包括但不限于提供系统或设备的应用培训、操作培训和维护培训及提供其他形式培训的情况，具体至培训次数、方式、准备资料、目标、参训人员、课程内容、时间、场地、考核等):</w:t>
            </w:r>
          </w:p>
          <w:p w14:paraId="76056CFE">
            <w:pPr>
              <w:widowControl/>
              <w:spacing w:line="372"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ascii="宋体" w:hAnsi="宋体" w:eastAsia="宋体" w:cs="宋体"/>
                <w:b w:val="0"/>
                <w:bCs w:val="0"/>
                <w:color w:val="auto"/>
                <w:sz w:val="21"/>
                <w:szCs w:val="21"/>
                <w:highlight w:val="none"/>
              </w:rPr>
              <w:t>方案内容准确完整、成熟有效、严密完善、合理可行、前瞻性强、前后逻辑一致、培训落实的保障程度和技术支持程度高、在满足项目需求的基础上能有利于项目实施的得</w:t>
            </w:r>
            <w:r>
              <w:rPr>
                <w:rFonts w:hint="eastAsia" w:ascii="宋体" w:hAnsi="宋体" w:eastAsia="宋体" w:cs="宋体"/>
                <w:b w:val="0"/>
                <w:bCs w:val="0"/>
                <w:color w:val="auto"/>
                <w:sz w:val="21"/>
                <w:szCs w:val="21"/>
                <w:highlight w:val="none"/>
                <w:lang w:val="en-US" w:eastAsia="zh-CN"/>
              </w:rPr>
              <w:t>4.01-5</w:t>
            </w:r>
            <w:r>
              <w:rPr>
                <w:rFonts w:ascii="宋体" w:hAnsi="宋体" w:eastAsia="宋体" w:cs="宋体"/>
                <w:b w:val="0"/>
                <w:bCs w:val="0"/>
                <w:color w:val="auto"/>
                <w:sz w:val="21"/>
                <w:szCs w:val="21"/>
                <w:highlight w:val="none"/>
              </w:rPr>
              <w:t>分；</w:t>
            </w:r>
          </w:p>
          <w:p w14:paraId="71A87D6B">
            <w:pPr>
              <w:widowControl/>
              <w:spacing w:line="372"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ascii="宋体" w:hAnsi="宋体" w:eastAsia="宋体" w:cs="宋体"/>
                <w:b w:val="0"/>
                <w:bCs w:val="0"/>
                <w:color w:val="auto"/>
                <w:sz w:val="21"/>
                <w:szCs w:val="21"/>
                <w:highlight w:val="none"/>
              </w:rPr>
              <w:t>对上述方案中具体小项内容虽都有对应的方案描述、但可行性、 逻辑性、针对性欠佳、培训落实的保障程度和技术支持程度一般、方案有轻微缺陷仅能基本满足项目需求的得</w:t>
            </w:r>
            <w:r>
              <w:rPr>
                <w:rFonts w:hint="eastAsia" w:ascii="宋体" w:hAnsi="宋体" w:eastAsia="宋体" w:cs="宋体"/>
                <w:b w:val="0"/>
                <w:bCs w:val="0"/>
                <w:color w:val="auto"/>
                <w:sz w:val="21"/>
                <w:szCs w:val="21"/>
                <w:highlight w:val="none"/>
                <w:lang w:val="en-US" w:eastAsia="zh-CN"/>
              </w:rPr>
              <w:t>2.01-4</w:t>
            </w:r>
            <w:r>
              <w:rPr>
                <w:rFonts w:ascii="宋体" w:hAnsi="宋体" w:eastAsia="宋体" w:cs="宋体"/>
                <w:b w:val="0"/>
                <w:bCs w:val="0"/>
                <w:color w:val="auto"/>
                <w:sz w:val="21"/>
                <w:szCs w:val="21"/>
                <w:highlight w:val="none"/>
              </w:rPr>
              <w:t>分；</w:t>
            </w:r>
          </w:p>
          <w:p w14:paraId="100E1F86">
            <w:pPr>
              <w:widowControl/>
              <w:spacing w:line="372" w:lineRule="auto"/>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ascii="宋体" w:hAnsi="宋体" w:eastAsia="宋体" w:cs="宋体"/>
                <w:b w:val="0"/>
                <w:bCs w:val="0"/>
                <w:color w:val="auto"/>
                <w:sz w:val="21"/>
                <w:szCs w:val="21"/>
                <w:highlight w:val="none"/>
              </w:rPr>
              <w:t>对上述方案中具体小项内容有缺项的或整体方案有严重缺陷不利于项目实施的得</w:t>
            </w:r>
            <w:r>
              <w:rPr>
                <w:rFonts w:hint="eastAsia" w:ascii="宋体" w:hAnsi="宋体" w:eastAsia="宋体" w:cs="宋体"/>
                <w:b w:val="0"/>
                <w:bCs w:val="0"/>
                <w:color w:val="auto"/>
                <w:sz w:val="21"/>
                <w:szCs w:val="21"/>
                <w:highlight w:val="none"/>
                <w:lang w:val="en-US" w:eastAsia="zh-CN"/>
              </w:rPr>
              <w:t>0-2</w:t>
            </w:r>
            <w:r>
              <w:rPr>
                <w:rFonts w:ascii="宋体" w:hAnsi="宋体" w:eastAsia="宋体" w:cs="宋体"/>
                <w:b w:val="0"/>
                <w:bCs w:val="0"/>
                <w:color w:val="auto"/>
                <w:sz w:val="21"/>
                <w:szCs w:val="21"/>
                <w:highlight w:val="none"/>
              </w:rPr>
              <w:t>分；</w:t>
            </w:r>
          </w:p>
        </w:tc>
        <w:tc>
          <w:tcPr>
            <w:tcW w:w="934" w:type="dxa"/>
            <w:noWrap w:val="0"/>
            <w:vAlign w:val="center"/>
          </w:tcPr>
          <w:p w14:paraId="50A03A28">
            <w:pPr>
              <w:widowControl/>
              <w:spacing w:line="372" w:lineRule="auto"/>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0-5分</w:t>
            </w:r>
          </w:p>
        </w:tc>
      </w:tr>
      <w:tr w14:paraId="6B35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65" w:hRule="atLeast"/>
        </w:trPr>
        <w:tc>
          <w:tcPr>
            <w:tcW w:w="461" w:type="dxa"/>
            <w:noWrap w:val="0"/>
            <w:vAlign w:val="center"/>
          </w:tcPr>
          <w:p w14:paraId="4E9AB1B0">
            <w:pPr>
              <w:widowControl/>
              <w:spacing w:line="372" w:lineRule="auto"/>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p>
        </w:tc>
        <w:tc>
          <w:tcPr>
            <w:tcW w:w="1350" w:type="dxa"/>
            <w:noWrap w:val="0"/>
            <w:vAlign w:val="center"/>
          </w:tcPr>
          <w:p w14:paraId="49D00CDA">
            <w:pPr>
              <w:widowControl/>
              <w:spacing w:line="372" w:lineRule="auto"/>
              <w:jc w:val="center"/>
              <w:rPr>
                <w:rFonts w:ascii="宋体" w:hAnsi="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售后服务方案</w:t>
            </w:r>
          </w:p>
        </w:tc>
        <w:tc>
          <w:tcPr>
            <w:tcW w:w="6774" w:type="dxa"/>
            <w:noWrap w:val="0"/>
            <w:vAlign w:val="center"/>
          </w:tcPr>
          <w:p w14:paraId="20974252">
            <w:pPr>
              <w:widowControl/>
              <w:spacing w:line="372" w:lineRule="auto"/>
              <w:rPr>
                <w:rFonts w:ascii="宋体" w:hAnsi="宋体" w:eastAsia="宋体" w:cs="宋体"/>
                <w:b w:val="0"/>
                <w:bCs w:val="0"/>
                <w:color w:val="auto"/>
                <w:sz w:val="21"/>
                <w:szCs w:val="21"/>
                <w:highlight w:val="none"/>
              </w:rPr>
            </w:pPr>
            <w:r>
              <w:rPr>
                <w:rFonts w:ascii="宋体" w:hAnsi="宋体" w:eastAsia="宋体" w:cs="宋体"/>
                <w:b w:val="0"/>
                <w:bCs w:val="0"/>
                <w:color w:val="auto"/>
                <w:sz w:val="21"/>
                <w:szCs w:val="21"/>
                <w:highlight w:val="none"/>
              </w:rPr>
              <w:t>根据投标人针对本项目制定的售后服务方案(包括但不限于详细的售后服务优惠承诺、质保期、并明确质保期后的保修承诺、定期免费上门巡检、备品备件的配备情况、设备配件价格、消耗品或易耗品的使用周期和价格、售后服务人员的配备、解决问题的 能力、紧急故障处理预案、响应时间、维修时间、售后服务保障及售后服务机构的综合实力等):</w:t>
            </w:r>
          </w:p>
          <w:p w14:paraId="13A4CDFA">
            <w:pPr>
              <w:widowControl/>
              <w:spacing w:line="372"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ascii="宋体" w:hAnsi="宋体" w:eastAsia="宋体" w:cs="宋体"/>
                <w:b w:val="0"/>
                <w:bCs w:val="0"/>
                <w:color w:val="auto"/>
                <w:sz w:val="21"/>
                <w:szCs w:val="21"/>
                <w:highlight w:val="none"/>
              </w:rPr>
              <w:t>方案内容准确完整、成熟有效、严密完善、合理可行、前瞻性强、前后逻辑一致、有明显的实质性优惠承诺或措施、且在满足项目需求的基础上能有利于项目实施的得</w:t>
            </w:r>
            <w:r>
              <w:rPr>
                <w:rFonts w:hint="eastAsia" w:ascii="宋体" w:hAnsi="宋体" w:eastAsia="宋体" w:cs="宋体"/>
                <w:b w:val="0"/>
                <w:bCs w:val="0"/>
                <w:color w:val="auto"/>
                <w:sz w:val="21"/>
                <w:szCs w:val="21"/>
                <w:highlight w:val="none"/>
                <w:lang w:val="en-US" w:eastAsia="zh-CN"/>
              </w:rPr>
              <w:t>4.01-5</w:t>
            </w:r>
            <w:r>
              <w:rPr>
                <w:rFonts w:ascii="宋体" w:hAnsi="宋体" w:eastAsia="宋体" w:cs="宋体"/>
                <w:b w:val="0"/>
                <w:bCs w:val="0"/>
                <w:color w:val="auto"/>
                <w:sz w:val="21"/>
                <w:szCs w:val="21"/>
                <w:highlight w:val="none"/>
              </w:rPr>
              <w:t>分；</w:t>
            </w:r>
          </w:p>
          <w:p w14:paraId="5755C155">
            <w:pPr>
              <w:widowControl/>
              <w:spacing w:line="372"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ascii="宋体" w:hAnsi="宋体" w:eastAsia="宋体" w:cs="宋体"/>
                <w:b w:val="0"/>
                <w:bCs w:val="0"/>
                <w:color w:val="auto"/>
                <w:sz w:val="21"/>
                <w:szCs w:val="21"/>
                <w:highlight w:val="none"/>
              </w:rPr>
              <w:t>方案内容完整、有一定可行性、能完全满足项目需求的得</w:t>
            </w:r>
            <w:r>
              <w:rPr>
                <w:rFonts w:hint="eastAsia" w:ascii="宋体" w:hAnsi="宋体" w:eastAsia="宋体" w:cs="宋体"/>
                <w:b w:val="0"/>
                <w:bCs w:val="0"/>
                <w:color w:val="auto"/>
                <w:sz w:val="21"/>
                <w:szCs w:val="21"/>
                <w:highlight w:val="none"/>
                <w:lang w:val="en-US" w:eastAsia="zh-CN"/>
              </w:rPr>
              <w:t>2.01-</w:t>
            </w:r>
            <w:r>
              <w:rPr>
                <w:rFonts w:ascii="宋体" w:hAnsi="宋体" w:eastAsia="宋体" w:cs="宋体"/>
                <w:b w:val="0"/>
                <w:bCs w:val="0"/>
                <w:color w:val="auto"/>
                <w:sz w:val="21"/>
                <w:szCs w:val="21"/>
                <w:highlight w:val="none"/>
              </w:rPr>
              <w:t>4分；</w:t>
            </w:r>
          </w:p>
          <w:p w14:paraId="53EADDEE">
            <w:pPr>
              <w:widowControl/>
              <w:spacing w:line="372" w:lineRule="auto"/>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ascii="宋体" w:hAnsi="宋体" w:eastAsia="宋体" w:cs="宋体"/>
                <w:b w:val="0"/>
                <w:bCs w:val="0"/>
                <w:color w:val="auto"/>
                <w:sz w:val="21"/>
                <w:szCs w:val="21"/>
                <w:highlight w:val="none"/>
              </w:rPr>
              <w:t>对上述方案中具体小项内容虽都有对应的方案描述、但可行性、 逻辑性、针对性欠佳、方案有轻微缺陷仅能基本满足项目需求的得</w:t>
            </w:r>
            <w:r>
              <w:rPr>
                <w:rFonts w:hint="eastAsia" w:ascii="宋体" w:hAnsi="宋体" w:eastAsia="宋体" w:cs="宋体"/>
                <w:b w:val="0"/>
                <w:bCs w:val="0"/>
                <w:color w:val="auto"/>
                <w:sz w:val="21"/>
                <w:szCs w:val="21"/>
                <w:highlight w:val="none"/>
                <w:lang w:val="en-US" w:eastAsia="zh-CN"/>
              </w:rPr>
              <w:t>0-</w:t>
            </w:r>
            <w:r>
              <w:rPr>
                <w:rFonts w:ascii="宋体" w:hAnsi="宋体" w:eastAsia="宋体" w:cs="宋体"/>
                <w:b w:val="0"/>
                <w:bCs w:val="0"/>
                <w:color w:val="auto"/>
                <w:sz w:val="21"/>
                <w:szCs w:val="21"/>
                <w:highlight w:val="none"/>
              </w:rPr>
              <w:t>2分 ；</w:t>
            </w:r>
          </w:p>
        </w:tc>
        <w:tc>
          <w:tcPr>
            <w:tcW w:w="934" w:type="dxa"/>
            <w:noWrap w:val="0"/>
            <w:vAlign w:val="center"/>
          </w:tcPr>
          <w:p w14:paraId="20915FCF">
            <w:pPr>
              <w:widowControl/>
              <w:spacing w:line="372" w:lineRule="auto"/>
              <w:jc w:val="center"/>
              <w:textAlignment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0-5分</w:t>
            </w:r>
          </w:p>
        </w:tc>
      </w:tr>
    </w:tbl>
    <w:p w14:paraId="73D2B810">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注：1、上述评分项目，以投标人在采购响应文件中做出的书面承诺或加盖公章的证明材料为准，若未按上述要求提供书面及证明材料，或提供的书面及证明材料与事实不符，或提供的书面及证明材料无法提供完整的采购响应信息的均不给分。任何由于投标人原因导致书面及证明材料缺失、字迹模糊无法分辨、内容错漏的情形，均可能导致该投标人的评审项失分。</w:t>
      </w:r>
    </w:p>
    <w:p w14:paraId="0C814185">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4"/>
          <w:szCs w:val="24"/>
          <w:highlight w:val="none"/>
          <w:lang w:val="en-US" w:eastAsia="zh-CN"/>
        </w:rPr>
        <w:t>2、每个评委根据上述评分内容和分值独立打分，然后将各评委汇总分的算术平均值作为该投标人的商务技术分。（计算分值四舍五入，保留小数点后二位）</w:t>
      </w:r>
    </w:p>
    <w:p w14:paraId="760BB7E5">
      <w:pPr>
        <w:keepNext w:val="0"/>
        <w:keepLines w:val="0"/>
        <w:pageBreakBefore w:val="0"/>
        <w:widowControl w:val="0"/>
        <w:kinsoku/>
        <w:wordWrap/>
        <w:overflowPunct/>
        <w:topLinePunct w:val="0"/>
        <w:autoSpaceDE/>
        <w:autoSpaceDN/>
        <w:bidi w:val="0"/>
        <w:adjustRightInd/>
        <w:snapToGrid/>
        <w:spacing w:line="336" w:lineRule="auto"/>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color w:val="auto"/>
          <w:sz w:val="24"/>
          <w:szCs w:val="24"/>
          <w:highlight w:val="none"/>
        </w:rPr>
        <w:t>定标办法</w:t>
      </w:r>
    </w:p>
    <w:p w14:paraId="3C0147D7">
      <w:pPr>
        <w:keepNext w:val="0"/>
        <w:keepLines w:val="0"/>
        <w:pageBreakBefore w:val="0"/>
        <w:widowControl w:val="0"/>
        <w:kinsoku/>
        <w:wordWrap/>
        <w:overflowPunct/>
        <w:topLinePunct w:val="0"/>
        <w:autoSpaceDE/>
        <w:autoSpaceDN/>
        <w:bidi w:val="0"/>
        <w:adjustRightInd/>
        <w:snapToGrid/>
        <w:spacing w:line="336" w:lineRule="auto"/>
        <w:ind w:left="420" w:hanging="480" w:hanging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1、本次招标由评标委员会推荐中标候选人，采购单位根据评标委员会的推荐结果进行最终确认。</w:t>
      </w:r>
    </w:p>
    <w:p w14:paraId="494EFA7C">
      <w:pPr>
        <w:keepNext w:val="0"/>
        <w:keepLines w:val="0"/>
        <w:pageBreakBefore w:val="0"/>
        <w:widowControl w:val="0"/>
        <w:numPr>
          <w:ilvl w:val="0"/>
          <w:numId w:val="7"/>
        </w:numPr>
        <w:tabs>
          <w:tab w:val="left" w:pos="540"/>
        </w:tabs>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评标委员会依据法律、法规及招标文件有关规定在有效标中按投标人的最终得分【即</w:t>
      </w:r>
      <w:r>
        <w:rPr>
          <w:rFonts w:hint="eastAsia" w:ascii="宋体" w:hAnsi="宋体" w:cs="宋体"/>
          <w:color w:val="auto"/>
          <w:sz w:val="24"/>
          <w:szCs w:val="24"/>
          <w:highlight w:val="none"/>
          <w:lang w:eastAsia="zh-CN"/>
        </w:rPr>
        <w:t>商务技术文件</w:t>
      </w:r>
      <w:r>
        <w:rPr>
          <w:rFonts w:hint="eastAsia" w:ascii="宋体" w:hAnsi="宋体" w:eastAsia="宋体" w:cs="宋体"/>
          <w:color w:val="auto"/>
          <w:sz w:val="24"/>
          <w:szCs w:val="24"/>
          <w:highlight w:val="none"/>
        </w:rPr>
        <w:t>与报价分之和】</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高</w:t>
      </w:r>
      <w:r>
        <w:rPr>
          <w:rFonts w:hint="eastAsia" w:ascii="宋体" w:hAnsi="宋体" w:eastAsia="宋体" w:cs="宋体"/>
          <w:color w:val="auto"/>
          <w:sz w:val="24"/>
          <w:szCs w:val="24"/>
          <w:highlight w:val="none"/>
          <w:lang w:eastAsia="zh-CN"/>
        </w:rPr>
        <w:t>到</w:t>
      </w:r>
      <w:r>
        <w:rPr>
          <w:rFonts w:hint="eastAsia" w:ascii="宋体" w:hAnsi="宋体" w:eastAsia="宋体" w:cs="宋体"/>
          <w:color w:val="auto"/>
          <w:sz w:val="24"/>
          <w:szCs w:val="24"/>
          <w:highlight w:val="none"/>
        </w:rPr>
        <w:t>低进行排序，综合得分最高的投标人作为本项目的</w:t>
      </w:r>
      <w:r>
        <w:rPr>
          <w:rFonts w:hint="eastAsia" w:ascii="宋体" w:hAnsi="宋体" w:eastAsia="宋体" w:cs="宋体"/>
          <w:color w:val="auto"/>
          <w:sz w:val="24"/>
          <w:szCs w:val="24"/>
          <w:highlight w:val="none"/>
          <w:lang w:val="en-US" w:eastAsia="zh-CN"/>
        </w:rPr>
        <w:t>第一</w:t>
      </w:r>
      <w:r>
        <w:rPr>
          <w:rFonts w:hint="eastAsia" w:ascii="宋体" w:hAnsi="宋体" w:eastAsia="宋体" w:cs="宋体"/>
          <w:color w:val="auto"/>
          <w:sz w:val="24"/>
          <w:szCs w:val="24"/>
          <w:highlight w:val="none"/>
        </w:rPr>
        <w:t>中标候选人（得分相同的，按投标报价</w:t>
      </w:r>
      <w:r>
        <w:rPr>
          <w:rFonts w:hint="eastAsia" w:ascii="宋体" w:hAnsi="宋体" w:eastAsia="宋体" w:cs="宋体"/>
          <w:color w:val="auto"/>
          <w:sz w:val="24"/>
          <w:szCs w:val="24"/>
          <w:highlight w:val="none"/>
          <w:lang w:eastAsia="zh-CN"/>
        </w:rPr>
        <w:t>由低到高顺序</w:t>
      </w:r>
      <w:r>
        <w:rPr>
          <w:rFonts w:hint="eastAsia" w:ascii="宋体" w:hAnsi="宋体" w:eastAsia="宋体" w:cs="宋体"/>
          <w:color w:val="auto"/>
          <w:sz w:val="24"/>
          <w:szCs w:val="24"/>
          <w:highlight w:val="none"/>
        </w:rPr>
        <w:t>排列；得分且投标报价相同的</w:t>
      </w:r>
      <w:r>
        <w:rPr>
          <w:rFonts w:hint="eastAsia" w:ascii="宋体" w:hAnsi="宋体" w:eastAsia="宋体" w:cs="宋体"/>
          <w:color w:val="auto"/>
          <w:sz w:val="24"/>
          <w:szCs w:val="24"/>
          <w:highlight w:val="none"/>
          <w:lang w:eastAsia="zh-CN"/>
        </w:rPr>
        <w:t>，由招标人现场抽签产生</w:t>
      </w:r>
      <w:r>
        <w:rPr>
          <w:rFonts w:hint="eastAsia" w:ascii="宋体" w:hAnsi="宋体" w:eastAsia="宋体" w:cs="宋体"/>
          <w:color w:val="auto"/>
          <w:sz w:val="24"/>
          <w:szCs w:val="24"/>
          <w:highlight w:val="none"/>
          <w:lang w:val="en-US" w:eastAsia="zh-CN"/>
        </w:rPr>
        <w:t>第一</w:t>
      </w:r>
      <w:r>
        <w:rPr>
          <w:rFonts w:hint="eastAsia" w:ascii="宋体" w:hAnsi="宋体" w:eastAsia="宋体" w:cs="宋体"/>
          <w:color w:val="auto"/>
          <w:sz w:val="24"/>
          <w:szCs w:val="24"/>
          <w:highlight w:val="none"/>
          <w:lang w:eastAsia="zh-CN"/>
        </w:rPr>
        <w:t>中标候选人</w:t>
      </w:r>
      <w:r>
        <w:rPr>
          <w:rFonts w:hint="eastAsia" w:ascii="宋体" w:hAnsi="宋体" w:eastAsia="宋体" w:cs="宋体"/>
          <w:color w:val="auto"/>
          <w:sz w:val="24"/>
          <w:szCs w:val="24"/>
          <w:highlight w:val="none"/>
        </w:rPr>
        <w:t>）。</w:t>
      </w:r>
    </w:p>
    <w:p w14:paraId="189E3B4F">
      <w:pPr>
        <w:numPr>
          <w:ilvl w:val="0"/>
          <w:numId w:val="7"/>
        </w:numPr>
        <w:tabs>
          <w:tab w:val="left" w:pos="540"/>
        </w:tabs>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名第一的中标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w:t>
      </w:r>
      <w:r>
        <w:rPr>
          <w:rFonts w:hint="eastAsia" w:ascii="宋体" w:hAnsi="宋体" w:eastAsia="宋体" w:cs="宋体"/>
          <w:color w:val="auto"/>
          <w:sz w:val="24"/>
          <w:szCs w:val="24"/>
          <w:highlight w:val="none"/>
          <w:lang w:eastAsia="zh-CN"/>
        </w:rPr>
        <w:t>采购人重新组织招标</w:t>
      </w:r>
      <w:r>
        <w:rPr>
          <w:rFonts w:hint="eastAsia" w:ascii="宋体" w:hAnsi="宋体" w:eastAsia="宋体" w:cs="宋体"/>
          <w:color w:val="auto"/>
          <w:sz w:val="24"/>
          <w:szCs w:val="24"/>
          <w:highlight w:val="none"/>
        </w:rPr>
        <w:t>。</w:t>
      </w:r>
    </w:p>
    <w:p w14:paraId="35758159">
      <w:pPr>
        <w:snapToGrid w:val="0"/>
        <w:spacing w:line="540" w:lineRule="exac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CN"/>
        </w:rPr>
        <w:t>、</w:t>
      </w:r>
      <w:bookmarkStart w:id="136" w:name="注意事项"/>
      <w:r>
        <w:rPr>
          <w:rFonts w:hint="eastAsia" w:ascii="宋体" w:hAnsi="宋体" w:eastAsia="宋体" w:cs="宋体"/>
          <w:b/>
          <w:bCs/>
          <w:color w:val="auto"/>
          <w:sz w:val="24"/>
          <w:szCs w:val="24"/>
          <w:highlight w:val="none"/>
          <w:lang w:val="zh-CN"/>
        </w:rPr>
        <w:t>注意事项</w:t>
      </w:r>
      <w:bookmarkEnd w:id="136"/>
    </w:p>
    <w:p w14:paraId="3A0A4B7A">
      <w:pPr>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34"/>
      <w:bookmarkEnd w:id="135"/>
    </w:p>
    <w:p w14:paraId="03E001FC">
      <w:pPr>
        <w:snapToGrid w:val="0"/>
        <w:spacing w:line="5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bookmarkStart w:id="137" w:name="_Toc221356905"/>
      <w:bookmarkStart w:id="138" w:name="_Toc221356968"/>
      <w:r>
        <w:rPr>
          <w:rFonts w:hint="eastAsia" w:ascii="宋体" w:hAnsi="宋体" w:eastAsia="宋体" w:cs="宋体"/>
          <w:b/>
          <w:color w:val="auto"/>
          <w:sz w:val="24"/>
          <w:szCs w:val="24"/>
          <w:highlight w:val="none"/>
        </w:rPr>
        <w:t>投标人义务</w:t>
      </w:r>
      <w:bookmarkEnd w:id="137"/>
      <w:bookmarkEnd w:id="138"/>
    </w:p>
    <w:p w14:paraId="0A143D7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投标人应随时接受评标委员会的询标，解答包括有关的商务、技术问题等。评标结束，所有评标资料存招标人备查。</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Start w:id="139" w:name="_Toc245722286"/>
      <w:bookmarkStart w:id="140" w:name="_Toc241404207"/>
      <w:bookmarkStart w:id="141" w:name="_Toc221374631"/>
      <w:bookmarkStart w:id="142" w:name="_Toc246261270"/>
      <w:bookmarkStart w:id="143" w:name="_Toc221356892"/>
      <w:bookmarkStart w:id="144" w:name="_Toc249758870"/>
      <w:bookmarkStart w:id="145" w:name="_Toc262049424"/>
      <w:bookmarkStart w:id="146" w:name="_Toc223716003"/>
      <w:bookmarkStart w:id="147" w:name="_Toc222114884"/>
      <w:bookmarkStart w:id="148" w:name="_Toc249758718"/>
      <w:bookmarkStart w:id="149" w:name="_Toc249758719"/>
      <w:bookmarkStart w:id="150" w:name="_Toc262105509"/>
      <w:bookmarkStart w:id="151" w:name="_Toc245191319"/>
      <w:bookmarkStart w:id="152" w:name="_Toc221356956"/>
      <w:bookmarkStart w:id="153" w:name="_Toc410031820"/>
      <w:bookmarkStart w:id="154" w:name="_Toc239145359"/>
      <w:bookmarkStart w:id="155" w:name="_Toc221423624"/>
    </w:p>
    <w:p w14:paraId="69FD7B7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宋体" w:hAnsi="宋体" w:eastAsia="宋体" w:cs="宋体"/>
          <w:b/>
          <w:bCs/>
          <w:color w:val="auto"/>
          <w:sz w:val="36"/>
          <w:szCs w:val="36"/>
          <w:highlight w:val="none"/>
        </w:rPr>
        <w:t>第六章   投标文件格式</w:t>
      </w:r>
    </w:p>
    <w:p w14:paraId="652CFE91">
      <w:pPr>
        <w:spacing w:line="460" w:lineRule="exact"/>
        <w:rPr>
          <w:rFonts w:hint="eastAsia" w:ascii="宋体" w:hAnsi="宋体" w:eastAsia="宋体" w:cs="宋体"/>
          <w:b/>
          <w:color w:val="auto"/>
          <w:sz w:val="24"/>
          <w:szCs w:val="24"/>
          <w:highlight w:val="none"/>
          <w:lang w:val="en-US" w:eastAsia="zh-CN"/>
        </w:rPr>
      </w:pPr>
      <w:bookmarkStart w:id="156" w:name="_Toc1460"/>
      <w:bookmarkStart w:id="157" w:name="_Toc20872"/>
      <w:r>
        <w:rPr>
          <w:rFonts w:hint="eastAsia" w:ascii="宋体" w:hAnsi="宋体" w:eastAsia="宋体" w:cs="宋体"/>
          <w:b/>
          <w:color w:val="auto"/>
          <w:sz w:val="24"/>
          <w:szCs w:val="24"/>
          <w:highlight w:val="none"/>
        </w:rPr>
        <w:t>投标文件封面格式</w:t>
      </w:r>
      <w:r>
        <w:rPr>
          <w:rFonts w:hint="eastAsia" w:ascii="宋体" w:hAnsi="宋体" w:eastAsia="宋体" w:cs="宋体"/>
          <w:b/>
          <w:color w:val="auto"/>
          <w:sz w:val="24"/>
          <w:szCs w:val="24"/>
          <w:highlight w:val="none"/>
          <w:lang w:eastAsia="zh-CN"/>
        </w:rPr>
        <w:t>：</w:t>
      </w:r>
      <w:bookmarkEnd w:id="156"/>
      <w:bookmarkEnd w:id="157"/>
      <w:r>
        <w:rPr>
          <w:rFonts w:hint="eastAsia" w:ascii="宋体" w:hAnsi="宋体" w:eastAsia="宋体" w:cs="宋体"/>
          <w:b/>
          <w:color w:val="auto"/>
          <w:sz w:val="24"/>
          <w:szCs w:val="24"/>
          <w:highlight w:val="none"/>
          <w:lang w:val="en-US" w:eastAsia="zh-CN"/>
        </w:rPr>
        <w:t xml:space="preserve">          </w:t>
      </w:r>
    </w:p>
    <w:p w14:paraId="08E0EB86">
      <w:pPr>
        <w:spacing w:before="185"/>
        <w:ind w:left="0" w:right="210" w:firstLine="0"/>
        <w:jc w:val="center"/>
        <w:rPr>
          <w:rFonts w:hint="eastAsia" w:ascii="宋体" w:hAnsi="宋体" w:eastAsia="宋体" w:cs="宋体"/>
          <w:b/>
          <w:bCs/>
          <w:color w:val="auto"/>
          <w:sz w:val="24"/>
          <w:szCs w:val="24"/>
          <w:highlight w:val="none"/>
        </w:rPr>
      </w:pPr>
    </w:p>
    <w:p w14:paraId="13E19E80">
      <w:pPr>
        <w:pStyle w:val="21"/>
        <w:rPr>
          <w:rFonts w:hint="eastAsia" w:ascii="宋体" w:hAnsi="宋体" w:eastAsia="宋体" w:cs="宋体"/>
          <w:color w:val="auto"/>
          <w:sz w:val="24"/>
          <w:szCs w:val="24"/>
          <w:highlight w:val="none"/>
        </w:rPr>
      </w:pPr>
    </w:p>
    <w:p w14:paraId="2C71D08C">
      <w:pPr>
        <w:pStyle w:val="21"/>
        <w:rPr>
          <w:rFonts w:hint="eastAsia" w:ascii="宋体" w:hAnsi="宋体" w:eastAsia="宋体" w:cs="宋体"/>
          <w:color w:val="auto"/>
          <w:sz w:val="24"/>
          <w:szCs w:val="24"/>
          <w:highlight w:val="none"/>
        </w:rPr>
      </w:pPr>
    </w:p>
    <w:p w14:paraId="70811E12">
      <w:pPr>
        <w:spacing w:before="185"/>
        <w:ind w:left="0" w:right="210" w:firstLine="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 标 文 件</w:t>
      </w:r>
    </w:p>
    <w:p w14:paraId="725FD85A">
      <w:pPr>
        <w:pStyle w:val="9"/>
        <w:rPr>
          <w:rFonts w:hint="eastAsia" w:ascii="宋体" w:hAnsi="宋体" w:eastAsia="宋体" w:cs="宋体"/>
          <w:b/>
          <w:color w:val="auto"/>
          <w:sz w:val="36"/>
          <w:szCs w:val="36"/>
          <w:highlight w:val="none"/>
        </w:rPr>
      </w:pPr>
    </w:p>
    <w:p w14:paraId="386B32AB">
      <w:pPr>
        <w:spacing w:before="0"/>
        <w:ind w:left="0" w:right="208" w:firstLine="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资格审查</w:t>
      </w:r>
      <w:r>
        <w:rPr>
          <w:rFonts w:hint="eastAsia" w:ascii="宋体" w:hAnsi="宋体" w:eastAsia="宋体" w:cs="宋体"/>
          <w:b/>
          <w:color w:val="auto"/>
          <w:sz w:val="36"/>
          <w:szCs w:val="36"/>
          <w:highlight w:val="none"/>
          <w:lang w:val="en-US" w:eastAsia="zh-CN"/>
        </w:rPr>
        <w:t>资料</w:t>
      </w:r>
      <w:r>
        <w:rPr>
          <w:rFonts w:hint="eastAsia" w:ascii="宋体" w:hAnsi="宋体" w:eastAsia="宋体" w:cs="宋体"/>
          <w:b/>
          <w:color w:val="auto"/>
          <w:sz w:val="36"/>
          <w:szCs w:val="36"/>
          <w:highlight w:val="none"/>
        </w:rPr>
        <w:t>/</w:t>
      </w:r>
      <w:r>
        <w:rPr>
          <w:rFonts w:hint="eastAsia" w:ascii="宋体" w:hAnsi="宋体" w:cs="宋体"/>
          <w:b/>
          <w:color w:val="auto"/>
          <w:sz w:val="36"/>
          <w:szCs w:val="36"/>
          <w:highlight w:val="none"/>
          <w:lang w:eastAsia="zh-CN"/>
        </w:rPr>
        <w:t>商务技术文件</w:t>
      </w:r>
      <w:r>
        <w:rPr>
          <w:rFonts w:hint="eastAsia" w:ascii="宋体" w:hAnsi="宋体" w:eastAsia="宋体" w:cs="宋体"/>
          <w:b/>
          <w:color w:val="auto"/>
          <w:sz w:val="36"/>
          <w:szCs w:val="36"/>
          <w:highlight w:val="none"/>
        </w:rPr>
        <w:t>/报价文件</w:t>
      </w:r>
    </w:p>
    <w:p w14:paraId="2CADC23C">
      <w:pPr>
        <w:pStyle w:val="31"/>
        <w:rPr>
          <w:rFonts w:hint="eastAsia" w:ascii="宋体" w:hAnsi="宋体" w:eastAsia="宋体" w:cs="宋体"/>
          <w:b/>
          <w:color w:val="auto"/>
          <w:sz w:val="24"/>
          <w:szCs w:val="24"/>
          <w:highlight w:val="none"/>
        </w:rPr>
      </w:pPr>
    </w:p>
    <w:p w14:paraId="624E6A6C">
      <w:pPr>
        <w:pStyle w:val="31"/>
        <w:rPr>
          <w:rFonts w:hint="eastAsia" w:ascii="宋体" w:hAnsi="宋体" w:eastAsia="宋体" w:cs="宋体"/>
          <w:b/>
          <w:color w:val="auto"/>
          <w:sz w:val="24"/>
          <w:szCs w:val="24"/>
          <w:highlight w:val="none"/>
        </w:rPr>
      </w:pPr>
    </w:p>
    <w:p w14:paraId="61EC5178">
      <w:pPr>
        <w:pStyle w:val="31"/>
        <w:rPr>
          <w:rFonts w:hint="eastAsia" w:ascii="宋体" w:hAnsi="宋体" w:eastAsia="宋体" w:cs="宋体"/>
          <w:b/>
          <w:color w:val="auto"/>
          <w:sz w:val="24"/>
          <w:szCs w:val="24"/>
          <w:highlight w:val="none"/>
        </w:rPr>
      </w:pPr>
    </w:p>
    <w:p w14:paraId="07014130">
      <w:pPr>
        <w:pStyle w:val="31"/>
        <w:rPr>
          <w:rFonts w:hint="eastAsia" w:ascii="宋体" w:hAnsi="宋体" w:eastAsia="宋体" w:cs="宋体"/>
          <w:b/>
          <w:color w:val="auto"/>
          <w:sz w:val="24"/>
          <w:szCs w:val="24"/>
          <w:highlight w:val="none"/>
        </w:rPr>
      </w:pPr>
    </w:p>
    <w:p w14:paraId="0561645E">
      <w:pPr>
        <w:keepNext w:val="0"/>
        <w:keepLines w:val="0"/>
        <w:pageBreakBefore w:val="0"/>
        <w:widowControl w:val="0"/>
        <w:kinsoku/>
        <w:wordWrap/>
        <w:overflowPunct/>
        <w:topLinePunct w:val="0"/>
        <w:autoSpaceDE/>
        <w:autoSpaceDN/>
        <w:bidi w:val="0"/>
        <w:adjustRightInd w:val="0"/>
        <w:snapToGrid w:val="0"/>
        <w:spacing w:line="720" w:lineRule="auto"/>
        <w:ind w:left="0" w:leftChars="0" w:right="0" w:rightChars="0" w:firstLine="960" w:firstLineChars="400"/>
        <w:jc w:val="both"/>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47963B5C">
      <w:pPr>
        <w:keepNext w:val="0"/>
        <w:keepLines w:val="0"/>
        <w:pageBreakBefore w:val="0"/>
        <w:widowControl w:val="0"/>
        <w:kinsoku/>
        <w:wordWrap/>
        <w:overflowPunct/>
        <w:topLinePunct w:val="0"/>
        <w:autoSpaceDE/>
        <w:autoSpaceDN/>
        <w:bidi w:val="0"/>
        <w:adjustRightInd w:val="0"/>
        <w:snapToGrid w:val="0"/>
        <w:spacing w:line="720" w:lineRule="auto"/>
        <w:ind w:left="0" w:leftChars="0" w:right="0" w:rightChars="0" w:firstLine="960" w:firstLineChars="4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xml:space="preserve"> </w:t>
      </w:r>
    </w:p>
    <w:p w14:paraId="6FA9D3F0">
      <w:pPr>
        <w:keepNext w:val="0"/>
        <w:keepLines w:val="0"/>
        <w:pageBreakBefore w:val="0"/>
        <w:widowControl w:val="0"/>
        <w:kinsoku/>
        <w:wordWrap/>
        <w:overflowPunct/>
        <w:topLinePunct w:val="0"/>
        <w:autoSpaceDE/>
        <w:autoSpaceDN/>
        <w:bidi w:val="0"/>
        <w:adjustRightInd w:val="0"/>
        <w:snapToGrid w:val="0"/>
        <w:spacing w:line="720" w:lineRule="auto"/>
        <w:ind w:left="0" w:leftChars="0" w:right="0" w:rightChars="0" w:firstLine="960" w:firstLineChars="4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全称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6095DF60">
      <w:pPr>
        <w:keepNext w:val="0"/>
        <w:keepLines w:val="0"/>
        <w:pageBreakBefore w:val="0"/>
        <w:widowControl w:val="0"/>
        <w:kinsoku/>
        <w:wordWrap/>
        <w:topLinePunct w:val="0"/>
        <w:bidi w:val="0"/>
        <w:adjustRightInd w:val="0"/>
        <w:snapToGrid w:val="0"/>
        <w:spacing w:line="720" w:lineRule="auto"/>
        <w:ind w:left="0" w:leftChars="0" w:right="0" w:rightChars="0" w:firstLine="960" w:firstLineChars="400"/>
        <w:jc w:val="both"/>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投标人地址：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50548FE8">
      <w:pPr>
        <w:rPr>
          <w:color w:val="auto"/>
          <w:sz w:val="24"/>
          <w:szCs w:val="24"/>
          <w:highlight w:val="none"/>
        </w:rPr>
      </w:pPr>
    </w:p>
    <w:p w14:paraId="4D5AD2BE">
      <w:pPr>
        <w:pStyle w:val="21"/>
        <w:rPr>
          <w:color w:val="auto"/>
          <w:sz w:val="24"/>
          <w:szCs w:val="24"/>
          <w:highlight w:val="none"/>
        </w:rPr>
      </w:pPr>
    </w:p>
    <w:p w14:paraId="023AA25F">
      <w:pPr>
        <w:pStyle w:val="21"/>
        <w:rPr>
          <w:color w:val="auto"/>
          <w:sz w:val="24"/>
          <w:szCs w:val="24"/>
          <w:highlight w:val="none"/>
        </w:rPr>
      </w:pPr>
    </w:p>
    <w:p w14:paraId="4BC3BEB1">
      <w:pPr>
        <w:pStyle w:val="21"/>
        <w:rPr>
          <w:color w:val="auto"/>
          <w:sz w:val="24"/>
          <w:szCs w:val="24"/>
          <w:highlight w:val="none"/>
        </w:rPr>
      </w:pPr>
    </w:p>
    <w:p w14:paraId="3522EEAB">
      <w:pPr>
        <w:pStyle w:val="21"/>
        <w:rPr>
          <w:color w:val="auto"/>
          <w:sz w:val="24"/>
          <w:szCs w:val="24"/>
          <w:highlight w:val="none"/>
        </w:rPr>
      </w:pPr>
    </w:p>
    <w:p w14:paraId="5E363632">
      <w:pPr>
        <w:widowControl/>
        <w:spacing w:line="420" w:lineRule="atLeast"/>
        <w:jc w:val="center"/>
        <w:rPr>
          <w:rFonts w:hint="eastAsia" w:ascii="宋体" w:hAnsi="宋体" w:eastAsia="宋体" w:cs="宋体"/>
          <w:b/>
          <w:bCs/>
          <w:color w:val="auto"/>
          <w:kern w:val="0"/>
          <w:sz w:val="24"/>
          <w:szCs w:val="24"/>
          <w:highlight w:val="none"/>
        </w:rPr>
      </w:pPr>
    </w:p>
    <w:p w14:paraId="579BDBF3">
      <w:pPr>
        <w:widowControl/>
        <w:spacing w:line="420" w:lineRule="atLeast"/>
        <w:jc w:val="center"/>
        <w:rPr>
          <w:rFonts w:hint="eastAsia" w:ascii="宋体" w:hAnsi="宋体" w:eastAsia="宋体" w:cs="宋体"/>
          <w:b/>
          <w:bCs/>
          <w:color w:val="auto"/>
          <w:kern w:val="0"/>
          <w:sz w:val="24"/>
          <w:szCs w:val="24"/>
          <w:highlight w:val="none"/>
        </w:rPr>
      </w:pPr>
    </w:p>
    <w:p w14:paraId="416596E0">
      <w:pPr>
        <w:widowControl/>
        <w:spacing w:line="420" w:lineRule="atLeast"/>
        <w:jc w:val="center"/>
        <w:rPr>
          <w:rFonts w:hint="eastAsia" w:ascii="宋体" w:hAnsi="宋体" w:eastAsia="宋体" w:cs="宋体"/>
          <w:b/>
          <w:bCs/>
          <w:color w:val="auto"/>
          <w:kern w:val="0"/>
          <w:sz w:val="24"/>
          <w:szCs w:val="24"/>
          <w:highlight w:val="none"/>
        </w:rPr>
      </w:pPr>
    </w:p>
    <w:p w14:paraId="68C4E6A1">
      <w:pPr>
        <w:widowControl/>
        <w:spacing w:line="420" w:lineRule="atLeast"/>
        <w:jc w:val="center"/>
        <w:rPr>
          <w:rFonts w:hint="eastAsia" w:ascii="宋体" w:hAnsi="宋体" w:eastAsia="宋体" w:cs="宋体"/>
          <w:b/>
          <w:bCs/>
          <w:color w:val="auto"/>
          <w:kern w:val="0"/>
          <w:sz w:val="24"/>
          <w:szCs w:val="24"/>
          <w:highlight w:val="none"/>
        </w:rPr>
        <w:sectPr>
          <w:pgSz w:w="11906" w:h="16838"/>
          <w:pgMar w:top="1440" w:right="1429" w:bottom="1440" w:left="1236" w:header="851" w:footer="850" w:gutter="0"/>
          <w:pgNumType w:fmt="decimal"/>
          <w:cols w:space="0" w:num="1"/>
          <w:docGrid w:linePitch="312" w:charSpace="0"/>
        </w:sectPr>
      </w:pPr>
    </w:p>
    <w:p w14:paraId="3A336377">
      <w:pPr>
        <w:widowControl/>
        <w:spacing w:line="420" w:lineRule="atLeas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法定代表人身份证明</w:t>
      </w:r>
    </w:p>
    <w:p w14:paraId="2E5C48EA">
      <w:pPr>
        <w:widowControl/>
        <w:spacing w:line="42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p w14:paraId="4662A97D">
      <w:pPr>
        <w:widowControl/>
        <w:spacing w:line="420" w:lineRule="atLeast"/>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6AD53CB6">
      <w:pPr>
        <w:widowControl/>
        <w:spacing w:line="360" w:lineRule="auto"/>
        <w:ind w:firstLine="10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w:t>
      </w:r>
      <w:r>
        <w:rPr>
          <w:rFonts w:hint="eastAsia" w:ascii="宋体" w:hAnsi="宋体" w:eastAsia="宋体" w:cs="宋体"/>
          <w:color w:val="auto"/>
          <w:kern w:val="0"/>
          <w:sz w:val="24"/>
          <w:szCs w:val="24"/>
          <w:highlight w:val="none"/>
          <w:u w:val="single"/>
        </w:rPr>
        <w:t xml:space="preserve">                                               </w:t>
      </w:r>
    </w:p>
    <w:p w14:paraId="2B44F585">
      <w:pPr>
        <w:widowControl/>
        <w:spacing w:line="360" w:lineRule="auto"/>
        <w:ind w:firstLine="108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单位性质：</w:t>
      </w:r>
      <w:r>
        <w:rPr>
          <w:rFonts w:hint="eastAsia" w:ascii="宋体" w:hAnsi="宋体" w:eastAsia="宋体" w:cs="宋体"/>
          <w:color w:val="auto"/>
          <w:kern w:val="0"/>
          <w:sz w:val="24"/>
          <w:szCs w:val="24"/>
          <w:highlight w:val="none"/>
          <w:u w:val="single"/>
        </w:rPr>
        <w:t xml:space="preserve">                                               </w:t>
      </w:r>
    </w:p>
    <w:p w14:paraId="2BA1D3E2">
      <w:pPr>
        <w:widowControl/>
        <w:spacing w:line="360" w:lineRule="auto"/>
        <w:ind w:firstLine="108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u w:val="single"/>
        </w:rPr>
        <w:t xml:space="preserve">                                               </w:t>
      </w:r>
    </w:p>
    <w:p w14:paraId="5A366F10">
      <w:pPr>
        <w:widowControl/>
        <w:spacing w:line="360" w:lineRule="auto"/>
        <w:ind w:firstLine="10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381FBFCF">
      <w:pPr>
        <w:widowControl/>
        <w:spacing w:line="360" w:lineRule="auto"/>
        <w:ind w:firstLine="108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0C7915E0">
      <w:pPr>
        <w:widowControl/>
        <w:spacing w:line="360" w:lineRule="auto"/>
        <w:ind w:firstLine="108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姓    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性    别：</w:t>
      </w:r>
      <w:r>
        <w:rPr>
          <w:rFonts w:hint="eastAsia" w:ascii="宋体" w:hAnsi="宋体" w:eastAsia="宋体" w:cs="宋体"/>
          <w:color w:val="auto"/>
          <w:kern w:val="0"/>
          <w:sz w:val="24"/>
          <w:szCs w:val="24"/>
          <w:highlight w:val="none"/>
          <w:u w:val="single"/>
        </w:rPr>
        <w:t xml:space="preserve">            </w:t>
      </w:r>
    </w:p>
    <w:p w14:paraId="6906B36A">
      <w:pPr>
        <w:widowControl/>
        <w:spacing w:line="360" w:lineRule="auto"/>
        <w:ind w:firstLine="108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年    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职    务：</w:t>
      </w:r>
      <w:r>
        <w:rPr>
          <w:rFonts w:hint="eastAsia" w:ascii="宋体" w:hAnsi="宋体" w:eastAsia="宋体" w:cs="宋体"/>
          <w:color w:val="auto"/>
          <w:kern w:val="0"/>
          <w:sz w:val="24"/>
          <w:szCs w:val="24"/>
          <w:highlight w:val="none"/>
          <w:u w:val="single"/>
        </w:rPr>
        <w:t xml:space="preserve">            </w:t>
      </w:r>
    </w:p>
    <w:p w14:paraId="36A5E996">
      <w:pPr>
        <w:widowControl/>
        <w:spacing w:line="360" w:lineRule="auto"/>
        <w:ind w:firstLine="10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（投标人名称）的法定代表人。</w:t>
      </w:r>
    </w:p>
    <w:p w14:paraId="105F6863">
      <w:pPr>
        <w:widowControl/>
        <w:spacing w:line="360" w:lineRule="auto"/>
        <w:ind w:firstLine="10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132FB9C3">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1830E036">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62F8A73F">
      <w:pPr>
        <w:widowControl/>
        <w:spacing w:line="360" w:lineRule="auto"/>
        <w:ind w:right="-64" w:firstLine="36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投标人：</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（盖单位章）</w:t>
      </w:r>
    </w:p>
    <w:p w14:paraId="3A873690">
      <w:pPr>
        <w:widowControl/>
        <w:spacing w:line="360" w:lineRule="auto"/>
        <w:ind w:right="420"/>
        <w:rPr>
          <w:rFonts w:hint="eastAsia" w:ascii="宋体" w:hAnsi="宋体" w:eastAsia="宋体" w:cs="宋体"/>
          <w:b w:val="0"/>
          <w:bCs w:val="0"/>
          <w:color w:val="auto"/>
          <w:kern w:val="0"/>
          <w:sz w:val="24"/>
          <w:szCs w:val="24"/>
          <w:highlight w:val="none"/>
          <w:u w:val="single"/>
        </w:rPr>
      </w:pPr>
    </w:p>
    <w:p w14:paraId="1F343D8B">
      <w:pPr>
        <w:widowControl/>
        <w:spacing w:line="360" w:lineRule="auto"/>
        <w:ind w:right="-64" w:firstLine="432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月</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 xml:space="preserve">日 </w:t>
      </w:r>
    </w:p>
    <w:p w14:paraId="2E737CD7">
      <w:pPr>
        <w:pStyle w:val="31"/>
        <w:spacing w:line="360" w:lineRule="auto"/>
        <w:rPr>
          <w:rFonts w:hint="eastAsia" w:ascii="宋体" w:hAnsi="宋体" w:eastAsia="宋体" w:cs="宋体"/>
          <w:b/>
          <w:bCs/>
          <w:color w:val="auto"/>
          <w:sz w:val="24"/>
          <w:szCs w:val="24"/>
          <w:highlight w:val="none"/>
        </w:rPr>
      </w:pPr>
    </w:p>
    <w:p w14:paraId="60145F70">
      <w:pPr>
        <w:pStyle w:val="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D1F0D2F">
      <w:pPr>
        <w:pStyle w:val="8"/>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1" locked="0" layoutInCell="1" allowOverlap="1">
                <wp:simplePos x="0" y="0"/>
                <wp:positionH relativeFrom="page">
                  <wp:posOffset>1589405</wp:posOffset>
                </wp:positionH>
                <wp:positionV relativeFrom="paragraph">
                  <wp:posOffset>19050</wp:posOffset>
                </wp:positionV>
                <wp:extent cx="4283075" cy="2268855"/>
                <wp:effectExtent l="4445" t="5080" r="17780" b="12065"/>
                <wp:wrapNone/>
                <wp:docPr id="1" name="文本框 1"/>
                <wp:cNvGraphicFramePr/>
                <a:graphic xmlns:a="http://schemas.openxmlformats.org/drawingml/2006/main">
                  <a:graphicData uri="http://schemas.microsoft.com/office/word/2010/wordprocessingShape">
                    <wps:wsp>
                      <wps:cNvSpPr txBox="1"/>
                      <wps:spPr>
                        <a:xfrm>
                          <a:off x="0" y="0"/>
                          <a:ext cx="4283075" cy="2268855"/>
                        </a:xfrm>
                        <a:prstGeom prst="rect">
                          <a:avLst/>
                        </a:prstGeom>
                        <a:noFill/>
                        <a:ln w="6096" cap="flat" cmpd="sng">
                          <a:solidFill>
                            <a:srgbClr val="000000"/>
                          </a:solidFill>
                          <a:prstDash val="solid"/>
                          <a:miter/>
                          <a:headEnd type="none" w="med" len="med"/>
                          <a:tailEnd type="none" w="med" len="med"/>
                        </a:ln>
                        <a:effectLst/>
                      </wps:spPr>
                      <wps:txbx>
                        <w:txbxContent>
                          <w:p w14:paraId="5F6A5EE9">
                            <w:pPr>
                              <w:pStyle w:val="8"/>
                              <w:jc w:val="center"/>
                              <w:rPr>
                                <w:sz w:val="20"/>
                              </w:rPr>
                            </w:pPr>
                          </w:p>
                          <w:p w14:paraId="56EAB9F5">
                            <w:pPr>
                              <w:pStyle w:val="8"/>
                              <w:jc w:val="center"/>
                              <w:rPr>
                                <w:sz w:val="20"/>
                              </w:rPr>
                            </w:pPr>
                          </w:p>
                          <w:p w14:paraId="609029E8">
                            <w:pPr>
                              <w:pStyle w:val="8"/>
                              <w:jc w:val="center"/>
                              <w:rPr>
                                <w:sz w:val="20"/>
                              </w:rPr>
                            </w:pPr>
                          </w:p>
                          <w:p w14:paraId="16D3FE41">
                            <w:pPr>
                              <w:spacing w:before="174"/>
                              <w:ind w:left="303" w:right="0" w:firstLine="0"/>
                              <w:jc w:val="center"/>
                              <w:rPr>
                                <w:sz w:val="20"/>
                              </w:rPr>
                            </w:pPr>
                            <w:r>
                              <w:rPr>
                                <w:rFonts w:hint="eastAsia"/>
                                <w:sz w:val="20"/>
                              </w:rPr>
                              <w:t>法定代表人</w:t>
                            </w:r>
                            <w:r>
                              <w:rPr>
                                <w:sz w:val="20"/>
                              </w:rPr>
                              <w:t>身份证正反面</w:t>
                            </w:r>
                            <w:r>
                              <w:rPr>
                                <w:rFonts w:hint="eastAsia"/>
                                <w:sz w:val="20"/>
                                <w:lang w:val="en-US" w:eastAsia="zh-CN"/>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25.15pt;margin-top:1.5pt;height:178.65pt;width:337.25pt;mso-position-horizontal-relative:page;z-index:-251655168;mso-width-relative:page;mso-height-relative:page;" filled="f" stroked="t" coordsize="21600,21600" o:gfxdata="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ooarvVAAAACQEAAA8A&#10;AAAAAAAAAQAgAAAAIgAAAGRycy9kb3ducmV2LnhtbFBLAQIUABQAAAAIAIdO4kB0fjHPGgIAAEAE&#10;AAAOAAAAAAAAAAEAIAAAACQBAABkcnMvZTJvRG9jLnhtbFBLBQYAAAAABgAGAFkBAACwBQAAAAA=&#10;">
                <v:fill on="f" focussize="0,0"/>
                <v:stroke weight="0.48pt" color="#000000" joinstyle="miter"/>
                <v:imagedata o:title=""/>
                <o:lock v:ext="edit" aspectratio="f"/>
                <v:textbox inset="0mm,0mm,0mm,0mm">
                  <w:txbxContent>
                    <w:p w14:paraId="5F6A5EE9">
                      <w:pPr>
                        <w:pStyle w:val="8"/>
                        <w:jc w:val="center"/>
                        <w:rPr>
                          <w:sz w:val="20"/>
                        </w:rPr>
                      </w:pPr>
                    </w:p>
                    <w:p w14:paraId="56EAB9F5">
                      <w:pPr>
                        <w:pStyle w:val="8"/>
                        <w:jc w:val="center"/>
                        <w:rPr>
                          <w:sz w:val="20"/>
                        </w:rPr>
                      </w:pPr>
                    </w:p>
                    <w:p w14:paraId="609029E8">
                      <w:pPr>
                        <w:pStyle w:val="8"/>
                        <w:jc w:val="center"/>
                        <w:rPr>
                          <w:sz w:val="20"/>
                        </w:rPr>
                      </w:pPr>
                    </w:p>
                    <w:p w14:paraId="16D3FE41">
                      <w:pPr>
                        <w:spacing w:before="174"/>
                        <w:ind w:left="303" w:right="0" w:firstLine="0"/>
                        <w:jc w:val="center"/>
                        <w:rPr>
                          <w:sz w:val="20"/>
                        </w:rPr>
                      </w:pPr>
                      <w:r>
                        <w:rPr>
                          <w:rFonts w:hint="eastAsia"/>
                          <w:sz w:val="20"/>
                        </w:rPr>
                        <w:t>法定代表人</w:t>
                      </w:r>
                      <w:r>
                        <w:rPr>
                          <w:sz w:val="20"/>
                        </w:rPr>
                        <w:t>身份证正反面</w:t>
                      </w:r>
                      <w:r>
                        <w:rPr>
                          <w:rFonts w:hint="eastAsia"/>
                          <w:sz w:val="20"/>
                          <w:lang w:val="en-US" w:eastAsia="zh-CN"/>
                        </w:rPr>
                        <w:t>影印件或</w:t>
                      </w:r>
                      <w:r>
                        <w:rPr>
                          <w:sz w:val="20"/>
                        </w:rPr>
                        <w:t>复印件粘贴处</w:t>
                      </w:r>
                    </w:p>
                  </w:txbxContent>
                </v:textbox>
              </v:shape>
            </w:pict>
          </mc:Fallback>
        </mc:AlternateContent>
      </w:r>
      <w:r>
        <w:rPr>
          <w:rFonts w:hint="eastAsia" w:ascii="宋体" w:hAnsi="宋体" w:eastAsia="宋体" w:cs="宋体"/>
          <w:color w:val="auto"/>
          <w:kern w:val="0"/>
          <w:sz w:val="24"/>
          <w:szCs w:val="24"/>
          <w:highlight w:val="none"/>
        </w:rPr>
        <w:t xml:space="preserve">   </w:t>
      </w:r>
    </w:p>
    <w:p w14:paraId="2C0BE14A">
      <w:pPr>
        <w:widowControl/>
        <w:spacing w:line="42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30"/>
          <w:szCs w:val="30"/>
          <w:highlight w:val="none"/>
        </w:rPr>
        <w:t>法定代表人授权委托书</w:t>
      </w:r>
    </w:p>
    <w:p w14:paraId="5DDA2056">
      <w:pPr>
        <w:widowControl/>
        <w:spacing w:line="420" w:lineRule="atLeast"/>
        <w:ind w:left="1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2CB94DEF">
      <w:pPr>
        <w:widowControl/>
        <w:spacing w:line="360" w:lineRule="auto"/>
        <w:ind w:left="12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本授权书声明：我</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（法人代表姓名、职务）是</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（单位名称）的法人代表，现代表本单位授权</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（被授权人的姓名、职务）为本单位的合法代理人，就参加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（采购编号）公开招标的投标、签订合同以及合同的执行、完成和服务，及以本单位名义处理一切与之有关的事务。</w:t>
      </w:r>
    </w:p>
    <w:p w14:paraId="49D4B1BE">
      <w:pPr>
        <w:widowControl/>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本授权书于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日签字生效，特此声明。</w:t>
      </w:r>
    </w:p>
    <w:p w14:paraId="375C2DFA">
      <w:pPr>
        <w:pStyle w:val="31"/>
        <w:spacing w:line="360" w:lineRule="auto"/>
        <w:rPr>
          <w:rFonts w:hint="eastAsia" w:ascii="宋体" w:hAnsi="宋体" w:eastAsia="宋体" w:cs="宋体"/>
          <w:color w:val="auto"/>
          <w:sz w:val="24"/>
          <w:szCs w:val="24"/>
          <w:highlight w:val="none"/>
        </w:rPr>
      </w:pPr>
    </w:p>
    <w:p w14:paraId="7F9F9179">
      <w:pPr>
        <w:widowControl/>
        <w:spacing w:line="360" w:lineRule="auto"/>
        <w:ind w:firstLine="600"/>
        <w:jc w:val="left"/>
        <w:rPr>
          <w:rFonts w:hint="eastAsia" w:ascii="宋体" w:hAnsi="宋体" w:eastAsia="宋体" w:cs="宋体"/>
          <w:color w:val="auto"/>
          <w:kern w:val="0"/>
          <w:sz w:val="24"/>
          <w:szCs w:val="24"/>
          <w:highlight w:val="none"/>
        </w:rPr>
      </w:pPr>
    </w:p>
    <w:p w14:paraId="23D5F131">
      <w:pPr>
        <w:widowControl/>
        <w:spacing w:line="360" w:lineRule="auto"/>
        <w:ind w:firstLine="6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法人代表（签字）</w:t>
      </w:r>
      <w:r>
        <w:rPr>
          <w:rFonts w:hint="eastAsia" w:ascii="宋体" w:hAnsi="宋体" w:eastAsia="宋体" w:cs="宋体"/>
          <w:b w:val="0"/>
          <w:bCs w:val="0"/>
          <w:color w:val="auto"/>
          <w:kern w:val="0"/>
          <w:sz w:val="24"/>
          <w:szCs w:val="24"/>
          <w:highlight w:val="none"/>
          <w:u w:val="single"/>
        </w:rPr>
        <w:t xml:space="preserve">                          </w:t>
      </w:r>
    </w:p>
    <w:p w14:paraId="76E3185A">
      <w:pPr>
        <w:widowControl/>
        <w:spacing w:line="360" w:lineRule="auto"/>
        <w:ind w:firstLine="6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授权委托人（签字）</w:t>
      </w:r>
      <w:r>
        <w:rPr>
          <w:rFonts w:hint="eastAsia" w:ascii="宋体" w:hAnsi="宋体" w:eastAsia="宋体" w:cs="宋体"/>
          <w:b w:val="0"/>
          <w:bCs w:val="0"/>
          <w:color w:val="auto"/>
          <w:kern w:val="0"/>
          <w:sz w:val="24"/>
          <w:szCs w:val="24"/>
          <w:highlight w:val="none"/>
          <w:u w:val="single"/>
        </w:rPr>
        <w:t xml:space="preserve">                        </w:t>
      </w:r>
    </w:p>
    <w:p w14:paraId="125A4B71">
      <w:pPr>
        <w:widowControl/>
        <w:spacing w:line="360" w:lineRule="auto"/>
        <w:ind w:firstLine="6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单位名称（公章）</w:t>
      </w:r>
      <w:r>
        <w:rPr>
          <w:rFonts w:hint="eastAsia" w:ascii="宋体" w:hAnsi="宋体" w:eastAsia="宋体" w:cs="宋体"/>
          <w:b w:val="0"/>
          <w:bCs w:val="0"/>
          <w:color w:val="auto"/>
          <w:kern w:val="0"/>
          <w:sz w:val="24"/>
          <w:szCs w:val="24"/>
          <w:highlight w:val="none"/>
          <w:u w:val="single"/>
        </w:rPr>
        <w:t xml:space="preserve">                          </w:t>
      </w:r>
    </w:p>
    <w:p w14:paraId="191F7ADA">
      <w:pPr>
        <w:widowControl/>
        <w:spacing w:line="360" w:lineRule="auto"/>
        <w:ind w:firstLine="480"/>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 日    期：</w:t>
      </w:r>
      <w:r>
        <w:rPr>
          <w:rFonts w:hint="eastAsia" w:ascii="宋体" w:hAnsi="宋体" w:eastAsia="宋体" w:cs="宋体"/>
          <w:b w:val="0"/>
          <w:bCs w:val="0"/>
          <w:color w:val="auto"/>
          <w:kern w:val="0"/>
          <w:sz w:val="24"/>
          <w:szCs w:val="24"/>
          <w:highlight w:val="none"/>
          <w:u w:val="single"/>
        </w:rPr>
        <w:t xml:space="preserve">                                 </w:t>
      </w:r>
    </w:p>
    <w:p w14:paraId="7B9CAE4E">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4A8F95F4">
      <w:pPr>
        <w:widowControl/>
        <w:spacing w:line="360" w:lineRule="auto"/>
        <w:rPr>
          <w:rFonts w:hint="eastAsia" w:ascii="宋体" w:hAnsi="宋体" w:eastAsia="宋体" w:cs="宋体"/>
          <w:color w:val="auto"/>
          <w:kern w:val="0"/>
          <w:sz w:val="24"/>
          <w:szCs w:val="24"/>
          <w:highlight w:val="none"/>
        </w:rPr>
      </w:pPr>
    </w:p>
    <w:p w14:paraId="55FD27DE">
      <w:pPr>
        <w:pStyle w:val="8"/>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 xml:space="preserve"> </w:t>
      </w:r>
    </w:p>
    <w:p w14:paraId="333434E0">
      <w:pPr>
        <w:spacing w:line="460" w:lineRule="exact"/>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1" locked="0" layoutInCell="1" allowOverlap="1">
                <wp:simplePos x="0" y="0"/>
                <wp:positionH relativeFrom="page">
                  <wp:posOffset>1608455</wp:posOffset>
                </wp:positionH>
                <wp:positionV relativeFrom="paragraph">
                  <wp:posOffset>161925</wp:posOffset>
                </wp:positionV>
                <wp:extent cx="4330700" cy="2270125"/>
                <wp:effectExtent l="5080" t="5080" r="7620" b="10795"/>
                <wp:wrapNone/>
                <wp:docPr id="2" name="文本框 2"/>
                <wp:cNvGraphicFramePr/>
                <a:graphic xmlns:a="http://schemas.openxmlformats.org/drawingml/2006/main">
                  <a:graphicData uri="http://schemas.microsoft.com/office/word/2010/wordprocessingShape">
                    <wps:wsp>
                      <wps:cNvSpPr txBox="1"/>
                      <wps:spPr>
                        <a:xfrm>
                          <a:off x="0" y="0"/>
                          <a:ext cx="4330700" cy="2270125"/>
                        </a:xfrm>
                        <a:prstGeom prst="rect">
                          <a:avLst/>
                        </a:prstGeom>
                        <a:noFill/>
                        <a:ln w="6096" cap="flat" cmpd="sng">
                          <a:solidFill>
                            <a:srgbClr val="000000"/>
                          </a:solidFill>
                          <a:prstDash val="solid"/>
                          <a:miter/>
                          <a:headEnd type="none" w="med" len="med"/>
                          <a:tailEnd type="none" w="med" len="med"/>
                        </a:ln>
                        <a:effectLst/>
                      </wps:spPr>
                      <wps:txbx>
                        <w:txbxContent>
                          <w:p w14:paraId="742F7F56">
                            <w:pPr>
                              <w:pStyle w:val="8"/>
                              <w:rPr>
                                <w:sz w:val="20"/>
                              </w:rPr>
                            </w:pPr>
                          </w:p>
                          <w:p w14:paraId="108396CB">
                            <w:pPr>
                              <w:pStyle w:val="8"/>
                              <w:rPr>
                                <w:sz w:val="20"/>
                              </w:rPr>
                            </w:pPr>
                          </w:p>
                          <w:p w14:paraId="3CCB5A3F">
                            <w:pPr>
                              <w:pStyle w:val="8"/>
                              <w:rPr>
                                <w:sz w:val="20"/>
                              </w:rPr>
                            </w:pPr>
                          </w:p>
                          <w:p w14:paraId="2ADDA0C4">
                            <w:pPr>
                              <w:spacing w:before="174"/>
                              <w:ind w:left="303" w:right="0" w:firstLine="0"/>
                              <w:jc w:val="center"/>
                              <w:rPr>
                                <w:sz w:val="20"/>
                              </w:rPr>
                            </w:pPr>
                            <w:r>
                              <w:rPr>
                                <w:rFonts w:hint="eastAsia"/>
                                <w:sz w:val="20"/>
                              </w:rPr>
                              <w:t>被授权人</w:t>
                            </w:r>
                            <w:r>
                              <w:rPr>
                                <w:sz w:val="20"/>
                              </w:rPr>
                              <w:t>身份证正反面</w:t>
                            </w:r>
                            <w:r>
                              <w:rPr>
                                <w:rFonts w:hint="eastAsia"/>
                                <w:sz w:val="20"/>
                                <w:lang w:val="en-US" w:eastAsia="zh-CN"/>
                              </w:rPr>
                              <w:t>影印件或</w:t>
                            </w:r>
                            <w:r>
                              <w:rPr>
                                <w:sz w:val="20"/>
                              </w:rPr>
                              <w:t>复印件粘贴处</w:t>
                            </w:r>
                          </w:p>
                        </w:txbxContent>
                      </wps:txbx>
                      <wps:bodyPr lIns="0" tIns="0" rIns="0" bIns="0" upright="1"/>
                    </wps:wsp>
                  </a:graphicData>
                </a:graphic>
              </wp:anchor>
            </w:drawing>
          </mc:Choice>
          <mc:Fallback>
            <w:pict>
              <v:shape id="_x0000_s1026" o:spid="_x0000_s1026" o:spt="202" type="#_x0000_t202" style="position:absolute;left:0pt;margin-left:126.65pt;margin-top:12.75pt;height:178.75pt;width:341pt;mso-position-horizontal-relative:page;z-index:-251654144;mso-width-relative:page;mso-height-relative:page;" filled="f" stroked="t" coordsize="21600,21600" o:gfxdata="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IYw9YAAAAKAQAADwAA&#10;AAAAAAABACAAAAAiAAAAZHJzL2Rvd25yZXYueG1sUEsBAhQAFAAAAAgAh07iQCV4a+sYAgAAQAQA&#10;AA4AAAAAAAAAAQAgAAAAJQEAAGRycy9lMm9Eb2MueG1sUEsFBgAAAAAGAAYAWQEAAK8FAAAAAA==&#10;">
                <v:fill on="f" focussize="0,0"/>
                <v:stroke weight="0.48pt" color="#000000" joinstyle="miter"/>
                <v:imagedata o:title=""/>
                <o:lock v:ext="edit" aspectratio="f"/>
                <v:textbox inset="0mm,0mm,0mm,0mm">
                  <w:txbxContent>
                    <w:p w14:paraId="742F7F56">
                      <w:pPr>
                        <w:pStyle w:val="8"/>
                        <w:rPr>
                          <w:sz w:val="20"/>
                        </w:rPr>
                      </w:pPr>
                    </w:p>
                    <w:p w14:paraId="108396CB">
                      <w:pPr>
                        <w:pStyle w:val="8"/>
                        <w:rPr>
                          <w:sz w:val="20"/>
                        </w:rPr>
                      </w:pPr>
                    </w:p>
                    <w:p w14:paraId="3CCB5A3F">
                      <w:pPr>
                        <w:pStyle w:val="8"/>
                        <w:rPr>
                          <w:sz w:val="20"/>
                        </w:rPr>
                      </w:pPr>
                    </w:p>
                    <w:p w14:paraId="2ADDA0C4">
                      <w:pPr>
                        <w:spacing w:before="174"/>
                        <w:ind w:left="303" w:right="0" w:firstLine="0"/>
                        <w:jc w:val="center"/>
                        <w:rPr>
                          <w:sz w:val="20"/>
                        </w:rPr>
                      </w:pPr>
                      <w:r>
                        <w:rPr>
                          <w:rFonts w:hint="eastAsia"/>
                          <w:sz w:val="20"/>
                        </w:rPr>
                        <w:t>被授权人</w:t>
                      </w:r>
                      <w:r>
                        <w:rPr>
                          <w:sz w:val="20"/>
                        </w:rPr>
                        <w:t>身份证正反面</w:t>
                      </w:r>
                      <w:r>
                        <w:rPr>
                          <w:rFonts w:hint="eastAsia"/>
                          <w:sz w:val="20"/>
                          <w:lang w:val="en-US" w:eastAsia="zh-CN"/>
                        </w:rPr>
                        <w:t>影印件或</w:t>
                      </w:r>
                      <w:r>
                        <w:rPr>
                          <w:sz w:val="20"/>
                        </w:rPr>
                        <w:t>复印件粘贴处</w:t>
                      </w:r>
                    </w:p>
                  </w:txbxContent>
                </v:textbox>
              </v:shape>
            </w:pict>
          </mc:Fallback>
        </mc:AlternateContent>
      </w:r>
    </w:p>
    <w:p w14:paraId="2C7D1883">
      <w:pPr>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B615204">
      <w:pPr>
        <w:rPr>
          <w:rFonts w:hint="eastAsia"/>
          <w:color w:val="auto"/>
          <w:sz w:val="24"/>
          <w:szCs w:val="24"/>
          <w:highlight w:val="none"/>
        </w:rPr>
      </w:pPr>
    </w:p>
    <w:p w14:paraId="6598FB6E">
      <w:pPr>
        <w:snapToGrid w:val="0"/>
        <w:spacing w:line="360" w:lineRule="auto"/>
        <w:ind w:right="480"/>
        <w:jc w:val="center"/>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符合参加政府采购活动应当具备的一般条件的承诺函</w:t>
      </w:r>
    </w:p>
    <w:p w14:paraId="3B6B5C17">
      <w:pPr>
        <w:snapToGrid w:val="0"/>
        <w:spacing w:line="360" w:lineRule="auto"/>
        <w:rPr>
          <w:rFonts w:ascii="仿宋" w:hAnsi="仿宋" w:eastAsia="仿宋" w:cs="仿宋"/>
          <w:color w:val="auto"/>
          <w:sz w:val="24"/>
          <w:szCs w:val="24"/>
          <w:highlight w:val="none"/>
          <w:u w:val="single"/>
        </w:rPr>
      </w:pPr>
    </w:p>
    <w:p w14:paraId="55F5D3AF">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（采购人、采购代理机构） </w:t>
      </w:r>
      <w:r>
        <w:rPr>
          <w:rFonts w:hint="eastAsia" w:ascii="宋体" w:hAnsi="宋体" w:eastAsia="宋体" w:cs="宋体"/>
          <w:color w:val="auto"/>
          <w:sz w:val="21"/>
          <w:szCs w:val="21"/>
          <w:highlight w:val="none"/>
        </w:rPr>
        <w:t>：</w:t>
      </w:r>
    </w:p>
    <w:p w14:paraId="7AE8970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】政府采购活动，郑重承诺：</w:t>
      </w:r>
    </w:p>
    <w:p w14:paraId="530F02DD">
      <w:pPr>
        <w:snapToGrid w:val="0"/>
        <w:spacing w:line="360" w:lineRule="auto"/>
        <w:ind w:firstLine="315" w:firstLineChars="1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（一）具备《中华人民共和国政府采购法》第二十二条第一款规定的条件：</w:t>
      </w:r>
    </w:p>
    <w:p w14:paraId="7D7A977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p w14:paraId="4D5AA6D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2.具有良好的商业信誉和健全的财务会计制度；</w:t>
      </w:r>
    </w:p>
    <w:p w14:paraId="622170E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3.具有履行合同所必需的设备和专业技术能力；</w:t>
      </w:r>
    </w:p>
    <w:p w14:paraId="131F69F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4.有依法缴纳税收和社会保障资金的良好记录；</w:t>
      </w:r>
    </w:p>
    <w:p w14:paraId="61AD1F9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p w14:paraId="3505C71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6.具有法律、行政法规规定的其他条件。</w:t>
      </w:r>
    </w:p>
    <w:p w14:paraId="6E48A5A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（二）未被信用中国（www.creditchina.gov.cn)、中国政府采购网（www.ccgp.gov.cn）列入失信被执行人、重大税收违法案件当事人名单、政府采购严重违法失信行为记录名单。</w:t>
      </w:r>
    </w:p>
    <w:p w14:paraId="1341BF7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（三）不存在以下情况：</w:t>
      </w:r>
    </w:p>
    <w:p w14:paraId="7EA9C78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1.单位负责人为同一人或者存在直接控股、管理关系的不同供应商参加同一合同项下的政府采购活动的；</w:t>
      </w:r>
    </w:p>
    <w:p w14:paraId="25BA43A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2.为采购项目提供整体设计、规范编制或者项目管理、监理、检测等服务后再参加该采购项目的其他采购活动的。</w:t>
      </w:r>
    </w:p>
    <w:p w14:paraId="7618464B">
      <w:pPr>
        <w:snapToGrid w:val="0"/>
        <w:spacing w:line="360" w:lineRule="auto"/>
        <w:ind w:firstLine="4830" w:firstLineChars="2300"/>
        <w:rPr>
          <w:rFonts w:ascii="仿宋" w:hAnsi="仿宋" w:eastAsia="仿宋" w:cs="仿宋"/>
          <w:color w:val="auto"/>
          <w:kern w:val="0"/>
          <w:sz w:val="21"/>
          <w:szCs w:val="21"/>
          <w:highlight w:val="none"/>
          <w:lang w:val="zh-CN"/>
        </w:rPr>
      </w:pPr>
    </w:p>
    <w:p w14:paraId="53805FD8">
      <w:pPr>
        <w:keepNext w:val="0"/>
        <w:keepLines w:val="0"/>
        <w:pageBreakBefore w:val="0"/>
        <w:kinsoku/>
        <w:topLinePunct w:val="0"/>
        <w:bidi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投标人名称（盖章）：                             </w:t>
      </w:r>
    </w:p>
    <w:p w14:paraId="6426E0A5">
      <w:pPr>
        <w:keepNext w:val="0"/>
        <w:keepLines w:val="0"/>
        <w:pageBreakBefore w:val="0"/>
        <w:kinsoku/>
        <w:topLinePunct w:val="0"/>
        <w:bidi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法定代表人或被授权代表（签字或盖章）：              </w:t>
      </w:r>
    </w:p>
    <w:p w14:paraId="3C0A45AA">
      <w:pPr>
        <w:keepNext w:val="0"/>
        <w:keepLines w:val="0"/>
        <w:pageBreakBefore w:val="0"/>
        <w:kinsoku/>
        <w:topLinePunct w:val="0"/>
        <w:bidi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3DB6CB5A">
      <w:pPr>
        <w:jc w:val="center"/>
        <w:rPr>
          <w:rStyle w:val="39"/>
          <w:rFonts w:ascii="仿宋_GB2312" w:hAnsi="黑体" w:eastAsia="仿宋_GB2312"/>
          <w:b/>
          <w:bCs w:val="0"/>
          <w:color w:val="auto"/>
          <w:sz w:val="24"/>
          <w:szCs w:val="24"/>
          <w:highlight w:val="none"/>
        </w:rPr>
      </w:pPr>
    </w:p>
    <w:p w14:paraId="2EDF270B">
      <w:pPr>
        <w:jc w:val="center"/>
        <w:rPr>
          <w:rStyle w:val="39"/>
          <w:rFonts w:ascii="仿宋_GB2312" w:hAnsi="黑体" w:eastAsia="仿宋_GB2312"/>
          <w:b/>
          <w:bCs w:val="0"/>
          <w:color w:val="auto"/>
          <w:sz w:val="24"/>
          <w:szCs w:val="24"/>
          <w:highlight w:val="none"/>
        </w:rPr>
      </w:pPr>
    </w:p>
    <w:p w14:paraId="711C0F44">
      <w:pPr>
        <w:jc w:val="center"/>
        <w:rPr>
          <w:rStyle w:val="39"/>
          <w:rFonts w:ascii="仿宋_GB2312" w:hAnsi="黑体" w:eastAsia="仿宋_GB2312"/>
          <w:b/>
          <w:bCs w:val="0"/>
          <w:color w:val="auto"/>
          <w:sz w:val="24"/>
          <w:szCs w:val="24"/>
          <w:highlight w:val="none"/>
        </w:rPr>
      </w:pPr>
    </w:p>
    <w:p w14:paraId="438524D4">
      <w:pPr>
        <w:jc w:val="center"/>
        <w:rPr>
          <w:rStyle w:val="39"/>
          <w:rFonts w:ascii="仿宋_GB2312" w:hAnsi="黑体" w:eastAsia="仿宋_GB2312"/>
          <w:b/>
          <w:bCs w:val="0"/>
          <w:color w:val="auto"/>
          <w:sz w:val="24"/>
          <w:szCs w:val="24"/>
          <w:highlight w:val="none"/>
        </w:rPr>
      </w:pPr>
    </w:p>
    <w:p w14:paraId="212B5712">
      <w:pPr>
        <w:jc w:val="both"/>
        <w:rPr>
          <w:rStyle w:val="39"/>
          <w:rFonts w:ascii="仿宋_GB2312" w:hAnsi="黑体" w:eastAsia="仿宋_GB2312"/>
          <w:b/>
          <w:bCs w:val="0"/>
          <w:color w:val="auto"/>
          <w:sz w:val="24"/>
          <w:szCs w:val="24"/>
          <w:highlight w:val="none"/>
        </w:rPr>
      </w:pPr>
    </w:p>
    <w:p w14:paraId="72D7C528">
      <w:pPr>
        <w:spacing w:line="360" w:lineRule="auto"/>
        <w:jc w:val="center"/>
        <w:rPr>
          <w:rFonts w:ascii="仿宋_GB2312" w:eastAsia="仿宋_GB2312"/>
          <w:b/>
          <w:bCs/>
          <w:color w:val="auto"/>
          <w:sz w:val="24"/>
          <w:szCs w:val="24"/>
          <w:highlight w:val="none"/>
        </w:rPr>
      </w:pPr>
    </w:p>
    <w:p w14:paraId="3C8FB5E5">
      <w:pPr>
        <w:spacing w:line="360" w:lineRule="auto"/>
        <w:jc w:val="center"/>
        <w:rPr>
          <w:rFonts w:ascii="仿宋_GB2312" w:eastAsia="仿宋_GB2312"/>
          <w:b/>
          <w:bCs/>
          <w:color w:val="auto"/>
          <w:sz w:val="24"/>
          <w:szCs w:val="24"/>
          <w:highlight w:val="none"/>
        </w:rPr>
      </w:pPr>
    </w:p>
    <w:p w14:paraId="5B22F8B3">
      <w:pPr>
        <w:spacing w:line="360" w:lineRule="auto"/>
        <w:jc w:val="both"/>
        <w:rPr>
          <w:rFonts w:ascii="仿宋_GB2312" w:eastAsia="仿宋_GB2312"/>
          <w:b/>
          <w:bCs/>
          <w:color w:val="auto"/>
          <w:sz w:val="24"/>
          <w:szCs w:val="24"/>
          <w:highlight w:val="none"/>
        </w:rPr>
      </w:pPr>
    </w:p>
    <w:p w14:paraId="7891A7B5">
      <w:pPr>
        <w:spacing w:line="360" w:lineRule="auto"/>
        <w:jc w:val="center"/>
        <w:rPr>
          <w:rFonts w:ascii="仿宋_GB2312" w:eastAsia="仿宋_GB2312"/>
          <w:b/>
          <w:bCs/>
          <w:color w:val="auto"/>
          <w:sz w:val="24"/>
          <w:szCs w:val="24"/>
          <w:highlight w:val="none"/>
        </w:rPr>
      </w:pPr>
    </w:p>
    <w:p w14:paraId="4E40D329">
      <w:pPr>
        <w:spacing w:line="360" w:lineRule="auto"/>
        <w:jc w:val="center"/>
        <w:rPr>
          <w:rFonts w:ascii="仿宋_GB2312" w:eastAsia="仿宋_GB2312"/>
          <w:b/>
          <w:bCs/>
          <w:color w:val="auto"/>
          <w:sz w:val="24"/>
          <w:szCs w:val="24"/>
          <w:highlight w:val="none"/>
        </w:rPr>
      </w:pPr>
    </w:p>
    <w:p w14:paraId="7A2C17DF">
      <w:pPr>
        <w:spacing w:line="360" w:lineRule="auto"/>
        <w:jc w:val="center"/>
        <w:rPr>
          <w:rFonts w:ascii="仿宋_GB2312" w:eastAsia="仿宋_GB2312"/>
          <w:b/>
          <w:bCs/>
          <w:color w:val="auto"/>
          <w:sz w:val="24"/>
          <w:szCs w:val="24"/>
          <w:highlight w:val="none"/>
        </w:rPr>
      </w:pPr>
    </w:p>
    <w:p w14:paraId="2DCB8A1B">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投标人资格声明</w:t>
      </w:r>
    </w:p>
    <w:p w14:paraId="0BD26065">
      <w:pPr>
        <w:keepNext w:val="0"/>
        <w:keepLines w:val="0"/>
        <w:pageBreakBefore w:val="0"/>
        <w:widowControl w:val="0"/>
        <w:tabs>
          <w:tab w:val="left" w:pos="1824"/>
        </w:tabs>
        <w:kinsoku/>
        <w:wordWrap/>
        <w:overflowPunct/>
        <w:topLinePunct w:val="0"/>
        <w:autoSpaceDE w:val="0"/>
        <w:autoSpaceDN w:val="0"/>
        <w:bidi w:val="0"/>
        <w:adjustRightInd w:val="0"/>
        <w:snapToGrid/>
        <w:spacing w:line="340" w:lineRule="exact"/>
        <w:ind w:left="1824" w:hanging="182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1．基本情况</w:t>
      </w:r>
    </w:p>
    <w:p w14:paraId="5D17AA64">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投标人名称：</w:t>
      </w:r>
      <w:r>
        <w:rPr>
          <w:rFonts w:hint="eastAsia" w:asciiTheme="minorEastAsia" w:hAnsiTheme="minorEastAsia" w:eastAsiaTheme="minorEastAsia" w:cstheme="minorEastAsia"/>
          <w:color w:val="auto"/>
          <w:sz w:val="21"/>
          <w:szCs w:val="21"/>
          <w:highlight w:val="none"/>
          <w:u w:val="single"/>
          <w:lang w:val="zh-CN"/>
        </w:rPr>
        <w:t xml:space="preserve">                   </w:t>
      </w:r>
    </w:p>
    <w:p w14:paraId="18ACEFC7">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地   址：</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电  话：</w:t>
      </w:r>
      <w:r>
        <w:rPr>
          <w:rFonts w:hint="eastAsia" w:asciiTheme="minorEastAsia" w:hAnsiTheme="minorEastAsia" w:eastAsiaTheme="minorEastAsia" w:cstheme="minorEastAsia"/>
          <w:color w:val="auto"/>
          <w:sz w:val="21"/>
          <w:szCs w:val="21"/>
          <w:highlight w:val="none"/>
          <w:u w:val="single"/>
          <w:lang w:val="zh-CN"/>
        </w:rPr>
        <w:t xml:space="preserve">             </w:t>
      </w:r>
    </w:p>
    <w:p w14:paraId="2D8DBF8D">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成立和注册日期：</w:t>
      </w:r>
      <w:r>
        <w:rPr>
          <w:rFonts w:hint="eastAsia" w:asciiTheme="minorEastAsia" w:hAnsiTheme="minorEastAsia" w:eastAsiaTheme="minorEastAsia" w:cstheme="minorEastAsia"/>
          <w:color w:val="auto"/>
          <w:sz w:val="21"/>
          <w:szCs w:val="21"/>
          <w:highlight w:val="none"/>
          <w:u w:val="single"/>
          <w:lang w:val="zh-CN"/>
        </w:rPr>
        <w:t xml:space="preserve">             　</w:t>
      </w:r>
    </w:p>
    <w:p w14:paraId="2072D802">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主管部门：</w:t>
      </w:r>
      <w:r>
        <w:rPr>
          <w:rFonts w:hint="eastAsia" w:asciiTheme="minorEastAsia" w:hAnsiTheme="minorEastAsia" w:eastAsiaTheme="minorEastAsia" w:cstheme="minorEastAsia"/>
          <w:color w:val="auto"/>
          <w:sz w:val="21"/>
          <w:szCs w:val="21"/>
          <w:highlight w:val="none"/>
          <w:u w:val="single"/>
          <w:lang w:val="zh-CN"/>
        </w:rPr>
        <w:t xml:space="preserve">                   　</w:t>
      </w:r>
    </w:p>
    <w:p w14:paraId="6342C370">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公司性质：</w:t>
      </w:r>
      <w:r>
        <w:rPr>
          <w:rFonts w:hint="eastAsia" w:asciiTheme="minorEastAsia" w:hAnsiTheme="minorEastAsia" w:eastAsiaTheme="minorEastAsia" w:cstheme="minorEastAsia"/>
          <w:color w:val="auto"/>
          <w:sz w:val="21"/>
          <w:szCs w:val="21"/>
          <w:highlight w:val="none"/>
          <w:u w:val="single"/>
          <w:lang w:val="zh-CN"/>
        </w:rPr>
        <w:t xml:space="preserve">                  　 </w:t>
      </w:r>
    </w:p>
    <w:p w14:paraId="647FFE44">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主要负责人：</w:t>
      </w:r>
      <w:r>
        <w:rPr>
          <w:rFonts w:hint="eastAsia" w:asciiTheme="minorEastAsia" w:hAnsiTheme="minorEastAsia" w:eastAsiaTheme="minorEastAsia" w:cstheme="minorEastAsia"/>
          <w:color w:val="auto"/>
          <w:sz w:val="21"/>
          <w:szCs w:val="21"/>
          <w:highlight w:val="none"/>
          <w:u w:val="single"/>
          <w:lang w:val="zh-CN"/>
        </w:rPr>
        <w:t xml:space="preserve">             　　　</w:t>
      </w:r>
    </w:p>
    <w:p w14:paraId="30783224">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职工人数：</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(其中:技术人员</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w:t>
      </w:r>
    </w:p>
    <w:p w14:paraId="54991BBD">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最近公司(企业)的主要财务情况（到</w:t>
      </w:r>
      <w:r>
        <w:rPr>
          <w:rFonts w:hint="eastAsia" w:asciiTheme="minorEastAsia" w:hAnsiTheme="minorEastAsia" w:eastAsiaTheme="minorEastAsia" w:cstheme="minorEastAsia"/>
          <w:b/>
          <w:bCs/>
          <w:color w:val="auto"/>
          <w:sz w:val="21"/>
          <w:szCs w:val="21"/>
          <w:highlight w:val="none"/>
          <w:lang w:val="en-US" w:eastAsia="zh-CN"/>
        </w:rPr>
        <w:t>2023</w:t>
      </w:r>
      <w:r>
        <w:rPr>
          <w:rFonts w:hint="eastAsia" w:asciiTheme="minorEastAsia" w:hAnsiTheme="minorEastAsia" w:eastAsiaTheme="minorEastAsia" w:cstheme="minorEastAsia"/>
          <w:b/>
          <w:bCs/>
          <w:color w:val="auto"/>
          <w:sz w:val="21"/>
          <w:szCs w:val="21"/>
          <w:highlight w:val="none"/>
          <w:lang w:val="zh-CN"/>
        </w:rPr>
        <w:t>年12月31日</w:t>
      </w:r>
      <w:r>
        <w:rPr>
          <w:rFonts w:hint="eastAsia" w:asciiTheme="minorEastAsia" w:hAnsiTheme="minorEastAsia" w:eastAsiaTheme="minorEastAsia" w:cstheme="minorEastAsia"/>
          <w:color w:val="auto"/>
          <w:sz w:val="21"/>
          <w:szCs w:val="21"/>
          <w:highlight w:val="none"/>
          <w:lang w:val="zh-CN"/>
        </w:rPr>
        <w:t>止）</w:t>
      </w:r>
    </w:p>
    <w:p w14:paraId="64F69EC6">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注册资金：</w:t>
      </w:r>
      <w:r>
        <w:rPr>
          <w:rFonts w:hint="eastAsia" w:asciiTheme="minorEastAsia" w:hAnsiTheme="minorEastAsia" w:eastAsiaTheme="minorEastAsia" w:cstheme="minorEastAsia"/>
          <w:color w:val="auto"/>
          <w:sz w:val="21"/>
          <w:szCs w:val="21"/>
          <w:highlight w:val="none"/>
          <w:u w:val="single"/>
          <w:lang w:val="zh-CN"/>
        </w:rPr>
        <w:t xml:space="preserve">             </w:t>
      </w:r>
    </w:p>
    <w:p w14:paraId="0EC11641">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固定资产：</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 xml:space="preserve">    </w:t>
      </w:r>
    </w:p>
    <w:p w14:paraId="0C45E07E">
      <w:pPr>
        <w:keepNext w:val="0"/>
        <w:keepLines w:val="0"/>
        <w:pageBreakBefore w:val="0"/>
        <w:widowControl w:val="0"/>
        <w:kinsoku/>
        <w:wordWrap/>
        <w:overflowPunct/>
        <w:topLinePunct w:val="0"/>
        <w:autoSpaceDE w:val="0"/>
        <w:autoSpaceDN w:val="0"/>
        <w:bidi w:val="0"/>
        <w:adjustRightInd w:val="0"/>
        <w:snapToGrid/>
        <w:spacing w:line="340" w:lineRule="exact"/>
        <w:ind w:left="480"/>
        <w:textAlignment w:val="auto"/>
        <w:rPr>
          <w:rFonts w:hint="eastAsia" w:asciiTheme="minorEastAsia" w:hAnsiTheme="minorEastAsia" w:eastAsiaTheme="minorEastAsia" w:cstheme="minorEastAsia"/>
          <w:color w:val="auto"/>
          <w:sz w:val="21"/>
          <w:szCs w:val="21"/>
          <w:highlight w:val="none"/>
          <w:u w:val="single"/>
          <w:lang w:val="zh-CN"/>
        </w:rPr>
      </w:pPr>
      <w:r>
        <w:rPr>
          <w:rFonts w:hint="eastAsia" w:asciiTheme="minorEastAsia" w:hAnsiTheme="minorEastAsia" w:eastAsiaTheme="minorEastAsia" w:cstheme="minorEastAsia"/>
          <w:color w:val="auto"/>
          <w:sz w:val="21"/>
          <w:szCs w:val="21"/>
          <w:highlight w:val="none"/>
          <w:lang w:val="zh-CN"/>
        </w:rPr>
        <w:t xml:space="preserve">   原值：</w:t>
      </w:r>
      <w:r>
        <w:rPr>
          <w:rFonts w:hint="eastAsia" w:asciiTheme="minorEastAsia" w:hAnsiTheme="minorEastAsia" w:eastAsiaTheme="minorEastAsia" w:cstheme="minorEastAsia"/>
          <w:color w:val="auto"/>
          <w:sz w:val="21"/>
          <w:szCs w:val="21"/>
          <w:highlight w:val="none"/>
          <w:u w:val="single"/>
          <w:lang w:val="zh-CN"/>
        </w:rPr>
        <w:t xml:space="preserve">                 </w:t>
      </w:r>
    </w:p>
    <w:p w14:paraId="1CCAD729">
      <w:pPr>
        <w:keepNext w:val="0"/>
        <w:keepLines w:val="0"/>
        <w:pageBreakBefore w:val="0"/>
        <w:widowControl w:val="0"/>
        <w:kinsoku/>
        <w:wordWrap/>
        <w:overflowPunct/>
        <w:topLinePunct w:val="0"/>
        <w:autoSpaceDE w:val="0"/>
        <w:autoSpaceDN w:val="0"/>
        <w:bidi w:val="0"/>
        <w:adjustRightInd w:val="0"/>
        <w:snapToGrid/>
        <w:spacing w:line="340" w:lineRule="exact"/>
        <w:ind w:left="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 xml:space="preserve">   净值：</w:t>
      </w:r>
      <w:r>
        <w:rPr>
          <w:rFonts w:hint="eastAsia" w:asciiTheme="minorEastAsia" w:hAnsiTheme="minorEastAsia" w:eastAsiaTheme="minorEastAsia" w:cstheme="minorEastAsia"/>
          <w:color w:val="auto"/>
          <w:sz w:val="21"/>
          <w:szCs w:val="21"/>
          <w:highlight w:val="none"/>
          <w:u w:val="single"/>
          <w:lang w:val="zh-CN"/>
        </w:rPr>
        <w:t xml:space="preserve">                 </w:t>
      </w:r>
    </w:p>
    <w:p w14:paraId="5457F4ED">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流动资产：</w:t>
      </w:r>
      <w:r>
        <w:rPr>
          <w:rFonts w:hint="eastAsia" w:asciiTheme="minorEastAsia" w:hAnsiTheme="minorEastAsia" w:eastAsiaTheme="minorEastAsia" w:cstheme="minorEastAsia"/>
          <w:color w:val="auto"/>
          <w:sz w:val="21"/>
          <w:szCs w:val="21"/>
          <w:highlight w:val="none"/>
          <w:u w:val="single"/>
          <w:lang w:val="zh-CN"/>
        </w:rPr>
        <w:t xml:space="preserve">             </w:t>
      </w:r>
    </w:p>
    <w:p w14:paraId="4D30B4DA">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长期负债：</w:t>
      </w:r>
      <w:r>
        <w:rPr>
          <w:rFonts w:hint="eastAsia" w:asciiTheme="minorEastAsia" w:hAnsiTheme="minorEastAsia" w:eastAsiaTheme="minorEastAsia" w:cstheme="minorEastAsia"/>
          <w:color w:val="auto"/>
          <w:sz w:val="21"/>
          <w:szCs w:val="21"/>
          <w:highlight w:val="none"/>
          <w:u w:val="single"/>
          <w:lang w:val="zh-CN"/>
        </w:rPr>
        <w:t xml:space="preserve">             </w:t>
      </w:r>
    </w:p>
    <w:p w14:paraId="48AFD980">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短期负债：</w:t>
      </w:r>
      <w:r>
        <w:rPr>
          <w:rFonts w:hint="eastAsia" w:asciiTheme="minorEastAsia" w:hAnsiTheme="minorEastAsia" w:eastAsiaTheme="minorEastAsia" w:cstheme="minorEastAsia"/>
          <w:color w:val="auto"/>
          <w:sz w:val="21"/>
          <w:szCs w:val="21"/>
          <w:highlight w:val="none"/>
          <w:u w:val="single"/>
          <w:lang w:val="zh-CN"/>
        </w:rPr>
        <w:t xml:space="preserve">             </w:t>
      </w:r>
    </w:p>
    <w:p w14:paraId="5BC3ED76">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营业收入/主营业务收入：</w:t>
      </w:r>
      <w:r>
        <w:rPr>
          <w:rFonts w:hint="eastAsia" w:asciiTheme="minorEastAsia" w:hAnsiTheme="minorEastAsia" w:eastAsiaTheme="minorEastAsia" w:cstheme="minorEastAsia"/>
          <w:color w:val="auto"/>
          <w:sz w:val="21"/>
          <w:szCs w:val="21"/>
          <w:highlight w:val="none"/>
          <w:u w:val="single"/>
          <w:lang w:val="zh-CN"/>
        </w:rPr>
        <w:t xml:space="preserve">                   </w:t>
      </w:r>
    </w:p>
    <w:p w14:paraId="2FA842C0">
      <w:pPr>
        <w:keepNext w:val="0"/>
        <w:keepLines w:val="0"/>
        <w:pageBreakBefore w:val="0"/>
        <w:widowControl w:val="0"/>
        <w:tabs>
          <w:tab w:val="left" w:pos="840"/>
        </w:tabs>
        <w:kinsoku/>
        <w:wordWrap/>
        <w:overflowPunct/>
        <w:topLinePunct w:val="0"/>
        <w:autoSpaceDE w:val="0"/>
        <w:autoSpaceDN w:val="0"/>
        <w:bidi w:val="0"/>
        <w:adjustRightInd w:val="0"/>
        <w:snapToGrid/>
        <w:spacing w:line="340" w:lineRule="exact"/>
        <w:ind w:left="840" w:hanging="36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利润：</w:t>
      </w:r>
      <w:r>
        <w:rPr>
          <w:rFonts w:hint="eastAsia" w:asciiTheme="minorEastAsia" w:hAnsiTheme="minorEastAsia" w:eastAsiaTheme="minorEastAsia" w:cstheme="minorEastAsia"/>
          <w:color w:val="auto"/>
          <w:sz w:val="21"/>
          <w:szCs w:val="21"/>
          <w:highlight w:val="none"/>
          <w:u w:val="single"/>
          <w:lang w:val="zh-CN"/>
        </w:rPr>
        <w:t xml:space="preserve">                         </w:t>
      </w:r>
    </w:p>
    <w:p w14:paraId="01F2269D">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 xml:space="preserve">  2．最近二年的年度总营业额：</w:t>
      </w:r>
    </w:p>
    <w:p w14:paraId="4303F0E5">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lang w:val="zh-CN"/>
        </w:rPr>
        <w:t xml:space="preserve">    年   份    总  额</w:t>
      </w:r>
    </w:p>
    <w:p w14:paraId="2ED7D3FB">
      <w:pPr>
        <w:keepNext w:val="0"/>
        <w:keepLines w:val="0"/>
        <w:pageBreakBefore w:val="0"/>
        <w:widowControl w:val="0"/>
        <w:kinsoku/>
        <w:wordWrap/>
        <w:overflowPunct/>
        <w:topLinePunct w:val="0"/>
        <w:autoSpaceDE w:val="0"/>
        <w:autoSpaceDN w:val="0"/>
        <w:bidi w:val="0"/>
        <w:adjustRightInd w:val="0"/>
        <w:snapToGrid/>
        <w:spacing w:line="340" w:lineRule="exact"/>
        <w:ind w:firstLine="480"/>
        <w:textAlignment w:val="auto"/>
        <w:rPr>
          <w:rFonts w:hint="eastAsia" w:asciiTheme="minorEastAsia" w:hAnsiTheme="minorEastAsia" w:eastAsiaTheme="minorEastAsia" w:cstheme="minorEastAsia"/>
          <w:color w:val="auto"/>
          <w:sz w:val="21"/>
          <w:szCs w:val="21"/>
          <w:highlight w:val="none"/>
          <w:u w:val="single"/>
          <w:lang w:val="zh-CN"/>
        </w:rPr>
      </w:pPr>
      <w:r>
        <w:rPr>
          <w:rFonts w:hint="eastAsia" w:asciiTheme="minorEastAsia" w:hAnsiTheme="minorEastAsia" w:eastAsiaTheme="minorEastAsia" w:cstheme="minorEastAsia"/>
          <w:color w:val="auto"/>
          <w:sz w:val="21"/>
          <w:szCs w:val="21"/>
          <w:highlight w:val="none"/>
          <w:u w:val="single"/>
          <w:lang w:val="en-US" w:eastAsia="zh-CN"/>
        </w:rPr>
        <w:t>2022</w:t>
      </w:r>
      <w:r>
        <w:rPr>
          <w:rFonts w:hint="eastAsia" w:asciiTheme="minorEastAsia" w:hAnsiTheme="minorEastAsia" w:eastAsiaTheme="minorEastAsia" w:cstheme="minorEastAsia"/>
          <w:color w:val="auto"/>
          <w:sz w:val="21"/>
          <w:szCs w:val="21"/>
          <w:highlight w:val="none"/>
          <w:u w:val="single"/>
          <w:lang w:val="zh-CN"/>
        </w:rPr>
        <w:t>年</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u w:val="single"/>
          <w:lang w:val="zh-CN"/>
        </w:rPr>
        <w:t xml:space="preserve">       </w:t>
      </w:r>
    </w:p>
    <w:p w14:paraId="5468463A">
      <w:pPr>
        <w:keepNext w:val="0"/>
        <w:keepLines w:val="0"/>
        <w:pageBreakBefore w:val="0"/>
        <w:widowControl w:val="0"/>
        <w:kinsoku/>
        <w:wordWrap/>
        <w:overflowPunct/>
        <w:topLinePunct w:val="0"/>
        <w:autoSpaceDE w:val="0"/>
        <w:autoSpaceDN w:val="0"/>
        <w:bidi w:val="0"/>
        <w:adjustRightInd w:val="0"/>
        <w:snapToGrid/>
        <w:spacing w:line="340" w:lineRule="exact"/>
        <w:ind w:firstLine="480"/>
        <w:textAlignment w:val="auto"/>
        <w:rPr>
          <w:rFonts w:hint="eastAsia" w:asciiTheme="minorEastAsia" w:hAnsiTheme="minorEastAsia" w:eastAsiaTheme="minorEastAsia" w:cstheme="minorEastAsia"/>
          <w:color w:val="auto"/>
          <w:sz w:val="21"/>
          <w:szCs w:val="21"/>
          <w:highlight w:val="none"/>
          <w:u w:val="single"/>
          <w:lang w:val="zh-CN"/>
        </w:rPr>
      </w:pPr>
      <w:r>
        <w:rPr>
          <w:rFonts w:hint="eastAsia" w:asciiTheme="minorEastAsia" w:hAnsiTheme="minorEastAsia" w:eastAsiaTheme="minorEastAsia" w:cstheme="minorEastAsia"/>
          <w:color w:val="auto"/>
          <w:sz w:val="21"/>
          <w:szCs w:val="21"/>
          <w:highlight w:val="none"/>
          <w:u w:val="single"/>
          <w:lang w:val="en-US" w:eastAsia="zh-CN"/>
        </w:rPr>
        <w:t>2023</w:t>
      </w:r>
      <w:r>
        <w:rPr>
          <w:rFonts w:hint="eastAsia" w:asciiTheme="minorEastAsia" w:hAnsiTheme="minorEastAsia" w:eastAsiaTheme="minorEastAsia" w:cstheme="minorEastAsia"/>
          <w:color w:val="auto"/>
          <w:sz w:val="21"/>
          <w:szCs w:val="21"/>
          <w:highlight w:val="none"/>
          <w:u w:val="single"/>
          <w:lang w:val="zh-CN"/>
        </w:rPr>
        <w:t>年</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u w:val="single"/>
          <w:lang w:val="zh-CN"/>
        </w:rPr>
        <w:t xml:space="preserve">       </w:t>
      </w:r>
    </w:p>
    <w:p w14:paraId="540B8CA1">
      <w:pPr>
        <w:keepNext w:val="0"/>
        <w:keepLines w:val="0"/>
        <w:pageBreakBefore w:val="0"/>
        <w:widowControl w:val="0"/>
        <w:kinsoku/>
        <w:wordWrap/>
        <w:overflowPunct/>
        <w:topLinePunct w:val="0"/>
        <w:autoSpaceDE w:val="0"/>
        <w:autoSpaceDN w:val="0"/>
        <w:bidi w:val="0"/>
        <w:adjustRightInd w:val="0"/>
        <w:snapToGrid/>
        <w:spacing w:line="340" w:lineRule="exact"/>
        <w:ind w:firstLine="24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3．最近二年与其他客户签订的较大项目合同：</w:t>
      </w:r>
    </w:p>
    <w:p w14:paraId="51423B90">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项目名称      地   址    　时  间  　金额(人民币元)</w:t>
      </w:r>
    </w:p>
    <w:p w14:paraId="1E5A4318">
      <w:pPr>
        <w:keepNext w:val="0"/>
        <w:keepLines w:val="0"/>
        <w:pageBreakBefore w:val="0"/>
        <w:widowControl w:val="0"/>
        <w:kinsoku/>
        <w:wordWrap/>
        <w:overflowPunct/>
        <w:topLinePunct w:val="0"/>
        <w:autoSpaceDE w:val="0"/>
        <w:autoSpaceDN w:val="0"/>
        <w:bidi w:val="0"/>
        <w:adjustRightInd w:val="0"/>
        <w:snapToGrid/>
        <w:spacing w:line="340" w:lineRule="exac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u w:val="single"/>
          <w:lang w:val="zh-CN"/>
        </w:rPr>
        <w:t xml:space="preserve">             　</w:t>
      </w:r>
    </w:p>
    <w:p w14:paraId="31EBB5A4">
      <w:pPr>
        <w:keepNext w:val="0"/>
        <w:keepLines w:val="0"/>
        <w:pageBreakBefore w:val="0"/>
        <w:widowControl w:val="0"/>
        <w:kinsoku/>
        <w:wordWrap/>
        <w:overflowPunct/>
        <w:topLinePunct w:val="0"/>
        <w:autoSpaceDE w:val="0"/>
        <w:autoSpaceDN w:val="0"/>
        <w:bidi w:val="0"/>
        <w:adjustRightInd w:val="0"/>
        <w:snapToGrid/>
        <w:spacing w:line="340" w:lineRule="exact"/>
        <w:ind w:firstLine="24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4．投标人最近二年法律纠纷情况</w:t>
      </w:r>
    </w:p>
    <w:p w14:paraId="01A37965">
      <w:pPr>
        <w:keepNext w:val="0"/>
        <w:keepLines w:val="0"/>
        <w:pageBreakBefore w:val="0"/>
        <w:widowControl w:val="0"/>
        <w:kinsoku/>
        <w:wordWrap/>
        <w:overflowPunct/>
        <w:topLinePunct w:val="0"/>
        <w:autoSpaceDE w:val="0"/>
        <w:autoSpaceDN w:val="0"/>
        <w:bidi w:val="0"/>
        <w:adjustRightInd w:val="0"/>
        <w:snapToGrid/>
        <w:spacing w:line="340" w:lineRule="exact"/>
        <w:ind w:firstLine="24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时间     案由    涉及金额     目前办理情况</w:t>
      </w:r>
    </w:p>
    <w:p w14:paraId="4C882F71">
      <w:pPr>
        <w:keepNext w:val="0"/>
        <w:keepLines w:val="0"/>
        <w:pageBreakBefore w:val="0"/>
        <w:widowControl w:val="0"/>
        <w:kinsoku/>
        <w:wordWrap/>
        <w:overflowPunct/>
        <w:topLinePunct w:val="0"/>
        <w:autoSpaceDE w:val="0"/>
        <w:autoSpaceDN w:val="0"/>
        <w:bidi w:val="0"/>
        <w:adjustRightInd w:val="0"/>
        <w:snapToGrid/>
        <w:spacing w:line="340" w:lineRule="exact"/>
        <w:ind w:firstLine="240"/>
        <w:textAlignment w:val="auto"/>
        <w:rPr>
          <w:rFonts w:hint="eastAsia" w:asciiTheme="minorEastAsia" w:hAnsiTheme="minorEastAsia" w:eastAsiaTheme="minorEastAsia" w:cstheme="minorEastAsia"/>
          <w:color w:val="auto"/>
          <w:sz w:val="21"/>
          <w:szCs w:val="21"/>
          <w:highlight w:val="none"/>
          <w:u w:val="single"/>
          <w:lang w:val="zh-CN"/>
        </w:rPr>
      </w:pP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u w:val="single"/>
          <w:lang w:val="zh-CN"/>
        </w:rPr>
        <w:t xml:space="preserve">        </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u w:val="single"/>
          <w:lang w:val="zh-CN"/>
        </w:rPr>
        <w:t xml:space="preserve">                </w:t>
      </w:r>
    </w:p>
    <w:p w14:paraId="00CE5F74">
      <w:pPr>
        <w:keepNext w:val="0"/>
        <w:keepLines w:val="0"/>
        <w:pageBreakBefore w:val="0"/>
        <w:widowControl w:val="0"/>
        <w:kinsoku/>
        <w:wordWrap/>
        <w:overflowPunct/>
        <w:topLinePunct w:val="0"/>
        <w:autoSpaceDE w:val="0"/>
        <w:autoSpaceDN w:val="0"/>
        <w:bidi w:val="0"/>
        <w:adjustRightInd w:val="0"/>
        <w:snapToGrid/>
        <w:spacing w:line="340" w:lineRule="exact"/>
        <w:ind w:firstLine="24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5．有关银行的名称和地址：</w:t>
      </w:r>
      <w:r>
        <w:rPr>
          <w:rFonts w:hint="eastAsia" w:asciiTheme="minorEastAsia" w:hAnsiTheme="minorEastAsia" w:eastAsiaTheme="minorEastAsia" w:cstheme="minorEastAsia"/>
          <w:color w:val="auto"/>
          <w:sz w:val="21"/>
          <w:szCs w:val="21"/>
          <w:highlight w:val="none"/>
          <w:u w:val="single"/>
          <w:lang w:val="zh-CN"/>
        </w:rPr>
        <w:t xml:space="preserve">                  </w:t>
      </w:r>
    </w:p>
    <w:p w14:paraId="6A776BCC">
      <w:pPr>
        <w:keepNext w:val="0"/>
        <w:keepLines w:val="0"/>
        <w:pageBreakBefore w:val="0"/>
        <w:widowControl w:val="0"/>
        <w:kinsoku/>
        <w:wordWrap/>
        <w:overflowPunct/>
        <w:topLinePunct w:val="0"/>
        <w:autoSpaceDE w:val="0"/>
        <w:autoSpaceDN w:val="0"/>
        <w:bidi w:val="0"/>
        <w:adjustRightInd w:val="0"/>
        <w:snapToGrid/>
        <w:spacing w:line="340" w:lineRule="exact"/>
        <w:ind w:firstLine="24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6．其他情况：</w:t>
      </w:r>
      <w:r>
        <w:rPr>
          <w:rFonts w:hint="eastAsia" w:asciiTheme="minorEastAsia" w:hAnsiTheme="minorEastAsia" w:eastAsiaTheme="minorEastAsia" w:cstheme="minorEastAsia"/>
          <w:color w:val="auto"/>
          <w:sz w:val="21"/>
          <w:szCs w:val="21"/>
          <w:highlight w:val="none"/>
          <w:u w:val="single"/>
          <w:lang w:val="zh-CN"/>
        </w:rPr>
        <w:t xml:space="preserve">                              </w:t>
      </w:r>
    </w:p>
    <w:p w14:paraId="1C86A49F">
      <w:pPr>
        <w:keepNext w:val="0"/>
        <w:keepLines w:val="0"/>
        <w:pageBreakBefore w:val="0"/>
        <w:widowControl w:val="0"/>
        <w:kinsoku/>
        <w:wordWrap/>
        <w:overflowPunct/>
        <w:topLinePunct w:val="0"/>
        <w:autoSpaceDE w:val="0"/>
        <w:autoSpaceDN w:val="0"/>
        <w:bidi w:val="0"/>
        <w:adjustRightInd w:val="0"/>
        <w:snapToGrid/>
        <w:spacing w:line="340" w:lineRule="exact"/>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就我们所知，兹证明上述声明是真实的、正确的，并提供了全部能提供资料和数据，我们同意遵照贵方要求出示此证明文件。</w:t>
      </w:r>
    </w:p>
    <w:p w14:paraId="053BDE4F">
      <w:pPr>
        <w:keepNext w:val="0"/>
        <w:keepLines w:val="0"/>
        <w:pageBreakBefore w:val="0"/>
        <w:widowControl w:val="0"/>
        <w:kinsoku/>
        <w:wordWrap/>
        <w:overflowPunct/>
        <w:topLinePunct w:val="0"/>
        <w:autoSpaceDE w:val="0"/>
        <w:autoSpaceDN w:val="0"/>
        <w:bidi w:val="0"/>
        <w:adjustRightInd w:val="0"/>
        <w:snapToGrid/>
        <w:spacing w:line="340" w:lineRule="exact"/>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日</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zh-CN"/>
        </w:rPr>
        <w:t>期</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p>
    <w:p w14:paraId="6FBDCA27">
      <w:pPr>
        <w:keepNext w:val="0"/>
        <w:keepLines w:val="0"/>
        <w:pageBreakBefore w:val="0"/>
        <w:widowControl w:val="0"/>
        <w:kinsoku/>
        <w:wordWrap/>
        <w:overflowPunct/>
        <w:topLinePunct w:val="0"/>
        <w:autoSpaceDE w:val="0"/>
        <w:autoSpaceDN w:val="0"/>
        <w:bidi w:val="0"/>
        <w:adjustRightInd w:val="0"/>
        <w:snapToGrid/>
        <w:spacing w:line="340" w:lineRule="exact"/>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被授权代表签字：</w:t>
      </w:r>
      <w:r>
        <w:rPr>
          <w:rFonts w:hint="eastAsia" w:asciiTheme="minorEastAsia" w:hAnsiTheme="minorEastAsia" w:eastAsiaTheme="minorEastAsia" w:cstheme="minorEastAsia"/>
          <w:color w:val="auto"/>
          <w:sz w:val="21"/>
          <w:szCs w:val="21"/>
          <w:highlight w:val="none"/>
          <w:u w:val="single"/>
          <w:lang w:val="zh-CN"/>
        </w:rPr>
        <w:t xml:space="preserve">                         </w:t>
      </w:r>
    </w:p>
    <w:p w14:paraId="0D9A3D5E">
      <w:pPr>
        <w:keepNext w:val="0"/>
        <w:keepLines w:val="0"/>
        <w:pageBreakBefore w:val="0"/>
        <w:widowControl w:val="0"/>
        <w:kinsoku/>
        <w:wordWrap/>
        <w:overflowPunct/>
        <w:topLinePunct w:val="0"/>
        <w:autoSpaceDE w:val="0"/>
        <w:autoSpaceDN w:val="0"/>
        <w:bidi w:val="0"/>
        <w:adjustRightInd w:val="0"/>
        <w:snapToGrid/>
        <w:spacing w:line="340" w:lineRule="exact"/>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被授权代表的印刷字体姓名：</w:t>
      </w:r>
      <w:r>
        <w:rPr>
          <w:rFonts w:hint="eastAsia" w:asciiTheme="minorEastAsia" w:hAnsiTheme="minorEastAsia" w:eastAsiaTheme="minorEastAsia" w:cstheme="minorEastAsia"/>
          <w:color w:val="auto"/>
          <w:sz w:val="21"/>
          <w:szCs w:val="21"/>
          <w:highlight w:val="none"/>
          <w:u w:val="single"/>
          <w:lang w:val="zh-CN"/>
        </w:rPr>
        <w:t xml:space="preserve">               </w:t>
      </w:r>
    </w:p>
    <w:p w14:paraId="55177D84">
      <w:pPr>
        <w:keepNext w:val="0"/>
        <w:keepLines w:val="0"/>
        <w:pageBreakBefore w:val="0"/>
        <w:widowControl w:val="0"/>
        <w:kinsoku/>
        <w:wordWrap/>
        <w:overflowPunct/>
        <w:topLinePunct w:val="0"/>
        <w:autoSpaceDE w:val="0"/>
        <w:autoSpaceDN w:val="0"/>
        <w:bidi w:val="0"/>
        <w:adjustRightInd w:val="0"/>
        <w:snapToGrid/>
        <w:spacing w:line="340" w:lineRule="exact"/>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被授权代表的职务：</w:t>
      </w:r>
      <w:r>
        <w:rPr>
          <w:rFonts w:hint="eastAsia" w:asciiTheme="minorEastAsia" w:hAnsiTheme="minorEastAsia" w:eastAsiaTheme="minorEastAsia" w:cstheme="minorEastAsia"/>
          <w:color w:val="auto"/>
          <w:sz w:val="21"/>
          <w:szCs w:val="21"/>
          <w:highlight w:val="none"/>
          <w:u w:val="single"/>
          <w:lang w:val="zh-CN"/>
        </w:rPr>
        <w:t xml:space="preserve">              </w:t>
      </w:r>
    </w:p>
    <w:p w14:paraId="332B264C">
      <w:pPr>
        <w:keepNext w:val="0"/>
        <w:keepLines w:val="0"/>
        <w:pageBreakBefore w:val="0"/>
        <w:widowControl w:val="0"/>
        <w:kinsoku/>
        <w:wordWrap/>
        <w:overflowPunct/>
        <w:topLinePunct w:val="0"/>
        <w:autoSpaceDE w:val="0"/>
        <w:autoSpaceDN w:val="0"/>
        <w:bidi w:val="0"/>
        <w:adjustRightInd w:val="0"/>
        <w:snapToGrid/>
        <w:spacing w:line="340" w:lineRule="exact"/>
        <w:ind w:firstLine="4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电话号和传真号：</w:t>
      </w:r>
      <w:r>
        <w:rPr>
          <w:rFonts w:hint="eastAsia" w:asciiTheme="minorEastAsia" w:hAnsiTheme="minorEastAsia" w:eastAsiaTheme="minorEastAsia" w:cstheme="minorEastAsia"/>
          <w:color w:val="auto"/>
          <w:sz w:val="21"/>
          <w:szCs w:val="21"/>
          <w:highlight w:val="none"/>
          <w:u w:val="single"/>
          <w:lang w:val="zh-CN"/>
        </w:rPr>
        <w:t xml:space="preserve">              </w:t>
      </w:r>
    </w:p>
    <w:p w14:paraId="4912D933">
      <w:pPr>
        <w:keepNext w:val="0"/>
        <w:keepLines w:val="0"/>
        <w:pageBreakBefore w:val="0"/>
        <w:widowControl w:val="0"/>
        <w:kinsoku/>
        <w:wordWrap/>
        <w:overflowPunct/>
        <w:topLinePunct w:val="0"/>
        <w:autoSpaceDE w:val="0"/>
        <w:autoSpaceDN w:val="0"/>
        <w:bidi w:val="0"/>
        <w:adjustRightInd w:val="0"/>
        <w:snapToGrid/>
        <w:spacing w:line="340" w:lineRule="exact"/>
        <w:ind w:firstLine="480"/>
        <w:textAlignment w:val="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公</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zh-CN"/>
        </w:rPr>
        <w:t>章</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p>
    <w:p w14:paraId="6CC3BD59">
      <w:pPr>
        <w:widowControl/>
        <w:spacing w:line="420" w:lineRule="atLeast"/>
        <w:jc w:val="both"/>
        <w:rPr>
          <w:rFonts w:hint="eastAsia" w:ascii="宋体" w:hAnsi="宋体" w:eastAsia="宋体" w:cs="宋体"/>
          <w:b/>
          <w:bCs/>
          <w:color w:val="auto"/>
          <w:kern w:val="0"/>
          <w:sz w:val="24"/>
          <w:szCs w:val="24"/>
          <w:highlight w:val="none"/>
        </w:rPr>
      </w:pPr>
    </w:p>
    <w:p w14:paraId="2E382EF6">
      <w:pPr>
        <w:widowControl/>
        <w:spacing w:line="420" w:lineRule="atLeast"/>
        <w:jc w:val="center"/>
        <w:rPr>
          <w:rFonts w:hint="eastAsia" w:ascii="宋体" w:hAnsi="宋体" w:eastAsia="宋体" w:cs="宋体"/>
          <w:b/>
          <w:bCs/>
          <w:color w:val="auto"/>
          <w:kern w:val="0"/>
          <w:sz w:val="24"/>
          <w:szCs w:val="24"/>
          <w:highlight w:val="none"/>
        </w:rPr>
      </w:pPr>
    </w:p>
    <w:p w14:paraId="2785D01A">
      <w:pPr>
        <w:widowControl/>
        <w:spacing w:line="420" w:lineRule="atLeast"/>
        <w:jc w:val="center"/>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投标声明书</w:t>
      </w:r>
    </w:p>
    <w:p w14:paraId="131E341B">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71BF72D">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项目（项目编号：</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）的招标文件，我方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（投标人名称）作为投标人正式授权</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授权代表全名，职务）代表我方处理有关本投标的一切事宜。</w:t>
      </w:r>
    </w:p>
    <w:p w14:paraId="5210C8E5">
      <w:pPr>
        <w:pStyle w:val="5"/>
        <w:spacing w:line="440" w:lineRule="exact"/>
        <w:ind w:firstLine="4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w:t>
      </w:r>
      <w:r>
        <w:rPr>
          <w:rFonts w:hint="eastAsia" w:ascii="宋体" w:hAnsi="宋体" w:eastAsia="宋体" w:cs="宋体"/>
          <w:color w:val="auto"/>
          <w:spacing w:val="-3"/>
          <w:sz w:val="21"/>
          <w:szCs w:val="21"/>
          <w:highlight w:val="none"/>
        </w:rPr>
        <w:t>提</w:t>
      </w:r>
      <w:r>
        <w:rPr>
          <w:rFonts w:hint="eastAsia" w:ascii="宋体" w:hAnsi="宋体" w:eastAsia="宋体" w:cs="宋体"/>
          <w:color w:val="auto"/>
          <w:sz w:val="21"/>
          <w:szCs w:val="21"/>
          <w:highlight w:val="none"/>
        </w:rPr>
        <w:t>供</w:t>
      </w:r>
      <w:r>
        <w:rPr>
          <w:rFonts w:hint="eastAsia" w:ascii="宋体" w:hAnsi="宋体" w:eastAsia="宋体" w:cs="宋体"/>
          <w:color w:val="auto"/>
          <w:spacing w:val="-3"/>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须知规</w:t>
      </w:r>
      <w:r>
        <w:rPr>
          <w:rFonts w:hint="eastAsia" w:ascii="宋体" w:hAnsi="宋体" w:eastAsia="宋体" w:cs="宋体"/>
          <w:color w:val="auto"/>
          <w:spacing w:val="-3"/>
          <w:sz w:val="21"/>
          <w:szCs w:val="21"/>
          <w:highlight w:val="none"/>
        </w:rPr>
        <w:t>定的</w:t>
      </w:r>
      <w:r>
        <w:rPr>
          <w:rFonts w:hint="eastAsia" w:ascii="宋体" w:hAnsi="宋体" w:eastAsia="宋体" w:cs="宋体"/>
          <w:color w:val="auto"/>
          <w:sz w:val="21"/>
          <w:szCs w:val="21"/>
          <w:highlight w:val="none"/>
        </w:rPr>
        <w:t>全部</w:t>
      </w:r>
      <w:r>
        <w:rPr>
          <w:rFonts w:hint="eastAsia" w:ascii="宋体" w:hAnsi="宋体" w:eastAsia="宋体" w:cs="宋体"/>
          <w:color w:val="auto"/>
          <w:spacing w:val="-3"/>
          <w:sz w:val="21"/>
          <w:szCs w:val="21"/>
          <w:highlight w:val="none"/>
        </w:rPr>
        <w:t>投</w:t>
      </w:r>
      <w:r>
        <w:rPr>
          <w:rFonts w:hint="eastAsia" w:ascii="宋体" w:hAnsi="宋体" w:eastAsia="宋体" w:cs="宋体"/>
          <w:color w:val="auto"/>
          <w:sz w:val="21"/>
          <w:szCs w:val="21"/>
          <w:highlight w:val="none"/>
        </w:rPr>
        <w:t>标</w:t>
      </w:r>
      <w:r>
        <w:rPr>
          <w:rFonts w:hint="eastAsia" w:ascii="宋体" w:hAnsi="宋体" w:eastAsia="宋体" w:cs="宋体"/>
          <w:color w:val="auto"/>
          <w:spacing w:val="-3"/>
          <w:sz w:val="21"/>
          <w:szCs w:val="21"/>
          <w:highlight w:val="none"/>
        </w:rPr>
        <w:t>文</w:t>
      </w:r>
      <w:r>
        <w:rPr>
          <w:rFonts w:hint="eastAsia" w:ascii="宋体" w:hAnsi="宋体" w:eastAsia="宋体" w:cs="宋体"/>
          <w:color w:val="auto"/>
          <w:sz w:val="21"/>
          <w:szCs w:val="21"/>
          <w:highlight w:val="none"/>
        </w:rPr>
        <w:t>件。</w:t>
      </w:r>
    </w:p>
    <w:p w14:paraId="74A4B117">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我方己完全明白招标文件的所有条款要求，并重申以下几点：</w:t>
      </w:r>
    </w:p>
    <w:p w14:paraId="1209EEBB">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投标人已详细审查全部“招标文件”，包括修改、澄清文件（如有的话）以及全部参考资料和有关附件，已经了解我方对于招标文件、采购过程、采购结果有依法进行询问、质疑、投诉的权利及相关渠道和要求。</w:t>
      </w:r>
    </w:p>
    <w:p w14:paraId="1D57D6EC">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（二）投标人在投标之前已经与贵方进行了充分的沟通，完全理解并接受招标文件的各项规定和要求，对招标文件的合理性、合法性不再有异议。</w:t>
      </w:r>
    </w:p>
    <w:p w14:paraId="63C695B1">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（三）本投标有效期自开标日起90日。</w:t>
      </w:r>
    </w:p>
    <w:p w14:paraId="25997144">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（四）如中标，本投标文件至本项目合同履行完毕止均保持有效，本投标人将按“招标文件”及政府采购法律、法规的规定履行合同责任和义务。</w:t>
      </w:r>
    </w:p>
    <w:p w14:paraId="3180888F">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（五）投标人同意按照贵方要求提供与投标有关的一切数据或资料。</w:t>
      </w:r>
    </w:p>
    <w:p w14:paraId="062C6D4E">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（六）我方向贵方提交的所有投标文件、资料都是准确的和真实的。</w:t>
      </w:r>
    </w:p>
    <w:p w14:paraId="20763EF4">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（七）我方不是采购人的附属机构；在获知本项目采购信息后，与采购人聘请的为此项目提供咨询服务的公司及其附属机构没有任何联系。</w:t>
      </w:r>
    </w:p>
    <w:p w14:paraId="447A2958">
      <w:pPr>
        <w:spacing w:line="4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（八）以上事项如有虚假或隐瞒，我方愿意承担一切后果，并不再寻求任何旨在减轻或免除法律责任的辩解。</w:t>
      </w:r>
    </w:p>
    <w:p w14:paraId="251BAA7F">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（九）本投标有关的一切正式往来信函请寄：</w:t>
      </w:r>
    </w:p>
    <w:p w14:paraId="66950BAC">
      <w:pPr>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u w:val="single"/>
        </w:rPr>
        <w:t xml:space="preserve">                           </w:t>
      </w:r>
    </w:p>
    <w:p w14:paraId="68CF5FAA">
      <w:pPr>
        <w:spacing w:line="440" w:lineRule="exact"/>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14:paraId="019E9C4F">
      <w:pPr>
        <w:spacing w:line="440" w:lineRule="exact"/>
        <w:ind w:firstLine="735" w:firstLineChars="3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u w:val="single"/>
        </w:rPr>
        <w:t xml:space="preserve">                       </w:t>
      </w:r>
    </w:p>
    <w:p w14:paraId="1346C4B9">
      <w:pPr>
        <w:spacing w:line="360" w:lineRule="auto"/>
        <w:ind w:firstLine="435"/>
        <w:rPr>
          <w:rFonts w:hint="eastAsia" w:ascii="宋体" w:hAnsi="宋体" w:eastAsia="宋体" w:cs="宋体"/>
          <w:color w:val="auto"/>
          <w:sz w:val="21"/>
          <w:szCs w:val="21"/>
          <w:highlight w:val="none"/>
        </w:rPr>
      </w:pPr>
    </w:p>
    <w:p w14:paraId="74EAF841">
      <w:pPr>
        <w:keepNext w:val="0"/>
        <w:keepLines w:val="0"/>
        <w:pageBreakBefore w:val="0"/>
        <w:kinsoku/>
        <w:topLinePunct w:val="0"/>
        <w:bidi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投标人名称（盖章）：                             </w:t>
      </w:r>
    </w:p>
    <w:p w14:paraId="3C7768E6">
      <w:pPr>
        <w:keepNext w:val="0"/>
        <w:keepLines w:val="0"/>
        <w:pageBreakBefore w:val="0"/>
        <w:kinsoku/>
        <w:topLinePunct w:val="0"/>
        <w:bidi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法定代表人或被授权代表（签字或盖章）：              </w:t>
      </w:r>
    </w:p>
    <w:p w14:paraId="7067F99C">
      <w:pPr>
        <w:keepNext w:val="0"/>
        <w:keepLines w:val="0"/>
        <w:pageBreakBefore w:val="0"/>
        <w:kinsoku/>
        <w:topLinePunct w:val="0"/>
        <w:bidi w:val="0"/>
        <w:spacing w:line="480" w:lineRule="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7CB3865D">
      <w:pPr>
        <w:widowControl/>
        <w:spacing w:line="420" w:lineRule="atLeast"/>
        <w:jc w:val="both"/>
        <w:rPr>
          <w:rFonts w:hint="eastAsia" w:ascii="宋体" w:hAnsi="宋体" w:eastAsia="宋体" w:cs="宋体"/>
          <w:b/>
          <w:bCs/>
          <w:color w:val="auto"/>
          <w:kern w:val="0"/>
          <w:sz w:val="30"/>
          <w:szCs w:val="30"/>
          <w:highlight w:val="none"/>
        </w:rPr>
      </w:pPr>
    </w:p>
    <w:p w14:paraId="1ABB4275">
      <w:pPr>
        <w:widowControl/>
        <w:spacing w:line="420" w:lineRule="atLeast"/>
        <w:jc w:val="center"/>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投标人基本情况表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1115"/>
        <w:gridCol w:w="1364"/>
        <w:gridCol w:w="864"/>
        <w:gridCol w:w="1485"/>
        <w:gridCol w:w="2611"/>
      </w:tblGrid>
      <w:tr w14:paraId="5805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101" w:type="dxa"/>
            <w:noWrap w:val="0"/>
            <w:vAlign w:val="center"/>
          </w:tcPr>
          <w:p w14:paraId="631BE0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7439" w:type="dxa"/>
            <w:gridSpan w:val="5"/>
            <w:noWrap w:val="0"/>
            <w:vAlign w:val="center"/>
          </w:tcPr>
          <w:p w14:paraId="1BBC9DFB">
            <w:pPr>
              <w:jc w:val="center"/>
              <w:rPr>
                <w:rFonts w:hint="eastAsia" w:ascii="宋体" w:hAnsi="宋体" w:eastAsia="宋体" w:cs="宋体"/>
                <w:color w:val="auto"/>
                <w:sz w:val="21"/>
                <w:szCs w:val="21"/>
                <w:highlight w:val="none"/>
              </w:rPr>
            </w:pPr>
          </w:p>
        </w:tc>
      </w:tr>
      <w:tr w14:paraId="5F88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101" w:type="dxa"/>
            <w:noWrap w:val="0"/>
            <w:vAlign w:val="center"/>
          </w:tcPr>
          <w:p w14:paraId="0863C5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343" w:type="dxa"/>
            <w:gridSpan w:val="3"/>
            <w:noWrap w:val="0"/>
            <w:vAlign w:val="center"/>
          </w:tcPr>
          <w:p w14:paraId="29A6A89D">
            <w:pPr>
              <w:jc w:val="center"/>
              <w:rPr>
                <w:rFonts w:hint="eastAsia" w:ascii="宋体" w:hAnsi="宋体" w:eastAsia="宋体" w:cs="宋体"/>
                <w:color w:val="auto"/>
                <w:sz w:val="21"/>
                <w:szCs w:val="21"/>
                <w:highlight w:val="none"/>
              </w:rPr>
            </w:pPr>
          </w:p>
        </w:tc>
        <w:tc>
          <w:tcPr>
            <w:tcW w:w="1485" w:type="dxa"/>
            <w:noWrap w:val="0"/>
            <w:vAlign w:val="center"/>
          </w:tcPr>
          <w:p w14:paraId="7EDB16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2611" w:type="dxa"/>
            <w:noWrap w:val="0"/>
            <w:vAlign w:val="center"/>
          </w:tcPr>
          <w:p w14:paraId="15CB848B">
            <w:pPr>
              <w:jc w:val="center"/>
              <w:rPr>
                <w:rFonts w:hint="eastAsia" w:ascii="宋体" w:hAnsi="宋体" w:eastAsia="宋体" w:cs="宋体"/>
                <w:color w:val="auto"/>
                <w:sz w:val="21"/>
                <w:szCs w:val="21"/>
                <w:highlight w:val="none"/>
              </w:rPr>
            </w:pPr>
          </w:p>
        </w:tc>
      </w:tr>
      <w:tr w14:paraId="7D56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2101" w:type="dxa"/>
            <w:noWrap w:val="0"/>
            <w:vAlign w:val="center"/>
          </w:tcPr>
          <w:p w14:paraId="39404302">
            <w:pPr>
              <w:spacing w:before="156" w:beforeLines="50" w:after="156"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主管部门</w:t>
            </w:r>
          </w:p>
        </w:tc>
        <w:tc>
          <w:tcPr>
            <w:tcW w:w="3343" w:type="dxa"/>
            <w:gridSpan w:val="3"/>
            <w:noWrap w:val="0"/>
            <w:vAlign w:val="center"/>
          </w:tcPr>
          <w:p w14:paraId="6D544679">
            <w:pPr>
              <w:spacing w:before="156" w:beforeLines="50" w:after="156" w:afterLines="50" w:line="240" w:lineRule="auto"/>
              <w:jc w:val="center"/>
              <w:rPr>
                <w:rFonts w:hint="eastAsia" w:ascii="宋体" w:hAnsi="宋体" w:eastAsia="宋体" w:cs="宋体"/>
                <w:color w:val="auto"/>
                <w:sz w:val="21"/>
                <w:szCs w:val="21"/>
                <w:highlight w:val="none"/>
              </w:rPr>
            </w:pPr>
          </w:p>
        </w:tc>
        <w:tc>
          <w:tcPr>
            <w:tcW w:w="1485" w:type="dxa"/>
            <w:noWrap w:val="0"/>
            <w:vAlign w:val="center"/>
          </w:tcPr>
          <w:p w14:paraId="65FD32C6">
            <w:pPr>
              <w:spacing w:before="156" w:beforeLines="50" w:after="156"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企业性质</w:t>
            </w:r>
          </w:p>
        </w:tc>
        <w:tc>
          <w:tcPr>
            <w:tcW w:w="2611" w:type="dxa"/>
            <w:noWrap w:val="0"/>
            <w:vAlign w:val="center"/>
          </w:tcPr>
          <w:p w14:paraId="3E8D2A9C">
            <w:pPr>
              <w:jc w:val="center"/>
              <w:rPr>
                <w:rFonts w:hint="eastAsia" w:ascii="宋体" w:hAnsi="宋体" w:eastAsia="宋体" w:cs="宋体"/>
                <w:color w:val="auto"/>
                <w:sz w:val="21"/>
                <w:szCs w:val="21"/>
                <w:highlight w:val="none"/>
              </w:rPr>
            </w:pPr>
          </w:p>
        </w:tc>
      </w:tr>
      <w:tr w14:paraId="5EA7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2101" w:type="dxa"/>
            <w:noWrap w:val="0"/>
            <w:vAlign w:val="center"/>
          </w:tcPr>
          <w:p w14:paraId="49AC8077">
            <w:pPr>
              <w:spacing w:before="156" w:beforeLines="50" w:after="156"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3343" w:type="dxa"/>
            <w:gridSpan w:val="3"/>
            <w:noWrap w:val="0"/>
            <w:vAlign w:val="center"/>
          </w:tcPr>
          <w:p w14:paraId="11FE4A80">
            <w:pPr>
              <w:spacing w:before="156" w:beforeLines="50" w:after="156" w:afterLines="50" w:line="240" w:lineRule="auto"/>
              <w:jc w:val="center"/>
              <w:rPr>
                <w:rFonts w:hint="eastAsia" w:ascii="宋体" w:hAnsi="宋体" w:eastAsia="宋体" w:cs="宋体"/>
                <w:color w:val="auto"/>
                <w:sz w:val="21"/>
                <w:szCs w:val="21"/>
                <w:highlight w:val="none"/>
              </w:rPr>
            </w:pPr>
          </w:p>
        </w:tc>
        <w:tc>
          <w:tcPr>
            <w:tcW w:w="1485" w:type="dxa"/>
            <w:noWrap w:val="0"/>
            <w:vAlign w:val="center"/>
          </w:tcPr>
          <w:p w14:paraId="15DAB366">
            <w:pPr>
              <w:spacing w:before="156" w:beforeLines="50" w:after="156" w:afterLines="50"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注册时间</w:t>
            </w:r>
          </w:p>
        </w:tc>
        <w:tc>
          <w:tcPr>
            <w:tcW w:w="2611" w:type="dxa"/>
            <w:noWrap w:val="0"/>
            <w:vAlign w:val="center"/>
          </w:tcPr>
          <w:p w14:paraId="3FA74201">
            <w:pPr>
              <w:jc w:val="center"/>
              <w:rPr>
                <w:rFonts w:hint="eastAsia" w:ascii="宋体" w:hAnsi="宋体" w:eastAsia="宋体" w:cs="宋体"/>
                <w:color w:val="auto"/>
                <w:sz w:val="21"/>
                <w:szCs w:val="21"/>
                <w:highlight w:val="none"/>
              </w:rPr>
            </w:pPr>
          </w:p>
        </w:tc>
      </w:tr>
      <w:tr w14:paraId="5A7F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101" w:type="dxa"/>
            <w:vMerge w:val="restart"/>
            <w:noWrap w:val="0"/>
            <w:vAlign w:val="center"/>
          </w:tcPr>
          <w:p w14:paraId="4D4423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1115" w:type="dxa"/>
            <w:noWrap w:val="0"/>
            <w:vAlign w:val="center"/>
          </w:tcPr>
          <w:p w14:paraId="674CC4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228" w:type="dxa"/>
            <w:gridSpan w:val="2"/>
            <w:noWrap w:val="0"/>
            <w:vAlign w:val="center"/>
          </w:tcPr>
          <w:p w14:paraId="20358421">
            <w:pPr>
              <w:jc w:val="center"/>
              <w:rPr>
                <w:rFonts w:hint="eastAsia" w:ascii="宋体" w:hAnsi="宋体" w:eastAsia="宋体" w:cs="宋体"/>
                <w:color w:val="auto"/>
                <w:sz w:val="21"/>
                <w:szCs w:val="21"/>
                <w:highlight w:val="none"/>
              </w:rPr>
            </w:pPr>
          </w:p>
        </w:tc>
        <w:tc>
          <w:tcPr>
            <w:tcW w:w="1485" w:type="dxa"/>
            <w:noWrap w:val="0"/>
            <w:vAlign w:val="center"/>
          </w:tcPr>
          <w:p w14:paraId="6BBFDB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611" w:type="dxa"/>
            <w:noWrap w:val="0"/>
            <w:vAlign w:val="center"/>
          </w:tcPr>
          <w:p w14:paraId="43C52DEC">
            <w:pPr>
              <w:jc w:val="center"/>
              <w:rPr>
                <w:rFonts w:hint="eastAsia" w:ascii="宋体" w:hAnsi="宋体" w:eastAsia="宋体" w:cs="宋体"/>
                <w:color w:val="auto"/>
                <w:sz w:val="21"/>
                <w:szCs w:val="21"/>
                <w:highlight w:val="none"/>
              </w:rPr>
            </w:pPr>
          </w:p>
        </w:tc>
      </w:tr>
      <w:tr w14:paraId="3D28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101" w:type="dxa"/>
            <w:vMerge w:val="continue"/>
            <w:noWrap w:val="0"/>
            <w:vAlign w:val="center"/>
          </w:tcPr>
          <w:p w14:paraId="04ACBB35">
            <w:pPr>
              <w:jc w:val="center"/>
              <w:rPr>
                <w:rFonts w:hint="eastAsia" w:ascii="宋体" w:hAnsi="宋体" w:eastAsia="宋体" w:cs="宋体"/>
                <w:color w:val="auto"/>
                <w:sz w:val="21"/>
                <w:szCs w:val="21"/>
                <w:highlight w:val="none"/>
              </w:rPr>
            </w:pPr>
          </w:p>
        </w:tc>
        <w:tc>
          <w:tcPr>
            <w:tcW w:w="1115" w:type="dxa"/>
            <w:noWrap w:val="0"/>
            <w:vAlign w:val="center"/>
          </w:tcPr>
          <w:p w14:paraId="3200FD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228" w:type="dxa"/>
            <w:gridSpan w:val="2"/>
            <w:noWrap w:val="0"/>
            <w:vAlign w:val="center"/>
          </w:tcPr>
          <w:p w14:paraId="1E4F6641">
            <w:pPr>
              <w:jc w:val="center"/>
              <w:rPr>
                <w:rFonts w:hint="eastAsia" w:ascii="宋体" w:hAnsi="宋体" w:eastAsia="宋体" w:cs="宋体"/>
                <w:color w:val="auto"/>
                <w:sz w:val="21"/>
                <w:szCs w:val="21"/>
                <w:highlight w:val="none"/>
              </w:rPr>
            </w:pPr>
          </w:p>
        </w:tc>
        <w:tc>
          <w:tcPr>
            <w:tcW w:w="1485" w:type="dxa"/>
            <w:noWrap w:val="0"/>
            <w:vAlign w:val="center"/>
          </w:tcPr>
          <w:p w14:paraId="609CE13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邮箱</w:t>
            </w:r>
          </w:p>
        </w:tc>
        <w:tc>
          <w:tcPr>
            <w:tcW w:w="2611" w:type="dxa"/>
            <w:noWrap w:val="0"/>
            <w:vAlign w:val="center"/>
          </w:tcPr>
          <w:p w14:paraId="263ABAAB">
            <w:pPr>
              <w:jc w:val="center"/>
              <w:rPr>
                <w:rFonts w:hint="eastAsia" w:ascii="宋体" w:hAnsi="宋体" w:eastAsia="宋体" w:cs="宋体"/>
                <w:color w:val="auto"/>
                <w:sz w:val="21"/>
                <w:szCs w:val="21"/>
                <w:highlight w:val="none"/>
              </w:rPr>
            </w:pPr>
          </w:p>
        </w:tc>
      </w:tr>
      <w:tr w14:paraId="1DCE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101" w:type="dxa"/>
            <w:noWrap w:val="0"/>
            <w:vAlign w:val="center"/>
          </w:tcPr>
          <w:p w14:paraId="124291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2479" w:type="dxa"/>
            <w:gridSpan w:val="2"/>
            <w:noWrap w:val="0"/>
            <w:vAlign w:val="center"/>
          </w:tcPr>
          <w:p w14:paraId="50A92BC6">
            <w:pPr>
              <w:jc w:val="center"/>
              <w:rPr>
                <w:rFonts w:hint="eastAsia" w:ascii="宋体" w:hAnsi="宋体" w:eastAsia="宋体" w:cs="宋体"/>
                <w:color w:val="auto"/>
                <w:sz w:val="21"/>
                <w:szCs w:val="21"/>
                <w:highlight w:val="none"/>
              </w:rPr>
            </w:pPr>
          </w:p>
        </w:tc>
        <w:tc>
          <w:tcPr>
            <w:tcW w:w="2349" w:type="dxa"/>
            <w:gridSpan w:val="2"/>
            <w:noWrap w:val="0"/>
            <w:vAlign w:val="center"/>
          </w:tcPr>
          <w:p w14:paraId="00E52B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税务登记证号</w:t>
            </w:r>
          </w:p>
        </w:tc>
        <w:tc>
          <w:tcPr>
            <w:tcW w:w="2611" w:type="dxa"/>
            <w:noWrap w:val="0"/>
            <w:vAlign w:val="center"/>
          </w:tcPr>
          <w:p w14:paraId="3CCAFC3B">
            <w:pPr>
              <w:jc w:val="center"/>
              <w:rPr>
                <w:rFonts w:hint="eastAsia" w:ascii="宋体" w:hAnsi="宋体" w:eastAsia="宋体" w:cs="宋体"/>
                <w:color w:val="auto"/>
                <w:sz w:val="21"/>
                <w:szCs w:val="21"/>
                <w:highlight w:val="none"/>
              </w:rPr>
            </w:pPr>
          </w:p>
        </w:tc>
      </w:tr>
      <w:tr w14:paraId="79C2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101" w:type="dxa"/>
            <w:noWrap w:val="0"/>
            <w:vAlign w:val="center"/>
          </w:tcPr>
          <w:p w14:paraId="69EA24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固定资产净值</w:t>
            </w:r>
          </w:p>
        </w:tc>
        <w:tc>
          <w:tcPr>
            <w:tcW w:w="2479" w:type="dxa"/>
            <w:gridSpan w:val="2"/>
            <w:noWrap w:val="0"/>
            <w:vAlign w:val="center"/>
          </w:tcPr>
          <w:p w14:paraId="272DE8B5">
            <w:pPr>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2349" w:type="dxa"/>
            <w:gridSpan w:val="2"/>
            <w:noWrap w:val="0"/>
            <w:vAlign w:val="center"/>
          </w:tcPr>
          <w:p w14:paraId="4158D7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流动资产</w:t>
            </w:r>
          </w:p>
        </w:tc>
        <w:tc>
          <w:tcPr>
            <w:tcW w:w="2611" w:type="dxa"/>
            <w:noWrap w:val="0"/>
            <w:vAlign w:val="center"/>
          </w:tcPr>
          <w:p w14:paraId="1F716670">
            <w:pPr>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r>
      <w:tr w14:paraId="2742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101" w:type="dxa"/>
            <w:noWrap w:val="0"/>
            <w:vAlign w:val="center"/>
          </w:tcPr>
          <w:p w14:paraId="6F6C57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2479" w:type="dxa"/>
            <w:gridSpan w:val="2"/>
            <w:noWrap w:val="0"/>
            <w:vAlign w:val="center"/>
          </w:tcPr>
          <w:p w14:paraId="6C120C7E">
            <w:pPr>
              <w:jc w:val="center"/>
              <w:rPr>
                <w:rFonts w:hint="eastAsia" w:ascii="宋体" w:hAnsi="宋体" w:eastAsia="宋体" w:cs="宋体"/>
                <w:color w:val="auto"/>
                <w:sz w:val="21"/>
                <w:szCs w:val="21"/>
                <w:highlight w:val="none"/>
              </w:rPr>
            </w:pPr>
          </w:p>
        </w:tc>
        <w:tc>
          <w:tcPr>
            <w:tcW w:w="2349" w:type="dxa"/>
            <w:gridSpan w:val="2"/>
            <w:noWrap w:val="0"/>
            <w:vAlign w:val="center"/>
          </w:tcPr>
          <w:p w14:paraId="2E24D1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2611" w:type="dxa"/>
            <w:noWrap w:val="0"/>
            <w:vAlign w:val="center"/>
          </w:tcPr>
          <w:p w14:paraId="365811F1">
            <w:pPr>
              <w:jc w:val="center"/>
              <w:rPr>
                <w:rFonts w:hint="eastAsia" w:ascii="宋体" w:hAnsi="宋体" w:eastAsia="宋体" w:cs="宋体"/>
                <w:color w:val="auto"/>
                <w:sz w:val="21"/>
                <w:szCs w:val="21"/>
                <w:highlight w:val="none"/>
              </w:rPr>
            </w:pPr>
          </w:p>
        </w:tc>
      </w:tr>
      <w:tr w14:paraId="1C47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2101" w:type="dxa"/>
            <w:noWrap w:val="0"/>
            <w:vAlign w:val="center"/>
          </w:tcPr>
          <w:p w14:paraId="1063BC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439" w:type="dxa"/>
            <w:gridSpan w:val="5"/>
            <w:noWrap w:val="0"/>
            <w:vAlign w:val="center"/>
          </w:tcPr>
          <w:p w14:paraId="44B23CEF">
            <w:pPr>
              <w:rPr>
                <w:rFonts w:hint="eastAsia" w:ascii="宋体" w:hAnsi="宋体" w:eastAsia="宋体" w:cs="宋体"/>
                <w:color w:val="auto"/>
                <w:sz w:val="21"/>
                <w:szCs w:val="21"/>
                <w:highlight w:val="none"/>
              </w:rPr>
            </w:pPr>
          </w:p>
        </w:tc>
      </w:tr>
      <w:tr w14:paraId="026B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2" w:hRule="atLeast"/>
        </w:trPr>
        <w:tc>
          <w:tcPr>
            <w:tcW w:w="2101" w:type="dxa"/>
            <w:noWrap w:val="0"/>
            <w:vAlign w:val="center"/>
          </w:tcPr>
          <w:p w14:paraId="029D5E1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w:t>
            </w:r>
          </w:p>
        </w:tc>
        <w:tc>
          <w:tcPr>
            <w:tcW w:w="7439" w:type="dxa"/>
            <w:gridSpan w:val="5"/>
            <w:noWrap w:val="0"/>
            <w:vAlign w:val="center"/>
          </w:tcPr>
          <w:p w14:paraId="37D4EE8E">
            <w:pPr>
              <w:keepNext w:val="0"/>
              <w:keepLines w:val="0"/>
              <w:pageBreakBefore w:val="0"/>
              <w:widowControl w:val="0"/>
              <w:numPr>
                <w:ilvl w:val="0"/>
                <w:numId w:val="8"/>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我方符合《中华人民共和国政府采购法》第二十二条要求,且必须为未被列入“信用中国”网站(www.creditchina.gov.cn)、中国政府采购网(www.ccgp.gov.cn)渠道信用记录失信被执行人、</w:t>
            </w:r>
            <w:r>
              <w:rPr>
                <w:rFonts w:hint="eastAsia" w:ascii="宋体" w:hAnsi="宋体" w:eastAsia="宋体" w:cs="宋体"/>
                <w:color w:val="auto"/>
                <w:sz w:val="21"/>
                <w:szCs w:val="21"/>
                <w:highlight w:val="none"/>
                <w:lang w:eastAsia="zh-CN"/>
              </w:rPr>
              <w:t>税收违法黑名单</w:t>
            </w:r>
            <w:r>
              <w:rPr>
                <w:rFonts w:hint="eastAsia" w:ascii="宋体" w:hAnsi="宋体" w:eastAsia="宋体" w:cs="宋体"/>
                <w:color w:val="auto"/>
                <w:sz w:val="21"/>
                <w:szCs w:val="21"/>
                <w:highlight w:val="none"/>
              </w:rPr>
              <w:t>、政府采购严重违法失信行为记录名单的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w:t>
            </w:r>
          </w:p>
          <w:p w14:paraId="183F2A9C">
            <w:pPr>
              <w:keepNext w:val="0"/>
              <w:keepLines w:val="0"/>
              <w:pageBreakBefore w:val="0"/>
              <w:widowControl w:val="0"/>
              <w:numPr>
                <w:ilvl w:val="0"/>
                <w:numId w:val="8"/>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zh-CN"/>
              </w:rPr>
              <w:t>具有独立承担民事责任能力</w:t>
            </w:r>
            <w:r>
              <w:rPr>
                <w:rFonts w:hint="eastAsia" w:ascii="宋体" w:hAnsi="宋体" w:eastAsia="宋体" w:cs="宋体"/>
                <w:color w:val="auto"/>
                <w:sz w:val="21"/>
                <w:szCs w:val="21"/>
                <w:highlight w:val="none"/>
              </w:rPr>
              <w:t>；</w:t>
            </w:r>
          </w:p>
          <w:p w14:paraId="1F1148B2">
            <w:pPr>
              <w:keepNext w:val="0"/>
              <w:keepLines w:val="0"/>
              <w:pageBreakBefore w:val="0"/>
              <w:widowControl w:val="0"/>
              <w:numPr>
                <w:ilvl w:val="0"/>
                <w:numId w:val="8"/>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我方独立参加投标，若中标决不转包</w:t>
            </w:r>
            <w:r>
              <w:rPr>
                <w:rFonts w:hint="eastAsia" w:ascii="宋体" w:hAnsi="宋体" w:eastAsia="宋体" w:cs="宋体"/>
                <w:color w:val="auto"/>
                <w:sz w:val="21"/>
                <w:szCs w:val="21"/>
                <w:highlight w:val="none"/>
                <w:lang w:eastAsia="zh-CN"/>
              </w:rPr>
              <w:t>、分包。</w:t>
            </w:r>
          </w:p>
          <w:p w14:paraId="68FE4CC5">
            <w:pPr>
              <w:keepNext w:val="0"/>
              <w:keepLines w:val="0"/>
              <w:pageBreakBefore w:val="0"/>
              <w:widowControl w:val="0"/>
              <w:numPr>
                <w:ilvl w:val="0"/>
                <w:numId w:val="8"/>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我方无不良行为信用记录或有不良行为信用记录已过处罚暂停期的</w:t>
            </w:r>
            <w:r>
              <w:rPr>
                <w:rFonts w:hint="eastAsia" w:ascii="宋体" w:hAnsi="宋体" w:eastAsia="宋体" w:cs="宋体"/>
                <w:color w:val="auto"/>
                <w:sz w:val="21"/>
                <w:szCs w:val="21"/>
                <w:highlight w:val="none"/>
                <w:lang w:eastAsia="zh-CN"/>
              </w:rPr>
              <w:t>。</w:t>
            </w:r>
          </w:p>
        </w:tc>
      </w:tr>
      <w:tr w14:paraId="4F06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101" w:type="dxa"/>
            <w:noWrap w:val="0"/>
            <w:vAlign w:val="center"/>
          </w:tcPr>
          <w:p w14:paraId="243CFA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  注</w:t>
            </w:r>
          </w:p>
        </w:tc>
        <w:tc>
          <w:tcPr>
            <w:tcW w:w="7439" w:type="dxa"/>
            <w:gridSpan w:val="5"/>
            <w:noWrap w:val="0"/>
            <w:vAlign w:val="center"/>
          </w:tcPr>
          <w:p w14:paraId="5410628A">
            <w:pPr>
              <w:rPr>
                <w:rFonts w:hint="eastAsia" w:ascii="宋体" w:hAnsi="宋体" w:eastAsia="宋体" w:cs="宋体"/>
                <w:color w:val="auto"/>
                <w:sz w:val="21"/>
                <w:szCs w:val="21"/>
                <w:highlight w:val="none"/>
              </w:rPr>
            </w:pPr>
          </w:p>
        </w:tc>
      </w:tr>
    </w:tbl>
    <w:p w14:paraId="797D2C79">
      <w:pPr>
        <w:spacing w:line="3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注：1、营业执照副本、银行开户证明</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税务登记证</w:t>
      </w:r>
      <w:r>
        <w:rPr>
          <w:rFonts w:hint="eastAsia" w:ascii="宋体" w:hAnsi="宋体" w:eastAsia="宋体" w:cs="宋体"/>
          <w:color w:val="auto"/>
          <w:sz w:val="24"/>
          <w:szCs w:val="24"/>
          <w:highlight w:val="none"/>
          <w:lang w:eastAsia="zh-CN"/>
        </w:rPr>
        <w:t>等证明材料</w:t>
      </w:r>
      <w:r>
        <w:rPr>
          <w:rFonts w:hint="eastAsia" w:ascii="宋体" w:hAnsi="宋体" w:eastAsia="宋体" w:cs="宋体"/>
          <w:color w:val="auto"/>
          <w:sz w:val="24"/>
          <w:szCs w:val="24"/>
          <w:highlight w:val="none"/>
          <w:lang w:val="en-US" w:eastAsia="zh-CN"/>
        </w:rPr>
        <w:t>扫描</w:t>
      </w:r>
      <w:r>
        <w:rPr>
          <w:rFonts w:hint="eastAsia" w:ascii="宋体" w:hAnsi="宋体" w:eastAsia="宋体" w:cs="宋体"/>
          <w:color w:val="auto"/>
          <w:sz w:val="24"/>
          <w:szCs w:val="24"/>
          <w:highlight w:val="none"/>
        </w:rPr>
        <w:t>件附后。</w:t>
      </w:r>
    </w:p>
    <w:p w14:paraId="1792DBC0">
      <w:pPr>
        <w:spacing w:line="320" w:lineRule="exact"/>
        <w:rPr>
          <w:rFonts w:hint="eastAsia" w:ascii="宋体" w:hAnsi="宋体" w:eastAsia="宋体" w:cs="宋体"/>
          <w:b/>
          <w:color w:val="auto"/>
          <w:sz w:val="24"/>
          <w:szCs w:val="24"/>
          <w:highlight w:val="none"/>
        </w:rPr>
      </w:pPr>
    </w:p>
    <w:p w14:paraId="15217AB2">
      <w:pPr>
        <w:spacing w:line="320" w:lineRule="exact"/>
        <w:rPr>
          <w:rFonts w:hint="eastAsia" w:ascii="宋体" w:hAnsi="宋体" w:eastAsia="宋体" w:cs="宋体"/>
          <w:b/>
          <w:color w:val="auto"/>
          <w:sz w:val="24"/>
          <w:szCs w:val="24"/>
          <w:highlight w:val="none"/>
        </w:rPr>
      </w:pPr>
    </w:p>
    <w:p w14:paraId="09A58C87">
      <w:pPr>
        <w:spacing w:line="320" w:lineRule="exact"/>
        <w:rPr>
          <w:rFonts w:hint="eastAsia" w:ascii="宋体" w:hAnsi="宋体" w:eastAsia="宋体" w:cs="宋体"/>
          <w:b/>
          <w:color w:val="auto"/>
          <w:sz w:val="24"/>
          <w:szCs w:val="24"/>
          <w:highlight w:val="none"/>
        </w:rPr>
      </w:pPr>
    </w:p>
    <w:p w14:paraId="2B91AF0E">
      <w:pPr>
        <w:keepNext w:val="0"/>
        <w:keepLines w:val="0"/>
        <w:pageBreakBefore w:val="0"/>
        <w:kinsoku/>
        <w:topLinePunct w:val="0"/>
        <w:bidi w:val="0"/>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投标人名称（盖章）：                             </w:t>
      </w:r>
    </w:p>
    <w:p w14:paraId="16C27927">
      <w:pPr>
        <w:keepNext w:val="0"/>
        <w:keepLines w:val="0"/>
        <w:pageBreakBefore w:val="0"/>
        <w:kinsoku/>
        <w:topLinePunct w:val="0"/>
        <w:bidi w:val="0"/>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法定代表人或被授权代表（签字或盖章）：              </w:t>
      </w:r>
    </w:p>
    <w:p w14:paraId="3D04BA6D">
      <w:pPr>
        <w:keepNext w:val="0"/>
        <w:keepLines w:val="0"/>
        <w:pageBreakBefore w:val="0"/>
        <w:kinsoku/>
        <w:topLinePunct w:val="0"/>
        <w:bidi w:val="0"/>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6B36D2CB">
      <w:pPr>
        <w:pStyle w:val="21"/>
        <w:rPr>
          <w:rFonts w:hint="eastAsia" w:ascii="宋体" w:hAnsi="宋体" w:eastAsia="宋体" w:cs="宋体"/>
          <w:color w:val="auto"/>
          <w:sz w:val="24"/>
          <w:szCs w:val="24"/>
          <w:highlight w:val="none"/>
          <w:u w:val="none"/>
        </w:rPr>
      </w:pPr>
    </w:p>
    <w:p w14:paraId="2FCE8DB2">
      <w:pPr>
        <w:pStyle w:val="21"/>
        <w:rPr>
          <w:rFonts w:hint="eastAsia" w:ascii="宋体" w:hAnsi="宋体" w:eastAsia="宋体" w:cs="宋体"/>
          <w:color w:val="auto"/>
          <w:sz w:val="24"/>
          <w:szCs w:val="24"/>
          <w:highlight w:val="none"/>
          <w:u w:val="none"/>
        </w:rPr>
      </w:pPr>
    </w:p>
    <w:p w14:paraId="18B98B9A">
      <w:pPr>
        <w:pStyle w:val="21"/>
        <w:ind w:left="0" w:leftChars="0" w:firstLine="0" w:firstLineChars="0"/>
        <w:rPr>
          <w:rFonts w:hint="eastAsia" w:ascii="宋体" w:hAnsi="宋体" w:eastAsia="宋体" w:cs="宋体"/>
          <w:color w:val="auto"/>
          <w:sz w:val="24"/>
          <w:szCs w:val="24"/>
          <w:highlight w:val="none"/>
          <w:u w:val="none"/>
        </w:rPr>
      </w:pPr>
    </w:p>
    <w:p w14:paraId="698E3401">
      <w:pPr>
        <w:pStyle w:val="21"/>
        <w:rPr>
          <w:rFonts w:hint="eastAsia" w:ascii="宋体" w:hAnsi="宋体" w:eastAsia="宋体" w:cs="宋体"/>
          <w:color w:val="auto"/>
          <w:sz w:val="24"/>
          <w:szCs w:val="24"/>
          <w:highlight w:val="none"/>
          <w:u w:val="none"/>
        </w:rPr>
      </w:pPr>
    </w:p>
    <w:p w14:paraId="4A6E16BA">
      <w:pPr>
        <w:jc w:val="center"/>
        <w:outlineLvl w:val="0"/>
        <w:rPr>
          <w:rFonts w:ascii="仿宋" w:hAnsi="仿宋" w:eastAsia="仿宋" w:cs="仿宋"/>
          <w:b/>
          <w:bCs/>
          <w:i w:val="0"/>
          <w:iCs w:val="0"/>
          <w:color w:val="auto"/>
          <w:sz w:val="24"/>
          <w:szCs w:val="24"/>
          <w:highlight w:val="none"/>
        </w:rPr>
      </w:pPr>
    </w:p>
    <w:p w14:paraId="0B0A7944">
      <w:pPr>
        <w:jc w:val="center"/>
        <w:outlineLvl w:val="0"/>
        <w:rPr>
          <w:rFonts w:ascii="仿宋" w:hAnsi="仿宋" w:eastAsia="仿宋" w:cs="仿宋"/>
          <w:b/>
          <w:bCs/>
          <w:i w:val="0"/>
          <w:iCs w:val="0"/>
          <w:color w:val="auto"/>
          <w:sz w:val="30"/>
          <w:szCs w:val="30"/>
          <w:highlight w:val="none"/>
        </w:rPr>
      </w:pPr>
    </w:p>
    <w:p w14:paraId="383C233D">
      <w:pPr>
        <w:jc w:val="center"/>
        <w:outlineLvl w:val="0"/>
        <w:rPr>
          <w:rFonts w:ascii="仿宋" w:hAnsi="仿宋" w:eastAsia="仿宋" w:cs="仿宋"/>
          <w:color w:val="auto"/>
          <w:spacing w:val="20"/>
          <w:sz w:val="30"/>
          <w:szCs w:val="30"/>
          <w:highlight w:val="none"/>
          <w:lang w:val="zh-CN"/>
        </w:rPr>
      </w:pPr>
      <w:r>
        <w:rPr>
          <w:rFonts w:ascii="仿宋" w:hAnsi="仿宋" w:eastAsia="仿宋" w:cs="仿宋"/>
          <w:b/>
          <w:bCs/>
          <w:i w:val="0"/>
          <w:iCs w:val="0"/>
          <w:color w:val="auto"/>
          <w:sz w:val="30"/>
          <w:szCs w:val="30"/>
          <w:highlight w:val="none"/>
        </w:rPr>
        <w:t>评分索引表</w:t>
      </w:r>
    </w:p>
    <w:tbl>
      <w:tblPr>
        <w:tblStyle w:val="23"/>
        <w:tblpPr w:leftFromText="180" w:rightFromText="180" w:vertAnchor="text" w:horzAnchor="page" w:tblpX="1444" w:tblpY="118"/>
        <w:tblOverlap w:val="never"/>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3375"/>
        <w:gridCol w:w="1763"/>
        <w:gridCol w:w="2087"/>
        <w:gridCol w:w="1075"/>
      </w:tblGrid>
      <w:tr w14:paraId="593F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655007E9">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375" w:type="dxa"/>
            <w:tcBorders>
              <w:top w:val="single" w:color="auto" w:sz="4" w:space="0"/>
              <w:left w:val="single" w:color="auto" w:sz="4" w:space="0"/>
              <w:bottom w:val="single" w:color="auto" w:sz="4" w:space="0"/>
              <w:right w:val="single" w:color="auto" w:sz="4" w:space="0"/>
            </w:tcBorders>
            <w:noWrap w:val="0"/>
            <w:vAlign w:val="center"/>
          </w:tcPr>
          <w:p w14:paraId="2958210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评分细则内容</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5D7B6EF3">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w:t>
            </w:r>
          </w:p>
          <w:p w14:paraId="397A633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范围</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8CF3749">
            <w:pPr>
              <w:spacing w:line="36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资料所在页码</w:t>
            </w:r>
          </w:p>
        </w:tc>
        <w:tc>
          <w:tcPr>
            <w:tcW w:w="1075" w:type="dxa"/>
            <w:tcBorders>
              <w:top w:val="single" w:color="auto" w:sz="4" w:space="0"/>
              <w:left w:val="single" w:color="auto" w:sz="4" w:space="0"/>
              <w:bottom w:val="single" w:color="auto" w:sz="4" w:space="0"/>
              <w:right w:val="single" w:color="auto" w:sz="4" w:space="0"/>
            </w:tcBorders>
            <w:noWrap w:val="0"/>
            <w:vAlign w:val="center"/>
          </w:tcPr>
          <w:p w14:paraId="36B6EFAE">
            <w:pPr>
              <w:spacing w:line="360" w:lineRule="atLeas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7250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2F91CB37">
            <w:pPr>
              <w:autoSpaceDE w:val="0"/>
              <w:autoSpaceDN w:val="0"/>
              <w:spacing w:line="380" w:lineRule="exact"/>
              <w:ind w:firstLine="120" w:firstLineChars="50"/>
              <w:jc w:val="center"/>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24F722FA">
            <w:pPr>
              <w:autoSpaceDE w:val="0"/>
              <w:autoSpaceDN w:val="0"/>
              <w:spacing w:line="380" w:lineRule="exac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1C61F2C">
            <w:pPr>
              <w:autoSpaceDE w:val="0"/>
              <w:autoSpaceDN w:val="0"/>
              <w:spacing w:line="380" w:lineRule="exact"/>
              <w:ind w:left="-94" w:leftChars="-45" w:right="-122" w:rightChars="-58"/>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58B4ACB6">
            <w:pPr>
              <w:spacing w:line="360" w:lineRule="atLeast"/>
              <w:jc w:val="cente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E2A46BA">
            <w:pPr>
              <w:spacing w:line="360" w:lineRule="atLeast"/>
              <w:jc w:val="center"/>
              <w:rPr>
                <w:rFonts w:hint="eastAsia" w:asciiTheme="minorEastAsia" w:hAnsiTheme="minorEastAsia" w:eastAsiaTheme="minorEastAsia" w:cstheme="minorEastAsia"/>
                <w:color w:val="auto"/>
                <w:sz w:val="24"/>
                <w:szCs w:val="24"/>
                <w:highlight w:val="none"/>
              </w:rPr>
            </w:pPr>
          </w:p>
        </w:tc>
      </w:tr>
      <w:tr w14:paraId="328F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56D27278">
            <w:pPr>
              <w:spacing w:line="300" w:lineRule="exact"/>
              <w:jc w:val="left"/>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562F4392">
            <w:pPr>
              <w:spacing w:line="300" w:lineRule="exact"/>
              <w:jc w:val="lef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CED2434">
            <w:pPr>
              <w:spacing w:line="300" w:lineRule="exact"/>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2FCECC7F">
            <w:pP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24B7A9AC">
            <w:pPr>
              <w:rPr>
                <w:rFonts w:hint="eastAsia" w:asciiTheme="minorEastAsia" w:hAnsiTheme="minorEastAsia" w:eastAsiaTheme="minorEastAsia" w:cstheme="minorEastAsia"/>
                <w:color w:val="auto"/>
                <w:sz w:val="24"/>
                <w:szCs w:val="24"/>
                <w:highlight w:val="none"/>
              </w:rPr>
            </w:pPr>
          </w:p>
        </w:tc>
      </w:tr>
      <w:tr w14:paraId="0E96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7479F9EE">
            <w:pPr>
              <w:spacing w:line="300" w:lineRule="exact"/>
              <w:jc w:val="center"/>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33BE5E90">
            <w:pPr>
              <w:spacing w:line="300" w:lineRule="exac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ED272B5">
            <w:pPr>
              <w:spacing w:line="300" w:lineRule="exact"/>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55041F5C">
            <w:pPr>
              <w:spacing w:line="240" w:lineRule="exact"/>
              <w:jc w:val="cente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796D7252">
            <w:pPr>
              <w:spacing w:line="240" w:lineRule="exact"/>
              <w:jc w:val="center"/>
              <w:rPr>
                <w:rFonts w:hint="eastAsia" w:asciiTheme="minorEastAsia" w:hAnsiTheme="minorEastAsia" w:eastAsiaTheme="minorEastAsia" w:cstheme="minorEastAsia"/>
                <w:color w:val="auto"/>
                <w:sz w:val="24"/>
                <w:szCs w:val="24"/>
                <w:highlight w:val="none"/>
              </w:rPr>
            </w:pPr>
          </w:p>
        </w:tc>
      </w:tr>
      <w:tr w14:paraId="4DE8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267B6055">
            <w:pPr>
              <w:spacing w:line="300" w:lineRule="exact"/>
              <w:jc w:val="center"/>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71982B62">
            <w:pPr>
              <w:spacing w:line="300" w:lineRule="exac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0EA93B5">
            <w:pPr>
              <w:spacing w:line="300" w:lineRule="exact"/>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3F230CB">
            <w:pP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72C57D7D">
            <w:pPr>
              <w:rPr>
                <w:rFonts w:hint="eastAsia" w:asciiTheme="minorEastAsia" w:hAnsiTheme="minorEastAsia" w:eastAsiaTheme="minorEastAsia" w:cstheme="minorEastAsia"/>
                <w:color w:val="auto"/>
                <w:sz w:val="24"/>
                <w:szCs w:val="24"/>
                <w:highlight w:val="none"/>
              </w:rPr>
            </w:pPr>
          </w:p>
        </w:tc>
      </w:tr>
      <w:tr w14:paraId="2504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2F9B8251">
            <w:pPr>
              <w:autoSpaceDE w:val="0"/>
              <w:autoSpaceDN w:val="0"/>
              <w:spacing w:line="300" w:lineRule="exact"/>
              <w:jc w:val="center"/>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1286A114">
            <w:pPr>
              <w:autoSpaceDE w:val="0"/>
              <w:autoSpaceDN w:val="0"/>
              <w:spacing w:line="300" w:lineRule="exac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5B5B28F">
            <w:pPr>
              <w:autoSpaceDE w:val="0"/>
              <w:autoSpaceDN w:val="0"/>
              <w:spacing w:line="300" w:lineRule="exact"/>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18456DB7">
            <w:pP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5C216FE2">
            <w:pPr>
              <w:rPr>
                <w:rFonts w:hint="eastAsia" w:asciiTheme="minorEastAsia" w:hAnsiTheme="minorEastAsia" w:eastAsiaTheme="minorEastAsia" w:cstheme="minorEastAsia"/>
                <w:color w:val="auto"/>
                <w:sz w:val="24"/>
                <w:szCs w:val="24"/>
                <w:highlight w:val="none"/>
              </w:rPr>
            </w:pPr>
          </w:p>
        </w:tc>
      </w:tr>
      <w:tr w14:paraId="6C36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6C6D1F41">
            <w:pPr>
              <w:spacing w:line="300" w:lineRule="exact"/>
              <w:jc w:val="center"/>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0086FF99">
            <w:pPr>
              <w:spacing w:before="60" w:beforeLines="25" w:after="60" w:afterLines="25" w:line="300" w:lineRule="exac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5329EEB6">
            <w:pPr>
              <w:spacing w:line="300" w:lineRule="exact"/>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714C304">
            <w:pP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635D6F1C">
            <w:pPr>
              <w:rPr>
                <w:rFonts w:hint="eastAsia" w:asciiTheme="minorEastAsia" w:hAnsiTheme="minorEastAsia" w:eastAsiaTheme="minorEastAsia" w:cstheme="minorEastAsia"/>
                <w:color w:val="auto"/>
                <w:sz w:val="24"/>
                <w:szCs w:val="24"/>
                <w:highlight w:val="none"/>
              </w:rPr>
            </w:pPr>
          </w:p>
        </w:tc>
      </w:tr>
      <w:tr w14:paraId="045C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3EF6B29B">
            <w:pPr>
              <w:spacing w:line="300" w:lineRule="exact"/>
              <w:jc w:val="center"/>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25032412">
            <w:pPr>
              <w:spacing w:before="60" w:beforeLines="25" w:after="60" w:afterLines="25" w:line="300" w:lineRule="exac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7D4F3A0">
            <w:pPr>
              <w:spacing w:line="300" w:lineRule="exact"/>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16B730C8">
            <w:pP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FC1590A">
            <w:pPr>
              <w:rPr>
                <w:rFonts w:hint="eastAsia" w:asciiTheme="minorEastAsia" w:hAnsiTheme="minorEastAsia" w:eastAsiaTheme="minorEastAsia" w:cstheme="minorEastAsia"/>
                <w:color w:val="auto"/>
                <w:sz w:val="24"/>
                <w:szCs w:val="24"/>
                <w:highlight w:val="none"/>
              </w:rPr>
            </w:pPr>
          </w:p>
        </w:tc>
      </w:tr>
      <w:tr w14:paraId="49E1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20659D82">
            <w:pPr>
              <w:spacing w:line="300" w:lineRule="exact"/>
              <w:jc w:val="left"/>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3776674B">
            <w:pPr>
              <w:spacing w:line="360" w:lineRule="auto"/>
              <w:jc w:val="lef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5A10260">
            <w:pPr>
              <w:spacing w:line="360" w:lineRule="auto"/>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34F389FB">
            <w:pP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2EFA712D">
            <w:pPr>
              <w:rPr>
                <w:rFonts w:hint="eastAsia" w:asciiTheme="minorEastAsia" w:hAnsiTheme="minorEastAsia" w:eastAsiaTheme="minorEastAsia" w:cstheme="minorEastAsia"/>
                <w:color w:val="auto"/>
                <w:sz w:val="24"/>
                <w:szCs w:val="24"/>
                <w:highlight w:val="none"/>
              </w:rPr>
            </w:pPr>
          </w:p>
        </w:tc>
      </w:tr>
      <w:tr w14:paraId="3FBC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07FC785A">
            <w:pPr>
              <w:spacing w:line="300" w:lineRule="exact"/>
              <w:jc w:val="center"/>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14C99873">
            <w:pPr>
              <w:spacing w:line="300" w:lineRule="exac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59198363">
            <w:pPr>
              <w:spacing w:line="300" w:lineRule="exact"/>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0249F590">
            <w:pP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15558813">
            <w:pPr>
              <w:rPr>
                <w:rFonts w:hint="eastAsia" w:asciiTheme="minorEastAsia" w:hAnsiTheme="minorEastAsia" w:eastAsiaTheme="minorEastAsia" w:cstheme="minorEastAsia"/>
                <w:color w:val="auto"/>
                <w:sz w:val="24"/>
                <w:szCs w:val="24"/>
                <w:highlight w:val="none"/>
              </w:rPr>
            </w:pPr>
          </w:p>
        </w:tc>
      </w:tr>
      <w:tr w14:paraId="042F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62" w:type="dxa"/>
            <w:tcBorders>
              <w:top w:val="single" w:color="auto" w:sz="4" w:space="0"/>
              <w:left w:val="single" w:color="auto" w:sz="4" w:space="0"/>
              <w:bottom w:val="single" w:color="auto" w:sz="4" w:space="0"/>
              <w:right w:val="single" w:color="auto" w:sz="4" w:space="0"/>
            </w:tcBorders>
            <w:noWrap w:val="0"/>
            <w:vAlign w:val="center"/>
          </w:tcPr>
          <w:p w14:paraId="247A4263">
            <w:pPr>
              <w:spacing w:line="300" w:lineRule="exact"/>
              <w:jc w:val="center"/>
              <w:rPr>
                <w:rFonts w:hint="eastAsia" w:asciiTheme="minorEastAsia" w:hAnsiTheme="minorEastAsia" w:eastAsiaTheme="minorEastAsia" w:cstheme="minorEastAsia"/>
                <w:color w:val="auto"/>
                <w:sz w:val="24"/>
                <w:szCs w:val="24"/>
                <w:highlight w:val="none"/>
              </w:rPr>
            </w:pPr>
          </w:p>
        </w:tc>
        <w:tc>
          <w:tcPr>
            <w:tcW w:w="3375" w:type="dxa"/>
            <w:tcBorders>
              <w:top w:val="single" w:color="auto" w:sz="4" w:space="0"/>
              <w:left w:val="single" w:color="auto" w:sz="4" w:space="0"/>
              <w:bottom w:val="single" w:color="auto" w:sz="4" w:space="0"/>
              <w:right w:val="single" w:color="auto" w:sz="4" w:space="0"/>
            </w:tcBorders>
            <w:noWrap w:val="0"/>
            <w:vAlign w:val="center"/>
          </w:tcPr>
          <w:p w14:paraId="30759909">
            <w:pPr>
              <w:spacing w:line="300" w:lineRule="exact"/>
              <w:rPr>
                <w:rFonts w:hint="eastAsia" w:asciiTheme="minorEastAsia" w:hAnsiTheme="minorEastAsia" w:eastAsiaTheme="minorEastAsia" w:cstheme="minorEastAsia"/>
                <w:color w:val="auto"/>
                <w:sz w:val="24"/>
                <w:szCs w:val="24"/>
                <w:highlight w:val="none"/>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B23EC46">
            <w:pPr>
              <w:spacing w:line="300" w:lineRule="exact"/>
              <w:jc w:val="center"/>
              <w:rPr>
                <w:rFonts w:hint="eastAsia" w:asciiTheme="minorEastAsia" w:hAnsiTheme="minorEastAsia" w:eastAsiaTheme="minorEastAsia" w:cstheme="minorEastAsia"/>
                <w:color w:val="auto"/>
                <w:sz w:val="24"/>
                <w:szCs w:val="24"/>
                <w:highlight w:val="none"/>
              </w:rPr>
            </w:pPr>
          </w:p>
        </w:tc>
        <w:tc>
          <w:tcPr>
            <w:tcW w:w="2087" w:type="dxa"/>
            <w:tcBorders>
              <w:top w:val="single" w:color="auto" w:sz="4" w:space="0"/>
              <w:left w:val="single" w:color="auto" w:sz="4" w:space="0"/>
              <w:bottom w:val="single" w:color="auto" w:sz="4" w:space="0"/>
              <w:right w:val="single" w:color="auto" w:sz="4" w:space="0"/>
            </w:tcBorders>
            <w:noWrap w:val="0"/>
            <w:vAlign w:val="center"/>
          </w:tcPr>
          <w:p w14:paraId="0F931C3F">
            <w:pPr>
              <w:rPr>
                <w:rFonts w:hint="eastAsia" w:asciiTheme="minorEastAsia" w:hAnsiTheme="minorEastAsia" w:eastAsiaTheme="minorEastAsia" w:cstheme="minorEastAsia"/>
                <w:color w:val="auto"/>
                <w:sz w:val="24"/>
                <w:szCs w:val="24"/>
                <w:highlight w:val="none"/>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14:paraId="0D2FD8D1">
            <w:pPr>
              <w:rPr>
                <w:rFonts w:hint="eastAsia" w:asciiTheme="minorEastAsia" w:hAnsiTheme="minorEastAsia" w:eastAsiaTheme="minorEastAsia" w:cstheme="minorEastAsia"/>
                <w:color w:val="auto"/>
                <w:sz w:val="24"/>
                <w:szCs w:val="24"/>
                <w:highlight w:val="none"/>
              </w:rPr>
            </w:pPr>
          </w:p>
        </w:tc>
      </w:tr>
    </w:tbl>
    <w:p w14:paraId="32DEFB2B">
      <w:pPr>
        <w:spacing w:line="240" w:lineRule="exact"/>
        <w:rPr>
          <w:rFonts w:ascii="仿宋" w:hAnsi="仿宋" w:eastAsia="仿宋" w:cs="仿宋"/>
          <w:color w:val="auto"/>
          <w:sz w:val="24"/>
          <w:szCs w:val="24"/>
          <w:highlight w:val="none"/>
        </w:rPr>
      </w:pPr>
    </w:p>
    <w:p w14:paraId="32235447">
      <w:pPr>
        <w:rPr>
          <w:rFonts w:ascii="仿宋" w:hAnsi="仿宋" w:eastAsia="仿宋" w:cs="仿宋"/>
          <w:color w:val="auto"/>
          <w:sz w:val="24"/>
          <w:szCs w:val="24"/>
          <w:highlight w:val="none"/>
        </w:rPr>
      </w:pPr>
      <w:r>
        <w:rPr>
          <w:rFonts w:hint="eastAsia" w:ascii="宋体" w:hAnsi="宋体" w:eastAsia="宋体" w:cs="宋体"/>
          <w:color w:val="auto"/>
          <w:sz w:val="24"/>
          <w:szCs w:val="24"/>
          <w:highlight w:val="none"/>
        </w:rPr>
        <w:t xml:space="preserve">注：投标人必须填写此表，并放于技术商务文件目录之后。    </w:t>
      </w:r>
      <w:r>
        <w:rPr>
          <w:rFonts w:ascii="仿宋" w:hAnsi="仿宋" w:eastAsia="仿宋" w:cs="仿宋"/>
          <w:color w:val="auto"/>
          <w:sz w:val="24"/>
          <w:szCs w:val="24"/>
          <w:highlight w:val="none"/>
        </w:rPr>
        <w:t xml:space="preserve">                                         </w:t>
      </w:r>
    </w:p>
    <w:p w14:paraId="722122D4">
      <w:pPr>
        <w:spacing w:line="300" w:lineRule="exact"/>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14:paraId="2D739099">
      <w:pPr>
        <w:keepNext w:val="0"/>
        <w:keepLines w:val="0"/>
        <w:pageBreakBefore w:val="0"/>
        <w:kinsoku/>
        <w:topLinePunct w:val="0"/>
        <w:bidi w:val="0"/>
        <w:spacing w:line="480" w:lineRule="auto"/>
        <w:rPr>
          <w:rFonts w:hint="eastAsia" w:ascii="宋体" w:hAnsi="宋体" w:eastAsia="宋体" w:cs="宋体"/>
          <w:color w:val="auto"/>
          <w:sz w:val="22"/>
          <w:szCs w:val="22"/>
          <w:highlight w:val="none"/>
        </w:rPr>
      </w:pPr>
    </w:p>
    <w:p w14:paraId="32F738F3">
      <w:pPr>
        <w:keepNext w:val="0"/>
        <w:keepLines w:val="0"/>
        <w:pageBreakBefore w:val="0"/>
        <w:kinsoku/>
        <w:topLinePunct w:val="0"/>
        <w:bidi w:val="0"/>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投标人名称（盖章）：                             </w:t>
      </w:r>
    </w:p>
    <w:p w14:paraId="4A3DE250">
      <w:pPr>
        <w:keepNext w:val="0"/>
        <w:keepLines w:val="0"/>
        <w:pageBreakBefore w:val="0"/>
        <w:kinsoku/>
        <w:topLinePunct w:val="0"/>
        <w:bidi w:val="0"/>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法定代表人或被授权代表（签字或盖章）：              </w:t>
      </w:r>
    </w:p>
    <w:p w14:paraId="0FE1FE77">
      <w:pPr>
        <w:keepNext w:val="0"/>
        <w:keepLines w:val="0"/>
        <w:pageBreakBefore w:val="0"/>
        <w:widowControl w:val="0"/>
        <w:kinsoku/>
        <w:wordWrap/>
        <w:overflowPunct/>
        <w:topLinePunct w:val="0"/>
        <w:autoSpaceDE/>
        <w:autoSpaceDN/>
        <w:bidi w:val="0"/>
        <w:adjustRightInd/>
        <w:snapToGrid/>
        <w:spacing w:after="157" w:afterLines="50" w:line="720" w:lineRule="exact"/>
        <w:ind w:left="0" w:leftChars="0" w:right="0" w:rightChars="0" w:firstLine="0" w:firstLineChars="0"/>
        <w:jc w:val="left"/>
        <w:textAlignment w:val="auto"/>
        <w:outlineLvl w:val="2"/>
        <w:rPr>
          <w:rFonts w:hint="eastAsia" w:ascii="宋体" w:hAnsi="宋体" w:eastAsia="宋体" w:cs="宋体"/>
          <w:b/>
          <w:bCs/>
          <w:color w:val="auto"/>
          <w:sz w:val="24"/>
          <w:szCs w:val="24"/>
          <w:highlight w:val="none"/>
          <w:lang w:val="zh-CN"/>
        </w:rPr>
        <w:sectPr>
          <w:pgSz w:w="11906" w:h="16838"/>
          <w:pgMar w:top="1242" w:right="1080" w:bottom="1100" w:left="1298" w:header="851" w:footer="709" w:gutter="0"/>
          <w:pgBorders>
            <w:top w:val="none" w:sz="0" w:space="0"/>
            <w:left w:val="none" w:sz="0" w:space="0"/>
            <w:bottom w:val="none" w:sz="0" w:space="0"/>
            <w:right w:val="none" w:sz="0" w:space="0"/>
          </w:pgBorders>
          <w:pgNumType w:fmt="decimal"/>
          <w:cols w:space="0" w:num="1"/>
          <w:rtlGutter w:val="0"/>
          <w:docGrid w:type="lines" w:linePitch="318" w:charSpace="0"/>
        </w:sectPr>
      </w:pPr>
      <w:r>
        <w:rPr>
          <w:rFonts w:hint="eastAsia" w:ascii="宋体" w:hAnsi="宋体" w:eastAsia="宋体" w:cs="宋体"/>
          <w:color w:val="auto"/>
          <w:sz w:val="22"/>
          <w:szCs w:val="22"/>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5C7FC678">
      <w:pPr>
        <w:keepNext w:val="0"/>
        <w:keepLines w:val="0"/>
        <w:pageBreakBefore w:val="0"/>
        <w:kinsoku/>
        <w:topLinePunct w:val="0"/>
        <w:bidi w:val="0"/>
        <w:spacing w:line="480" w:lineRule="auto"/>
        <w:rPr>
          <w:rFonts w:hint="eastAsia" w:ascii="宋体" w:hAnsi="宋体" w:eastAsia="宋体" w:cs="宋体"/>
          <w:color w:val="auto"/>
          <w:sz w:val="22"/>
          <w:szCs w:val="22"/>
          <w:highlight w:val="none"/>
        </w:rPr>
      </w:pPr>
    </w:p>
    <w:p w14:paraId="71EBF4AB">
      <w:pPr>
        <w:autoSpaceDE w:val="0"/>
        <w:autoSpaceDN w:val="0"/>
        <w:adjustRightInd w:val="0"/>
        <w:snapToGrid w:val="0"/>
        <w:spacing w:after="240" w:afterLines="100"/>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业绩</w:t>
      </w:r>
      <w:r>
        <w:rPr>
          <w:rFonts w:hint="eastAsia" w:asciiTheme="minorEastAsia" w:hAnsiTheme="minorEastAsia" w:eastAsiaTheme="minorEastAsia" w:cstheme="minorEastAsia"/>
          <w:b/>
          <w:bCs/>
          <w:color w:val="auto"/>
          <w:sz w:val="28"/>
          <w:szCs w:val="28"/>
        </w:rPr>
        <w:t>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123"/>
        <w:gridCol w:w="1217"/>
        <w:gridCol w:w="1327"/>
        <w:gridCol w:w="1272"/>
        <w:gridCol w:w="1414"/>
        <w:gridCol w:w="1237"/>
      </w:tblGrid>
      <w:tr w14:paraId="002C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98" w:type="dxa"/>
            <w:noWrap w:val="0"/>
            <w:vAlign w:val="center"/>
          </w:tcPr>
          <w:p w14:paraId="5B78441E">
            <w:pPr>
              <w:jc w:val="center"/>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序号</w:t>
            </w:r>
          </w:p>
        </w:tc>
        <w:tc>
          <w:tcPr>
            <w:tcW w:w="2123" w:type="dxa"/>
            <w:noWrap w:val="0"/>
            <w:vAlign w:val="center"/>
          </w:tcPr>
          <w:p w14:paraId="5454CAB2">
            <w:pPr>
              <w:jc w:val="center"/>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项目名称</w:t>
            </w:r>
          </w:p>
        </w:tc>
        <w:tc>
          <w:tcPr>
            <w:tcW w:w="1217" w:type="dxa"/>
            <w:noWrap w:val="0"/>
            <w:vAlign w:val="center"/>
          </w:tcPr>
          <w:p w14:paraId="5FA1340D">
            <w:pPr>
              <w:jc w:val="center"/>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项目</w:t>
            </w:r>
          </w:p>
          <w:p w14:paraId="08E2DFAF">
            <w:pPr>
              <w:jc w:val="center"/>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类型</w:t>
            </w:r>
          </w:p>
        </w:tc>
        <w:tc>
          <w:tcPr>
            <w:tcW w:w="1327" w:type="dxa"/>
            <w:noWrap w:val="0"/>
            <w:vAlign w:val="center"/>
          </w:tcPr>
          <w:p w14:paraId="5939938D">
            <w:pPr>
              <w:jc w:val="center"/>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项目金额</w:t>
            </w:r>
          </w:p>
          <w:p w14:paraId="7B1FA76E">
            <w:pPr>
              <w:jc w:val="center"/>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（万元）</w:t>
            </w:r>
          </w:p>
        </w:tc>
        <w:tc>
          <w:tcPr>
            <w:tcW w:w="1272" w:type="dxa"/>
            <w:noWrap w:val="0"/>
            <w:vAlign w:val="center"/>
          </w:tcPr>
          <w:p w14:paraId="64FF2510">
            <w:pPr>
              <w:jc w:val="center"/>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实施时间</w:t>
            </w:r>
          </w:p>
        </w:tc>
        <w:tc>
          <w:tcPr>
            <w:tcW w:w="1414" w:type="dxa"/>
            <w:noWrap w:val="0"/>
            <w:vAlign w:val="center"/>
          </w:tcPr>
          <w:p w14:paraId="3847B57C">
            <w:pPr>
              <w:jc w:val="center"/>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项目单位、联系人及电话</w:t>
            </w:r>
          </w:p>
        </w:tc>
        <w:tc>
          <w:tcPr>
            <w:tcW w:w="1237" w:type="dxa"/>
            <w:noWrap w:val="0"/>
            <w:vAlign w:val="center"/>
          </w:tcPr>
          <w:p w14:paraId="15B7FFE1">
            <w:pPr>
              <w:jc w:val="center"/>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备注</w:t>
            </w:r>
          </w:p>
        </w:tc>
      </w:tr>
      <w:tr w14:paraId="440E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noWrap w:val="0"/>
            <w:vAlign w:val="center"/>
          </w:tcPr>
          <w:p w14:paraId="27F20C55">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1</w:t>
            </w:r>
          </w:p>
        </w:tc>
        <w:tc>
          <w:tcPr>
            <w:tcW w:w="2123" w:type="dxa"/>
            <w:noWrap w:val="0"/>
            <w:vAlign w:val="center"/>
          </w:tcPr>
          <w:p w14:paraId="609D57A8">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17" w:type="dxa"/>
            <w:noWrap w:val="0"/>
            <w:vAlign w:val="center"/>
          </w:tcPr>
          <w:p w14:paraId="39E9C777">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327" w:type="dxa"/>
            <w:noWrap w:val="0"/>
            <w:vAlign w:val="center"/>
          </w:tcPr>
          <w:p w14:paraId="773A9190">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72" w:type="dxa"/>
            <w:noWrap w:val="0"/>
            <w:vAlign w:val="center"/>
          </w:tcPr>
          <w:p w14:paraId="276C7E9A">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414" w:type="dxa"/>
            <w:noWrap w:val="0"/>
            <w:vAlign w:val="center"/>
          </w:tcPr>
          <w:p w14:paraId="346156BE">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37" w:type="dxa"/>
            <w:noWrap w:val="0"/>
            <w:vAlign w:val="center"/>
          </w:tcPr>
          <w:p w14:paraId="70545E3D">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r>
      <w:tr w14:paraId="6D78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noWrap w:val="0"/>
            <w:vAlign w:val="center"/>
          </w:tcPr>
          <w:p w14:paraId="6213CF4F">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2</w:t>
            </w:r>
          </w:p>
        </w:tc>
        <w:tc>
          <w:tcPr>
            <w:tcW w:w="2123" w:type="dxa"/>
            <w:noWrap w:val="0"/>
            <w:vAlign w:val="center"/>
          </w:tcPr>
          <w:p w14:paraId="502C48BC">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17" w:type="dxa"/>
            <w:noWrap w:val="0"/>
            <w:vAlign w:val="center"/>
          </w:tcPr>
          <w:p w14:paraId="280F772B">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327" w:type="dxa"/>
            <w:noWrap w:val="0"/>
            <w:vAlign w:val="center"/>
          </w:tcPr>
          <w:p w14:paraId="2359AE81">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72" w:type="dxa"/>
            <w:noWrap w:val="0"/>
            <w:vAlign w:val="center"/>
          </w:tcPr>
          <w:p w14:paraId="325783E6">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414" w:type="dxa"/>
            <w:noWrap w:val="0"/>
            <w:vAlign w:val="center"/>
          </w:tcPr>
          <w:p w14:paraId="3B951870">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37" w:type="dxa"/>
            <w:noWrap w:val="0"/>
            <w:vAlign w:val="center"/>
          </w:tcPr>
          <w:p w14:paraId="62325D5D">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r>
      <w:tr w14:paraId="54C3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noWrap w:val="0"/>
            <w:vAlign w:val="center"/>
          </w:tcPr>
          <w:p w14:paraId="10636987">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3</w:t>
            </w:r>
          </w:p>
        </w:tc>
        <w:tc>
          <w:tcPr>
            <w:tcW w:w="2123" w:type="dxa"/>
            <w:noWrap w:val="0"/>
            <w:vAlign w:val="center"/>
          </w:tcPr>
          <w:p w14:paraId="1FB3081D">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17" w:type="dxa"/>
            <w:noWrap w:val="0"/>
            <w:vAlign w:val="center"/>
          </w:tcPr>
          <w:p w14:paraId="1706B90D">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327" w:type="dxa"/>
            <w:noWrap w:val="0"/>
            <w:vAlign w:val="center"/>
          </w:tcPr>
          <w:p w14:paraId="31A79671">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72" w:type="dxa"/>
            <w:noWrap w:val="0"/>
            <w:vAlign w:val="center"/>
          </w:tcPr>
          <w:p w14:paraId="0546227B">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414" w:type="dxa"/>
            <w:noWrap w:val="0"/>
            <w:vAlign w:val="center"/>
          </w:tcPr>
          <w:p w14:paraId="5399AA30">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37" w:type="dxa"/>
            <w:noWrap w:val="0"/>
            <w:vAlign w:val="center"/>
          </w:tcPr>
          <w:p w14:paraId="1EE8669A">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r>
      <w:tr w14:paraId="2569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noWrap w:val="0"/>
            <w:vAlign w:val="center"/>
          </w:tcPr>
          <w:p w14:paraId="49C04261">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w:t>
            </w:r>
          </w:p>
        </w:tc>
        <w:tc>
          <w:tcPr>
            <w:tcW w:w="2123" w:type="dxa"/>
            <w:noWrap w:val="0"/>
            <w:vAlign w:val="center"/>
          </w:tcPr>
          <w:p w14:paraId="15448BF3">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17" w:type="dxa"/>
            <w:noWrap w:val="0"/>
            <w:vAlign w:val="center"/>
          </w:tcPr>
          <w:p w14:paraId="3270A53A">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327" w:type="dxa"/>
            <w:noWrap w:val="0"/>
            <w:vAlign w:val="center"/>
          </w:tcPr>
          <w:p w14:paraId="375F47B7">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72" w:type="dxa"/>
            <w:noWrap w:val="0"/>
            <w:vAlign w:val="center"/>
          </w:tcPr>
          <w:p w14:paraId="5E1FD9C9">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414" w:type="dxa"/>
            <w:noWrap w:val="0"/>
            <w:vAlign w:val="center"/>
          </w:tcPr>
          <w:p w14:paraId="1F71E941">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37" w:type="dxa"/>
            <w:noWrap w:val="0"/>
            <w:vAlign w:val="center"/>
          </w:tcPr>
          <w:p w14:paraId="76EB0ACB">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r>
      <w:tr w14:paraId="10CF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noWrap w:val="0"/>
            <w:vAlign w:val="center"/>
          </w:tcPr>
          <w:p w14:paraId="6020C52A">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w:t>
            </w:r>
          </w:p>
        </w:tc>
        <w:tc>
          <w:tcPr>
            <w:tcW w:w="2123" w:type="dxa"/>
            <w:noWrap w:val="0"/>
            <w:vAlign w:val="center"/>
          </w:tcPr>
          <w:p w14:paraId="4447DBC1">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17" w:type="dxa"/>
            <w:noWrap w:val="0"/>
            <w:vAlign w:val="center"/>
          </w:tcPr>
          <w:p w14:paraId="5D64547E">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327" w:type="dxa"/>
            <w:noWrap w:val="0"/>
            <w:vAlign w:val="center"/>
          </w:tcPr>
          <w:p w14:paraId="68C68561">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72" w:type="dxa"/>
            <w:noWrap w:val="0"/>
            <w:vAlign w:val="center"/>
          </w:tcPr>
          <w:p w14:paraId="29A8FCD1">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414" w:type="dxa"/>
            <w:noWrap w:val="0"/>
            <w:vAlign w:val="center"/>
          </w:tcPr>
          <w:p w14:paraId="73A60E16">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37" w:type="dxa"/>
            <w:noWrap w:val="0"/>
            <w:vAlign w:val="center"/>
          </w:tcPr>
          <w:p w14:paraId="3871EAE7">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r>
      <w:tr w14:paraId="413B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noWrap w:val="0"/>
            <w:vAlign w:val="center"/>
          </w:tcPr>
          <w:p w14:paraId="3ACC136F">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6</w:t>
            </w:r>
          </w:p>
        </w:tc>
        <w:tc>
          <w:tcPr>
            <w:tcW w:w="2123" w:type="dxa"/>
            <w:noWrap w:val="0"/>
            <w:vAlign w:val="center"/>
          </w:tcPr>
          <w:p w14:paraId="2335CF9A">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17" w:type="dxa"/>
            <w:noWrap w:val="0"/>
            <w:vAlign w:val="center"/>
          </w:tcPr>
          <w:p w14:paraId="1FB69F46">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327" w:type="dxa"/>
            <w:noWrap w:val="0"/>
            <w:vAlign w:val="center"/>
          </w:tcPr>
          <w:p w14:paraId="72FAD5BA">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72" w:type="dxa"/>
            <w:noWrap w:val="0"/>
            <w:vAlign w:val="center"/>
          </w:tcPr>
          <w:p w14:paraId="48AE29D9">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414" w:type="dxa"/>
            <w:noWrap w:val="0"/>
            <w:vAlign w:val="center"/>
          </w:tcPr>
          <w:p w14:paraId="24BCADEA">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37" w:type="dxa"/>
            <w:noWrap w:val="0"/>
            <w:vAlign w:val="center"/>
          </w:tcPr>
          <w:p w14:paraId="352946B6">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r>
      <w:tr w14:paraId="7343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noWrap w:val="0"/>
            <w:vAlign w:val="center"/>
          </w:tcPr>
          <w:p w14:paraId="29AEB05E">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7</w:t>
            </w:r>
          </w:p>
        </w:tc>
        <w:tc>
          <w:tcPr>
            <w:tcW w:w="2123" w:type="dxa"/>
            <w:noWrap w:val="0"/>
            <w:vAlign w:val="center"/>
          </w:tcPr>
          <w:p w14:paraId="6D03F72F">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17" w:type="dxa"/>
            <w:noWrap w:val="0"/>
            <w:vAlign w:val="center"/>
          </w:tcPr>
          <w:p w14:paraId="15CEEB6C">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327" w:type="dxa"/>
            <w:noWrap w:val="0"/>
            <w:vAlign w:val="center"/>
          </w:tcPr>
          <w:p w14:paraId="238D4C6D">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72" w:type="dxa"/>
            <w:noWrap w:val="0"/>
            <w:vAlign w:val="center"/>
          </w:tcPr>
          <w:p w14:paraId="3BA14B1E">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414" w:type="dxa"/>
            <w:noWrap w:val="0"/>
            <w:vAlign w:val="center"/>
          </w:tcPr>
          <w:p w14:paraId="72D317FC">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37" w:type="dxa"/>
            <w:noWrap w:val="0"/>
            <w:vAlign w:val="center"/>
          </w:tcPr>
          <w:p w14:paraId="74D15A7C">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r>
      <w:tr w14:paraId="35FA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98" w:type="dxa"/>
            <w:noWrap w:val="0"/>
            <w:vAlign w:val="center"/>
          </w:tcPr>
          <w:p w14:paraId="4A121291">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w:t>
            </w:r>
          </w:p>
        </w:tc>
        <w:tc>
          <w:tcPr>
            <w:tcW w:w="2123" w:type="dxa"/>
            <w:noWrap w:val="0"/>
            <w:vAlign w:val="center"/>
          </w:tcPr>
          <w:p w14:paraId="5FEEDF02">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17" w:type="dxa"/>
            <w:noWrap w:val="0"/>
            <w:vAlign w:val="center"/>
          </w:tcPr>
          <w:p w14:paraId="1117FF1D">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327" w:type="dxa"/>
            <w:noWrap w:val="0"/>
            <w:vAlign w:val="center"/>
          </w:tcPr>
          <w:p w14:paraId="4F520EAF">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72" w:type="dxa"/>
            <w:noWrap w:val="0"/>
            <w:vAlign w:val="center"/>
          </w:tcPr>
          <w:p w14:paraId="1890D4D3">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414" w:type="dxa"/>
            <w:noWrap w:val="0"/>
            <w:vAlign w:val="center"/>
          </w:tcPr>
          <w:p w14:paraId="7957DEF5">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c>
          <w:tcPr>
            <w:tcW w:w="1237" w:type="dxa"/>
            <w:noWrap w:val="0"/>
            <w:vAlign w:val="center"/>
          </w:tcPr>
          <w:p w14:paraId="2609E963">
            <w:pPr>
              <w:autoSpaceDE w:val="0"/>
              <w:autoSpaceDN w:val="0"/>
              <w:adjustRightInd w:val="0"/>
              <w:snapToGrid w:val="0"/>
              <w:jc w:val="center"/>
              <w:rPr>
                <w:rFonts w:hint="eastAsia" w:asciiTheme="minorEastAsia" w:hAnsiTheme="minorEastAsia" w:eastAsiaTheme="minorEastAsia" w:cstheme="minorEastAsia"/>
                <w:b w:val="0"/>
                <w:bCs w:val="0"/>
                <w:color w:val="auto"/>
                <w:sz w:val="24"/>
                <w:szCs w:val="24"/>
                <w:lang w:val="zh-CN"/>
              </w:rPr>
            </w:pPr>
          </w:p>
        </w:tc>
      </w:tr>
    </w:tbl>
    <w:p w14:paraId="0697B1A8">
      <w:pPr>
        <w:adjustRightInd w:val="0"/>
        <w:snapToGrid w:val="0"/>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注：</w:t>
      </w:r>
      <w:r>
        <w:rPr>
          <w:rFonts w:hint="eastAsia" w:asciiTheme="minorEastAsia" w:hAnsiTheme="minorEastAsia" w:eastAsiaTheme="minorEastAsia" w:cstheme="minorEastAsia"/>
          <w:b w:val="0"/>
          <w:bCs w:val="0"/>
          <w:color w:val="auto"/>
          <w:sz w:val="24"/>
          <w:szCs w:val="24"/>
        </w:rPr>
        <w:t>1.须提供</w:t>
      </w:r>
      <w:r>
        <w:rPr>
          <w:rFonts w:hint="eastAsia" w:asciiTheme="minorEastAsia" w:hAnsiTheme="minorEastAsia" w:eastAsiaTheme="minorEastAsia" w:cstheme="minorEastAsia"/>
          <w:b w:val="0"/>
          <w:bCs w:val="0"/>
          <w:color w:val="auto"/>
          <w:sz w:val="24"/>
          <w:szCs w:val="24"/>
          <w:lang w:val="en-US" w:eastAsia="zh-CN"/>
        </w:rPr>
        <w:t>相关证明材料复印件加盖单位公章编入商务技术文件中（详见评分细则要求），未提供不得分</w:t>
      </w:r>
      <w:r>
        <w:rPr>
          <w:rFonts w:hint="eastAsia" w:asciiTheme="minorEastAsia" w:hAnsiTheme="minorEastAsia" w:eastAsiaTheme="minorEastAsia" w:cstheme="minorEastAsia"/>
          <w:b w:val="0"/>
          <w:bCs w:val="0"/>
          <w:color w:val="auto"/>
          <w:sz w:val="24"/>
          <w:szCs w:val="24"/>
        </w:rPr>
        <w:t>；</w:t>
      </w:r>
    </w:p>
    <w:p w14:paraId="323D543B">
      <w:pPr>
        <w:adjustRightInd w:val="0"/>
        <w:snapToGrid w:val="0"/>
        <w:ind w:firstLine="480" w:firstLineChars="200"/>
        <w:outlineLvl w:val="1"/>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zh-CN"/>
        </w:rPr>
        <w:t>此表不够可自行添加。</w:t>
      </w:r>
    </w:p>
    <w:p w14:paraId="08AFF6AF">
      <w:pPr>
        <w:pStyle w:val="21"/>
        <w:ind w:left="899" w:leftChars="428" w:firstLine="0" w:firstLineChars="0"/>
        <w:rPr>
          <w:rFonts w:hint="eastAsia" w:ascii="宋体" w:hAnsi="宋体" w:eastAsia="宋体" w:cs="宋体"/>
          <w:color w:val="auto"/>
          <w:sz w:val="24"/>
          <w:szCs w:val="24"/>
          <w:highlight w:val="none"/>
          <w:u w:val="none"/>
        </w:rPr>
      </w:pPr>
    </w:p>
    <w:p w14:paraId="574DD2B4">
      <w:pPr>
        <w:spacing w:line="500" w:lineRule="exact"/>
        <w:rPr>
          <w:rStyle w:val="36"/>
          <w:rFonts w:hint="eastAsia" w:asciiTheme="minorEastAsia" w:hAnsiTheme="minorEastAsia" w:eastAsiaTheme="minorEastAsia" w:cstheme="minorEastAsia"/>
          <w:b w:val="0"/>
          <w:bCs w:val="0"/>
          <w:color w:val="auto"/>
          <w:sz w:val="24"/>
          <w:szCs w:val="24"/>
          <w:u w:val="single"/>
        </w:rPr>
      </w:pPr>
      <w:r>
        <w:rPr>
          <w:rStyle w:val="36"/>
          <w:rFonts w:hint="eastAsia" w:asciiTheme="minorEastAsia" w:hAnsiTheme="minorEastAsia" w:eastAsiaTheme="minorEastAsia" w:cstheme="minorEastAsia"/>
          <w:b w:val="0"/>
          <w:bCs w:val="0"/>
          <w:color w:val="auto"/>
          <w:sz w:val="24"/>
          <w:szCs w:val="24"/>
        </w:rPr>
        <w:t>法定代表人或授权委托人：</w:t>
      </w:r>
      <w:r>
        <w:rPr>
          <w:rStyle w:val="36"/>
          <w:rFonts w:hint="eastAsia" w:asciiTheme="minorEastAsia" w:hAnsiTheme="minorEastAsia" w:eastAsiaTheme="minorEastAsia" w:cstheme="minorEastAsia"/>
          <w:b w:val="0"/>
          <w:bCs w:val="0"/>
          <w:color w:val="auto"/>
          <w:sz w:val="24"/>
          <w:szCs w:val="24"/>
          <w:u w:val="single"/>
        </w:rPr>
        <w:t>（签字或盖章）</w:t>
      </w:r>
    </w:p>
    <w:p w14:paraId="0B5E9856">
      <w:pPr>
        <w:pStyle w:val="20"/>
        <w:tabs>
          <w:tab w:val="center" w:pos="540"/>
        </w:tabs>
        <w:rPr>
          <w:rFonts w:hint="eastAsia"/>
          <w:color w:val="auto"/>
        </w:rPr>
      </w:pPr>
    </w:p>
    <w:p w14:paraId="2C28D7BC">
      <w:pPr>
        <w:pStyle w:val="11"/>
        <w:spacing w:line="360" w:lineRule="auto"/>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sz w:val="24"/>
          <w:szCs w:val="24"/>
          <w:lang w:eastAsia="zh-CN"/>
        </w:rPr>
        <w:t>投标供应商</w:t>
      </w:r>
      <w:r>
        <w:rPr>
          <w:rFonts w:hint="eastAsia" w:asciiTheme="minorEastAsia" w:hAnsiTheme="minorEastAsia" w:eastAsiaTheme="minorEastAsia" w:cstheme="minorEastAsia"/>
          <w:b w:val="0"/>
          <w:bCs w:val="0"/>
          <w:color w:val="auto"/>
          <w:sz w:val="24"/>
          <w:szCs w:val="24"/>
        </w:rPr>
        <w:t>（盖章）：</w:t>
      </w:r>
      <w:r>
        <w:rPr>
          <w:rFonts w:hint="eastAsia" w:asciiTheme="minorEastAsia" w:hAnsiTheme="minorEastAsia" w:eastAsiaTheme="minorEastAsia" w:cstheme="minorEastAsia"/>
          <w:b w:val="0"/>
          <w:bCs w:val="0"/>
          <w:color w:val="auto"/>
          <w:kern w:val="0"/>
          <w:sz w:val="24"/>
          <w:szCs w:val="24"/>
        </w:rPr>
        <w:t xml:space="preserve"> </w:t>
      </w:r>
    </w:p>
    <w:p w14:paraId="2F8A7D79">
      <w:pPr>
        <w:pStyle w:val="11"/>
        <w:spacing w:line="360" w:lineRule="auto"/>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 xml:space="preserve">                 </w:t>
      </w:r>
    </w:p>
    <w:p w14:paraId="4A69B937">
      <w:pPr>
        <w:pStyle w:val="11"/>
        <w:spacing w:line="360" w:lineRule="auto"/>
        <w:rPr>
          <w:rStyle w:val="36"/>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rPr>
        <w:t>日期：    年   月   日</w:t>
      </w:r>
    </w:p>
    <w:p w14:paraId="6FB1A8B3">
      <w:pPr>
        <w:pStyle w:val="22"/>
        <w:rPr>
          <w:rFonts w:hint="eastAsia"/>
        </w:rPr>
        <w:sectPr>
          <w:headerReference r:id="rId6" w:type="default"/>
          <w:footerReference r:id="rId7" w:type="default"/>
          <w:pgSz w:w="11906" w:h="16839"/>
          <w:pgMar w:top="1133" w:right="1080" w:bottom="868" w:left="1298" w:header="897" w:footer="706" w:gutter="0"/>
          <w:pgNumType w:fmt="decimal"/>
          <w:cols w:space="720" w:num="1"/>
        </w:sectPr>
      </w:pPr>
    </w:p>
    <w:p w14:paraId="377A1B7A">
      <w:pPr>
        <w:pStyle w:val="44"/>
        <w:keepNext w:val="0"/>
        <w:keepLines w:val="0"/>
        <w:pageBreakBefore w:val="0"/>
        <w:kinsoku/>
        <w:topLinePunct w:val="0"/>
        <w:bidi w:val="0"/>
        <w:spacing w:line="540" w:lineRule="exact"/>
        <w:ind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项目组成员汇总表</w:t>
      </w:r>
    </w:p>
    <w:p w14:paraId="257CF922">
      <w:pPr>
        <w:pStyle w:val="45"/>
        <w:keepNext w:val="0"/>
        <w:keepLines w:val="0"/>
        <w:pageBreakBefore w:val="0"/>
        <w:kinsoku/>
        <w:topLinePunct w:val="0"/>
        <w:bidi w:val="0"/>
        <w:spacing w:before="120" w:beforeLines="50" w:after="120" w:afterLines="50" w:line="500" w:lineRule="exact"/>
        <w:jc w:val="both"/>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项目名称：                             </w:t>
      </w:r>
    </w:p>
    <w:p w14:paraId="17EFBD4F">
      <w:pPr>
        <w:pStyle w:val="45"/>
        <w:keepNext w:val="0"/>
        <w:keepLines w:val="0"/>
        <w:pageBreakBefore w:val="0"/>
        <w:kinsoku/>
        <w:topLinePunct w:val="0"/>
        <w:bidi w:val="0"/>
        <w:spacing w:before="120" w:beforeLines="50" w:after="120" w:afterLines="50" w:line="500" w:lineRule="exact"/>
        <w:jc w:val="both"/>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项目编号：</w:t>
      </w:r>
    </w:p>
    <w:tbl>
      <w:tblPr>
        <w:tblStyle w:val="2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206"/>
        <w:gridCol w:w="1288"/>
        <w:gridCol w:w="2433"/>
        <w:gridCol w:w="2900"/>
      </w:tblGrid>
      <w:tr w14:paraId="4574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0FC6D465">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2206" w:type="dxa"/>
            <w:tcBorders>
              <w:top w:val="single" w:color="auto" w:sz="4" w:space="0"/>
              <w:left w:val="single" w:color="auto" w:sz="4" w:space="0"/>
              <w:bottom w:val="single" w:color="auto" w:sz="4" w:space="0"/>
              <w:right w:val="single" w:color="auto" w:sz="4" w:space="0"/>
            </w:tcBorders>
            <w:noWrap w:val="0"/>
            <w:vAlign w:val="center"/>
          </w:tcPr>
          <w:p w14:paraId="750915DE">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姓名</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56145BD6">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性别</w:t>
            </w:r>
          </w:p>
        </w:tc>
        <w:tc>
          <w:tcPr>
            <w:tcW w:w="2433" w:type="dxa"/>
            <w:tcBorders>
              <w:top w:val="single" w:color="auto" w:sz="4" w:space="0"/>
              <w:left w:val="single" w:color="auto" w:sz="4" w:space="0"/>
              <w:bottom w:val="single" w:color="auto" w:sz="4" w:space="0"/>
              <w:right w:val="single" w:color="auto" w:sz="4" w:space="0"/>
            </w:tcBorders>
            <w:noWrap w:val="0"/>
            <w:vAlign w:val="center"/>
          </w:tcPr>
          <w:p w14:paraId="4C6C3D11">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职称（或职务）</w:t>
            </w:r>
          </w:p>
        </w:tc>
        <w:tc>
          <w:tcPr>
            <w:tcW w:w="2900" w:type="dxa"/>
            <w:tcBorders>
              <w:top w:val="single" w:color="auto" w:sz="4" w:space="0"/>
              <w:left w:val="single" w:color="auto" w:sz="4" w:space="0"/>
              <w:bottom w:val="single" w:color="auto" w:sz="4" w:space="0"/>
              <w:right w:val="single" w:color="auto" w:sz="4" w:space="0"/>
            </w:tcBorders>
            <w:noWrap w:val="0"/>
            <w:vAlign w:val="center"/>
          </w:tcPr>
          <w:p w14:paraId="396D1DE5">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岗位安排</w:t>
            </w:r>
          </w:p>
        </w:tc>
      </w:tr>
      <w:tr w14:paraId="4C17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6707B5F9">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7F0E824F">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2718716E">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14:paraId="630210A2">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900" w:type="dxa"/>
            <w:tcBorders>
              <w:top w:val="single" w:color="auto" w:sz="4" w:space="0"/>
              <w:left w:val="single" w:color="auto" w:sz="4" w:space="0"/>
              <w:bottom w:val="single" w:color="auto" w:sz="4" w:space="0"/>
              <w:right w:val="single" w:color="auto" w:sz="4" w:space="0"/>
            </w:tcBorders>
            <w:noWrap w:val="0"/>
            <w:vAlign w:val="center"/>
          </w:tcPr>
          <w:p w14:paraId="56BC0EB8">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r>
      <w:tr w14:paraId="50C3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28867124">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6E5988DC">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02CFE1F0">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14:paraId="33A6D9CF">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900" w:type="dxa"/>
            <w:tcBorders>
              <w:top w:val="single" w:color="auto" w:sz="4" w:space="0"/>
              <w:left w:val="single" w:color="auto" w:sz="4" w:space="0"/>
              <w:bottom w:val="single" w:color="auto" w:sz="4" w:space="0"/>
              <w:right w:val="single" w:color="auto" w:sz="4" w:space="0"/>
            </w:tcBorders>
            <w:noWrap w:val="0"/>
            <w:vAlign w:val="center"/>
          </w:tcPr>
          <w:p w14:paraId="4649DF25">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r>
      <w:tr w14:paraId="7BFB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30B99FC3">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7B25F919">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70242E70">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14:paraId="1FC45540">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900" w:type="dxa"/>
            <w:tcBorders>
              <w:top w:val="single" w:color="auto" w:sz="4" w:space="0"/>
              <w:left w:val="single" w:color="auto" w:sz="4" w:space="0"/>
              <w:bottom w:val="single" w:color="auto" w:sz="4" w:space="0"/>
              <w:right w:val="single" w:color="auto" w:sz="4" w:space="0"/>
            </w:tcBorders>
            <w:noWrap w:val="0"/>
            <w:vAlign w:val="center"/>
          </w:tcPr>
          <w:p w14:paraId="76206F82">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r>
      <w:tr w14:paraId="3B20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45528166">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7F30F5FE">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6294BA5B">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14:paraId="18A05B0F">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900" w:type="dxa"/>
            <w:tcBorders>
              <w:top w:val="single" w:color="auto" w:sz="4" w:space="0"/>
              <w:left w:val="single" w:color="auto" w:sz="4" w:space="0"/>
              <w:bottom w:val="single" w:color="auto" w:sz="4" w:space="0"/>
              <w:right w:val="single" w:color="auto" w:sz="4" w:space="0"/>
            </w:tcBorders>
            <w:noWrap w:val="0"/>
            <w:vAlign w:val="center"/>
          </w:tcPr>
          <w:p w14:paraId="5609E7F3">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r>
      <w:tr w14:paraId="77A6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1A7C09C6">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75479893">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1E281B84">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14:paraId="35023F7F">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900" w:type="dxa"/>
            <w:tcBorders>
              <w:top w:val="single" w:color="auto" w:sz="4" w:space="0"/>
              <w:left w:val="single" w:color="auto" w:sz="4" w:space="0"/>
              <w:bottom w:val="single" w:color="auto" w:sz="4" w:space="0"/>
              <w:right w:val="single" w:color="auto" w:sz="4" w:space="0"/>
            </w:tcBorders>
            <w:noWrap w:val="0"/>
            <w:vAlign w:val="center"/>
          </w:tcPr>
          <w:p w14:paraId="0A4FFC62">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r>
      <w:tr w14:paraId="6850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14:paraId="70D6D4F5">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206" w:type="dxa"/>
            <w:tcBorders>
              <w:top w:val="single" w:color="auto" w:sz="4" w:space="0"/>
              <w:left w:val="single" w:color="auto" w:sz="4" w:space="0"/>
              <w:bottom w:val="single" w:color="auto" w:sz="4" w:space="0"/>
              <w:right w:val="single" w:color="auto" w:sz="4" w:space="0"/>
            </w:tcBorders>
            <w:noWrap w:val="0"/>
            <w:vAlign w:val="center"/>
          </w:tcPr>
          <w:p w14:paraId="75227B49">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14:paraId="3DB46343">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14:paraId="3180BDCD">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c>
          <w:tcPr>
            <w:tcW w:w="2900" w:type="dxa"/>
            <w:tcBorders>
              <w:top w:val="single" w:color="auto" w:sz="4" w:space="0"/>
              <w:left w:val="single" w:color="auto" w:sz="4" w:space="0"/>
              <w:bottom w:val="single" w:color="auto" w:sz="4" w:space="0"/>
              <w:right w:val="single" w:color="auto" w:sz="4" w:space="0"/>
            </w:tcBorders>
            <w:noWrap w:val="0"/>
            <w:vAlign w:val="center"/>
          </w:tcPr>
          <w:p w14:paraId="15986D57">
            <w:pPr>
              <w:keepNext w:val="0"/>
              <w:keepLines w:val="0"/>
              <w:pageBreakBefore w:val="0"/>
              <w:kinsoku/>
              <w:topLinePunct w:val="0"/>
              <w:bidi w:val="0"/>
              <w:spacing w:line="540" w:lineRule="exact"/>
              <w:jc w:val="center"/>
              <w:rPr>
                <w:rFonts w:hint="eastAsia" w:ascii="宋体" w:hAnsi="宋体" w:eastAsia="宋体" w:cs="宋体"/>
                <w:color w:val="auto"/>
                <w:kern w:val="0"/>
                <w:sz w:val="22"/>
                <w:szCs w:val="22"/>
                <w:highlight w:val="none"/>
              </w:rPr>
            </w:pPr>
          </w:p>
        </w:tc>
      </w:tr>
    </w:tbl>
    <w:p w14:paraId="18209334">
      <w:pPr>
        <w:pStyle w:val="11"/>
        <w:keepNext w:val="0"/>
        <w:keepLines w:val="0"/>
        <w:pageBreakBefore w:val="0"/>
        <w:kinsoku/>
        <w:topLinePunct w:val="0"/>
        <w:bidi w:val="0"/>
        <w:spacing w:line="5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此表可在不改变格式的情况下自行制作（必填）</w:t>
      </w:r>
    </w:p>
    <w:p w14:paraId="16806CCE">
      <w:pPr>
        <w:keepNext w:val="0"/>
        <w:keepLines w:val="0"/>
        <w:pageBreakBefore w:val="0"/>
        <w:kinsoku/>
        <w:topLinePunct w:val="0"/>
        <w:bidi w:val="0"/>
        <w:spacing w:line="540" w:lineRule="exact"/>
        <w:rPr>
          <w:rFonts w:hint="eastAsia" w:ascii="宋体" w:hAnsi="宋体" w:eastAsia="宋体" w:cs="宋体"/>
          <w:color w:val="auto"/>
          <w:kern w:val="0"/>
          <w:sz w:val="22"/>
          <w:szCs w:val="22"/>
          <w:highlight w:val="none"/>
        </w:rPr>
      </w:pPr>
    </w:p>
    <w:p w14:paraId="7B9293F7">
      <w:pPr>
        <w:keepNext w:val="0"/>
        <w:keepLines w:val="0"/>
        <w:pageBreakBefore w:val="0"/>
        <w:kinsoku/>
        <w:topLinePunct w:val="0"/>
        <w:bidi w:val="0"/>
        <w:adjustRightInd w:val="0"/>
        <w:snapToGrid w:val="0"/>
        <w:spacing w:line="540" w:lineRule="exact"/>
        <w:ind w:left="482" w:hanging="48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投标人（盖章）：</w:t>
      </w:r>
    </w:p>
    <w:p w14:paraId="2C6B3AA7">
      <w:pPr>
        <w:keepNext w:val="0"/>
        <w:keepLines w:val="0"/>
        <w:pageBreakBefore w:val="0"/>
        <w:kinsoku/>
        <w:topLinePunct w:val="0"/>
        <w:bidi w:val="0"/>
        <w:adjustRightInd w:val="0"/>
        <w:snapToGrid w:val="0"/>
        <w:spacing w:line="540" w:lineRule="exact"/>
        <w:ind w:left="482" w:hanging="48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bCs/>
          <w:color w:val="auto"/>
          <w:sz w:val="22"/>
          <w:szCs w:val="22"/>
          <w:highlight w:val="none"/>
        </w:rPr>
        <w:t>（负责人）</w:t>
      </w:r>
      <w:r>
        <w:rPr>
          <w:rFonts w:hint="eastAsia" w:ascii="宋体" w:hAnsi="宋体" w:eastAsia="宋体" w:cs="宋体"/>
          <w:color w:val="auto"/>
          <w:sz w:val="22"/>
          <w:szCs w:val="22"/>
          <w:highlight w:val="none"/>
        </w:rPr>
        <w:t>或被授权代表（签字或盖章）：</w:t>
      </w:r>
    </w:p>
    <w:p w14:paraId="553FDEDD">
      <w:pPr>
        <w:keepNext w:val="0"/>
        <w:keepLines w:val="0"/>
        <w:pageBreakBefore w:val="0"/>
        <w:kinsoku/>
        <w:topLinePunct w:val="0"/>
        <w:bidi w:val="0"/>
        <w:adjustRightInd w:val="0"/>
        <w:snapToGrid w:val="0"/>
        <w:spacing w:line="540" w:lineRule="exact"/>
        <w:ind w:left="482" w:hanging="48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3D2AC27A">
      <w:pPr>
        <w:widowControl/>
        <w:spacing w:line="420" w:lineRule="atLeast"/>
        <w:jc w:val="center"/>
        <w:rPr>
          <w:rFonts w:hint="eastAsia" w:ascii="宋体" w:hAnsi="宋体" w:eastAsia="宋体" w:cs="宋体"/>
          <w:b/>
          <w:bCs/>
          <w:color w:val="auto"/>
          <w:kern w:val="0"/>
          <w:sz w:val="30"/>
          <w:szCs w:val="30"/>
          <w:highlight w:val="none"/>
        </w:rPr>
      </w:pPr>
    </w:p>
    <w:p w14:paraId="28705D66">
      <w:pPr>
        <w:widowControl/>
        <w:spacing w:line="420" w:lineRule="atLeast"/>
        <w:jc w:val="center"/>
        <w:rPr>
          <w:rFonts w:hint="eastAsia" w:ascii="宋体" w:hAnsi="宋体" w:eastAsia="宋体" w:cs="宋体"/>
          <w:b/>
          <w:bCs/>
          <w:color w:val="auto"/>
          <w:kern w:val="0"/>
          <w:sz w:val="30"/>
          <w:szCs w:val="30"/>
          <w:highlight w:val="none"/>
        </w:rPr>
      </w:pPr>
    </w:p>
    <w:p w14:paraId="25BF6581">
      <w:pPr>
        <w:widowControl/>
        <w:spacing w:line="420" w:lineRule="atLeast"/>
        <w:jc w:val="center"/>
        <w:rPr>
          <w:rFonts w:hint="eastAsia" w:ascii="宋体" w:hAnsi="宋体" w:eastAsia="宋体" w:cs="宋体"/>
          <w:b/>
          <w:bCs/>
          <w:color w:val="auto"/>
          <w:kern w:val="0"/>
          <w:sz w:val="30"/>
          <w:szCs w:val="30"/>
          <w:highlight w:val="none"/>
        </w:rPr>
      </w:pPr>
    </w:p>
    <w:p w14:paraId="3AA12DCB">
      <w:pPr>
        <w:widowControl/>
        <w:spacing w:line="420" w:lineRule="atLeast"/>
        <w:jc w:val="center"/>
        <w:rPr>
          <w:rFonts w:hint="eastAsia" w:ascii="宋体" w:hAnsi="宋体" w:eastAsia="宋体" w:cs="宋体"/>
          <w:b/>
          <w:bCs/>
          <w:color w:val="auto"/>
          <w:kern w:val="0"/>
          <w:sz w:val="30"/>
          <w:szCs w:val="30"/>
          <w:highlight w:val="none"/>
        </w:rPr>
      </w:pPr>
    </w:p>
    <w:p w14:paraId="128A038D">
      <w:pPr>
        <w:widowControl/>
        <w:spacing w:line="420" w:lineRule="atLeast"/>
        <w:jc w:val="center"/>
        <w:rPr>
          <w:rFonts w:hint="eastAsia" w:ascii="宋体" w:hAnsi="宋体" w:eastAsia="宋体" w:cs="宋体"/>
          <w:b/>
          <w:bCs/>
          <w:color w:val="auto"/>
          <w:kern w:val="0"/>
          <w:sz w:val="30"/>
          <w:szCs w:val="30"/>
          <w:highlight w:val="none"/>
        </w:rPr>
      </w:pPr>
    </w:p>
    <w:p w14:paraId="2570DE1F">
      <w:pPr>
        <w:widowControl/>
        <w:spacing w:line="420" w:lineRule="atLeast"/>
        <w:jc w:val="center"/>
        <w:rPr>
          <w:rFonts w:hint="eastAsia" w:ascii="宋体" w:hAnsi="宋体" w:eastAsia="宋体" w:cs="宋体"/>
          <w:b/>
          <w:bCs/>
          <w:color w:val="auto"/>
          <w:kern w:val="0"/>
          <w:sz w:val="30"/>
          <w:szCs w:val="30"/>
          <w:highlight w:val="none"/>
        </w:rPr>
      </w:pPr>
    </w:p>
    <w:p w14:paraId="7F96E3FD">
      <w:pPr>
        <w:widowControl/>
        <w:spacing w:line="420" w:lineRule="atLeast"/>
        <w:jc w:val="center"/>
        <w:rPr>
          <w:rFonts w:hint="eastAsia" w:ascii="宋体" w:hAnsi="宋体" w:eastAsia="宋体" w:cs="宋体"/>
          <w:b/>
          <w:bCs/>
          <w:color w:val="auto"/>
          <w:kern w:val="0"/>
          <w:sz w:val="30"/>
          <w:szCs w:val="30"/>
          <w:highlight w:val="none"/>
        </w:rPr>
      </w:pPr>
    </w:p>
    <w:p w14:paraId="10ABDB0E">
      <w:pPr>
        <w:widowControl/>
        <w:spacing w:line="420" w:lineRule="atLeast"/>
        <w:jc w:val="center"/>
        <w:rPr>
          <w:rFonts w:hint="eastAsia" w:ascii="宋体" w:hAnsi="宋体" w:eastAsia="宋体" w:cs="宋体"/>
          <w:b/>
          <w:bCs/>
          <w:color w:val="auto"/>
          <w:kern w:val="0"/>
          <w:sz w:val="30"/>
          <w:szCs w:val="30"/>
          <w:highlight w:val="none"/>
        </w:rPr>
      </w:pPr>
    </w:p>
    <w:p w14:paraId="72FF98CB">
      <w:pPr>
        <w:widowControl/>
        <w:spacing w:line="420" w:lineRule="atLeast"/>
        <w:jc w:val="center"/>
        <w:rPr>
          <w:rFonts w:hint="eastAsia" w:ascii="宋体" w:hAnsi="宋体" w:eastAsia="宋体" w:cs="宋体"/>
          <w:b/>
          <w:bCs/>
          <w:color w:val="auto"/>
          <w:kern w:val="0"/>
          <w:sz w:val="30"/>
          <w:szCs w:val="30"/>
          <w:highlight w:val="none"/>
        </w:rPr>
      </w:pPr>
    </w:p>
    <w:p w14:paraId="00DE0914">
      <w:pPr>
        <w:widowControl/>
        <w:spacing w:line="420" w:lineRule="atLeast"/>
        <w:jc w:val="center"/>
        <w:rPr>
          <w:rFonts w:hint="eastAsia" w:ascii="宋体" w:hAnsi="宋体" w:eastAsia="宋体" w:cs="宋体"/>
          <w:b/>
          <w:bCs/>
          <w:color w:val="auto"/>
          <w:kern w:val="0"/>
          <w:sz w:val="30"/>
          <w:szCs w:val="30"/>
          <w:highlight w:val="none"/>
        </w:rPr>
      </w:pPr>
    </w:p>
    <w:p w14:paraId="388576C4">
      <w:pPr>
        <w:pStyle w:val="4"/>
        <w:spacing w:before="240" w:after="240"/>
        <w:ind w:firstLine="0" w:firstLineChars="0"/>
        <w:jc w:val="center"/>
        <w:rPr>
          <w:rFonts w:hint="eastAsia" w:ascii="仿宋" w:hAnsi="仿宋" w:eastAsia="仿宋" w:cs="仿宋"/>
          <w:b w:val="0"/>
          <w:color w:val="auto"/>
          <w:sz w:val="32"/>
          <w:szCs w:val="32"/>
          <w:highlight w:val="none"/>
        </w:rPr>
      </w:pPr>
      <w:bookmarkStart w:id="158" w:name="_Toc4342"/>
      <w:r>
        <w:rPr>
          <w:rFonts w:hint="eastAsia" w:ascii="仿宋" w:hAnsi="仿宋" w:eastAsia="仿宋" w:cs="仿宋"/>
          <w:color w:val="auto"/>
          <w:sz w:val="32"/>
          <w:szCs w:val="32"/>
          <w:highlight w:val="none"/>
        </w:rPr>
        <w:t>技术规格偏离表</w:t>
      </w:r>
      <w:bookmarkEnd w:id="158"/>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49"/>
        <w:gridCol w:w="1050"/>
        <w:gridCol w:w="1855"/>
        <w:gridCol w:w="1855"/>
        <w:gridCol w:w="1855"/>
        <w:gridCol w:w="945"/>
      </w:tblGrid>
      <w:tr w14:paraId="6718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73DDB662">
            <w:pPr>
              <w:pStyle w:val="33"/>
              <w:tabs>
                <w:tab w:val="left" w:pos="3200"/>
              </w:tabs>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799" w:type="dxa"/>
            <w:gridSpan w:val="2"/>
            <w:tcBorders>
              <w:top w:val="single" w:color="auto" w:sz="4" w:space="0"/>
              <w:left w:val="single" w:color="auto" w:sz="4" w:space="0"/>
              <w:right w:val="single" w:color="auto" w:sz="4" w:space="0"/>
            </w:tcBorders>
            <w:noWrap w:val="0"/>
            <w:vAlign w:val="center"/>
          </w:tcPr>
          <w:p w14:paraId="47861996">
            <w:pPr>
              <w:pStyle w:val="33"/>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投标产品名称</w:t>
            </w:r>
          </w:p>
        </w:tc>
        <w:tc>
          <w:tcPr>
            <w:tcW w:w="1855" w:type="dxa"/>
            <w:vMerge w:val="restart"/>
            <w:tcBorders>
              <w:top w:val="single" w:color="auto" w:sz="4" w:space="0"/>
              <w:left w:val="single" w:color="auto" w:sz="4" w:space="0"/>
              <w:right w:val="single" w:color="auto" w:sz="4" w:space="0"/>
            </w:tcBorders>
            <w:noWrap w:val="0"/>
            <w:vAlign w:val="center"/>
          </w:tcPr>
          <w:p w14:paraId="725F30E7">
            <w:pPr>
              <w:pStyle w:val="3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1855" w:type="dxa"/>
            <w:vMerge w:val="restart"/>
            <w:tcBorders>
              <w:top w:val="single" w:color="auto" w:sz="4" w:space="0"/>
              <w:left w:val="single" w:color="auto" w:sz="4" w:space="0"/>
              <w:right w:val="single" w:color="auto" w:sz="4" w:space="0"/>
            </w:tcBorders>
            <w:noWrap w:val="0"/>
            <w:vAlign w:val="center"/>
          </w:tcPr>
          <w:p w14:paraId="0F61CABB">
            <w:pPr>
              <w:pStyle w:val="3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投标产品详细规格</w:t>
            </w:r>
          </w:p>
        </w:tc>
        <w:tc>
          <w:tcPr>
            <w:tcW w:w="1855" w:type="dxa"/>
            <w:vMerge w:val="restart"/>
            <w:tcBorders>
              <w:top w:val="single" w:color="auto" w:sz="4" w:space="0"/>
              <w:left w:val="single" w:color="auto" w:sz="4" w:space="0"/>
              <w:right w:val="single" w:color="auto" w:sz="4" w:space="0"/>
            </w:tcBorders>
            <w:noWrap w:val="0"/>
            <w:vAlign w:val="center"/>
          </w:tcPr>
          <w:p w14:paraId="3A4720DC">
            <w:pPr>
              <w:pStyle w:val="3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偏离情况详细说明</w:t>
            </w:r>
          </w:p>
        </w:tc>
        <w:tc>
          <w:tcPr>
            <w:tcW w:w="945" w:type="dxa"/>
            <w:vMerge w:val="restart"/>
            <w:tcBorders>
              <w:top w:val="single" w:color="auto" w:sz="4" w:space="0"/>
              <w:left w:val="single" w:color="auto" w:sz="4" w:space="0"/>
              <w:right w:val="single" w:color="auto" w:sz="4" w:space="0"/>
            </w:tcBorders>
            <w:noWrap w:val="0"/>
            <w:vAlign w:val="center"/>
          </w:tcPr>
          <w:p w14:paraId="617C3B29">
            <w:pPr>
              <w:pStyle w:val="3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4FAD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tcBorders>
              <w:left w:val="single" w:color="auto" w:sz="4" w:space="0"/>
              <w:right w:val="single" w:color="auto" w:sz="4" w:space="0"/>
            </w:tcBorders>
            <w:noWrap w:val="0"/>
            <w:vAlign w:val="center"/>
          </w:tcPr>
          <w:p w14:paraId="734FBDE4">
            <w:pPr>
              <w:pStyle w:val="33"/>
              <w:tabs>
                <w:tab w:val="left" w:pos="3200"/>
              </w:tabs>
              <w:jc w:val="center"/>
              <w:rPr>
                <w:rFonts w:hint="eastAsia" w:ascii="宋体" w:hAnsi="宋体" w:eastAsia="宋体" w:cs="宋体"/>
                <w:b/>
                <w:bCs/>
                <w:color w:val="auto"/>
                <w:sz w:val="24"/>
                <w:highlight w:val="none"/>
              </w:rPr>
            </w:pPr>
          </w:p>
        </w:tc>
        <w:tc>
          <w:tcPr>
            <w:tcW w:w="749" w:type="dxa"/>
            <w:tcBorders>
              <w:top w:val="single" w:color="auto" w:sz="4" w:space="0"/>
              <w:left w:val="single" w:color="auto" w:sz="4" w:space="0"/>
              <w:right w:val="single" w:color="auto" w:sz="4" w:space="0"/>
            </w:tcBorders>
            <w:noWrap w:val="0"/>
            <w:vAlign w:val="center"/>
          </w:tcPr>
          <w:p w14:paraId="28A57492">
            <w:pPr>
              <w:pStyle w:val="33"/>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050" w:type="dxa"/>
            <w:tcBorders>
              <w:top w:val="single" w:color="auto" w:sz="4" w:space="0"/>
              <w:left w:val="single" w:color="auto" w:sz="4" w:space="0"/>
              <w:right w:val="single" w:color="auto" w:sz="4" w:space="0"/>
            </w:tcBorders>
            <w:noWrap w:val="0"/>
            <w:vAlign w:val="center"/>
          </w:tcPr>
          <w:p w14:paraId="506DDC23">
            <w:pPr>
              <w:pStyle w:val="33"/>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tc>
        <w:tc>
          <w:tcPr>
            <w:tcW w:w="1855" w:type="dxa"/>
            <w:vMerge w:val="continue"/>
            <w:tcBorders>
              <w:left w:val="single" w:color="auto" w:sz="4" w:space="0"/>
              <w:right w:val="single" w:color="auto" w:sz="4" w:space="0"/>
            </w:tcBorders>
            <w:noWrap w:val="0"/>
            <w:vAlign w:val="center"/>
          </w:tcPr>
          <w:p w14:paraId="26BECF52">
            <w:pPr>
              <w:pStyle w:val="33"/>
              <w:jc w:val="center"/>
              <w:rPr>
                <w:rFonts w:hint="eastAsia" w:ascii="宋体" w:hAnsi="宋体" w:eastAsia="宋体" w:cs="宋体"/>
                <w:color w:val="auto"/>
                <w:sz w:val="24"/>
                <w:highlight w:val="none"/>
              </w:rPr>
            </w:pPr>
          </w:p>
        </w:tc>
        <w:tc>
          <w:tcPr>
            <w:tcW w:w="1855" w:type="dxa"/>
            <w:vMerge w:val="continue"/>
            <w:tcBorders>
              <w:left w:val="single" w:color="auto" w:sz="4" w:space="0"/>
              <w:right w:val="single" w:color="auto" w:sz="4" w:space="0"/>
            </w:tcBorders>
            <w:noWrap w:val="0"/>
            <w:vAlign w:val="center"/>
          </w:tcPr>
          <w:p w14:paraId="3CE75DB6">
            <w:pPr>
              <w:pStyle w:val="33"/>
              <w:jc w:val="center"/>
              <w:rPr>
                <w:rFonts w:hint="eastAsia" w:ascii="宋体" w:hAnsi="宋体" w:eastAsia="宋体" w:cs="宋体"/>
                <w:color w:val="auto"/>
                <w:sz w:val="24"/>
                <w:highlight w:val="none"/>
              </w:rPr>
            </w:pPr>
          </w:p>
        </w:tc>
        <w:tc>
          <w:tcPr>
            <w:tcW w:w="1855" w:type="dxa"/>
            <w:vMerge w:val="continue"/>
            <w:tcBorders>
              <w:left w:val="single" w:color="auto" w:sz="4" w:space="0"/>
              <w:right w:val="single" w:color="auto" w:sz="4" w:space="0"/>
            </w:tcBorders>
            <w:noWrap w:val="0"/>
            <w:vAlign w:val="center"/>
          </w:tcPr>
          <w:p w14:paraId="35A409B0">
            <w:pPr>
              <w:pStyle w:val="33"/>
              <w:jc w:val="center"/>
              <w:rPr>
                <w:rFonts w:hint="eastAsia" w:ascii="宋体" w:hAnsi="宋体" w:eastAsia="宋体" w:cs="宋体"/>
                <w:color w:val="auto"/>
                <w:sz w:val="24"/>
                <w:highlight w:val="none"/>
              </w:rPr>
            </w:pPr>
          </w:p>
        </w:tc>
        <w:tc>
          <w:tcPr>
            <w:tcW w:w="945" w:type="dxa"/>
            <w:vMerge w:val="continue"/>
            <w:tcBorders>
              <w:left w:val="single" w:color="auto" w:sz="4" w:space="0"/>
              <w:right w:val="single" w:color="auto" w:sz="4" w:space="0"/>
            </w:tcBorders>
            <w:noWrap w:val="0"/>
            <w:vAlign w:val="center"/>
          </w:tcPr>
          <w:p w14:paraId="0C85E141">
            <w:pPr>
              <w:pStyle w:val="33"/>
              <w:jc w:val="center"/>
              <w:rPr>
                <w:rFonts w:hint="eastAsia" w:ascii="宋体" w:hAnsi="宋体" w:eastAsia="宋体" w:cs="宋体"/>
                <w:color w:val="auto"/>
                <w:sz w:val="24"/>
                <w:highlight w:val="none"/>
              </w:rPr>
            </w:pPr>
          </w:p>
        </w:tc>
      </w:tr>
      <w:tr w14:paraId="5562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left w:val="single" w:color="auto" w:sz="4" w:space="0"/>
              <w:right w:val="single" w:color="auto" w:sz="4" w:space="0"/>
            </w:tcBorders>
            <w:noWrap w:val="0"/>
            <w:vAlign w:val="center"/>
          </w:tcPr>
          <w:p w14:paraId="5961B9C6">
            <w:pPr>
              <w:pStyle w:val="33"/>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49" w:type="dxa"/>
            <w:tcBorders>
              <w:top w:val="single" w:color="auto" w:sz="4" w:space="0"/>
              <w:left w:val="single" w:color="auto" w:sz="4" w:space="0"/>
              <w:right w:val="single" w:color="auto" w:sz="4" w:space="0"/>
            </w:tcBorders>
            <w:noWrap w:val="0"/>
            <w:vAlign w:val="center"/>
          </w:tcPr>
          <w:p w14:paraId="3F925CD0">
            <w:pPr>
              <w:pStyle w:val="33"/>
              <w:jc w:val="center"/>
              <w:rPr>
                <w:rFonts w:hint="eastAsia" w:ascii="宋体" w:hAnsi="宋体" w:eastAsia="宋体" w:cs="宋体"/>
                <w:color w:val="auto"/>
                <w:sz w:val="24"/>
                <w:highlight w:val="none"/>
              </w:rPr>
            </w:pPr>
          </w:p>
        </w:tc>
        <w:tc>
          <w:tcPr>
            <w:tcW w:w="1050" w:type="dxa"/>
            <w:tcBorders>
              <w:top w:val="single" w:color="auto" w:sz="4" w:space="0"/>
              <w:left w:val="single" w:color="auto" w:sz="4" w:space="0"/>
              <w:right w:val="single" w:color="auto" w:sz="4" w:space="0"/>
            </w:tcBorders>
            <w:noWrap w:val="0"/>
            <w:vAlign w:val="center"/>
          </w:tcPr>
          <w:p w14:paraId="7488E90D">
            <w:pPr>
              <w:pStyle w:val="33"/>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122F04D">
            <w:pPr>
              <w:pStyle w:val="33"/>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44D03F1F">
            <w:pPr>
              <w:pStyle w:val="33"/>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5291BEDA">
            <w:pPr>
              <w:pStyle w:val="33"/>
              <w:jc w:val="center"/>
              <w:rPr>
                <w:rFonts w:hint="eastAsia" w:ascii="宋体" w:hAnsi="宋体" w:eastAsia="宋体" w:cs="宋体"/>
                <w:color w:val="auto"/>
                <w:sz w:val="24"/>
                <w:highlight w:val="none"/>
                <w:lang w:val="en-GB"/>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B43D146">
            <w:pPr>
              <w:pStyle w:val="33"/>
              <w:jc w:val="center"/>
              <w:rPr>
                <w:rFonts w:hint="eastAsia" w:ascii="宋体" w:hAnsi="宋体" w:eastAsia="宋体" w:cs="宋体"/>
                <w:color w:val="auto"/>
                <w:sz w:val="24"/>
                <w:highlight w:val="none"/>
                <w:lang w:val="en-GB"/>
              </w:rPr>
            </w:pPr>
          </w:p>
        </w:tc>
      </w:tr>
      <w:tr w14:paraId="418A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left w:val="single" w:color="auto" w:sz="4" w:space="0"/>
              <w:right w:val="single" w:color="auto" w:sz="4" w:space="0"/>
            </w:tcBorders>
            <w:noWrap w:val="0"/>
            <w:vAlign w:val="center"/>
          </w:tcPr>
          <w:p w14:paraId="11929891">
            <w:pPr>
              <w:pStyle w:val="33"/>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49" w:type="dxa"/>
            <w:tcBorders>
              <w:left w:val="single" w:color="auto" w:sz="4" w:space="0"/>
              <w:right w:val="single" w:color="auto" w:sz="4" w:space="0"/>
            </w:tcBorders>
            <w:noWrap w:val="0"/>
            <w:vAlign w:val="center"/>
          </w:tcPr>
          <w:p w14:paraId="7F54C21F">
            <w:pPr>
              <w:pStyle w:val="33"/>
              <w:jc w:val="center"/>
              <w:rPr>
                <w:rFonts w:hint="eastAsia" w:ascii="宋体" w:hAnsi="宋体" w:eastAsia="宋体" w:cs="宋体"/>
                <w:color w:val="auto"/>
                <w:sz w:val="24"/>
                <w:highlight w:val="none"/>
              </w:rPr>
            </w:pPr>
          </w:p>
        </w:tc>
        <w:tc>
          <w:tcPr>
            <w:tcW w:w="1050" w:type="dxa"/>
            <w:tcBorders>
              <w:left w:val="single" w:color="auto" w:sz="4" w:space="0"/>
              <w:right w:val="single" w:color="auto" w:sz="4" w:space="0"/>
            </w:tcBorders>
            <w:noWrap w:val="0"/>
            <w:vAlign w:val="center"/>
          </w:tcPr>
          <w:p w14:paraId="02E10288">
            <w:pPr>
              <w:pStyle w:val="33"/>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526DCCC2">
            <w:pPr>
              <w:pStyle w:val="33"/>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4619C8C4">
            <w:pPr>
              <w:pStyle w:val="33"/>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14:paraId="16202692">
            <w:pPr>
              <w:pStyle w:val="33"/>
              <w:jc w:val="center"/>
              <w:rPr>
                <w:rFonts w:hint="eastAsia" w:ascii="宋体" w:hAnsi="宋体" w:eastAsia="宋体" w:cs="宋体"/>
                <w:color w:val="auto"/>
                <w:sz w:val="24"/>
                <w:highlight w:val="none"/>
                <w:lang w:val="en-GB"/>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1E20546">
            <w:pPr>
              <w:pStyle w:val="33"/>
              <w:jc w:val="center"/>
              <w:rPr>
                <w:rFonts w:hint="eastAsia" w:ascii="宋体" w:hAnsi="宋体" w:eastAsia="宋体" w:cs="宋体"/>
                <w:color w:val="auto"/>
                <w:sz w:val="24"/>
                <w:highlight w:val="none"/>
                <w:lang w:val="en-GB"/>
              </w:rPr>
            </w:pPr>
          </w:p>
        </w:tc>
      </w:tr>
      <w:tr w14:paraId="13C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left w:val="single" w:color="auto" w:sz="4" w:space="0"/>
              <w:right w:val="single" w:color="auto" w:sz="4" w:space="0"/>
            </w:tcBorders>
            <w:noWrap w:val="0"/>
            <w:vAlign w:val="center"/>
          </w:tcPr>
          <w:p w14:paraId="1D9DD4D8">
            <w:pPr>
              <w:pStyle w:val="33"/>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749" w:type="dxa"/>
            <w:tcBorders>
              <w:left w:val="single" w:color="auto" w:sz="4" w:space="0"/>
              <w:bottom w:val="single" w:color="auto" w:sz="4" w:space="0"/>
              <w:right w:val="single" w:color="auto" w:sz="4" w:space="0"/>
            </w:tcBorders>
            <w:noWrap w:val="0"/>
            <w:vAlign w:val="center"/>
          </w:tcPr>
          <w:p w14:paraId="09BB36CB">
            <w:pPr>
              <w:pStyle w:val="3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050" w:type="dxa"/>
            <w:tcBorders>
              <w:left w:val="single" w:color="auto" w:sz="4" w:space="0"/>
              <w:bottom w:val="single" w:color="auto" w:sz="4" w:space="0"/>
              <w:right w:val="single" w:color="auto" w:sz="4" w:space="0"/>
            </w:tcBorders>
            <w:noWrap w:val="0"/>
            <w:vAlign w:val="center"/>
          </w:tcPr>
          <w:p w14:paraId="26CCC07C">
            <w:pPr>
              <w:pStyle w:val="3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72D90E61">
            <w:pPr>
              <w:pStyle w:val="3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78CE525">
            <w:pPr>
              <w:pStyle w:val="3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6BA4A8D4">
            <w:pPr>
              <w:pStyle w:val="33"/>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E05195C">
            <w:pPr>
              <w:pStyle w:val="33"/>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w:t>
            </w:r>
          </w:p>
        </w:tc>
      </w:tr>
    </w:tbl>
    <w:p w14:paraId="360F6654">
      <w:pPr>
        <w:pStyle w:val="33"/>
        <w:spacing w:line="360" w:lineRule="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注：</w:t>
      </w:r>
    </w:p>
    <w:p w14:paraId="6798E86C">
      <w:pPr>
        <w:pStyle w:val="33"/>
        <w:spacing w:line="360" w:lineRule="auto"/>
        <w:jc w:val="left"/>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请各投标人参照招标文件严格按以下要求认真填写偏离表：</w:t>
      </w:r>
    </w:p>
    <w:p w14:paraId="1B0EEE64">
      <w:pPr>
        <w:pStyle w:val="33"/>
        <w:spacing w:line="360" w:lineRule="auto"/>
        <w:ind w:firstLine="480" w:firstLineChars="200"/>
        <w:jc w:val="left"/>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1.投标人应根据投标货物的实际规格，并对照招标文件要求，对确实存在投标规格要求与招标文件要求有偏离的情况，应真实、认真的填写本表。“投标产品名称”栏注明偏离产品的名称；“投标产品详细规格” 栏注明投标产品的详细技术参数；“偏离情况详细说明”栏注明详细的偏离指标及说明；“备注”栏注明此项偏离为“正偏离”或“负偏离”；投标人应任何原因漏写或缺项或填写不正确的，后果由投标人自行承担。</w:t>
      </w:r>
    </w:p>
    <w:p w14:paraId="25076815">
      <w:pPr>
        <w:pStyle w:val="33"/>
        <w:tabs>
          <w:tab w:val="left" w:pos="1267"/>
        </w:tabs>
        <w:spacing w:line="360" w:lineRule="auto"/>
        <w:ind w:firstLine="480" w:firstLineChars="200"/>
        <w:jc w:val="left"/>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2.投标人真实填写本表，并对其真实性负责。</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将根据评审办法和细则进行打分）。如某项非实质性投标规格实际为“负偏离”，而投标人注明为“正偏离”或不注明的，</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可对此项偏离按评审办法加倍减分。</w:t>
      </w:r>
    </w:p>
    <w:p w14:paraId="1B934B66">
      <w:pPr>
        <w:widowControl/>
        <w:spacing w:line="420" w:lineRule="atLeast"/>
        <w:jc w:val="left"/>
        <w:rPr>
          <w:rFonts w:hint="eastAsia" w:ascii="宋体" w:hAnsi="宋体" w:eastAsia="宋体" w:cs="宋体"/>
          <w:b/>
          <w:bCs/>
          <w:color w:val="auto"/>
          <w:kern w:val="0"/>
          <w:sz w:val="30"/>
          <w:szCs w:val="30"/>
          <w:highlight w:val="none"/>
        </w:rPr>
      </w:pPr>
      <w:r>
        <w:rPr>
          <w:rFonts w:hint="eastAsia" w:ascii="宋体" w:hAnsi="宋体" w:eastAsia="宋体" w:cs="宋体"/>
          <w:color w:val="auto"/>
          <w:sz w:val="24"/>
          <w:highlight w:val="none"/>
          <w:lang w:val="en-GB"/>
        </w:rPr>
        <w:t>3.投标人注明的偏离情况只作为评审专家评定的参考，最终是否构成偏离或实质性偏离情况应由</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决定。</w:t>
      </w:r>
    </w:p>
    <w:p w14:paraId="60820552">
      <w:pPr>
        <w:pStyle w:val="17"/>
        <w:jc w:val="right"/>
        <w:rPr>
          <w:rFonts w:hint="eastAsia" w:ascii="宋体" w:hAnsi="宋体" w:eastAsia="宋体" w:cs="宋体"/>
          <w:b/>
          <w:bCs/>
          <w:color w:val="auto"/>
          <w:kern w:val="0"/>
          <w:sz w:val="30"/>
          <w:szCs w:val="30"/>
          <w:highlight w:val="none"/>
        </w:rPr>
      </w:pPr>
    </w:p>
    <w:p w14:paraId="75A3E0A0">
      <w:pPr>
        <w:keepNext w:val="0"/>
        <w:keepLines w:val="0"/>
        <w:pageBreakBefore w:val="0"/>
        <w:kinsoku/>
        <w:topLinePunct w:val="0"/>
        <w:bidi w:val="0"/>
        <w:adjustRightInd w:val="0"/>
        <w:snapToGrid w:val="0"/>
        <w:spacing w:line="540" w:lineRule="exact"/>
        <w:ind w:left="482" w:hanging="48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投标人（盖章）：</w:t>
      </w:r>
    </w:p>
    <w:p w14:paraId="1EE47F05">
      <w:pPr>
        <w:keepNext w:val="0"/>
        <w:keepLines w:val="0"/>
        <w:pageBreakBefore w:val="0"/>
        <w:kinsoku/>
        <w:topLinePunct w:val="0"/>
        <w:bidi w:val="0"/>
        <w:adjustRightInd w:val="0"/>
        <w:snapToGrid w:val="0"/>
        <w:spacing w:line="540" w:lineRule="exact"/>
        <w:ind w:left="482" w:hanging="48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bCs/>
          <w:color w:val="auto"/>
          <w:sz w:val="22"/>
          <w:szCs w:val="22"/>
          <w:highlight w:val="none"/>
        </w:rPr>
        <w:t>（负责人）</w:t>
      </w:r>
      <w:r>
        <w:rPr>
          <w:rFonts w:hint="eastAsia" w:ascii="宋体" w:hAnsi="宋体" w:eastAsia="宋体" w:cs="宋体"/>
          <w:color w:val="auto"/>
          <w:sz w:val="22"/>
          <w:szCs w:val="22"/>
          <w:highlight w:val="none"/>
        </w:rPr>
        <w:t>或被授权代表（签字或盖章）：</w:t>
      </w:r>
    </w:p>
    <w:p w14:paraId="384D21D4">
      <w:pPr>
        <w:keepNext w:val="0"/>
        <w:keepLines w:val="0"/>
        <w:pageBreakBefore w:val="0"/>
        <w:kinsoku/>
        <w:topLinePunct w:val="0"/>
        <w:bidi w:val="0"/>
        <w:adjustRightInd w:val="0"/>
        <w:snapToGrid w:val="0"/>
        <w:spacing w:line="540" w:lineRule="exact"/>
        <w:ind w:left="482" w:hanging="482"/>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0F3317EE">
      <w:pPr>
        <w:jc w:val="right"/>
        <w:rPr>
          <w:rFonts w:hint="eastAsia" w:ascii="宋体" w:hAnsi="宋体" w:eastAsia="宋体" w:cs="宋体"/>
          <w:b/>
          <w:bCs/>
          <w:color w:val="auto"/>
          <w:kern w:val="0"/>
          <w:sz w:val="30"/>
          <w:szCs w:val="30"/>
          <w:highlight w:val="none"/>
        </w:rPr>
      </w:pPr>
      <w:r>
        <w:rPr>
          <w:rFonts w:hint="eastAsia" w:ascii="仿宋" w:hAnsi="仿宋" w:eastAsia="仿宋" w:cs="仿宋"/>
          <w:color w:val="auto"/>
          <w:spacing w:val="20"/>
          <w:sz w:val="24"/>
          <w:highlight w:val="none"/>
          <w:u w:val="single"/>
        </w:rPr>
        <w:t xml:space="preserve">            </w:t>
      </w:r>
    </w:p>
    <w:p w14:paraId="00B2E6A9">
      <w:pPr>
        <w:pStyle w:val="17"/>
        <w:rPr>
          <w:rFonts w:hint="eastAsia" w:ascii="宋体" w:hAnsi="宋体" w:eastAsia="宋体" w:cs="宋体"/>
          <w:b/>
          <w:bCs/>
          <w:color w:val="auto"/>
          <w:kern w:val="0"/>
          <w:sz w:val="30"/>
          <w:szCs w:val="30"/>
          <w:highlight w:val="none"/>
        </w:rPr>
      </w:pPr>
    </w:p>
    <w:p w14:paraId="0A159C1F">
      <w:pPr>
        <w:rPr>
          <w:rFonts w:hint="eastAsia" w:ascii="宋体" w:hAnsi="宋体" w:eastAsia="宋体" w:cs="宋体"/>
          <w:b/>
          <w:bCs/>
          <w:color w:val="auto"/>
          <w:kern w:val="0"/>
          <w:sz w:val="30"/>
          <w:szCs w:val="30"/>
          <w:highlight w:val="none"/>
        </w:rPr>
      </w:pPr>
    </w:p>
    <w:p w14:paraId="5DD0D502">
      <w:pPr>
        <w:pStyle w:val="17"/>
        <w:rPr>
          <w:rFonts w:hint="eastAsia" w:ascii="宋体" w:hAnsi="宋体" w:eastAsia="宋体" w:cs="宋体"/>
          <w:b/>
          <w:bCs/>
          <w:color w:val="auto"/>
          <w:kern w:val="0"/>
          <w:sz w:val="30"/>
          <w:szCs w:val="30"/>
          <w:highlight w:val="none"/>
        </w:rPr>
      </w:pPr>
    </w:p>
    <w:p w14:paraId="01B2BC3B">
      <w:pPr>
        <w:rPr>
          <w:rFonts w:hint="eastAsia" w:ascii="宋体" w:hAnsi="宋体" w:eastAsia="宋体" w:cs="宋体"/>
          <w:b/>
          <w:bCs/>
          <w:color w:val="auto"/>
          <w:kern w:val="0"/>
          <w:sz w:val="30"/>
          <w:szCs w:val="30"/>
          <w:highlight w:val="none"/>
        </w:rPr>
      </w:pPr>
    </w:p>
    <w:p w14:paraId="6D1AD8A7">
      <w:pPr>
        <w:pStyle w:val="17"/>
        <w:rPr>
          <w:rFonts w:hint="eastAsia" w:ascii="宋体" w:hAnsi="宋体" w:eastAsia="宋体" w:cs="宋体"/>
          <w:b/>
          <w:bCs/>
          <w:color w:val="auto"/>
          <w:kern w:val="0"/>
          <w:sz w:val="30"/>
          <w:szCs w:val="30"/>
          <w:highlight w:val="none"/>
        </w:rPr>
      </w:pPr>
    </w:p>
    <w:p w14:paraId="1FBFECED">
      <w:pPr>
        <w:rPr>
          <w:rFonts w:hint="eastAsia" w:ascii="宋体" w:hAnsi="宋体" w:eastAsia="宋体" w:cs="宋体"/>
          <w:b/>
          <w:bCs/>
          <w:color w:val="auto"/>
          <w:kern w:val="0"/>
          <w:sz w:val="30"/>
          <w:szCs w:val="30"/>
          <w:highlight w:val="none"/>
        </w:rPr>
      </w:pPr>
    </w:p>
    <w:p w14:paraId="0494AC3A">
      <w:pPr>
        <w:jc w:val="center"/>
        <w:rPr>
          <w:rStyle w:val="36"/>
          <w:rFonts w:hint="eastAsia" w:asciiTheme="minorEastAsia" w:hAnsiTheme="minorEastAsia" w:eastAsiaTheme="minorEastAsia" w:cstheme="minorEastAsia"/>
          <w:b/>
          <w:bCs/>
          <w:color w:val="auto"/>
          <w:kern w:val="0"/>
          <w:sz w:val="28"/>
          <w:szCs w:val="28"/>
        </w:rPr>
      </w:pPr>
      <w:r>
        <w:rPr>
          <w:rStyle w:val="36"/>
          <w:rFonts w:hint="eastAsia" w:asciiTheme="minorEastAsia" w:hAnsiTheme="minorEastAsia" w:eastAsiaTheme="minorEastAsia" w:cstheme="minorEastAsia"/>
          <w:b/>
          <w:bCs/>
          <w:color w:val="auto"/>
          <w:kern w:val="0"/>
          <w:sz w:val="28"/>
          <w:szCs w:val="28"/>
        </w:rPr>
        <w:t>报价函</w:t>
      </w:r>
    </w:p>
    <w:p w14:paraId="3EA10B9D">
      <w:pPr>
        <w:spacing w:line="500" w:lineRule="exact"/>
        <w:ind w:left="-15" w:leftChars="-7" w:firstLine="19" w:firstLineChars="8"/>
        <w:rPr>
          <w:rStyle w:val="36"/>
          <w:rFonts w:hint="eastAsia" w:asciiTheme="minorEastAsia" w:hAnsiTheme="minorEastAsia" w:eastAsiaTheme="minorEastAsia" w:cstheme="minorEastAsia"/>
          <w:b w:val="0"/>
          <w:bCs w:val="0"/>
          <w:color w:val="auto"/>
          <w:sz w:val="24"/>
          <w:szCs w:val="24"/>
          <w:lang w:val="en-US"/>
        </w:rPr>
      </w:pPr>
      <w:r>
        <w:rPr>
          <w:rStyle w:val="36"/>
          <w:rFonts w:hint="eastAsia" w:asciiTheme="minorEastAsia" w:hAnsiTheme="minorEastAsia" w:eastAsiaTheme="minorEastAsia" w:cstheme="minorEastAsia"/>
          <w:b w:val="0"/>
          <w:bCs w:val="0"/>
          <w:color w:val="auto"/>
          <w:sz w:val="24"/>
          <w:szCs w:val="24"/>
        </w:rPr>
        <w:t>致：</w:t>
      </w:r>
      <w:r>
        <w:rPr>
          <w:rStyle w:val="36"/>
          <w:rFonts w:hint="eastAsia" w:asciiTheme="minorEastAsia" w:hAnsiTheme="minorEastAsia" w:eastAsiaTheme="minorEastAsia" w:cstheme="minorEastAsia"/>
          <w:b w:val="0"/>
          <w:bCs w:val="0"/>
          <w:color w:val="auto"/>
          <w:sz w:val="24"/>
          <w:szCs w:val="24"/>
          <w:u w:val="single"/>
          <w:lang w:val="en-US"/>
        </w:rPr>
        <w:t xml:space="preserve">  （采购人全称）    </w:t>
      </w:r>
    </w:p>
    <w:p w14:paraId="25A389B8">
      <w:pPr>
        <w:spacing w:line="500" w:lineRule="exact"/>
        <w:ind w:firstLine="480" w:firstLineChars="200"/>
        <w:rPr>
          <w:rStyle w:val="36"/>
          <w:rFonts w:hint="eastAsia" w:asciiTheme="minorEastAsia" w:hAnsiTheme="minorEastAsia" w:eastAsiaTheme="minorEastAsia" w:cstheme="minorEastAsia"/>
          <w:b w:val="0"/>
          <w:bCs w:val="0"/>
          <w:color w:val="auto"/>
          <w:sz w:val="24"/>
          <w:szCs w:val="24"/>
        </w:rPr>
      </w:pPr>
      <w:r>
        <w:rPr>
          <w:rStyle w:val="36"/>
          <w:rFonts w:hint="eastAsia" w:asciiTheme="minorEastAsia" w:hAnsiTheme="minorEastAsia" w:eastAsiaTheme="minorEastAsia" w:cstheme="minorEastAsia"/>
          <w:b w:val="0"/>
          <w:bCs w:val="0"/>
          <w:color w:val="auto"/>
          <w:sz w:val="24"/>
          <w:szCs w:val="24"/>
          <w:u w:val="single"/>
        </w:rPr>
        <w:t>（供应商全称）</w:t>
      </w:r>
      <w:r>
        <w:rPr>
          <w:rStyle w:val="36"/>
          <w:rFonts w:hint="eastAsia" w:asciiTheme="minorEastAsia" w:hAnsiTheme="minorEastAsia" w:eastAsiaTheme="minorEastAsia" w:cstheme="minorEastAsia"/>
          <w:b w:val="0"/>
          <w:bCs w:val="0"/>
          <w:color w:val="auto"/>
          <w:sz w:val="24"/>
          <w:szCs w:val="24"/>
        </w:rPr>
        <w:t>授权（全名、职务）为全权代表，参加贵方组织的</w:t>
      </w:r>
      <w:r>
        <w:rPr>
          <w:rStyle w:val="36"/>
          <w:rFonts w:hint="eastAsia" w:asciiTheme="minorEastAsia" w:hAnsiTheme="minorEastAsia" w:eastAsiaTheme="minorEastAsia" w:cstheme="minorEastAsia"/>
          <w:b w:val="0"/>
          <w:bCs w:val="0"/>
          <w:color w:val="auto"/>
          <w:sz w:val="24"/>
          <w:szCs w:val="24"/>
          <w:u w:val="single"/>
        </w:rPr>
        <w:t>（项目名称）（</w:t>
      </w:r>
      <w:r>
        <w:rPr>
          <w:rStyle w:val="36"/>
          <w:rFonts w:hint="eastAsia" w:asciiTheme="minorEastAsia" w:hAnsiTheme="minorEastAsia" w:eastAsiaTheme="minorEastAsia" w:cstheme="minorEastAsia"/>
          <w:b w:val="0"/>
          <w:bCs w:val="0"/>
          <w:color w:val="auto"/>
          <w:sz w:val="24"/>
          <w:szCs w:val="24"/>
          <w:u w:val="single"/>
          <w:lang w:val="en-US"/>
        </w:rPr>
        <w:t>项目</w:t>
      </w:r>
      <w:r>
        <w:rPr>
          <w:rStyle w:val="36"/>
          <w:rFonts w:hint="eastAsia" w:asciiTheme="minorEastAsia" w:hAnsiTheme="minorEastAsia" w:eastAsiaTheme="minorEastAsia" w:cstheme="minorEastAsia"/>
          <w:b w:val="0"/>
          <w:bCs w:val="0"/>
          <w:color w:val="auto"/>
          <w:sz w:val="24"/>
          <w:szCs w:val="24"/>
          <w:u w:val="single"/>
        </w:rPr>
        <w:t>编</w:t>
      </w:r>
      <w:r>
        <w:rPr>
          <w:rStyle w:val="36"/>
          <w:rFonts w:hint="eastAsia" w:asciiTheme="minorEastAsia" w:hAnsiTheme="minorEastAsia" w:eastAsiaTheme="minorEastAsia" w:cstheme="minorEastAsia"/>
          <w:b w:val="0"/>
          <w:bCs w:val="0"/>
          <w:color w:val="auto"/>
          <w:sz w:val="24"/>
          <w:szCs w:val="24"/>
          <w:u w:val="single"/>
          <w:lang w:val="en-US"/>
        </w:rPr>
        <w:t>号</w:t>
      </w:r>
      <w:r>
        <w:rPr>
          <w:rStyle w:val="36"/>
          <w:rFonts w:hint="eastAsia" w:asciiTheme="minorEastAsia" w:hAnsiTheme="minorEastAsia" w:eastAsiaTheme="minorEastAsia" w:cstheme="minorEastAsia"/>
          <w:b w:val="0"/>
          <w:bCs w:val="0"/>
          <w:color w:val="auto"/>
          <w:sz w:val="24"/>
          <w:szCs w:val="24"/>
          <w:u w:val="single"/>
        </w:rPr>
        <w:t>）</w:t>
      </w:r>
      <w:r>
        <w:rPr>
          <w:rStyle w:val="36"/>
          <w:rFonts w:hint="eastAsia" w:asciiTheme="minorEastAsia" w:hAnsiTheme="minorEastAsia" w:eastAsiaTheme="minorEastAsia" w:cstheme="minorEastAsia"/>
          <w:b w:val="0"/>
          <w:bCs w:val="0"/>
          <w:color w:val="auto"/>
          <w:sz w:val="24"/>
          <w:szCs w:val="24"/>
        </w:rPr>
        <w:t>的有关活动。为此：</w:t>
      </w:r>
    </w:p>
    <w:p w14:paraId="26759A97">
      <w:pPr>
        <w:spacing w:line="500" w:lineRule="exact"/>
        <w:ind w:left="-15" w:leftChars="-7" w:firstLine="19" w:firstLineChars="8"/>
        <w:rPr>
          <w:rStyle w:val="36"/>
          <w:rFonts w:hint="eastAsia" w:asciiTheme="minorEastAsia" w:hAnsiTheme="minorEastAsia" w:eastAsiaTheme="minorEastAsia" w:cstheme="minorEastAsia"/>
          <w:b w:val="0"/>
          <w:bCs w:val="0"/>
          <w:color w:val="auto"/>
          <w:sz w:val="24"/>
          <w:szCs w:val="24"/>
        </w:rPr>
      </w:pPr>
      <w:r>
        <w:rPr>
          <w:rStyle w:val="36"/>
          <w:rFonts w:hint="eastAsia" w:asciiTheme="minorEastAsia" w:hAnsiTheme="minorEastAsia" w:eastAsiaTheme="minorEastAsia" w:cstheme="minorEastAsia"/>
          <w:b w:val="0"/>
          <w:bCs w:val="0"/>
          <w:color w:val="auto"/>
          <w:sz w:val="24"/>
          <w:szCs w:val="24"/>
        </w:rPr>
        <w:t>l.提供</w:t>
      </w:r>
      <w:r>
        <w:rPr>
          <w:rStyle w:val="36"/>
          <w:rFonts w:hint="eastAsia" w:asciiTheme="minorEastAsia" w:hAnsiTheme="minorEastAsia" w:eastAsiaTheme="minorEastAsia" w:cstheme="minorEastAsia"/>
          <w:b w:val="0"/>
          <w:bCs w:val="0"/>
          <w:color w:val="auto"/>
          <w:sz w:val="24"/>
          <w:szCs w:val="24"/>
          <w:lang w:val="en-US"/>
        </w:rPr>
        <w:t>投标人</w:t>
      </w:r>
      <w:r>
        <w:rPr>
          <w:rStyle w:val="36"/>
          <w:rFonts w:hint="eastAsia" w:asciiTheme="minorEastAsia" w:hAnsiTheme="minorEastAsia" w:eastAsiaTheme="minorEastAsia" w:cstheme="minorEastAsia"/>
          <w:b w:val="0"/>
          <w:bCs w:val="0"/>
          <w:color w:val="auto"/>
          <w:sz w:val="24"/>
          <w:szCs w:val="24"/>
        </w:rPr>
        <w:t>须知规定的全部</w:t>
      </w:r>
      <w:r>
        <w:rPr>
          <w:rStyle w:val="36"/>
          <w:rFonts w:hint="eastAsia" w:asciiTheme="minorEastAsia" w:hAnsiTheme="minorEastAsia" w:eastAsiaTheme="minorEastAsia" w:cstheme="minorEastAsia"/>
          <w:b w:val="0"/>
          <w:bCs w:val="0"/>
          <w:color w:val="auto"/>
          <w:sz w:val="24"/>
          <w:szCs w:val="24"/>
          <w:lang w:val="en-US"/>
        </w:rPr>
        <w:t>投标</w:t>
      </w:r>
      <w:r>
        <w:rPr>
          <w:rStyle w:val="36"/>
          <w:rFonts w:hint="eastAsia" w:asciiTheme="minorEastAsia" w:hAnsiTheme="minorEastAsia" w:eastAsiaTheme="minorEastAsia" w:cstheme="minorEastAsia"/>
          <w:b w:val="0"/>
          <w:bCs w:val="0"/>
          <w:color w:val="auto"/>
          <w:sz w:val="24"/>
          <w:szCs w:val="24"/>
        </w:rPr>
        <w:t>响应文件。</w:t>
      </w:r>
    </w:p>
    <w:p w14:paraId="3545F087">
      <w:pPr>
        <w:spacing w:line="500" w:lineRule="exact"/>
        <w:ind w:left="-15" w:leftChars="-7" w:firstLine="19" w:firstLineChars="8"/>
        <w:rPr>
          <w:rStyle w:val="36"/>
          <w:rFonts w:hint="eastAsia" w:asciiTheme="minorEastAsia" w:hAnsiTheme="minorEastAsia" w:eastAsiaTheme="minorEastAsia" w:cstheme="minorEastAsia"/>
          <w:b w:val="0"/>
          <w:bCs w:val="0"/>
          <w:color w:val="auto"/>
          <w:sz w:val="24"/>
          <w:szCs w:val="24"/>
          <w:u w:val="single"/>
          <w:lang w:val="zh-CN"/>
        </w:rPr>
      </w:pPr>
      <w:r>
        <w:rPr>
          <w:rStyle w:val="36"/>
          <w:rFonts w:hint="eastAsia" w:asciiTheme="minorEastAsia" w:hAnsiTheme="minorEastAsia" w:eastAsiaTheme="minorEastAsia" w:cstheme="minorEastAsia"/>
          <w:b w:val="0"/>
          <w:bCs w:val="0"/>
          <w:color w:val="auto"/>
          <w:sz w:val="24"/>
          <w:szCs w:val="24"/>
        </w:rPr>
        <w:t>2.</w:t>
      </w:r>
      <w:r>
        <w:rPr>
          <w:rStyle w:val="36"/>
          <w:rFonts w:hint="eastAsia" w:asciiTheme="minorEastAsia" w:hAnsiTheme="minorEastAsia" w:eastAsiaTheme="minorEastAsia" w:cstheme="minorEastAsia"/>
          <w:b w:val="0"/>
          <w:bCs w:val="0"/>
          <w:color w:val="auto"/>
          <w:sz w:val="24"/>
          <w:szCs w:val="24"/>
          <w:lang w:val="zh-CN"/>
        </w:rPr>
        <w:t>我方愿以本投标书向你方发包的</w:t>
      </w:r>
      <w:r>
        <w:rPr>
          <w:rFonts w:hint="eastAsia" w:hAnsi="宋体" w:cs="宋体"/>
          <w:color w:val="auto"/>
          <w:sz w:val="24"/>
          <w:szCs w:val="24"/>
          <w:highlight w:val="none"/>
          <w:u w:val="single"/>
          <w:lang w:eastAsia="zh-CN"/>
        </w:rPr>
        <w:t>衢州市柯城区贝蓓儿儿童康复指导中心提升改造工程设备采购</w:t>
      </w:r>
      <w:r>
        <w:rPr>
          <w:rStyle w:val="36"/>
          <w:rFonts w:hint="eastAsia" w:asciiTheme="minorEastAsia" w:hAnsiTheme="minorEastAsia" w:eastAsiaTheme="minorEastAsia" w:cstheme="minorEastAsia"/>
          <w:b w:val="0"/>
          <w:bCs w:val="0"/>
          <w:color w:val="auto"/>
          <w:sz w:val="24"/>
          <w:szCs w:val="24"/>
          <w:lang w:val="zh-CN"/>
        </w:rPr>
        <w:t>全部内容进行</w:t>
      </w:r>
      <w:r>
        <w:rPr>
          <w:rStyle w:val="36"/>
          <w:rFonts w:hint="eastAsia" w:asciiTheme="minorEastAsia" w:hAnsiTheme="minorEastAsia" w:eastAsiaTheme="minorEastAsia" w:cstheme="minorEastAsia"/>
          <w:b w:val="0"/>
          <w:bCs w:val="0"/>
          <w:color w:val="auto"/>
          <w:sz w:val="24"/>
          <w:szCs w:val="24"/>
          <w:lang w:val="en-US"/>
        </w:rPr>
        <w:t>响应</w:t>
      </w:r>
      <w:r>
        <w:rPr>
          <w:rStyle w:val="36"/>
          <w:rFonts w:hint="eastAsia" w:asciiTheme="minorEastAsia" w:hAnsiTheme="minorEastAsia" w:eastAsiaTheme="minorEastAsia" w:cstheme="minorEastAsia"/>
          <w:b w:val="0"/>
          <w:bCs w:val="0"/>
          <w:color w:val="auto"/>
          <w:sz w:val="24"/>
          <w:szCs w:val="24"/>
          <w:lang w:val="zh-CN"/>
        </w:rPr>
        <w:t>。</w:t>
      </w:r>
      <w:r>
        <w:rPr>
          <w:rStyle w:val="36"/>
          <w:rFonts w:hint="eastAsia" w:asciiTheme="minorEastAsia" w:hAnsiTheme="minorEastAsia" w:eastAsiaTheme="minorEastAsia" w:cstheme="minorEastAsia"/>
          <w:b w:val="0"/>
          <w:bCs w:val="0"/>
          <w:color w:val="auto"/>
          <w:sz w:val="24"/>
          <w:szCs w:val="24"/>
          <w:lang w:val="en-US" w:eastAsia="zh-CN"/>
        </w:rPr>
        <w:t>工期</w:t>
      </w:r>
      <w:r>
        <w:rPr>
          <w:rStyle w:val="36"/>
          <w:rFonts w:hint="eastAsia" w:asciiTheme="minorEastAsia" w:hAnsiTheme="minorEastAsia" w:eastAsiaTheme="minorEastAsia" w:cstheme="minorEastAsia"/>
          <w:b w:val="0"/>
          <w:bCs w:val="0"/>
          <w:color w:val="auto"/>
          <w:sz w:val="24"/>
          <w:szCs w:val="24"/>
          <w:lang w:val="zh-CN"/>
        </w:rPr>
        <w:t>：</w:t>
      </w:r>
      <w:r>
        <w:rPr>
          <w:rStyle w:val="36"/>
          <w:rFonts w:hint="eastAsia" w:asciiTheme="minorEastAsia" w:hAnsiTheme="minorEastAsia" w:eastAsiaTheme="minorEastAsia" w:cstheme="minorEastAsia"/>
          <w:b w:val="0"/>
          <w:bCs w:val="0"/>
          <w:color w:val="auto"/>
          <w:sz w:val="24"/>
          <w:szCs w:val="24"/>
          <w:u w:val="single"/>
          <w:lang w:val="en-US" w:eastAsia="zh-CN"/>
        </w:rPr>
        <w:t xml:space="preserve">         </w:t>
      </w:r>
      <w:r>
        <w:rPr>
          <w:rStyle w:val="36"/>
          <w:rFonts w:hint="eastAsia" w:asciiTheme="minorEastAsia" w:hAnsiTheme="minorEastAsia" w:eastAsiaTheme="minorEastAsia" w:cstheme="minorEastAsia"/>
          <w:b w:val="0"/>
          <w:bCs w:val="0"/>
          <w:color w:val="auto"/>
          <w:sz w:val="24"/>
          <w:szCs w:val="24"/>
          <w:lang w:val="zh-CN"/>
        </w:rPr>
        <w:t>，质量目标</w:t>
      </w:r>
      <w:r>
        <w:rPr>
          <w:rStyle w:val="36"/>
          <w:rFonts w:hint="eastAsia" w:asciiTheme="minorEastAsia" w:hAnsiTheme="minorEastAsia" w:eastAsiaTheme="minorEastAsia" w:cstheme="minorEastAsia"/>
          <w:b w:val="0"/>
          <w:bCs w:val="0"/>
          <w:color w:val="auto"/>
          <w:sz w:val="24"/>
          <w:szCs w:val="24"/>
          <w:u w:val="single"/>
          <w:lang w:val="en-US"/>
        </w:rPr>
        <w:t xml:space="preserve">        </w:t>
      </w:r>
      <w:r>
        <w:rPr>
          <w:rStyle w:val="36"/>
          <w:rFonts w:hint="eastAsia" w:asciiTheme="minorEastAsia" w:hAnsiTheme="minorEastAsia" w:eastAsiaTheme="minorEastAsia" w:cstheme="minorEastAsia"/>
          <w:b w:val="0"/>
          <w:bCs w:val="0"/>
          <w:color w:val="auto"/>
          <w:sz w:val="24"/>
          <w:szCs w:val="24"/>
          <w:lang w:val="zh-CN"/>
        </w:rPr>
        <w:t>。</w:t>
      </w:r>
    </w:p>
    <w:p w14:paraId="27CDABF2">
      <w:pPr>
        <w:spacing w:line="500" w:lineRule="exact"/>
        <w:ind w:left="-15" w:leftChars="-7" w:firstLine="19" w:firstLineChars="8"/>
        <w:rPr>
          <w:rStyle w:val="36"/>
          <w:rFonts w:hint="eastAsia" w:asciiTheme="minorEastAsia" w:hAnsiTheme="minorEastAsia" w:eastAsiaTheme="minorEastAsia" w:cstheme="minorEastAsia"/>
          <w:b w:val="0"/>
          <w:bCs w:val="0"/>
          <w:color w:val="auto"/>
          <w:sz w:val="24"/>
          <w:szCs w:val="24"/>
        </w:rPr>
      </w:pPr>
      <w:r>
        <w:rPr>
          <w:rStyle w:val="36"/>
          <w:rFonts w:hint="eastAsia" w:asciiTheme="minorEastAsia" w:hAnsiTheme="minorEastAsia" w:eastAsiaTheme="minorEastAsia" w:cstheme="minorEastAsia"/>
          <w:b w:val="0"/>
          <w:bCs w:val="0"/>
          <w:color w:val="auto"/>
          <w:sz w:val="24"/>
          <w:szCs w:val="24"/>
        </w:rPr>
        <w:t>3.已详细审查全部</w:t>
      </w:r>
      <w:r>
        <w:rPr>
          <w:rStyle w:val="36"/>
          <w:rFonts w:hint="eastAsia" w:asciiTheme="minorEastAsia" w:hAnsiTheme="minorEastAsia" w:eastAsiaTheme="minorEastAsia" w:cstheme="minorEastAsia"/>
          <w:b w:val="0"/>
          <w:bCs w:val="0"/>
          <w:color w:val="auto"/>
          <w:sz w:val="24"/>
          <w:szCs w:val="24"/>
          <w:lang w:val="en-US"/>
        </w:rPr>
        <w:t>采购招标</w:t>
      </w:r>
      <w:r>
        <w:rPr>
          <w:rStyle w:val="36"/>
          <w:rFonts w:hint="eastAsia" w:asciiTheme="minorEastAsia" w:hAnsiTheme="minorEastAsia" w:eastAsiaTheme="minorEastAsia" w:cstheme="minorEastAsia"/>
          <w:b w:val="0"/>
          <w:bCs w:val="0"/>
          <w:color w:val="auto"/>
          <w:sz w:val="24"/>
          <w:szCs w:val="24"/>
        </w:rPr>
        <w:t>文件，同意</w:t>
      </w:r>
      <w:r>
        <w:rPr>
          <w:rStyle w:val="36"/>
          <w:rFonts w:hint="eastAsia" w:asciiTheme="minorEastAsia" w:hAnsiTheme="minorEastAsia" w:eastAsiaTheme="minorEastAsia" w:cstheme="minorEastAsia"/>
          <w:b w:val="0"/>
          <w:bCs w:val="0"/>
          <w:color w:val="auto"/>
          <w:sz w:val="24"/>
          <w:szCs w:val="24"/>
          <w:lang w:val="en-US"/>
        </w:rPr>
        <w:t>采购招标</w:t>
      </w:r>
      <w:r>
        <w:rPr>
          <w:rStyle w:val="36"/>
          <w:rFonts w:hint="eastAsia" w:asciiTheme="minorEastAsia" w:hAnsiTheme="minorEastAsia" w:eastAsiaTheme="minorEastAsia" w:cstheme="minorEastAsia"/>
          <w:b w:val="0"/>
          <w:bCs w:val="0"/>
          <w:color w:val="auto"/>
          <w:sz w:val="24"/>
          <w:szCs w:val="24"/>
        </w:rPr>
        <w:t>文件的各项要求，并认同该次采购的合法性。</w:t>
      </w:r>
    </w:p>
    <w:p w14:paraId="2DAD14B5">
      <w:pPr>
        <w:spacing w:line="500" w:lineRule="exact"/>
        <w:ind w:left="-15" w:leftChars="-7" w:firstLine="19" w:firstLineChars="8"/>
        <w:rPr>
          <w:rStyle w:val="36"/>
          <w:rFonts w:hint="eastAsia" w:asciiTheme="minorEastAsia" w:hAnsiTheme="minorEastAsia" w:eastAsiaTheme="minorEastAsia" w:cstheme="minorEastAsia"/>
          <w:b w:val="0"/>
          <w:bCs w:val="0"/>
          <w:color w:val="auto"/>
          <w:sz w:val="24"/>
          <w:szCs w:val="24"/>
        </w:rPr>
      </w:pPr>
      <w:r>
        <w:rPr>
          <w:rStyle w:val="36"/>
          <w:rFonts w:hint="eastAsia" w:asciiTheme="minorEastAsia" w:hAnsiTheme="minorEastAsia" w:eastAsiaTheme="minorEastAsia" w:cstheme="minorEastAsia"/>
          <w:b w:val="0"/>
          <w:bCs w:val="0"/>
          <w:color w:val="auto"/>
          <w:sz w:val="24"/>
          <w:szCs w:val="24"/>
        </w:rPr>
        <w:t>4.若经采购人确定为成交人，将按</w:t>
      </w:r>
      <w:r>
        <w:rPr>
          <w:rStyle w:val="36"/>
          <w:rFonts w:hint="eastAsia" w:asciiTheme="minorEastAsia" w:hAnsiTheme="minorEastAsia" w:eastAsiaTheme="minorEastAsia" w:cstheme="minorEastAsia"/>
          <w:b w:val="0"/>
          <w:bCs w:val="0"/>
          <w:color w:val="auto"/>
          <w:sz w:val="24"/>
          <w:szCs w:val="24"/>
          <w:lang w:val="en-US"/>
        </w:rPr>
        <w:t>采购招标</w:t>
      </w:r>
      <w:r>
        <w:rPr>
          <w:rStyle w:val="36"/>
          <w:rFonts w:hint="eastAsia" w:asciiTheme="minorEastAsia" w:hAnsiTheme="minorEastAsia" w:eastAsiaTheme="minorEastAsia" w:cstheme="minorEastAsia"/>
          <w:b w:val="0"/>
          <w:bCs w:val="0"/>
          <w:color w:val="auto"/>
          <w:sz w:val="24"/>
          <w:szCs w:val="24"/>
        </w:rPr>
        <w:t>文件规定履行合同责任和义务。</w:t>
      </w:r>
    </w:p>
    <w:p w14:paraId="0F28D4AA">
      <w:pPr>
        <w:spacing w:line="500" w:lineRule="exact"/>
        <w:ind w:left="-15" w:leftChars="-7" w:firstLine="19" w:firstLineChars="8"/>
        <w:rPr>
          <w:rStyle w:val="36"/>
          <w:rFonts w:hint="eastAsia" w:asciiTheme="minorEastAsia" w:hAnsiTheme="minorEastAsia" w:eastAsiaTheme="minorEastAsia" w:cstheme="minorEastAsia"/>
          <w:b w:val="0"/>
          <w:bCs w:val="0"/>
          <w:color w:val="auto"/>
          <w:sz w:val="24"/>
          <w:szCs w:val="24"/>
        </w:rPr>
      </w:pPr>
      <w:r>
        <w:rPr>
          <w:rStyle w:val="36"/>
          <w:rFonts w:hint="eastAsia" w:asciiTheme="minorEastAsia" w:hAnsiTheme="minorEastAsia" w:eastAsiaTheme="minorEastAsia" w:cstheme="minorEastAsia"/>
          <w:b w:val="0"/>
          <w:bCs w:val="0"/>
          <w:color w:val="auto"/>
          <w:sz w:val="24"/>
          <w:szCs w:val="24"/>
        </w:rPr>
        <w:t>5.同意提供按照贵方可能要求的与其</w:t>
      </w:r>
      <w:r>
        <w:rPr>
          <w:rStyle w:val="36"/>
          <w:rFonts w:hint="eastAsia" w:asciiTheme="minorEastAsia" w:hAnsiTheme="minorEastAsia" w:eastAsiaTheme="minorEastAsia" w:cstheme="minorEastAsia"/>
          <w:b w:val="0"/>
          <w:bCs w:val="0"/>
          <w:color w:val="auto"/>
          <w:sz w:val="24"/>
          <w:szCs w:val="24"/>
          <w:lang w:val="en-US"/>
        </w:rPr>
        <w:t>响应</w:t>
      </w:r>
      <w:r>
        <w:rPr>
          <w:rStyle w:val="36"/>
          <w:rFonts w:hint="eastAsia" w:asciiTheme="minorEastAsia" w:hAnsiTheme="minorEastAsia" w:eastAsiaTheme="minorEastAsia" w:cstheme="minorEastAsia"/>
          <w:b w:val="0"/>
          <w:bCs w:val="0"/>
          <w:color w:val="auto"/>
          <w:sz w:val="24"/>
          <w:szCs w:val="24"/>
        </w:rPr>
        <w:t>有关的一切数据或资料，并保证其真实性、合法性。</w:t>
      </w:r>
    </w:p>
    <w:p w14:paraId="30A7A381">
      <w:pPr>
        <w:spacing w:line="500" w:lineRule="exact"/>
        <w:ind w:left="-15" w:leftChars="-7" w:firstLine="19" w:firstLineChars="8"/>
        <w:outlineLvl w:val="1"/>
        <w:rPr>
          <w:rStyle w:val="36"/>
          <w:rFonts w:hint="eastAsia" w:asciiTheme="minorEastAsia" w:hAnsiTheme="minorEastAsia" w:eastAsiaTheme="minorEastAsia" w:cstheme="minorEastAsia"/>
          <w:b w:val="0"/>
          <w:bCs w:val="0"/>
          <w:color w:val="auto"/>
          <w:sz w:val="24"/>
          <w:szCs w:val="24"/>
        </w:rPr>
      </w:pPr>
      <w:r>
        <w:rPr>
          <w:rStyle w:val="36"/>
          <w:rFonts w:hint="eastAsia" w:asciiTheme="minorEastAsia" w:hAnsiTheme="minorEastAsia" w:eastAsiaTheme="minorEastAsia" w:cstheme="minorEastAsia"/>
          <w:b w:val="0"/>
          <w:bCs w:val="0"/>
          <w:color w:val="auto"/>
          <w:sz w:val="24"/>
          <w:szCs w:val="24"/>
        </w:rPr>
        <w:t>6.我方与本采购有关的一切正式来往通讯请寄：</w:t>
      </w:r>
    </w:p>
    <w:p w14:paraId="526D4A5D">
      <w:pPr>
        <w:pStyle w:val="28"/>
        <w:rPr>
          <w:rFonts w:hint="eastAsia" w:asciiTheme="minorEastAsia" w:hAnsiTheme="minorEastAsia" w:eastAsiaTheme="minorEastAsia" w:cstheme="minorEastAsia"/>
          <w:b w:val="0"/>
          <w:bCs w:val="0"/>
          <w:color w:val="auto"/>
          <w:sz w:val="24"/>
          <w:szCs w:val="24"/>
        </w:rPr>
      </w:pPr>
    </w:p>
    <w:p w14:paraId="6D0358F2">
      <w:pPr>
        <w:spacing w:line="500" w:lineRule="exact"/>
        <w:ind w:left="-15" w:leftChars="-7" w:firstLine="578" w:firstLineChars="241"/>
        <w:rPr>
          <w:rStyle w:val="36"/>
          <w:rFonts w:hint="eastAsia" w:asciiTheme="minorEastAsia" w:hAnsiTheme="minorEastAsia" w:eastAsiaTheme="minorEastAsia" w:cstheme="minorEastAsia"/>
          <w:b w:val="0"/>
          <w:bCs w:val="0"/>
          <w:color w:val="auto"/>
          <w:sz w:val="24"/>
          <w:szCs w:val="24"/>
        </w:rPr>
      </w:pPr>
      <w:r>
        <w:rPr>
          <w:rStyle w:val="36"/>
          <w:rFonts w:hint="eastAsia" w:asciiTheme="minorEastAsia" w:hAnsiTheme="minorEastAsia" w:eastAsiaTheme="minorEastAsia" w:cstheme="minorEastAsia"/>
          <w:b w:val="0"/>
          <w:bCs w:val="0"/>
          <w:color w:val="auto"/>
          <w:sz w:val="24"/>
          <w:szCs w:val="24"/>
        </w:rPr>
        <w:t>地址：</w:t>
      </w:r>
      <w:r>
        <w:rPr>
          <w:rStyle w:val="36"/>
          <w:rFonts w:hint="eastAsia" w:asciiTheme="minorEastAsia" w:hAnsiTheme="minorEastAsia" w:eastAsiaTheme="minorEastAsia" w:cstheme="minorEastAsia"/>
          <w:b w:val="0"/>
          <w:bCs w:val="0"/>
          <w:color w:val="auto"/>
          <w:sz w:val="24"/>
          <w:szCs w:val="24"/>
          <w:lang w:val="en-US"/>
        </w:rPr>
        <w:t xml:space="preserve">                     </w:t>
      </w:r>
      <w:r>
        <w:rPr>
          <w:rStyle w:val="36"/>
          <w:rFonts w:hint="eastAsia" w:asciiTheme="minorEastAsia" w:hAnsiTheme="minorEastAsia" w:eastAsiaTheme="minorEastAsia" w:cstheme="minorEastAsia"/>
          <w:b w:val="0"/>
          <w:bCs w:val="0"/>
          <w:color w:val="auto"/>
          <w:sz w:val="24"/>
          <w:szCs w:val="24"/>
        </w:rPr>
        <w:t>邮编：</w:t>
      </w:r>
    </w:p>
    <w:p w14:paraId="605D42D4">
      <w:pPr>
        <w:spacing w:line="500" w:lineRule="exact"/>
        <w:ind w:left="-15" w:leftChars="-7" w:firstLine="578" w:firstLineChars="241"/>
        <w:rPr>
          <w:rStyle w:val="36"/>
          <w:rFonts w:hint="eastAsia" w:asciiTheme="minorEastAsia" w:hAnsiTheme="minorEastAsia" w:eastAsiaTheme="minorEastAsia" w:cstheme="minorEastAsia"/>
          <w:b w:val="0"/>
          <w:bCs w:val="0"/>
          <w:color w:val="auto"/>
          <w:sz w:val="24"/>
          <w:szCs w:val="24"/>
        </w:rPr>
      </w:pPr>
      <w:r>
        <w:rPr>
          <w:rStyle w:val="36"/>
          <w:rFonts w:hint="eastAsia" w:asciiTheme="minorEastAsia" w:hAnsiTheme="minorEastAsia" w:eastAsiaTheme="minorEastAsia" w:cstheme="minorEastAsia"/>
          <w:b w:val="0"/>
          <w:bCs w:val="0"/>
          <w:color w:val="auto"/>
          <w:sz w:val="24"/>
          <w:szCs w:val="24"/>
        </w:rPr>
        <w:t>电话：</w:t>
      </w:r>
      <w:r>
        <w:rPr>
          <w:rStyle w:val="36"/>
          <w:rFonts w:hint="eastAsia" w:asciiTheme="minorEastAsia" w:hAnsiTheme="minorEastAsia" w:eastAsiaTheme="minorEastAsia" w:cstheme="minorEastAsia"/>
          <w:b w:val="0"/>
          <w:bCs w:val="0"/>
          <w:color w:val="auto"/>
          <w:sz w:val="24"/>
          <w:szCs w:val="24"/>
          <w:lang w:val="en-US"/>
        </w:rPr>
        <w:t xml:space="preserve">                     </w:t>
      </w:r>
      <w:r>
        <w:rPr>
          <w:rStyle w:val="36"/>
          <w:rFonts w:hint="eastAsia" w:asciiTheme="minorEastAsia" w:hAnsiTheme="minorEastAsia" w:eastAsiaTheme="minorEastAsia" w:cstheme="minorEastAsia"/>
          <w:b w:val="0"/>
          <w:bCs w:val="0"/>
          <w:color w:val="auto"/>
          <w:sz w:val="24"/>
          <w:szCs w:val="24"/>
        </w:rPr>
        <w:t>传真：</w:t>
      </w:r>
    </w:p>
    <w:p w14:paraId="579B14A5">
      <w:pPr>
        <w:pStyle w:val="8"/>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xml:space="preserve">  </w:t>
      </w:r>
    </w:p>
    <w:p w14:paraId="67C15FA6">
      <w:pPr>
        <w:spacing w:line="500" w:lineRule="exact"/>
        <w:rPr>
          <w:rStyle w:val="36"/>
          <w:rFonts w:hint="eastAsia" w:asciiTheme="minorEastAsia" w:hAnsiTheme="minorEastAsia" w:eastAsiaTheme="minorEastAsia" w:cstheme="minorEastAsia"/>
          <w:b w:val="0"/>
          <w:bCs w:val="0"/>
          <w:color w:val="auto"/>
          <w:sz w:val="24"/>
          <w:szCs w:val="24"/>
        </w:rPr>
      </w:pPr>
    </w:p>
    <w:p w14:paraId="7409050E">
      <w:pPr>
        <w:spacing w:line="500" w:lineRule="exact"/>
        <w:rPr>
          <w:rStyle w:val="36"/>
          <w:rFonts w:hint="eastAsia" w:asciiTheme="minorEastAsia" w:hAnsiTheme="minorEastAsia" w:eastAsiaTheme="minorEastAsia" w:cstheme="minorEastAsia"/>
          <w:b w:val="0"/>
          <w:bCs w:val="0"/>
          <w:color w:val="auto"/>
          <w:sz w:val="24"/>
          <w:szCs w:val="24"/>
          <w:u w:val="single"/>
        </w:rPr>
      </w:pPr>
      <w:r>
        <w:rPr>
          <w:rStyle w:val="36"/>
          <w:rFonts w:hint="eastAsia" w:asciiTheme="minorEastAsia" w:hAnsiTheme="minorEastAsia" w:eastAsiaTheme="minorEastAsia" w:cstheme="minorEastAsia"/>
          <w:b w:val="0"/>
          <w:bCs w:val="0"/>
          <w:color w:val="auto"/>
          <w:sz w:val="24"/>
          <w:szCs w:val="24"/>
        </w:rPr>
        <w:t>法定代表人或授权委托人：</w:t>
      </w:r>
      <w:r>
        <w:rPr>
          <w:rStyle w:val="36"/>
          <w:rFonts w:hint="eastAsia" w:asciiTheme="minorEastAsia" w:hAnsiTheme="minorEastAsia" w:eastAsiaTheme="minorEastAsia" w:cstheme="minorEastAsia"/>
          <w:b w:val="0"/>
          <w:bCs w:val="0"/>
          <w:color w:val="auto"/>
          <w:sz w:val="24"/>
          <w:szCs w:val="24"/>
          <w:u w:val="single"/>
        </w:rPr>
        <w:t>（签字或盖章）</w:t>
      </w:r>
    </w:p>
    <w:p w14:paraId="53D4BE59">
      <w:pPr>
        <w:pStyle w:val="20"/>
        <w:tabs>
          <w:tab w:val="center" w:pos="540"/>
        </w:tabs>
        <w:rPr>
          <w:rFonts w:hint="eastAsia"/>
          <w:color w:val="auto"/>
        </w:rPr>
      </w:pPr>
    </w:p>
    <w:p w14:paraId="52845A3E">
      <w:pPr>
        <w:pStyle w:val="11"/>
        <w:spacing w:line="360" w:lineRule="auto"/>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sz w:val="24"/>
          <w:szCs w:val="24"/>
          <w:lang w:eastAsia="zh-CN"/>
        </w:rPr>
        <w:t>投标供应商</w:t>
      </w:r>
      <w:r>
        <w:rPr>
          <w:rFonts w:hint="eastAsia" w:asciiTheme="minorEastAsia" w:hAnsiTheme="minorEastAsia" w:eastAsiaTheme="minorEastAsia" w:cstheme="minorEastAsia"/>
          <w:b w:val="0"/>
          <w:bCs w:val="0"/>
          <w:color w:val="auto"/>
          <w:sz w:val="24"/>
          <w:szCs w:val="24"/>
        </w:rPr>
        <w:t>（盖章）：</w:t>
      </w:r>
      <w:r>
        <w:rPr>
          <w:rFonts w:hint="eastAsia" w:asciiTheme="minorEastAsia" w:hAnsiTheme="minorEastAsia" w:eastAsiaTheme="minorEastAsia" w:cstheme="minorEastAsia"/>
          <w:b w:val="0"/>
          <w:bCs w:val="0"/>
          <w:color w:val="auto"/>
          <w:kern w:val="0"/>
          <w:sz w:val="24"/>
          <w:szCs w:val="24"/>
        </w:rPr>
        <w:t xml:space="preserve">                  </w:t>
      </w:r>
    </w:p>
    <w:p w14:paraId="5C5A32C6">
      <w:pPr>
        <w:spacing w:line="800" w:lineRule="exact"/>
        <w:rPr>
          <w:rStyle w:val="36"/>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rPr>
        <w:t>日期：    年   月   日</w:t>
      </w:r>
    </w:p>
    <w:p w14:paraId="7170A00C">
      <w:pPr>
        <w:rPr>
          <w:rFonts w:hint="eastAsia" w:ascii="宋体" w:hAnsi="宋体" w:eastAsia="宋体" w:cs="宋体"/>
          <w:b/>
          <w:bCs/>
          <w:color w:val="auto"/>
          <w:kern w:val="0"/>
          <w:sz w:val="30"/>
          <w:szCs w:val="30"/>
          <w:highlight w:val="none"/>
        </w:rPr>
      </w:pPr>
    </w:p>
    <w:p w14:paraId="01944F7B">
      <w:pPr>
        <w:rPr>
          <w:rFonts w:hint="eastAsia" w:ascii="宋体" w:hAnsi="宋体" w:eastAsia="宋体" w:cs="宋体"/>
          <w:b/>
          <w:bCs/>
          <w:color w:val="auto"/>
          <w:kern w:val="0"/>
          <w:sz w:val="30"/>
          <w:szCs w:val="30"/>
          <w:highlight w:val="none"/>
        </w:rPr>
      </w:pPr>
    </w:p>
    <w:p w14:paraId="5A9C4A5F">
      <w:pPr>
        <w:rPr>
          <w:rFonts w:hint="eastAsia" w:ascii="宋体" w:hAnsi="宋体" w:eastAsia="宋体" w:cs="宋体"/>
          <w:b/>
          <w:bCs/>
          <w:color w:val="auto"/>
          <w:kern w:val="0"/>
          <w:sz w:val="30"/>
          <w:szCs w:val="30"/>
          <w:highlight w:val="none"/>
        </w:rPr>
      </w:pPr>
    </w:p>
    <w:p w14:paraId="012C4E65">
      <w:pPr>
        <w:rPr>
          <w:rFonts w:hint="eastAsia" w:ascii="宋体" w:hAnsi="宋体" w:eastAsia="宋体" w:cs="宋体"/>
          <w:b/>
          <w:bCs/>
          <w:color w:val="auto"/>
          <w:kern w:val="0"/>
          <w:sz w:val="30"/>
          <w:szCs w:val="30"/>
          <w:highlight w:val="none"/>
        </w:rPr>
      </w:pPr>
    </w:p>
    <w:p w14:paraId="3F051152">
      <w:pPr>
        <w:rPr>
          <w:rFonts w:hint="eastAsia" w:ascii="宋体" w:hAnsi="宋体" w:eastAsia="宋体" w:cs="宋体"/>
          <w:b/>
          <w:bCs/>
          <w:color w:val="auto"/>
          <w:kern w:val="0"/>
          <w:sz w:val="30"/>
          <w:szCs w:val="30"/>
          <w:highlight w:val="none"/>
        </w:rPr>
      </w:pPr>
    </w:p>
    <w:p w14:paraId="5446FE26">
      <w:pPr>
        <w:rPr>
          <w:rFonts w:hint="eastAsia" w:ascii="宋体" w:hAnsi="宋体" w:eastAsia="宋体" w:cs="宋体"/>
          <w:b/>
          <w:bCs/>
          <w:color w:val="auto"/>
          <w:kern w:val="0"/>
          <w:sz w:val="30"/>
          <w:szCs w:val="30"/>
          <w:highlight w:val="none"/>
        </w:rPr>
      </w:pPr>
    </w:p>
    <w:p w14:paraId="4E7793B6">
      <w:pPr>
        <w:pStyle w:val="17"/>
        <w:rPr>
          <w:rFonts w:hint="eastAsia"/>
          <w:color w:val="auto"/>
          <w:highlight w:val="none"/>
        </w:rPr>
      </w:pPr>
    </w:p>
    <w:p w14:paraId="043CF78A">
      <w:pPr>
        <w:spacing w:line="560" w:lineRule="exact"/>
        <w:jc w:val="center"/>
        <w:rPr>
          <w:rStyle w:val="36"/>
          <w:rFonts w:hint="eastAsia" w:asciiTheme="minorEastAsia" w:hAnsiTheme="minorEastAsia" w:eastAsiaTheme="minorEastAsia" w:cstheme="minorEastAsia"/>
          <w:b/>
          <w:bCs/>
          <w:color w:val="auto"/>
          <w:sz w:val="30"/>
          <w:szCs w:val="30"/>
        </w:rPr>
      </w:pPr>
      <w:r>
        <w:rPr>
          <w:rStyle w:val="36"/>
          <w:rFonts w:hint="eastAsia" w:asciiTheme="minorEastAsia" w:hAnsiTheme="minorEastAsia" w:eastAsiaTheme="minorEastAsia" w:cstheme="minorEastAsia"/>
          <w:b/>
          <w:bCs/>
          <w:color w:val="auto"/>
          <w:sz w:val="30"/>
          <w:szCs w:val="30"/>
        </w:rPr>
        <w:t>报价一览表</w:t>
      </w:r>
    </w:p>
    <w:p w14:paraId="1FE87790">
      <w:pPr>
        <w:spacing w:line="380" w:lineRule="exact"/>
        <w:jc w:val="center"/>
        <w:rPr>
          <w:rFonts w:hint="eastAsia" w:ascii="宋体" w:hAnsi="宋体" w:eastAsia="宋体" w:cs="宋体"/>
          <w:b/>
          <w:bCs/>
          <w:color w:val="auto"/>
          <w:sz w:val="24"/>
          <w:szCs w:val="24"/>
          <w:highlight w:val="none"/>
        </w:rPr>
      </w:pPr>
    </w:p>
    <w:p w14:paraId="50A02ABC">
      <w:pPr>
        <w:spacing w:line="360" w:lineRule="auto"/>
        <w:ind w:right="349" w:rightChars="166"/>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 xml:space="preserve">项目名称：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 xml:space="preserve">           </w:t>
      </w:r>
      <w:r>
        <w:rPr>
          <w:rFonts w:hint="eastAsia" w:ascii="宋体" w:hAnsi="宋体" w:cs="宋体"/>
          <w:b w:val="0"/>
          <w:bCs/>
          <w:color w:val="auto"/>
          <w:sz w:val="24"/>
          <w:szCs w:val="24"/>
          <w:highlight w:val="none"/>
          <w:lang w:val="en-US" w:eastAsia="zh-CN"/>
        </w:rPr>
        <w:t xml:space="preserve"> </w:t>
      </w:r>
    </w:p>
    <w:p w14:paraId="3667287D">
      <w:pPr>
        <w:spacing w:line="360" w:lineRule="auto"/>
        <w:ind w:right="349" w:rightChars="166"/>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项目</w:t>
      </w:r>
      <w:r>
        <w:rPr>
          <w:rFonts w:hint="eastAsia" w:ascii="宋体" w:hAnsi="宋体" w:eastAsia="宋体" w:cs="宋体"/>
          <w:b w:val="0"/>
          <w:bCs/>
          <w:color w:val="auto"/>
          <w:sz w:val="24"/>
          <w:szCs w:val="24"/>
          <w:highlight w:val="none"/>
        </w:rPr>
        <w:t>编号：</w:t>
      </w:r>
    </w:p>
    <w:tbl>
      <w:tblPr>
        <w:tblStyle w:val="23"/>
        <w:tblW w:w="96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39"/>
        <w:gridCol w:w="1610"/>
        <w:gridCol w:w="4849"/>
      </w:tblGrid>
      <w:tr w14:paraId="4EEC8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4849" w:type="dxa"/>
            <w:gridSpan w:val="2"/>
            <w:tcBorders>
              <w:bottom w:val="single" w:color="auto" w:sz="4" w:space="0"/>
              <w:right w:val="single" w:color="auto" w:sz="4" w:space="0"/>
            </w:tcBorders>
            <w:noWrap w:val="0"/>
            <w:vAlign w:val="center"/>
          </w:tcPr>
          <w:p w14:paraId="2C2F9D07">
            <w:pPr>
              <w:jc w:val="center"/>
              <w:rPr>
                <w:rFonts w:hint="eastAsia" w:ascii="宋体" w:hAnsi="宋体" w:eastAsia="宋体" w:cs="宋体"/>
                <w:b w:val="0"/>
                <w:bCs/>
                <w:color w:val="auto"/>
                <w:sz w:val="28"/>
                <w:szCs w:val="28"/>
                <w:highlight w:val="none"/>
                <w:lang w:eastAsia="zh-CN"/>
              </w:rPr>
            </w:pPr>
            <w:r>
              <w:rPr>
                <w:rFonts w:hint="eastAsia" w:ascii="宋体" w:hAnsi="宋体" w:eastAsia="宋体"/>
                <w:b w:val="0"/>
                <w:bCs/>
                <w:color w:val="auto"/>
                <w:kern w:val="2"/>
                <w:sz w:val="28"/>
                <w:szCs w:val="28"/>
                <w:highlight w:val="none"/>
              </w:rPr>
              <w:t>项目</w:t>
            </w:r>
            <w:r>
              <w:rPr>
                <w:rFonts w:hint="eastAsia" w:ascii="宋体" w:hAnsi="宋体"/>
                <w:b w:val="0"/>
                <w:bCs/>
                <w:color w:val="auto"/>
                <w:kern w:val="2"/>
                <w:sz w:val="28"/>
                <w:szCs w:val="28"/>
                <w:highlight w:val="none"/>
                <w:lang w:val="en-US" w:eastAsia="zh-CN"/>
              </w:rPr>
              <w:t>名称</w:t>
            </w:r>
          </w:p>
        </w:tc>
        <w:tc>
          <w:tcPr>
            <w:tcW w:w="4849" w:type="dxa"/>
            <w:tcBorders>
              <w:bottom w:val="single" w:color="auto" w:sz="4" w:space="0"/>
              <w:right w:val="single" w:color="auto" w:sz="4" w:space="0"/>
            </w:tcBorders>
            <w:noWrap w:val="0"/>
            <w:vAlign w:val="center"/>
          </w:tcPr>
          <w:p w14:paraId="77F9BF9A">
            <w:pPr>
              <w:jc w:val="center"/>
              <w:rPr>
                <w:rFonts w:hint="eastAsia" w:ascii="宋体" w:hAnsi="宋体" w:eastAsia="宋体" w:cs="宋体"/>
                <w:b w:val="0"/>
                <w:bCs/>
                <w:color w:val="auto"/>
                <w:sz w:val="28"/>
                <w:szCs w:val="28"/>
                <w:highlight w:val="none"/>
                <w:lang w:eastAsia="zh-CN"/>
              </w:rPr>
            </w:pPr>
            <w:r>
              <w:rPr>
                <w:rFonts w:hint="eastAsia" w:ascii="宋体" w:hAnsi="宋体"/>
                <w:b w:val="0"/>
                <w:bCs/>
                <w:color w:val="auto"/>
                <w:kern w:val="2"/>
                <w:sz w:val="28"/>
                <w:szCs w:val="28"/>
                <w:highlight w:val="none"/>
                <w:lang w:val="en-US" w:eastAsia="zh-CN"/>
              </w:rPr>
              <w:t>供货期</w:t>
            </w:r>
          </w:p>
        </w:tc>
      </w:tr>
      <w:tr w14:paraId="7B606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42" w:hRule="atLeast"/>
          <w:jc w:val="center"/>
        </w:trPr>
        <w:tc>
          <w:tcPr>
            <w:tcW w:w="4849" w:type="dxa"/>
            <w:gridSpan w:val="2"/>
            <w:tcBorders>
              <w:bottom w:val="single" w:color="auto" w:sz="4" w:space="0"/>
              <w:right w:val="single" w:color="auto" w:sz="4" w:space="0"/>
            </w:tcBorders>
            <w:noWrap w:val="0"/>
            <w:vAlign w:val="center"/>
          </w:tcPr>
          <w:p w14:paraId="6CB82A13">
            <w:pPr>
              <w:pStyle w:val="11"/>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衢州市柯城区贝蓓儿儿童康复指导中心提升改造工程设备采购</w:t>
            </w:r>
          </w:p>
        </w:tc>
        <w:tc>
          <w:tcPr>
            <w:tcW w:w="4849" w:type="dxa"/>
            <w:tcBorders>
              <w:bottom w:val="single" w:color="auto" w:sz="4" w:space="0"/>
              <w:right w:val="single" w:color="auto" w:sz="4" w:space="0"/>
            </w:tcBorders>
            <w:noWrap w:val="0"/>
            <w:vAlign w:val="center"/>
          </w:tcPr>
          <w:p w14:paraId="7D7D0F7A">
            <w:pPr>
              <w:pStyle w:val="11"/>
              <w:spacing w:line="360" w:lineRule="auto"/>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30日历天</w:t>
            </w:r>
          </w:p>
        </w:tc>
      </w:tr>
      <w:tr w14:paraId="15E6F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42" w:hRule="atLeast"/>
          <w:jc w:val="center"/>
        </w:trPr>
        <w:tc>
          <w:tcPr>
            <w:tcW w:w="3239" w:type="dxa"/>
            <w:tcBorders>
              <w:bottom w:val="single" w:color="auto" w:sz="4" w:space="0"/>
              <w:right w:val="single" w:color="auto" w:sz="4" w:space="0"/>
            </w:tcBorders>
            <w:noWrap w:val="0"/>
            <w:vAlign w:val="center"/>
          </w:tcPr>
          <w:p w14:paraId="67C94C61">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总价</w:t>
            </w:r>
          </w:p>
        </w:tc>
        <w:tc>
          <w:tcPr>
            <w:tcW w:w="6459" w:type="dxa"/>
            <w:gridSpan w:val="2"/>
            <w:tcBorders>
              <w:top w:val="single" w:color="auto" w:sz="4" w:space="0"/>
              <w:left w:val="single" w:color="auto" w:sz="4" w:space="0"/>
              <w:bottom w:val="single" w:color="auto" w:sz="4" w:space="0"/>
            </w:tcBorders>
            <w:noWrap w:val="0"/>
            <w:vAlign w:val="center"/>
          </w:tcPr>
          <w:p w14:paraId="4DEDFE8E">
            <w:pPr>
              <w:pStyle w:val="11"/>
              <w:spacing w:line="360" w:lineRule="auto"/>
              <w:rPr>
                <w:rFonts w:hint="eastAsia"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人民币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none"/>
                <w:lang w:val="en-US" w:eastAsia="zh-CN"/>
              </w:rPr>
              <w:t>元</w:t>
            </w:r>
          </w:p>
          <w:p w14:paraId="28318909">
            <w:pPr>
              <w:pStyle w:val="12"/>
              <w:rPr>
                <w:rFonts w:hint="eastAsia"/>
                <w:color w:val="auto"/>
                <w:highlight w:val="none"/>
                <w:lang w:val="en-US" w:eastAsia="zh-CN"/>
              </w:rPr>
            </w:pPr>
          </w:p>
          <w:p w14:paraId="7834570C">
            <w:pPr>
              <w:pStyle w:val="11"/>
              <w:spacing w:line="360" w:lineRule="auto"/>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小写：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元</w:t>
            </w:r>
          </w:p>
        </w:tc>
      </w:tr>
      <w:tr w14:paraId="3595B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37" w:hRule="atLeast"/>
          <w:jc w:val="center"/>
        </w:trPr>
        <w:tc>
          <w:tcPr>
            <w:tcW w:w="3239" w:type="dxa"/>
            <w:tcBorders>
              <w:top w:val="single" w:color="auto" w:sz="4" w:space="0"/>
              <w:right w:val="single" w:color="auto" w:sz="4" w:space="0"/>
            </w:tcBorders>
            <w:noWrap w:val="0"/>
            <w:vAlign w:val="center"/>
          </w:tcPr>
          <w:p w14:paraId="5767ADD7">
            <w:pPr>
              <w:pStyle w:val="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459" w:type="dxa"/>
            <w:gridSpan w:val="2"/>
            <w:tcBorders>
              <w:top w:val="single" w:color="auto" w:sz="4" w:space="0"/>
              <w:left w:val="single" w:color="auto" w:sz="4" w:space="0"/>
            </w:tcBorders>
            <w:noWrap w:val="0"/>
            <w:vAlign w:val="center"/>
          </w:tcPr>
          <w:p w14:paraId="6B57272F">
            <w:pPr>
              <w:pStyle w:val="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注：本项目投标</w:t>
            </w:r>
            <w:r>
              <w:rPr>
                <w:rFonts w:hint="eastAsia" w:ascii="宋体" w:hAnsi="宋体" w:eastAsia="宋体" w:cs="宋体"/>
                <w:color w:val="auto"/>
                <w:sz w:val="24"/>
                <w:szCs w:val="24"/>
                <w:highlight w:val="none"/>
                <w:lang w:eastAsia="zh-CN"/>
              </w:rPr>
              <w:t>单价</w:t>
            </w:r>
            <w:r>
              <w:rPr>
                <w:rFonts w:hint="eastAsia" w:ascii="宋体" w:hAnsi="宋体" w:eastAsia="宋体" w:cs="宋体"/>
                <w:color w:val="auto"/>
                <w:sz w:val="24"/>
                <w:szCs w:val="24"/>
                <w:highlight w:val="none"/>
              </w:rPr>
              <w:t>应为完成本项目所规定服务内容的全部工作所需的设备费、材料费，人工费、服务管理费及税费等的所有相关费用。</w:t>
            </w:r>
          </w:p>
        </w:tc>
      </w:tr>
    </w:tbl>
    <w:p w14:paraId="0119EF53">
      <w:pPr>
        <w:spacing w:line="360" w:lineRule="auto"/>
        <w:ind w:firstLine="720" w:firstLineChars="300"/>
        <w:rPr>
          <w:rFonts w:hint="eastAsia" w:ascii="宋体" w:hAnsi="宋体" w:eastAsia="宋体" w:cs="宋体"/>
          <w:color w:val="auto"/>
          <w:sz w:val="24"/>
          <w:szCs w:val="24"/>
          <w:highlight w:val="none"/>
        </w:rPr>
      </w:pPr>
    </w:p>
    <w:p w14:paraId="068637D0">
      <w:pPr>
        <w:pStyle w:val="21"/>
        <w:spacing w:line="360" w:lineRule="auto"/>
        <w:ind w:left="0" w:leftChars="0" w:firstLine="0" w:firstLineChars="0"/>
        <w:rPr>
          <w:rFonts w:hint="eastAsia" w:ascii="宋体" w:hAnsi="宋体" w:eastAsia="宋体" w:cs="宋体"/>
          <w:color w:val="auto"/>
          <w:sz w:val="24"/>
          <w:szCs w:val="24"/>
          <w:highlight w:val="none"/>
          <w:u w:val="none"/>
        </w:rPr>
      </w:pPr>
    </w:p>
    <w:p w14:paraId="6A962DB4">
      <w:pPr>
        <w:pStyle w:val="21"/>
        <w:spacing w:line="360" w:lineRule="auto"/>
        <w:ind w:left="0" w:leftChars="0" w:firstLine="0" w:firstLine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投标人名称（盖章）：                             </w:t>
      </w:r>
    </w:p>
    <w:p w14:paraId="47B53A9A">
      <w:pPr>
        <w:pStyle w:val="21"/>
        <w:spacing w:line="360" w:lineRule="auto"/>
        <w:ind w:left="0" w:leftChars="0" w:firstLine="0" w:firstLine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 xml:space="preserve">法定代表人或被授权代表（签字或盖章）：              </w:t>
      </w:r>
    </w:p>
    <w:p w14:paraId="6EEBEDD7">
      <w:pPr>
        <w:pStyle w:val="21"/>
        <w:spacing w:line="360" w:lineRule="auto"/>
        <w:ind w:left="0" w:leftChars="0" w:firstLine="0" w:firstLineChars="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76446A6C">
      <w:pPr>
        <w:pStyle w:val="21"/>
        <w:rPr>
          <w:rFonts w:hint="eastAsia" w:ascii="宋体" w:hAnsi="宋体" w:eastAsia="宋体" w:cs="宋体"/>
          <w:color w:val="auto"/>
          <w:sz w:val="24"/>
          <w:szCs w:val="24"/>
          <w:highlight w:val="none"/>
          <w:u w:val="none"/>
        </w:rPr>
      </w:pPr>
    </w:p>
    <w:p w14:paraId="2DD5388D">
      <w:pPr>
        <w:pStyle w:val="21"/>
        <w:rPr>
          <w:rFonts w:hint="eastAsia" w:ascii="宋体" w:hAnsi="宋体" w:eastAsia="宋体" w:cs="宋体"/>
          <w:color w:val="auto"/>
          <w:sz w:val="24"/>
          <w:szCs w:val="24"/>
          <w:highlight w:val="none"/>
          <w:u w:val="none"/>
        </w:rPr>
      </w:pPr>
    </w:p>
    <w:p w14:paraId="2D1FC4A1">
      <w:pPr>
        <w:pStyle w:val="21"/>
        <w:rPr>
          <w:rFonts w:hint="eastAsia" w:ascii="宋体" w:hAnsi="宋体" w:eastAsia="宋体" w:cs="宋体"/>
          <w:color w:val="auto"/>
          <w:sz w:val="24"/>
          <w:szCs w:val="24"/>
          <w:highlight w:val="none"/>
          <w:u w:val="none"/>
        </w:rPr>
      </w:pPr>
    </w:p>
    <w:p w14:paraId="7030B42A">
      <w:pPr>
        <w:pStyle w:val="21"/>
        <w:rPr>
          <w:rFonts w:hint="eastAsia" w:ascii="宋体" w:hAnsi="宋体" w:eastAsia="宋体" w:cs="宋体"/>
          <w:color w:val="auto"/>
          <w:sz w:val="24"/>
          <w:szCs w:val="24"/>
          <w:highlight w:val="none"/>
          <w:u w:val="none"/>
        </w:rPr>
      </w:pPr>
    </w:p>
    <w:p w14:paraId="53849FF7">
      <w:pPr>
        <w:pStyle w:val="21"/>
        <w:rPr>
          <w:rFonts w:hint="eastAsia" w:ascii="宋体" w:hAnsi="宋体" w:eastAsia="宋体" w:cs="宋体"/>
          <w:color w:val="auto"/>
          <w:sz w:val="24"/>
          <w:szCs w:val="24"/>
          <w:highlight w:val="none"/>
          <w:u w:val="none"/>
        </w:rPr>
      </w:pPr>
    </w:p>
    <w:p w14:paraId="76C36988">
      <w:pPr>
        <w:pStyle w:val="21"/>
        <w:rPr>
          <w:rFonts w:hint="eastAsia" w:ascii="宋体" w:hAnsi="宋体" w:eastAsia="宋体" w:cs="宋体"/>
          <w:color w:val="auto"/>
          <w:sz w:val="24"/>
          <w:szCs w:val="24"/>
          <w:highlight w:val="none"/>
          <w:u w:val="none"/>
        </w:rPr>
      </w:pPr>
    </w:p>
    <w:p w14:paraId="6854EBF5">
      <w:pPr>
        <w:pStyle w:val="21"/>
        <w:rPr>
          <w:rFonts w:hint="eastAsia" w:ascii="宋体" w:hAnsi="宋体" w:eastAsia="宋体" w:cs="宋体"/>
          <w:color w:val="auto"/>
          <w:sz w:val="24"/>
          <w:szCs w:val="24"/>
          <w:highlight w:val="none"/>
          <w:u w:val="none"/>
        </w:rPr>
      </w:pPr>
    </w:p>
    <w:p w14:paraId="5C48E1A9">
      <w:pPr>
        <w:pStyle w:val="21"/>
        <w:rPr>
          <w:rFonts w:hint="eastAsia" w:ascii="宋体" w:hAnsi="宋体" w:eastAsia="宋体" w:cs="宋体"/>
          <w:color w:val="auto"/>
          <w:sz w:val="24"/>
          <w:szCs w:val="24"/>
          <w:highlight w:val="none"/>
          <w:u w:val="none"/>
        </w:rPr>
      </w:pPr>
    </w:p>
    <w:p w14:paraId="67B7AB6F">
      <w:pPr>
        <w:pStyle w:val="21"/>
        <w:ind w:left="0" w:leftChars="0" w:firstLine="0" w:firstLineChars="0"/>
        <w:rPr>
          <w:rFonts w:hint="eastAsia" w:ascii="宋体" w:hAnsi="宋体" w:eastAsia="宋体" w:cs="宋体"/>
          <w:color w:val="auto"/>
          <w:sz w:val="24"/>
          <w:szCs w:val="24"/>
          <w:highlight w:val="none"/>
          <w:u w:val="none"/>
        </w:rPr>
      </w:pPr>
    </w:p>
    <w:p w14:paraId="0F161E98">
      <w:pPr>
        <w:pStyle w:val="43"/>
        <w:keepNext w:val="0"/>
        <w:keepLines w:val="0"/>
        <w:pageBreakBefore w:val="0"/>
        <w:kinsoku/>
        <w:topLinePunct w:val="0"/>
        <w:bidi w:val="0"/>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投标报价明细表</w:t>
      </w:r>
    </w:p>
    <w:p w14:paraId="7B63A619">
      <w:pPr>
        <w:keepNext w:val="0"/>
        <w:keepLines w:val="0"/>
        <w:pageBreakBefore w:val="0"/>
        <w:kinsoku/>
        <w:topLinePunct w:val="0"/>
        <w:bidi w:val="0"/>
        <w:spacing w:line="320" w:lineRule="exact"/>
        <w:rPr>
          <w:rFonts w:hint="eastAsia" w:ascii="微软雅黑" w:hAnsi="微软雅黑" w:cs="仿宋"/>
          <w:color w:val="auto"/>
          <w:highlight w:val="none"/>
        </w:rPr>
      </w:pPr>
    </w:p>
    <w:p w14:paraId="39BA808F">
      <w:pPr>
        <w:keepNext w:val="0"/>
        <w:keepLines w:val="0"/>
        <w:pageBreakBefore w:val="0"/>
        <w:kinsoku/>
        <w:topLinePunct w:val="0"/>
        <w:bidi w:val="0"/>
        <w:spacing w:line="32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u w:val="single"/>
        </w:rPr>
        <w:t xml:space="preserve">                </w:t>
      </w:r>
    </w:p>
    <w:p w14:paraId="01BFF613">
      <w:pPr>
        <w:keepNext w:val="0"/>
        <w:keepLines w:val="0"/>
        <w:pageBreakBefore w:val="0"/>
        <w:kinsoku/>
        <w:topLinePunct w:val="0"/>
        <w:bidi w:val="0"/>
        <w:spacing w:line="3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p>
    <w:tbl>
      <w:tblPr>
        <w:tblStyle w:val="23"/>
        <w:tblW w:w="9196"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15"/>
        <w:gridCol w:w="3523"/>
        <w:gridCol w:w="1125"/>
        <w:gridCol w:w="1000"/>
        <w:gridCol w:w="1719"/>
        <w:gridCol w:w="1114"/>
      </w:tblGrid>
      <w:tr w14:paraId="33AE710B">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99" w:hRule="atLeast"/>
          <w:jc w:val="center"/>
        </w:trPr>
        <w:tc>
          <w:tcPr>
            <w:tcW w:w="715" w:type="dxa"/>
            <w:tcBorders>
              <w:bottom w:val="single" w:color="000000" w:sz="6" w:space="0"/>
              <w:right w:val="single" w:color="000000" w:sz="6" w:space="0"/>
            </w:tcBorders>
            <w:noWrap w:val="0"/>
            <w:vAlign w:val="center"/>
          </w:tcPr>
          <w:p w14:paraId="65600383">
            <w:pPr>
              <w:ind w:left="-84" w:leftChars="-40" w:right="-105" w:rightChars="-50"/>
              <w:jc w:val="center"/>
              <w:rPr>
                <w:rFonts w:hint="eastAsia" w:ascii="宋体" w:hAnsi="宋体" w:cs="宋体"/>
                <w:b/>
                <w:bCs/>
                <w:caps/>
                <w:color w:val="auto"/>
                <w:spacing w:val="20"/>
                <w:sz w:val="22"/>
                <w:highlight w:val="none"/>
              </w:rPr>
            </w:pPr>
            <w:r>
              <w:rPr>
                <w:rFonts w:hint="eastAsia" w:ascii="宋体" w:hAnsi="宋体" w:cs="宋体"/>
                <w:b/>
                <w:bCs/>
                <w:caps/>
                <w:color w:val="auto"/>
                <w:spacing w:val="20"/>
                <w:sz w:val="22"/>
                <w:highlight w:val="none"/>
              </w:rPr>
              <w:t>序号</w:t>
            </w:r>
          </w:p>
        </w:tc>
        <w:tc>
          <w:tcPr>
            <w:tcW w:w="3523" w:type="dxa"/>
            <w:tcBorders>
              <w:left w:val="single" w:color="000000" w:sz="6" w:space="0"/>
              <w:bottom w:val="single" w:color="000000" w:sz="6" w:space="0"/>
              <w:right w:val="single" w:color="000000" w:sz="6" w:space="0"/>
            </w:tcBorders>
            <w:noWrap w:val="0"/>
            <w:vAlign w:val="center"/>
          </w:tcPr>
          <w:p w14:paraId="3CB58172">
            <w:pPr>
              <w:tabs>
                <w:tab w:val="left" w:pos="420"/>
                <w:tab w:val="center" w:pos="4153"/>
                <w:tab w:val="right" w:pos="8306"/>
              </w:tabs>
              <w:adjustRightInd w:val="0"/>
              <w:jc w:val="center"/>
              <w:rPr>
                <w:rFonts w:hint="eastAsia" w:ascii="宋体" w:hAnsi="宋体" w:cs="宋体"/>
                <w:b/>
                <w:bCs/>
                <w:caps/>
                <w:color w:val="auto"/>
                <w:spacing w:val="20"/>
                <w:kern w:val="0"/>
                <w:sz w:val="22"/>
                <w:highlight w:val="none"/>
              </w:rPr>
            </w:pPr>
            <w:r>
              <w:rPr>
                <w:rFonts w:hint="eastAsia" w:ascii="宋体" w:hAnsi="宋体" w:cs="宋体"/>
                <w:b/>
                <w:bCs/>
                <w:caps/>
                <w:color w:val="auto"/>
                <w:spacing w:val="20"/>
                <w:kern w:val="0"/>
                <w:sz w:val="22"/>
                <w:highlight w:val="none"/>
              </w:rPr>
              <w:t>名称</w:t>
            </w:r>
          </w:p>
        </w:tc>
        <w:tc>
          <w:tcPr>
            <w:tcW w:w="1125" w:type="dxa"/>
            <w:tcBorders>
              <w:left w:val="single" w:color="000000" w:sz="6" w:space="0"/>
              <w:bottom w:val="single" w:color="000000" w:sz="6" w:space="0"/>
              <w:right w:val="single" w:color="auto" w:sz="4" w:space="0"/>
            </w:tcBorders>
            <w:noWrap w:val="0"/>
            <w:vAlign w:val="center"/>
          </w:tcPr>
          <w:p w14:paraId="66FB3106">
            <w:pPr>
              <w:jc w:val="center"/>
              <w:rPr>
                <w:rFonts w:ascii="宋体" w:hAnsi="宋体" w:cs="宋体"/>
                <w:b/>
                <w:bCs/>
                <w:caps/>
                <w:color w:val="auto"/>
                <w:spacing w:val="20"/>
                <w:sz w:val="22"/>
                <w:highlight w:val="none"/>
              </w:rPr>
            </w:pPr>
            <w:r>
              <w:rPr>
                <w:rFonts w:hint="eastAsia" w:ascii="宋体" w:hAnsi="宋体" w:cs="宋体"/>
                <w:b/>
                <w:bCs/>
                <w:caps/>
                <w:color w:val="auto"/>
                <w:spacing w:val="20"/>
                <w:sz w:val="22"/>
                <w:highlight w:val="none"/>
              </w:rPr>
              <w:t>数量</w:t>
            </w:r>
          </w:p>
        </w:tc>
        <w:tc>
          <w:tcPr>
            <w:tcW w:w="1000" w:type="dxa"/>
            <w:tcBorders>
              <w:left w:val="single" w:color="auto" w:sz="4" w:space="0"/>
              <w:bottom w:val="single" w:color="000000" w:sz="6" w:space="0"/>
              <w:right w:val="single" w:color="auto" w:sz="4" w:space="0"/>
            </w:tcBorders>
            <w:noWrap w:val="0"/>
            <w:vAlign w:val="center"/>
          </w:tcPr>
          <w:p w14:paraId="5E22ED80">
            <w:pPr>
              <w:jc w:val="center"/>
              <w:rPr>
                <w:rFonts w:hint="eastAsia" w:ascii="宋体" w:hAnsi="宋体" w:cs="宋体"/>
                <w:b/>
                <w:bCs/>
                <w:caps/>
                <w:color w:val="auto"/>
                <w:spacing w:val="20"/>
                <w:sz w:val="22"/>
                <w:highlight w:val="none"/>
              </w:rPr>
            </w:pPr>
            <w:r>
              <w:rPr>
                <w:rFonts w:hint="eastAsia" w:ascii="宋体" w:hAnsi="宋体" w:cs="宋体"/>
                <w:b/>
                <w:bCs/>
                <w:caps/>
                <w:color w:val="auto"/>
                <w:spacing w:val="20"/>
                <w:sz w:val="22"/>
                <w:highlight w:val="none"/>
              </w:rPr>
              <w:t>单位</w:t>
            </w:r>
          </w:p>
        </w:tc>
        <w:tc>
          <w:tcPr>
            <w:tcW w:w="1719" w:type="dxa"/>
            <w:tcBorders>
              <w:left w:val="single" w:color="auto" w:sz="4" w:space="0"/>
              <w:bottom w:val="single" w:color="000000" w:sz="6" w:space="0"/>
            </w:tcBorders>
            <w:noWrap w:val="0"/>
            <w:vAlign w:val="center"/>
          </w:tcPr>
          <w:p w14:paraId="102125D3">
            <w:pPr>
              <w:jc w:val="center"/>
              <w:rPr>
                <w:rFonts w:hint="eastAsia" w:ascii="宋体" w:hAnsi="宋体" w:cs="宋体"/>
                <w:b/>
                <w:bCs/>
                <w:caps/>
                <w:color w:val="auto"/>
                <w:spacing w:val="20"/>
                <w:sz w:val="22"/>
                <w:highlight w:val="none"/>
              </w:rPr>
            </w:pPr>
            <w:r>
              <w:rPr>
                <w:rFonts w:hint="eastAsia" w:ascii="宋体" w:hAnsi="宋体" w:cs="宋体"/>
                <w:b/>
                <w:bCs/>
                <w:caps/>
                <w:color w:val="auto"/>
                <w:spacing w:val="20"/>
                <w:sz w:val="22"/>
                <w:highlight w:val="none"/>
                <w:lang w:val="en-US" w:eastAsia="zh-CN"/>
              </w:rPr>
              <w:t>报价</w:t>
            </w:r>
            <w:r>
              <w:rPr>
                <w:rFonts w:hint="eastAsia" w:ascii="宋体" w:hAnsi="宋体" w:cs="宋体"/>
                <w:b/>
                <w:bCs/>
                <w:caps/>
                <w:color w:val="auto"/>
                <w:spacing w:val="20"/>
                <w:sz w:val="22"/>
                <w:highlight w:val="none"/>
              </w:rPr>
              <w:t>（元）</w:t>
            </w:r>
          </w:p>
        </w:tc>
        <w:tc>
          <w:tcPr>
            <w:tcW w:w="1114" w:type="dxa"/>
            <w:tcBorders>
              <w:left w:val="single" w:color="auto" w:sz="4" w:space="0"/>
              <w:bottom w:val="single" w:color="000000" w:sz="6" w:space="0"/>
            </w:tcBorders>
            <w:noWrap w:val="0"/>
            <w:vAlign w:val="center"/>
          </w:tcPr>
          <w:p w14:paraId="470A65D5">
            <w:pPr>
              <w:jc w:val="center"/>
              <w:rPr>
                <w:rFonts w:hint="eastAsia" w:ascii="宋体" w:hAnsi="宋体" w:cs="宋体"/>
                <w:b/>
                <w:bCs/>
                <w:caps/>
                <w:color w:val="auto"/>
                <w:spacing w:val="20"/>
                <w:sz w:val="22"/>
                <w:highlight w:val="none"/>
              </w:rPr>
            </w:pPr>
            <w:r>
              <w:rPr>
                <w:rFonts w:hint="eastAsia" w:ascii="宋体" w:hAnsi="宋体" w:cs="宋体"/>
                <w:b/>
                <w:bCs/>
                <w:caps/>
                <w:color w:val="auto"/>
                <w:spacing w:val="20"/>
                <w:sz w:val="22"/>
                <w:highlight w:val="none"/>
              </w:rPr>
              <w:t>备注</w:t>
            </w:r>
          </w:p>
        </w:tc>
      </w:tr>
      <w:tr w14:paraId="0DADAC17">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715" w:type="dxa"/>
            <w:tcBorders>
              <w:bottom w:val="single" w:color="000000" w:sz="6" w:space="0"/>
              <w:right w:val="single" w:color="000000" w:sz="6" w:space="0"/>
            </w:tcBorders>
            <w:noWrap w:val="0"/>
            <w:vAlign w:val="center"/>
          </w:tcPr>
          <w:p w14:paraId="7E988E96">
            <w:pPr>
              <w:pStyle w:val="53"/>
              <w:spacing w:line="360" w:lineRule="auto"/>
              <w:jc w:val="center"/>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rPr>
              <w:t>1</w:t>
            </w:r>
          </w:p>
        </w:tc>
        <w:tc>
          <w:tcPr>
            <w:tcW w:w="3523" w:type="dxa"/>
            <w:tcBorders>
              <w:left w:val="single" w:color="000000" w:sz="6" w:space="0"/>
              <w:bottom w:val="single" w:color="000000" w:sz="6" w:space="0"/>
              <w:right w:val="single" w:color="000000" w:sz="6" w:space="0"/>
            </w:tcBorders>
            <w:noWrap w:val="0"/>
            <w:vAlign w:val="center"/>
          </w:tcPr>
          <w:p w14:paraId="218C852D">
            <w:pPr>
              <w:pStyle w:val="53"/>
              <w:spacing w:line="360" w:lineRule="auto"/>
              <w:ind w:firstLine="280" w:firstLineChars="100"/>
              <w:jc w:val="center"/>
              <w:rPr>
                <w:rFonts w:hint="eastAsia" w:asciiTheme="minorEastAsia" w:hAnsiTheme="minorEastAsia" w:eastAsiaTheme="minorEastAsia" w:cstheme="minorEastAsia"/>
                <w:iCs/>
                <w:color w:val="auto"/>
                <w:spacing w:val="20"/>
                <w:sz w:val="24"/>
                <w:szCs w:val="24"/>
                <w:highlight w:val="none"/>
              </w:rPr>
            </w:pPr>
            <w:r>
              <w:rPr>
                <w:rFonts w:hint="eastAsia" w:asciiTheme="minorEastAsia" w:hAnsiTheme="minorEastAsia" w:eastAsiaTheme="minorEastAsia" w:cstheme="minorEastAsia"/>
                <w:iCs/>
                <w:color w:val="auto"/>
                <w:spacing w:val="20"/>
                <w:sz w:val="24"/>
                <w:szCs w:val="24"/>
                <w:highlight w:val="none"/>
                <w:lang w:val="en-US" w:eastAsia="zh-CN"/>
              </w:rPr>
              <w:t>发育评估箱</w:t>
            </w:r>
          </w:p>
        </w:tc>
        <w:tc>
          <w:tcPr>
            <w:tcW w:w="1125" w:type="dxa"/>
            <w:tcBorders>
              <w:left w:val="single" w:color="000000" w:sz="6" w:space="0"/>
              <w:bottom w:val="single" w:color="000000" w:sz="6" w:space="0"/>
              <w:right w:val="single" w:color="auto" w:sz="4" w:space="0"/>
            </w:tcBorders>
            <w:noWrap w:val="0"/>
            <w:vAlign w:val="center"/>
          </w:tcPr>
          <w:p w14:paraId="570745FC">
            <w:pPr>
              <w:pStyle w:val="53"/>
              <w:spacing w:line="360" w:lineRule="auto"/>
              <w:ind w:firstLine="280" w:firstLineChars="100"/>
              <w:jc w:val="both"/>
              <w:rPr>
                <w:rFonts w:hint="default" w:ascii="仿宋" w:hAnsi="仿宋" w:eastAsia="仿宋" w:cs="仿宋"/>
                <w:iCs/>
                <w:color w:val="auto"/>
                <w:spacing w:val="20"/>
                <w:sz w:val="24"/>
                <w:highlight w:val="none"/>
                <w:lang w:val="en-US" w:eastAsia="zh-CN"/>
              </w:rPr>
            </w:pPr>
            <w:r>
              <w:rPr>
                <w:rFonts w:hint="eastAsia" w:ascii="仿宋" w:hAnsi="仿宋" w:eastAsia="仿宋" w:cs="仿宋"/>
                <w:iCs/>
                <w:color w:val="auto"/>
                <w:spacing w:val="20"/>
                <w:sz w:val="24"/>
                <w:highlight w:val="none"/>
                <w:lang w:val="en-US" w:eastAsia="zh-CN"/>
              </w:rPr>
              <w:t>1</w:t>
            </w:r>
          </w:p>
        </w:tc>
        <w:tc>
          <w:tcPr>
            <w:tcW w:w="1000" w:type="dxa"/>
            <w:tcBorders>
              <w:left w:val="single" w:color="auto" w:sz="4" w:space="0"/>
              <w:bottom w:val="single" w:color="000000" w:sz="6" w:space="0"/>
              <w:right w:val="single" w:color="auto" w:sz="4" w:space="0"/>
            </w:tcBorders>
            <w:noWrap w:val="0"/>
            <w:vAlign w:val="center"/>
          </w:tcPr>
          <w:p w14:paraId="2F03D35C">
            <w:pPr>
              <w:pStyle w:val="53"/>
              <w:spacing w:line="360" w:lineRule="auto"/>
              <w:ind w:firstLine="280" w:firstLineChars="100"/>
              <w:jc w:val="both"/>
              <w:rPr>
                <w:rFonts w:hint="eastAsia" w:ascii="仿宋" w:hAnsi="仿宋" w:eastAsia="仿宋" w:cs="仿宋"/>
                <w:iCs/>
                <w:color w:val="auto"/>
                <w:spacing w:val="20"/>
                <w:kern w:val="2"/>
                <w:sz w:val="24"/>
                <w:szCs w:val="22"/>
                <w:highlight w:val="none"/>
                <w:lang w:val="en-US" w:eastAsia="zh-CN" w:bidi="ar-SA"/>
              </w:rPr>
            </w:pPr>
            <w:r>
              <w:rPr>
                <w:rFonts w:hint="eastAsia" w:ascii="仿宋" w:hAnsi="仿宋" w:eastAsia="仿宋" w:cs="仿宋"/>
                <w:iCs/>
                <w:color w:val="auto"/>
                <w:spacing w:val="20"/>
                <w:sz w:val="24"/>
                <w:highlight w:val="none"/>
                <w:lang w:val="en-US" w:eastAsia="zh-CN"/>
              </w:rPr>
              <w:t>套</w:t>
            </w:r>
          </w:p>
        </w:tc>
        <w:tc>
          <w:tcPr>
            <w:tcW w:w="1719" w:type="dxa"/>
            <w:tcBorders>
              <w:left w:val="single" w:color="auto" w:sz="4" w:space="0"/>
              <w:bottom w:val="single" w:color="000000" w:sz="6" w:space="0"/>
            </w:tcBorders>
            <w:noWrap w:val="0"/>
            <w:vAlign w:val="center"/>
          </w:tcPr>
          <w:p w14:paraId="3FDB26AE">
            <w:pPr>
              <w:pStyle w:val="53"/>
              <w:spacing w:line="360" w:lineRule="auto"/>
              <w:ind w:firstLine="280" w:firstLineChars="100"/>
              <w:jc w:val="both"/>
              <w:rPr>
                <w:rFonts w:hint="eastAsia" w:ascii="仿宋" w:hAnsi="仿宋" w:eastAsia="仿宋" w:cs="仿宋"/>
                <w:iCs/>
                <w:color w:val="auto"/>
                <w:spacing w:val="20"/>
                <w:sz w:val="24"/>
                <w:highlight w:val="none"/>
              </w:rPr>
            </w:pPr>
          </w:p>
        </w:tc>
        <w:tc>
          <w:tcPr>
            <w:tcW w:w="1114" w:type="dxa"/>
            <w:tcBorders>
              <w:left w:val="single" w:color="auto" w:sz="4" w:space="0"/>
              <w:bottom w:val="single" w:color="000000" w:sz="6" w:space="0"/>
            </w:tcBorders>
            <w:noWrap w:val="0"/>
            <w:vAlign w:val="center"/>
          </w:tcPr>
          <w:p w14:paraId="58600C49">
            <w:pPr>
              <w:pStyle w:val="53"/>
              <w:spacing w:line="360" w:lineRule="auto"/>
              <w:ind w:firstLine="280" w:firstLineChars="100"/>
              <w:jc w:val="center"/>
              <w:rPr>
                <w:rFonts w:hint="eastAsia" w:ascii="仿宋" w:hAnsi="仿宋" w:eastAsia="仿宋" w:cs="仿宋"/>
                <w:iCs/>
                <w:color w:val="auto"/>
                <w:spacing w:val="20"/>
                <w:sz w:val="24"/>
                <w:highlight w:val="none"/>
              </w:rPr>
            </w:pPr>
          </w:p>
        </w:tc>
      </w:tr>
      <w:tr w14:paraId="37F4B357">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715" w:type="dxa"/>
            <w:tcBorders>
              <w:bottom w:val="single" w:color="000000" w:sz="6" w:space="0"/>
              <w:right w:val="single" w:color="000000" w:sz="6" w:space="0"/>
            </w:tcBorders>
            <w:noWrap w:val="0"/>
            <w:vAlign w:val="center"/>
          </w:tcPr>
          <w:p w14:paraId="1A2D5840">
            <w:pPr>
              <w:pStyle w:val="53"/>
              <w:spacing w:line="360" w:lineRule="auto"/>
              <w:jc w:val="center"/>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rPr>
              <w:t>2</w:t>
            </w:r>
          </w:p>
        </w:tc>
        <w:tc>
          <w:tcPr>
            <w:tcW w:w="3523" w:type="dxa"/>
            <w:tcBorders>
              <w:left w:val="single" w:color="000000" w:sz="6" w:space="0"/>
              <w:bottom w:val="single" w:color="000000" w:sz="6" w:space="0"/>
              <w:right w:val="single" w:color="000000" w:sz="6" w:space="0"/>
            </w:tcBorders>
            <w:noWrap w:val="0"/>
            <w:vAlign w:val="center"/>
          </w:tcPr>
          <w:p w14:paraId="0A1465C4">
            <w:pPr>
              <w:pStyle w:val="53"/>
              <w:spacing w:line="360" w:lineRule="auto"/>
              <w:ind w:firstLine="240" w:firstLineChars="100"/>
              <w:jc w:val="center"/>
              <w:rPr>
                <w:rFonts w:hint="eastAsia" w:asciiTheme="minorEastAsia" w:hAnsiTheme="minorEastAsia" w:eastAsiaTheme="minorEastAsia" w:cstheme="minorEastAsia"/>
                <w:iCs/>
                <w:color w:val="auto"/>
                <w:spacing w:val="20"/>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PEP-3工具箱</w:t>
            </w:r>
          </w:p>
        </w:tc>
        <w:tc>
          <w:tcPr>
            <w:tcW w:w="1125" w:type="dxa"/>
            <w:tcBorders>
              <w:left w:val="single" w:color="000000" w:sz="6" w:space="0"/>
              <w:bottom w:val="single" w:color="000000" w:sz="6" w:space="0"/>
              <w:right w:val="single" w:color="auto" w:sz="4" w:space="0"/>
            </w:tcBorders>
            <w:noWrap w:val="0"/>
            <w:vAlign w:val="center"/>
          </w:tcPr>
          <w:p w14:paraId="0ED2B856">
            <w:pPr>
              <w:pStyle w:val="53"/>
              <w:spacing w:line="360" w:lineRule="auto"/>
              <w:ind w:firstLine="280" w:firstLineChars="100"/>
              <w:jc w:val="both"/>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lang w:val="en-US" w:eastAsia="zh-CN"/>
              </w:rPr>
              <w:t>1</w:t>
            </w:r>
          </w:p>
        </w:tc>
        <w:tc>
          <w:tcPr>
            <w:tcW w:w="1000" w:type="dxa"/>
            <w:tcBorders>
              <w:left w:val="single" w:color="auto" w:sz="4" w:space="0"/>
              <w:bottom w:val="single" w:color="000000" w:sz="6" w:space="0"/>
              <w:right w:val="single" w:color="auto" w:sz="4" w:space="0"/>
            </w:tcBorders>
            <w:noWrap w:val="0"/>
            <w:vAlign w:val="center"/>
          </w:tcPr>
          <w:p w14:paraId="4EEF0A7C">
            <w:pPr>
              <w:spacing w:line="360" w:lineRule="auto"/>
              <w:ind w:firstLine="280" w:firstLineChars="100"/>
              <w:jc w:val="both"/>
              <w:rPr>
                <w:rFonts w:hint="eastAsia" w:ascii="仿宋" w:hAnsi="仿宋" w:eastAsia="仿宋" w:cs="仿宋"/>
                <w:iCs/>
                <w:color w:val="auto"/>
                <w:spacing w:val="20"/>
                <w:kern w:val="2"/>
                <w:sz w:val="24"/>
                <w:szCs w:val="24"/>
                <w:highlight w:val="none"/>
                <w:lang w:val="en-US" w:eastAsia="zh-CN" w:bidi="ar-SA"/>
              </w:rPr>
            </w:pPr>
            <w:r>
              <w:rPr>
                <w:rFonts w:hint="eastAsia" w:ascii="仿宋" w:hAnsi="仿宋" w:eastAsia="仿宋" w:cs="仿宋"/>
                <w:iCs/>
                <w:color w:val="auto"/>
                <w:spacing w:val="20"/>
                <w:sz w:val="24"/>
                <w:highlight w:val="none"/>
                <w:lang w:val="en-US" w:eastAsia="zh-CN"/>
              </w:rPr>
              <w:t>套</w:t>
            </w:r>
          </w:p>
        </w:tc>
        <w:tc>
          <w:tcPr>
            <w:tcW w:w="1719" w:type="dxa"/>
            <w:tcBorders>
              <w:left w:val="single" w:color="auto" w:sz="4" w:space="0"/>
              <w:bottom w:val="single" w:color="000000" w:sz="6" w:space="0"/>
            </w:tcBorders>
            <w:noWrap w:val="0"/>
            <w:vAlign w:val="center"/>
          </w:tcPr>
          <w:p w14:paraId="24918784">
            <w:pPr>
              <w:spacing w:line="360" w:lineRule="auto"/>
              <w:ind w:firstLine="280" w:firstLineChars="100"/>
              <w:jc w:val="both"/>
              <w:rPr>
                <w:rFonts w:hint="eastAsia" w:ascii="仿宋" w:hAnsi="仿宋" w:eastAsia="仿宋" w:cs="仿宋"/>
                <w:iCs/>
                <w:color w:val="auto"/>
                <w:spacing w:val="20"/>
                <w:sz w:val="24"/>
                <w:highlight w:val="none"/>
              </w:rPr>
            </w:pPr>
          </w:p>
        </w:tc>
        <w:tc>
          <w:tcPr>
            <w:tcW w:w="1114" w:type="dxa"/>
            <w:tcBorders>
              <w:left w:val="single" w:color="auto" w:sz="4" w:space="0"/>
              <w:bottom w:val="single" w:color="000000" w:sz="6" w:space="0"/>
            </w:tcBorders>
            <w:noWrap w:val="0"/>
            <w:vAlign w:val="center"/>
          </w:tcPr>
          <w:p w14:paraId="4214048B">
            <w:pPr>
              <w:pStyle w:val="53"/>
              <w:spacing w:line="360" w:lineRule="auto"/>
              <w:ind w:firstLine="280" w:firstLineChars="100"/>
              <w:jc w:val="center"/>
              <w:rPr>
                <w:rFonts w:hint="eastAsia" w:ascii="仿宋" w:hAnsi="仿宋" w:eastAsia="仿宋" w:cs="仿宋"/>
                <w:iCs/>
                <w:color w:val="auto"/>
                <w:spacing w:val="20"/>
                <w:sz w:val="24"/>
                <w:highlight w:val="none"/>
              </w:rPr>
            </w:pPr>
          </w:p>
        </w:tc>
      </w:tr>
      <w:tr w14:paraId="318B135E">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715" w:type="dxa"/>
            <w:tcBorders>
              <w:bottom w:val="single" w:color="000000" w:sz="6" w:space="0"/>
              <w:right w:val="single" w:color="000000" w:sz="6" w:space="0"/>
            </w:tcBorders>
            <w:noWrap w:val="0"/>
            <w:vAlign w:val="center"/>
          </w:tcPr>
          <w:p w14:paraId="2010D465">
            <w:pPr>
              <w:pStyle w:val="53"/>
              <w:spacing w:line="360" w:lineRule="auto"/>
              <w:jc w:val="center"/>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rPr>
              <w:t>3</w:t>
            </w:r>
          </w:p>
        </w:tc>
        <w:tc>
          <w:tcPr>
            <w:tcW w:w="3523" w:type="dxa"/>
            <w:tcBorders>
              <w:left w:val="single" w:color="000000" w:sz="6" w:space="0"/>
              <w:bottom w:val="single" w:color="000000" w:sz="6" w:space="0"/>
              <w:right w:val="single" w:color="000000" w:sz="6" w:space="0"/>
            </w:tcBorders>
            <w:noWrap w:val="0"/>
            <w:vAlign w:val="center"/>
          </w:tcPr>
          <w:p w14:paraId="272632C3">
            <w:pPr>
              <w:pStyle w:val="53"/>
              <w:spacing w:line="360" w:lineRule="auto"/>
              <w:ind w:firstLine="240" w:firstLineChars="100"/>
              <w:jc w:val="center"/>
              <w:rPr>
                <w:rFonts w:hint="eastAsia" w:asciiTheme="minorEastAsia" w:hAnsiTheme="minorEastAsia" w:eastAsiaTheme="minorEastAsia" w:cstheme="minorEastAsia"/>
                <w:iCs/>
                <w:color w:val="auto"/>
                <w:spacing w:val="20"/>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脊柱测量尺</w:t>
            </w:r>
          </w:p>
        </w:tc>
        <w:tc>
          <w:tcPr>
            <w:tcW w:w="1125" w:type="dxa"/>
            <w:tcBorders>
              <w:left w:val="single" w:color="000000" w:sz="6" w:space="0"/>
              <w:bottom w:val="single" w:color="000000" w:sz="6" w:space="0"/>
              <w:right w:val="single" w:color="auto" w:sz="4" w:space="0"/>
            </w:tcBorders>
            <w:noWrap w:val="0"/>
            <w:vAlign w:val="center"/>
          </w:tcPr>
          <w:p w14:paraId="0A000F70">
            <w:pPr>
              <w:pStyle w:val="53"/>
              <w:spacing w:line="360" w:lineRule="auto"/>
              <w:ind w:firstLine="280" w:firstLineChars="100"/>
              <w:jc w:val="both"/>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lang w:val="en-US" w:eastAsia="zh-CN"/>
              </w:rPr>
              <w:t>1</w:t>
            </w:r>
          </w:p>
        </w:tc>
        <w:tc>
          <w:tcPr>
            <w:tcW w:w="1000" w:type="dxa"/>
            <w:tcBorders>
              <w:left w:val="single" w:color="auto" w:sz="4" w:space="0"/>
              <w:bottom w:val="single" w:color="000000" w:sz="6" w:space="0"/>
              <w:right w:val="single" w:color="auto" w:sz="4" w:space="0"/>
            </w:tcBorders>
            <w:noWrap w:val="0"/>
            <w:vAlign w:val="center"/>
          </w:tcPr>
          <w:p w14:paraId="21E10ED4">
            <w:pPr>
              <w:spacing w:line="360" w:lineRule="auto"/>
              <w:ind w:firstLine="280" w:firstLineChars="100"/>
              <w:jc w:val="both"/>
              <w:rPr>
                <w:rFonts w:hint="eastAsia" w:ascii="仿宋" w:hAnsi="仿宋" w:eastAsia="仿宋" w:cs="仿宋"/>
                <w:iCs/>
                <w:color w:val="auto"/>
                <w:spacing w:val="20"/>
                <w:kern w:val="2"/>
                <w:sz w:val="24"/>
                <w:szCs w:val="24"/>
                <w:highlight w:val="none"/>
                <w:lang w:val="en-US" w:eastAsia="zh-CN" w:bidi="ar-SA"/>
              </w:rPr>
            </w:pPr>
            <w:r>
              <w:rPr>
                <w:rFonts w:hint="eastAsia" w:ascii="仿宋" w:hAnsi="仿宋" w:eastAsia="仿宋" w:cs="仿宋"/>
                <w:iCs/>
                <w:color w:val="auto"/>
                <w:spacing w:val="20"/>
                <w:sz w:val="24"/>
                <w:highlight w:val="none"/>
                <w:lang w:val="en-US" w:eastAsia="zh-CN"/>
              </w:rPr>
              <w:t>套</w:t>
            </w:r>
          </w:p>
        </w:tc>
        <w:tc>
          <w:tcPr>
            <w:tcW w:w="1719" w:type="dxa"/>
            <w:tcBorders>
              <w:left w:val="single" w:color="auto" w:sz="4" w:space="0"/>
              <w:bottom w:val="single" w:color="000000" w:sz="6" w:space="0"/>
            </w:tcBorders>
            <w:noWrap w:val="0"/>
            <w:vAlign w:val="center"/>
          </w:tcPr>
          <w:p w14:paraId="7036235C">
            <w:pPr>
              <w:spacing w:line="360" w:lineRule="auto"/>
              <w:ind w:firstLine="280" w:firstLineChars="100"/>
              <w:jc w:val="both"/>
              <w:rPr>
                <w:rFonts w:hint="eastAsia" w:ascii="仿宋" w:hAnsi="仿宋" w:eastAsia="仿宋" w:cs="仿宋"/>
                <w:iCs/>
                <w:color w:val="auto"/>
                <w:spacing w:val="20"/>
                <w:sz w:val="24"/>
                <w:highlight w:val="none"/>
              </w:rPr>
            </w:pPr>
          </w:p>
        </w:tc>
        <w:tc>
          <w:tcPr>
            <w:tcW w:w="1114" w:type="dxa"/>
            <w:tcBorders>
              <w:left w:val="single" w:color="auto" w:sz="4" w:space="0"/>
              <w:bottom w:val="single" w:color="000000" w:sz="6" w:space="0"/>
            </w:tcBorders>
            <w:noWrap w:val="0"/>
            <w:vAlign w:val="center"/>
          </w:tcPr>
          <w:p w14:paraId="25D2E0E8">
            <w:pPr>
              <w:pStyle w:val="53"/>
              <w:spacing w:line="360" w:lineRule="auto"/>
              <w:ind w:firstLine="280" w:firstLineChars="100"/>
              <w:jc w:val="center"/>
              <w:rPr>
                <w:rFonts w:hint="eastAsia" w:ascii="仿宋" w:hAnsi="仿宋" w:eastAsia="仿宋" w:cs="仿宋"/>
                <w:iCs/>
                <w:color w:val="auto"/>
                <w:spacing w:val="20"/>
                <w:sz w:val="24"/>
                <w:highlight w:val="none"/>
              </w:rPr>
            </w:pPr>
          </w:p>
        </w:tc>
      </w:tr>
      <w:tr w14:paraId="2EE854AC">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715" w:type="dxa"/>
            <w:tcBorders>
              <w:bottom w:val="single" w:color="000000" w:sz="6" w:space="0"/>
              <w:right w:val="single" w:color="000000" w:sz="6" w:space="0"/>
            </w:tcBorders>
            <w:noWrap w:val="0"/>
            <w:vAlign w:val="center"/>
          </w:tcPr>
          <w:p w14:paraId="7FCD9C3F">
            <w:pPr>
              <w:pStyle w:val="53"/>
              <w:spacing w:line="360" w:lineRule="auto"/>
              <w:jc w:val="center"/>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rPr>
              <w:t>4</w:t>
            </w:r>
          </w:p>
        </w:tc>
        <w:tc>
          <w:tcPr>
            <w:tcW w:w="3523" w:type="dxa"/>
            <w:tcBorders>
              <w:left w:val="single" w:color="000000" w:sz="6" w:space="0"/>
              <w:bottom w:val="single" w:color="000000" w:sz="6" w:space="0"/>
              <w:right w:val="single" w:color="000000" w:sz="6" w:space="0"/>
            </w:tcBorders>
            <w:noWrap w:val="0"/>
            <w:vAlign w:val="center"/>
          </w:tcPr>
          <w:p w14:paraId="54887EA5">
            <w:pPr>
              <w:jc w:val="center"/>
              <w:rPr>
                <w:rFonts w:hint="eastAsia" w:asciiTheme="minorEastAsia" w:hAnsiTheme="minorEastAsia" w:eastAsiaTheme="minorEastAsia" w:cstheme="minorEastAsia"/>
                <w:iCs/>
                <w:color w:val="auto"/>
                <w:spacing w:val="2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多维度体态评估仪</w:t>
            </w:r>
          </w:p>
        </w:tc>
        <w:tc>
          <w:tcPr>
            <w:tcW w:w="1125" w:type="dxa"/>
            <w:tcBorders>
              <w:left w:val="single" w:color="000000" w:sz="6" w:space="0"/>
              <w:bottom w:val="single" w:color="000000" w:sz="6" w:space="0"/>
              <w:right w:val="single" w:color="auto" w:sz="4" w:space="0"/>
            </w:tcBorders>
            <w:noWrap w:val="0"/>
            <w:vAlign w:val="center"/>
          </w:tcPr>
          <w:p w14:paraId="7EEC0AA5">
            <w:pPr>
              <w:pStyle w:val="53"/>
              <w:spacing w:line="360" w:lineRule="auto"/>
              <w:ind w:firstLine="280" w:firstLineChars="100"/>
              <w:jc w:val="both"/>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lang w:val="en-US" w:eastAsia="zh-CN"/>
              </w:rPr>
              <w:t>1</w:t>
            </w:r>
          </w:p>
        </w:tc>
        <w:tc>
          <w:tcPr>
            <w:tcW w:w="1000" w:type="dxa"/>
            <w:tcBorders>
              <w:left w:val="single" w:color="auto" w:sz="4" w:space="0"/>
              <w:bottom w:val="single" w:color="000000" w:sz="6" w:space="0"/>
              <w:right w:val="single" w:color="auto" w:sz="4" w:space="0"/>
            </w:tcBorders>
            <w:noWrap w:val="0"/>
            <w:vAlign w:val="center"/>
          </w:tcPr>
          <w:p w14:paraId="026A8619">
            <w:pPr>
              <w:spacing w:line="360" w:lineRule="auto"/>
              <w:ind w:firstLine="280" w:firstLineChars="100"/>
              <w:jc w:val="both"/>
              <w:rPr>
                <w:rFonts w:hint="eastAsia" w:ascii="仿宋" w:hAnsi="仿宋" w:eastAsia="仿宋" w:cs="仿宋"/>
                <w:iCs/>
                <w:color w:val="auto"/>
                <w:spacing w:val="20"/>
                <w:kern w:val="2"/>
                <w:sz w:val="24"/>
                <w:szCs w:val="24"/>
                <w:highlight w:val="none"/>
                <w:lang w:val="en-US" w:eastAsia="zh-CN" w:bidi="ar-SA"/>
              </w:rPr>
            </w:pPr>
            <w:r>
              <w:rPr>
                <w:rFonts w:hint="eastAsia" w:ascii="仿宋" w:hAnsi="仿宋" w:eastAsia="仿宋" w:cs="仿宋"/>
                <w:iCs/>
                <w:color w:val="auto"/>
                <w:spacing w:val="20"/>
                <w:sz w:val="24"/>
                <w:highlight w:val="none"/>
                <w:lang w:val="en-US" w:eastAsia="zh-CN"/>
              </w:rPr>
              <w:t>套</w:t>
            </w:r>
          </w:p>
        </w:tc>
        <w:tc>
          <w:tcPr>
            <w:tcW w:w="1719" w:type="dxa"/>
            <w:tcBorders>
              <w:left w:val="single" w:color="auto" w:sz="4" w:space="0"/>
              <w:bottom w:val="single" w:color="000000" w:sz="6" w:space="0"/>
            </w:tcBorders>
            <w:noWrap w:val="0"/>
            <w:vAlign w:val="center"/>
          </w:tcPr>
          <w:p w14:paraId="54C5C128">
            <w:pPr>
              <w:spacing w:line="360" w:lineRule="auto"/>
              <w:ind w:firstLine="280" w:firstLineChars="100"/>
              <w:jc w:val="both"/>
              <w:rPr>
                <w:rFonts w:hint="eastAsia" w:ascii="仿宋" w:hAnsi="仿宋" w:eastAsia="仿宋" w:cs="仿宋"/>
                <w:iCs/>
                <w:color w:val="auto"/>
                <w:spacing w:val="20"/>
                <w:sz w:val="24"/>
                <w:highlight w:val="none"/>
              </w:rPr>
            </w:pPr>
          </w:p>
        </w:tc>
        <w:tc>
          <w:tcPr>
            <w:tcW w:w="1114" w:type="dxa"/>
            <w:tcBorders>
              <w:left w:val="single" w:color="auto" w:sz="4" w:space="0"/>
              <w:bottom w:val="single" w:color="000000" w:sz="6" w:space="0"/>
            </w:tcBorders>
            <w:noWrap w:val="0"/>
            <w:vAlign w:val="center"/>
          </w:tcPr>
          <w:p w14:paraId="422BB180">
            <w:pPr>
              <w:pStyle w:val="53"/>
              <w:spacing w:line="360" w:lineRule="auto"/>
              <w:ind w:firstLine="280" w:firstLineChars="100"/>
              <w:jc w:val="center"/>
              <w:rPr>
                <w:rFonts w:hint="eastAsia" w:ascii="仿宋" w:hAnsi="仿宋" w:eastAsia="仿宋" w:cs="仿宋"/>
                <w:iCs/>
                <w:color w:val="auto"/>
                <w:spacing w:val="20"/>
                <w:sz w:val="24"/>
                <w:highlight w:val="none"/>
              </w:rPr>
            </w:pPr>
          </w:p>
        </w:tc>
      </w:tr>
      <w:tr w14:paraId="6A676FA7">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715" w:type="dxa"/>
            <w:tcBorders>
              <w:bottom w:val="single" w:color="000000" w:sz="6" w:space="0"/>
              <w:right w:val="single" w:color="000000" w:sz="6" w:space="0"/>
            </w:tcBorders>
            <w:noWrap w:val="0"/>
            <w:vAlign w:val="center"/>
          </w:tcPr>
          <w:p w14:paraId="24DE2A37">
            <w:pPr>
              <w:pStyle w:val="53"/>
              <w:spacing w:line="360" w:lineRule="auto"/>
              <w:jc w:val="center"/>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rPr>
              <w:t>5</w:t>
            </w:r>
          </w:p>
        </w:tc>
        <w:tc>
          <w:tcPr>
            <w:tcW w:w="3523" w:type="dxa"/>
            <w:tcBorders>
              <w:left w:val="single" w:color="000000" w:sz="6" w:space="0"/>
              <w:bottom w:val="single" w:color="000000" w:sz="6" w:space="0"/>
              <w:right w:val="single" w:color="000000" w:sz="6" w:space="0"/>
            </w:tcBorders>
            <w:noWrap w:val="0"/>
            <w:vAlign w:val="center"/>
          </w:tcPr>
          <w:p w14:paraId="6343B522">
            <w:pPr>
              <w:pStyle w:val="53"/>
              <w:spacing w:line="360" w:lineRule="auto"/>
              <w:ind w:firstLine="240" w:firstLineChars="100"/>
              <w:jc w:val="center"/>
              <w:rPr>
                <w:rFonts w:hint="eastAsia" w:asciiTheme="minorEastAsia" w:hAnsiTheme="minorEastAsia" w:eastAsiaTheme="minorEastAsia" w:cstheme="minorEastAsia"/>
                <w:iCs/>
                <w:color w:val="auto"/>
                <w:spacing w:val="20"/>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情景互动康复训练仪</w:t>
            </w:r>
          </w:p>
        </w:tc>
        <w:tc>
          <w:tcPr>
            <w:tcW w:w="1125" w:type="dxa"/>
            <w:tcBorders>
              <w:left w:val="single" w:color="000000" w:sz="6" w:space="0"/>
              <w:bottom w:val="single" w:color="000000" w:sz="6" w:space="0"/>
              <w:right w:val="single" w:color="auto" w:sz="4" w:space="0"/>
            </w:tcBorders>
            <w:noWrap w:val="0"/>
            <w:vAlign w:val="center"/>
          </w:tcPr>
          <w:p w14:paraId="180B3988">
            <w:pPr>
              <w:pStyle w:val="53"/>
              <w:spacing w:line="360" w:lineRule="auto"/>
              <w:ind w:firstLine="280" w:firstLineChars="100"/>
              <w:jc w:val="both"/>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lang w:val="en-US" w:eastAsia="zh-CN"/>
              </w:rPr>
              <w:t>1</w:t>
            </w:r>
          </w:p>
        </w:tc>
        <w:tc>
          <w:tcPr>
            <w:tcW w:w="1000" w:type="dxa"/>
            <w:tcBorders>
              <w:left w:val="single" w:color="auto" w:sz="4" w:space="0"/>
              <w:bottom w:val="single" w:color="000000" w:sz="6" w:space="0"/>
              <w:right w:val="single" w:color="auto" w:sz="4" w:space="0"/>
            </w:tcBorders>
            <w:noWrap w:val="0"/>
            <w:vAlign w:val="center"/>
          </w:tcPr>
          <w:p w14:paraId="64705509">
            <w:pPr>
              <w:spacing w:line="360" w:lineRule="auto"/>
              <w:ind w:firstLine="280" w:firstLineChars="100"/>
              <w:jc w:val="both"/>
              <w:rPr>
                <w:rFonts w:hint="eastAsia" w:ascii="仿宋" w:hAnsi="仿宋" w:eastAsia="仿宋" w:cs="仿宋"/>
                <w:iCs/>
                <w:color w:val="auto"/>
                <w:spacing w:val="20"/>
                <w:kern w:val="2"/>
                <w:sz w:val="24"/>
                <w:szCs w:val="24"/>
                <w:highlight w:val="none"/>
                <w:lang w:val="en-US" w:eastAsia="zh-CN" w:bidi="ar-SA"/>
              </w:rPr>
            </w:pPr>
            <w:r>
              <w:rPr>
                <w:rFonts w:hint="eastAsia" w:ascii="仿宋" w:hAnsi="仿宋" w:eastAsia="仿宋" w:cs="仿宋"/>
                <w:iCs/>
                <w:color w:val="auto"/>
                <w:spacing w:val="20"/>
                <w:sz w:val="24"/>
                <w:highlight w:val="none"/>
                <w:lang w:val="en-US" w:eastAsia="zh-CN"/>
              </w:rPr>
              <w:t>套</w:t>
            </w:r>
          </w:p>
        </w:tc>
        <w:tc>
          <w:tcPr>
            <w:tcW w:w="1719" w:type="dxa"/>
            <w:tcBorders>
              <w:left w:val="single" w:color="auto" w:sz="4" w:space="0"/>
              <w:bottom w:val="single" w:color="000000" w:sz="6" w:space="0"/>
            </w:tcBorders>
            <w:noWrap w:val="0"/>
            <w:vAlign w:val="center"/>
          </w:tcPr>
          <w:p w14:paraId="5FDFE677">
            <w:pPr>
              <w:spacing w:line="360" w:lineRule="auto"/>
              <w:ind w:firstLine="280" w:firstLineChars="100"/>
              <w:jc w:val="both"/>
              <w:rPr>
                <w:rFonts w:hint="eastAsia" w:ascii="仿宋" w:hAnsi="仿宋" w:eastAsia="仿宋" w:cs="仿宋"/>
                <w:iCs/>
                <w:color w:val="auto"/>
                <w:spacing w:val="20"/>
                <w:sz w:val="24"/>
                <w:highlight w:val="none"/>
              </w:rPr>
            </w:pPr>
          </w:p>
        </w:tc>
        <w:tc>
          <w:tcPr>
            <w:tcW w:w="1114" w:type="dxa"/>
            <w:tcBorders>
              <w:left w:val="single" w:color="auto" w:sz="4" w:space="0"/>
              <w:bottom w:val="single" w:color="000000" w:sz="6" w:space="0"/>
            </w:tcBorders>
            <w:noWrap w:val="0"/>
            <w:vAlign w:val="center"/>
          </w:tcPr>
          <w:p w14:paraId="00F3AE66">
            <w:pPr>
              <w:pStyle w:val="53"/>
              <w:spacing w:line="360" w:lineRule="auto"/>
              <w:ind w:firstLine="280" w:firstLineChars="100"/>
              <w:jc w:val="center"/>
              <w:rPr>
                <w:rFonts w:hint="eastAsia" w:ascii="仿宋" w:hAnsi="仿宋" w:eastAsia="仿宋" w:cs="仿宋"/>
                <w:iCs/>
                <w:color w:val="auto"/>
                <w:spacing w:val="20"/>
                <w:sz w:val="24"/>
                <w:highlight w:val="none"/>
              </w:rPr>
            </w:pPr>
          </w:p>
        </w:tc>
      </w:tr>
      <w:tr w14:paraId="7D42C73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715" w:type="dxa"/>
            <w:tcBorders>
              <w:bottom w:val="single" w:color="000000" w:sz="6" w:space="0"/>
              <w:right w:val="single" w:color="000000" w:sz="6" w:space="0"/>
            </w:tcBorders>
            <w:noWrap w:val="0"/>
            <w:vAlign w:val="center"/>
          </w:tcPr>
          <w:p w14:paraId="45094633">
            <w:pPr>
              <w:pStyle w:val="53"/>
              <w:spacing w:line="360" w:lineRule="auto"/>
              <w:jc w:val="center"/>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rPr>
              <w:t>6</w:t>
            </w:r>
          </w:p>
        </w:tc>
        <w:tc>
          <w:tcPr>
            <w:tcW w:w="3523" w:type="dxa"/>
            <w:tcBorders>
              <w:left w:val="single" w:color="000000" w:sz="6" w:space="0"/>
              <w:bottom w:val="single" w:color="000000" w:sz="6" w:space="0"/>
              <w:right w:val="single" w:color="000000" w:sz="6" w:space="0"/>
            </w:tcBorders>
            <w:noWrap w:val="0"/>
            <w:vAlign w:val="center"/>
          </w:tcPr>
          <w:p w14:paraId="000D5C13">
            <w:pPr>
              <w:pStyle w:val="53"/>
              <w:spacing w:line="360" w:lineRule="auto"/>
              <w:ind w:firstLine="240" w:firstLineChars="100"/>
              <w:jc w:val="center"/>
              <w:rPr>
                <w:rFonts w:hint="eastAsia" w:asciiTheme="minorEastAsia" w:hAnsiTheme="minorEastAsia" w:eastAsiaTheme="minorEastAsia" w:cstheme="minorEastAsia"/>
                <w:iCs/>
                <w:color w:val="auto"/>
                <w:spacing w:val="20"/>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多功能训练组合</w:t>
            </w:r>
          </w:p>
        </w:tc>
        <w:tc>
          <w:tcPr>
            <w:tcW w:w="1125" w:type="dxa"/>
            <w:tcBorders>
              <w:left w:val="single" w:color="000000" w:sz="6" w:space="0"/>
              <w:bottom w:val="single" w:color="000000" w:sz="6" w:space="0"/>
              <w:right w:val="single" w:color="auto" w:sz="4" w:space="0"/>
            </w:tcBorders>
            <w:noWrap w:val="0"/>
            <w:vAlign w:val="center"/>
          </w:tcPr>
          <w:p w14:paraId="2B4CF4DE">
            <w:pPr>
              <w:pStyle w:val="53"/>
              <w:spacing w:line="360" w:lineRule="auto"/>
              <w:ind w:firstLine="280" w:firstLineChars="100"/>
              <w:jc w:val="both"/>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lang w:val="en-US" w:eastAsia="zh-CN"/>
              </w:rPr>
              <w:t>1</w:t>
            </w:r>
          </w:p>
        </w:tc>
        <w:tc>
          <w:tcPr>
            <w:tcW w:w="1000" w:type="dxa"/>
            <w:tcBorders>
              <w:left w:val="single" w:color="auto" w:sz="4" w:space="0"/>
              <w:bottom w:val="single" w:color="000000" w:sz="6" w:space="0"/>
              <w:right w:val="single" w:color="auto" w:sz="4" w:space="0"/>
            </w:tcBorders>
            <w:noWrap w:val="0"/>
            <w:vAlign w:val="center"/>
          </w:tcPr>
          <w:p w14:paraId="6F295430">
            <w:pPr>
              <w:spacing w:line="360" w:lineRule="auto"/>
              <w:ind w:firstLine="280" w:firstLineChars="100"/>
              <w:jc w:val="both"/>
              <w:rPr>
                <w:rFonts w:hint="eastAsia" w:ascii="仿宋" w:hAnsi="仿宋" w:eastAsia="仿宋" w:cs="仿宋"/>
                <w:iCs/>
                <w:color w:val="auto"/>
                <w:spacing w:val="20"/>
                <w:kern w:val="2"/>
                <w:sz w:val="24"/>
                <w:szCs w:val="24"/>
                <w:highlight w:val="none"/>
                <w:lang w:val="en-US" w:eastAsia="zh-CN" w:bidi="ar-SA"/>
              </w:rPr>
            </w:pPr>
            <w:r>
              <w:rPr>
                <w:rFonts w:hint="eastAsia" w:ascii="仿宋" w:hAnsi="仿宋" w:eastAsia="仿宋" w:cs="仿宋"/>
                <w:iCs/>
                <w:color w:val="auto"/>
                <w:spacing w:val="20"/>
                <w:sz w:val="24"/>
                <w:highlight w:val="none"/>
                <w:lang w:val="en-US" w:eastAsia="zh-CN"/>
              </w:rPr>
              <w:t>套</w:t>
            </w:r>
          </w:p>
        </w:tc>
        <w:tc>
          <w:tcPr>
            <w:tcW w:w="1719" w:type="dxa"/>
            <w:tcBorders>
              <w:left w:val="single" w:color="auto" w:sz="4" w:space="0"/>
              <w:bottom w:val="single" w:color="000000" w:sz="6" w:space="0"/>
            </w:tcBorders>
            <w:noWrap w:val="0"/>
            <w:vAlign w:val="center"/>
          </w:tcPr>
          <w:p w14:paraId="6F67FC24">
            <w:pPr>
              <w:spacing w:line="360" w:lineRule="auto"/>
              <w:ind w:firstLine="280" w:firstLineChars="100"/>
              <w:jc w:val="both"/>
              <w:rPr>
                <w:rFonts w:hint="eastAsia" w:ascii="仿宋" w:hAnsi="仿宋" w:eastAsia="仿宋" w:cs="仿宋"/>
                <w:iCs/>
                <w:color w:val="auto"/>
                <w:spacing w:val="20"/>
                <w:sz w:val="24"/>
                <w:highlight w:val="none"/>
              </w:rPr>
            </w:pPr>
          </w:p>
        </w:tc>
        <w:tc>
          <w:tcPr>
            <w:tcW w:w="1114" w:type="dxa"/>
            <w:tcBorders>
              <w:left w:val="single" w:color="auto" w:sz="4" w:space="0"/>
              <w:bottom w:val="single" w:color="000000" w:sz="6" w:space="0"/>
            </w:tcBorders>
            <w:noWrap w:val="0"/>
            <w:vAlign w:val="center"/>
          </w:tcPr>
          <w:p w14:paraId="48844F7E">
            <w:pPr>
              <w:pStyle w:val="53"/>
              <w:spacing w:line="360" w:lineRule="auto"/>
              <w:ind w:firstLine="280" w:firstLineChars="100"/>
              <w:jc w:val="center"/>
              <w:rPr>
                <w:rFonts w:hint="eastAsia" w:ascii="仿宋" w:hAnsi="仿宋" w:eastAsia="仿宋" w:cs="仿宋"/>
                <w:iCs/>
                <w:color w:val="auto"/>
                <w:spacing w:val="20"/>
                <w:sz w:val="24"/>
                <w:highlight w:val="none"/>
              </w:rPr>
            </w:pPr>
          </w:p>
        </w:tc>
      </w:tr>
      <w:tr w14:paraId="10473B9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715" w:type="dxa"/>
            <w:tcBorders>
              <w:bottom w:val="single" w:color="000000" w:sz="6" w:space="0"/>
              <w:right w:val="single" w:color="000000" w:sz="6" w:space="0"/>
            </w:tcBorders>
            <w:noWrap w:val="0"/>
            <w:vAlign w:val="center"/>
          </w:tcPr>
          <w:p w14:paraId="5678109C">
            <w:pPr>
              <w:pStyle w:val="53"/>
              <w:spacing w:line="360" w:lineRule="auto"/>
              <w:jc w:val="center"/>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rPr>
              <w:t>7</w:t>
            </w:r>
          </w:p>
        </w:tc>
        <w:tc>
          <w:tcPr>
            <w:tcW w:w="3523" w:type="dxa"/>
            <w:tcBorders>
              <w:left w:val="single" w:color="000000" w:sz="6" w:space="0"/>
              <w:bottom w:val="single" w:color="000000" w:sz="6" w:space="0"/>
              <w:right w:val="single" w:color="000000" w:sz="6" w:space="0"/>
            </w:tcBorders>
            <w:noWrap w:val="0"/>
            <w:vAlign w:val="center"/>
          </w:tcPr>
          <w:p w14:paraId="71EB5EEA">
            <w:pPr>
              <w:pStyle w:val="53"/>
              <w:spacing w:line="360" w:lineRule="auto"/>
              <w:ind w:firstLine="240" w:firstLineChars="100"/>
              <w:jc w:val="center"/>
              <w:rPr>
                <w:rFonts w:hint="eastAsia" w:asciiTheme="minorEastAsia" w:hAnsiTheme="minorEastAsia" w:eastAsiaTheme="minorEastAsia" w:cstheme="minorEastAsia"/>
                <w:iCs/>
                <w:color w:val="auto"/>
                <w:spacing w:val="20"/>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手功能综合康复训练桌</w:t>
            </w:r>
          </w:p>
        </w:tc>
        <w:tc>
          <w:tcPr>
            <w:tcW w:w="1125" w:type="dxa"/>
            <w:tcBorders>
              <w:left w:val="single" w:color="000000" w:sz="6" w:space="0"/>
              <w:bottom w:val="single" w:color="000000" w:sz="6" w:space="0"/>
              <w:right w:val="single" w:color="auto" w:sz="4" w:space="0"/>
            </w:tcBorders>
            <w:noWrap w:val="0"/>
            <w:vAlign w:val="center"/>
          </w:tcPr>
          <w:p w14:paraId="56B79D6B">
            <w:pPr>
              <w:pStyle w:val="53"/>
              <w:spacing w:line="360" w:lineRule="auto"/>
              <w:ind w:firstLine="280" w:firstLineChars="100"/>
              <w:jc w:val="both"/>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lang w:val="en-US" w:eastAsia="zh-CN"/>
              </w:rPr>
              <w:t>1</w:t>
            </w:r>
          </w:p>
        </w:tc>
        <w:tc>
          <w:tcPr>
            <w:tcW w:w="1000" w:type="dxa"/>
            <w:tcBorders>
              <w:left w:val="single" w:color="auto" w:sz="4" w:space="0"/>
              <w:bottom w:val="single" w:color="000000" w:sz="6" w:space="0"/>
              <w:right w:val="single" w:color="auto" w:sz="4" w:space="0"/>
            </w:tcBorders>
            <w:noWrap w:val="0"/>
            <w:vAlign w:val="center"/>
          </w:tcPr>
          <w:p w14:paraId="65F7AB53">
            <w:pPr>
              <w:spacing w:line="360" w:lineRule="auto"/>
              <w:ind w:firstLine="280" w:firstLineChars="100"/>
              <w:jc w:val="both"/>
              <w:rPr>
                <w:rFonts w:hint="eastAsia" w:ascii="仿宋" w:hAnsi="仿宋" w:eastAsia="仿宋" w:cs="仿宋"/>
                <w:iCs/>
                <w:color w:val="auto"/>
                <w:spacing w:val="20"/>
                <w:kern w:val="2"/>
                <w:sz w:val="24"/>
                <w:szCs w:val="24"/>
                <w:highlight w:val="none"/>
                <w:lang w:val="en-US" w:eastAsia="zh-CN" w:bidi="ar-SA"/>
              </w:rPr>
            </w:pPr>
            <w:r>
              <w:rPr>
                <w:rFonts w:hint="eastAsia" w:ascii="仿宋" w:hAnsi="仿宋" w:eastAsia="仿宋" w:cs="仿宋"/>
                <w:iCs/>
                <w:color w:val="auto"/>
                <w:spacing w:val="20"/>
                <w:sz w:val="24"/>
                <w:highlight w:val="none"/>
                <w:lang w:val="en-US" w:eastAsia="zh-CN"/>
              </w:rPr>
              <w:t>套</w:t>
            </w:r>
          </w:p>
        </w:tc>
        <w:tc>
          <w:tcPr>
            <w:tcW w:w="1719" w:type="dxa"/>
            <w:tcBorders>
              <w:left w:val="single" w:color="auto" w:sz="4" w:space="0"/>
              <w:bottom w:val="single" w:color="000000" w:sz="6" w:space="0"/>
            </w:tcBorders>
            <w:noWrap w:val="0"/>
            <w:vAlign w:val="center"/>
          </w:tcPr>
          <w:p w14:paraId="7F05F20A">
            <w:pPr>
              <w:spacing w:line="360" w:lineRule="auto"/>
              <w:ind w:firstLine="280" w:firstLineChars="100"/>
              <w:jc w:val="both"/>
              <w:rPr>
                <w:rFonts w:hint="eastAsia" w:ascii="仿宋" w:hAnsi="仿宋" w:eastAsia="仿宋" w:cs="仿宋"/>
                <w:iCs/>
                <w:color w:val="auto"/>
                <w:spacing w:val="20"/>
                <w:sz w:val="24"/>
                <w:highlight w:val="none"/>
              </w:rPr>
            </w:pPr>
          </w:p>
        </w:tc>
        <w:tc>
          <w:tcPr>
            <w:tcW w:w="1114" w:type="dxa"/>
            <w:tcBorders>
              <w:left w:val="single" w:color="auto" w:sz="4" w:space="0"/>
              <w:bottom w:val="single" w:color="000000" w:sz="6" w:space="0"/>
            </w:tcBorders>
            <w:noWrap w:val="0"/>
            <w:vAlign w:val="center"/>
          </w:tcPr>
          <w:p w14:paraId="62CD3C91">
            <w:pPr>
              <w:pStyle w:val="53"/>
              <w:spacing w:line="360" w:lineRule="auto"/>
              <w:ind w:firstLine="280" w:firstLineChars="100"/>
              <w:jc w:val="center"/>
              <w:rPr>
                <w:rFonts w:hint="eastAsia" w:ascii="仿宋" w:hAnsi="仿宋" w:eastAsia="仿宋" w:cs="仿宋"/>
                <w:iCs/>
                <w:color w:val="auto"/>
                <w:spacing w:val="20"/>
                <w:sz w:val="24"/>
                <w:highlight w:val="none"/>
              </w:rPr>
            </w:pPr>
          </w:p>
        </w:tc>
      </w:tr>
      <w:tr w14:paraId="5F8F380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715" w:type="dxa"/>
            <w:tcBorders>
              <w:bottom w:val="single" w:color="000000" w:sz="6" w:space="0"/>
              <w:right w:val="single" w:color="000000" w:sz="6" w:space="0"/>
            </w:tcBorders>
            <w:noWrap w:val="0"/>
            <w:vAlign w:val="center"/>
          </w:tcPr>
          <w:p w14:paraId="5BF9D931">
            <w:pPr>
              <w:pStyle w:val="53"/>
              <w:spacing w:line="360" w:lineRule="auto"/>
              <w:jc w:val="center"/>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rPr>
              <w:t>8</w:t>
            </w:r>
          </w:p>
        </w:tc>
        <w:tc>
          <w:tcPr>
            <w:tcW w:w="3523" w:type="dxa"/>
            <w:tcBorders>
              <w:left w:val="single" w:color="000000" w:sz="6" w:space="0"/>
              <w:bottom w:val="single" w:color="000000" w:sz="6" w:space="0"/>
              <w:right w:val="single" w:color="000000" w:sz="6" w:space="0"/>
            </w:tcBorders>
            <w:noWrap w:val="0"/>
            <w:vAlign w:val="center"/>
          </w:tcPr>
          <w:p w14:paraId="13E8F5B8">
            <w:pPr>
              <w:pStyle w:val="53"/>
              <w:spacing w:line="360" w:lineRule="auto"/>
              <w:ind w:firstLine="240" w:firstLineChars="100"/>
              <w:jc w:val="center"/>
              <w:rPr>
                <w:rFonts w:hint="eastAsia" w:asciiTheme="minorEastAsia" w:hAnsiTheme="minorEastAsia" w:eastAsiaTheme="minorEastAsia" w:cstheme="minorEastAsia"/>
                <w:iCs/>
                <w:color w:val="auto"/>
                <w:spacing w:val="20"/>
                <w:sz w:val="24"/>
                <w:szCs w:val="24"/>
                <w:highlight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OT操作台</w:t>
            </w:r>
          </w:p>
        </w:tc>
        <w:tc>
          <w:tcPr>
            <w:tcW w:w="1125" w:type="dxa"/>
            <w:tcBorders>
              <w:left w:val="single" w:color="000000" w:sz="6" w:space="0"/>
              <w:bottom w:val="single" w:color="000000" w:sz="6" w:space="0"/>
              <w:right w:val="single" w:color="auto" w:sz="4" w:space="0"/>
            </w:tcBorders>
            <w:noWrap w:val="0"/>
            <w:vAlign w:val="center"/>
          </w:tcPr>
          <w:p w14:paraId="79513AE6">
            <w:pPr>
              <w:pStyle w:val="53"/>
              <w:spacing w:line="360" w:lineRule="auto"/>
              <w:ind w:firstLine="280" w:firstLineChars="100"/>
              <w:jc w:val="both"/>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lang w:val="en-US" w:eastAsia="zh-CN"/>
              </w:rPr>
              <w:t>1</w:t>
            </w:r>
          </w:p>
        </w:tc>
        <w:tc>
          <w:tcPr>
            <w:tcW w:w="1000" w:type="dxa"/>
            <w:tcBorders>
              <w:left w:val="single" w:color="auto" w:sz="4" w:space="0"/>
              <w:bottom w:val="single" w:color="000000" w:sz="6" w:space="0"/>
              <w:right w:val="single" w:color="auto" w:sz="4" w:space="0"/>
            </w:tcBorders>
            <w:noWrap w:val="0"/>
            <w:vAlign w:val="center"/>
          </w:tcPr>
          <w:p w14:paraId="13DA52FA">
            <w:pPr>
              <w:spacing w:line="360" w:lineRule="auto"/>
              <w:ind w:firstLine="280" w:firstLineChars="100"/>
              <w:jc w:val="both"/>
              <w:rPr>
                <w:rFonts w:hint="eastAsia" w:ascii="仿宋" w:hAnsi="仿宋" w:eastAsia="仿宋" w:cs="仿宋"/>
                <w:iCs/>
                <w:color w:val="auto"/>
                <w:spacing w:val="20"/>
                <w:kern w:val="2"/>
                <w:sz w:val="24"/>
                <w:szCs w:val="24"/>
                <w:highlight w:val="none"/>
                <w:lang w:val="en-US" w:eastAsia="zh-CN" w:bidi="ar-SA"/>
              </w:rPr>
            </w:pPr>
            <w:r>
              <w:rPr>
                <w:rFonts w:hint="eastAsia" w:ascii="仿宋" w:hAnsi="仿宋" w:eastAsia="仿宋" w:cs="仿宋"/>
                <w:iCs/>
                <w:color w:val="auto"/>
                <w:spacing w:val="20"/>
                <w:sz w:val="24"/>
                <w:highlight w:val="none"/>
                <w:lang w:val="en-US" w:eastAsia="zh-CN"/>
              </w:rPr>
              <w:t>套</w:t>
            </w:r>
          </w:p>
        </w:tc>
        <w:tc>
          <w:tcPr>
            <w:tcW w:w="1719" w:type="dxa"/>
            <w:tcBorders>
              <w:left w:val="single" w:color="auto" w:sz="4" w:space="0"/>
              <w:bottom w:val="single" w:color="000000" w:sz="6" w:space="0"/>
            </w:tcBorders>
            <w:noWrap w:val="0"/>
            <w:vAlign w:val="center"/>
          </w:tcPr>
          <w:p w14:paraId="0DF207AC">
            <w:pPr>
              <w:spacing w:line="360" w:lineRule="auto"/>
              <w:ind w:firstLine="280" w:firstLineChars="100"/>
              <w:jc w:val="both"/>
              <w:rPr>
                <w:rFonts w:hint="eastAsia" w:ascii="仿宋" w:hAnsi="仿宋" w:eastAsia="仿宋" w:cs="仿宋"/>
                <w:iCs/>
                <w:color w:val="auto"/>
                <w:spacing w:val="20"/>
                <w:sz w:val="24"/>
                <w:highlight w:val="none"/>
              </w:rPr>
            </w:pPr>
          </w:p>
        </w:tc>
        <w:tc>
          <w:tcPr>
            <w:tcW w:w="1114" w:type="dxa"/>
            <w:tcBorders>
              <w:left w:val="single" w:color="auto" w:sz="4" w:space="0"/>
              <w:bottom w:val="single" w:color="000000" w:sz="6" w:space="0"/>
            </w:tcBorders>
            <w:noWrap w:val="0"/>
            <w:vAlign w:val="center"/>
          </w:tcPr>
          <w:p w14:paraId="6ABD817A">
            <w:pPr>
              <w:pStyle w:val="53"/>
              <w:spacing w:line="360" w:lineRule="auto"/>
              <w:ind w:firstLine="280" w:firstLineChars="100"/>
              <w:jc w:val="center"/>
              <w:rPr>
                <w:rFonts w:hint="eastAsia" w:ascii="仿宋" w:hAnsi="仿宋" w:eastAsia="仿宋" w:cs="仿宋"/>
                <w:iCs/>
                <w:color w:val="auto"/>
                <w:spacing w:val="20"/>
                <w:sz w:val="24"/>
                <w:highlight w:val="none"/>
              </w:rPr>
            </w:pPr>
          </w:p>
        </w:tc>
      </w:tr>
      <w:tr w14:paraId="58A7EFD4">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715" w:type="dxa"/>
            <w:tcBorders>
              <w:bottom w:val="single" w:color="000000" w:sz="6" w:space="0"/>
              <w:right w:val="single" w:color="000000" w:sz="6" w:space="0"/>
            </w:tcBorders>
            <w:noWrap w:val="0"/>
            <w:vAlign w:val="center"/>
          </w:tcPr>
          <w:p w14:paraId="74CC0124">
            <w:pPr>
              <w:pStyle w:val="53"/>
              <w:spacing w:line="360" w:lineRule="auto"/>
              <w:jc w:val="center"/>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rPr>
              <w:t>9</w:t>
            </w:r>
          </w:p>
        </w:tc>
        <w:tc>
          <w:tcPr>
            <w:tcW w:w="3523" w:type="dxa"/>
            <w:tcBorders>
              <w:left w:val="single" w:color="000000" w:sz="6" w:space="0"/>
              <w:bottom w:val="single" w:color="000000" w:sz="6" w:space="0"/>
              <w:right w:val="single" w:color="000000" w:sz="6" w:space="0"/>
            </w:tcBorders>
            <w:noWrap w:val="0"/>
            <w:vAlign w:val="center"/>
          </w:tcPr>
          <w:p w14:paraId="601802C4">
            <w:pPr>
              <w:pStyle w:val="53"/>
              <w:spacing w:line="360" w:lineRule="auto"/>
              <w:ind w:firstLine="240" w:firstLineChars="100"/>
              <w:jc w:val="center"/>
              <w:rPr>
                <w:rFonts w:hint="eastAsia" w:ascii="仿宋" w:hAnsi="仿宋" w:eastAsia="仿宋" w:cs="仿宋"/>
                <w:iCs/>
                <w:color w:val="auto"/>
                <w:spacing w:val="2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生活适应互动训练仪</w:t>
            </w:r>
          </w:p>
        </w:tc>
        <w:tc>
          <w:tcPr>
            <w:tcW w:w="1125" w:type="dxa"/>
            <w:tcBorders>
              <w:left w:val="single" w:color="000000" w:sz="6" w:space="0"/>
              <w:bottom w:val="single" w:color="000000" w:sz="6" w:space="0"/>
              <w:right w:val="single" w:color="auto" w:sz="4" w:space="0"/>
            </w:tcBorders>
            <w:noWrap w:val="0"/>
            <w:vAlign w:val="center"/>
          </w:tcPr>
          <w:p w14:paraId="01B6DA9A">
            <w:pPr>
              <w:pStyle w:val="53"/>
              <w:spacing w:line="360" w:lineRule="auto"/>
              <w:ind w:firstLine="280" w:firstLineChars="100"/>
              <w:jc w:val="both"/>
              <w:rPr>
                <w:rFonts w:hint="eastAsia" w:ascii="仿宋" w:hAnsi="仿宋" w:eastAsia="仿宋" w:cs="仿宋"/>
                <w:iCs/>
                <w:color w:val="auto"/>
                <w:spacing w:val="20"/>
                <w:sz w:val="24"/>
                <w:highlight w:val="none"/>
              </w:rPr>
            </w:pPr>
            <w:r>
              <w:rPr>
                <w:rFonts w:hint="eastAsia" w:ascii="仿宋" w:hAnsi="仿宋" w:eastAsia="仿宋" w:cs="仿宋"/>
                <w:iCs/>
                <w:color w:val="auto"/>
                <w:spacing w:val="20"/>
                <w:sz w:val="24"/>
                <w:highlight w:val="none"/>
                <w:lang w:val="en-US" w:eastAsia="zh-CN"/>
              </w:rPr>
              <w:t>1</w:t>
            </w:r>
          </w:p>
        </w:tc>
        <w:tc>
          <w:tcPr>
            <w:tcW w:w="1000" w:type="dxa"/>
            <w:tcBorders>
              <w:left w:val="single" w:color="auto" w:sz="4" w:space="0"/>
              <w:bottom w:val="single" w:color="000000" w:sz="6" w:space="0"/>
              <w:right w:val="single" w:color="auto" w:sz="4" w:space="0"/>
            </w:tcBorders>
            <w:noWrap w:val="0"/>
            <w:vAlign w:val="center"/>
          </w:tcPr>
          <w:p w14:paraId="27D73C0E">
            <w:pPr>
              <w:spacing w:line="360" w:lineRule="auto"/>
              <w:ind w:firstLine="280" w:firstLineChars="100"/>
              <w:jc w:val="both"/>
              <w:rPr>
                <w:rFonts w:hint="eastAsia" w:ascii="仿宋" w:hAnsi="仿宋" w:eastAsia="仿宋" w:cs="仿宋"/>
                <w:iCs/>
                <w:color w:val="auto"/>
                <w:spacing w:val="20"/>
                <w:kern w:val="2"/>
                <w:sz w:val="24"/>
                <w:szCs w:val="24"/>
                <w:highlight w:val="none"/>
                <w:lang w:val="en-US" w:eastAsia="zh-CN" w:bidi="ar-SA"/>
              </w:rPr>
            </w:pPr>
            <w:r>
              <w:rPr>
                <w:rFonts w:hint="eastAsia" w:ascii="仿宋" w:hAnsi="仿宋" w:eastAsia="仿宋" w:cs="仿宋"/>
                <w:iCs/>
                <w:color w:val="auto"/>
                <w:spacing w:val="20"/>
                <w:sz w:val="24"/>
                <w:highlight w:val="none"/>
                <w:lang w:val="en-US" w:eastAsia="zh-CN"/>
              </w:rPr>
              <w:t>套</w:t>
            </w:r>
          </w:p>
        </w:tc>
        <w:tc>
          <w:tcPr>
            <w:tcW w:w="1719" w:type="dxa"/>
            <w:tcBorders>
              <w:left w:val="single" w:color="auto" w:sz="4" w:space="0"/>
              <w:bottom w:val="single" w:color="000000" w:sz="6" w:space="0"/>
            </w:tcBorders>
            <w:noWrap w:val="0"/>
            <w:vAlign w:val="center"/>
          </w:tcPr>
          <w:p w14:paraId="040C8865">
            <w:pPr>
              <w:spacing w:line="360" w:lineRule="auto"/>
              <w:ind w:firstLine="280" w:firstLineChars="100"/>
              <w:jc w:val="both"/>
              <w:rPr>
                <w:rFonts w:hint="eastAsia" w:ascii="仿宋" w:hAnsi="仿宋" w:eastAsia="仿宋" w:cs="仿宋"/>
                <w:iCs/>
                <w:color w:val="auto"/>
                <w:spacing w:val="20"/>
                <w:sz w:val="24"/>
                <w:highlight w:val="none"/>
              </w:rPr>
            </w:pPr>
          </w:p>
        </w:tc>
        <w:tc>
          <w:tcPr>
            <w:tcW w:w="1114" w:type="dxa"/>
            <w:tcBorders>
              <w:left w:val="single" w:color="auto" w:sz="4" w:space="0"/>
              <w:bottom w:val="single" w:color="000000" w:sz="6" w:space="0"/>
            </w:tcBorders>
            <w:noWrap w:val="0"/>
            <w:vAlign w:val="center"/>
          </w:tcPr>
          <w:p w14:paraId="59AB28EA">
            <w:pPr>
              <w:pStyle w:val="53"/>
              <w:spacing w:line="360" w:lineRule="auto"/>
              <w:ind w:firstLine="280" w:firstLineChars="100"/>
              <w:jc w:val="center"/>
              <w:rPr>
                <w:rFonts w:hint="eastAsia" w:ascii="仿宋" w:hAnsi="仿宋" w:eastAsia="仿宋" w:cs="仿宋"/>
                <w:iCs/>
                <w:color w:val="auto"/>
                <w:spacing w:val="20"/>
                <w:sz w:val="24"/>
                <w:highlight w:val="none"/>
              </w:rPr>
            </w:pPr>
          </w:p>
        </w:tc>
      </w:tr>
      <w:tr w14:paraId="42E7AB80">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715" w:type="dxa"/>
            <w:tcBorders>
              <w:bottom w:val="single" w:color="000000" w:sz="6" w:space="0"/>
              <w:right w:val="single" w:color="000000" w:sz="6" w:space="0"/>
            </w:tcBorders>
            <w:noWrap w:val="0"/>
            <w:vAlign w:val="center"/>
          </w:tcPr>
          <w:p w14:paraId="071FCF29">
            <w:pPr>
              <w:pStyle w:val="53"/>
              <w:spacing w:line="360" w:lineRule="auto"/>
              <w:jc w:val="center"/>
              <w:rPr>
                <w:rFonts w:hint="default" w:ascii="仿宋" w:hAnsi="仿宋" w:eastAsia="仿宋" w:cs="仿宋"/>
                <w:iCs/>
                <w:color w:val="auto"/>
                <w:spacing w:val="20"/>
                <w:sz w:val="24"/>
                <w:highlight w:val="none"/>
                <w:lang w:val="en-US" w:eastAsia="zh-CN"/>
              </w:rPr>
            </w:pPr>
            <w:r>
              <w:rPr>
                <w:rFonts w:hint="eastAsia" w:ascii="仿宋" w:hAnsi="仿宋" w:eastAsia="仿宋" w:cs="仿宋"/>
                <w:iCs/>
                <w:color w:val="auto"/>
                <w:spacing w:val="20"/>
                <w:sz w:val="24"/>
                <w:highlight w:val="none"/>
                <w:lang w:val="en-US" w:eastAsia="zh-CN"/>
              </w:rPr>
              <w:t>10</w:t>
            </w:r>
          </w:p>
        </w:tc>
        <w:tc>
          <w:tcPr>
            <w:tcW w:w="3523" w:type="dxa"/>
            <w:tcBorders>
              <w:left w:val="single" w:color="000000" w:sz="6" w:space="0"/>
              <w:bottom w:val="single" w:color="000000" w:sz="6" w:space="0"/>
              <w:right w:val="single" w:color="000000" w:sz="6" w:space="0"/>
            </w:tcBorders>
            <w:noWrap w:val="0"/>
            <w:vAlign w:val="center"/>
          </w:tcPr>
          <w:p w14:paraId="388E4103">
            <w:pPr>
              <w:pStyle w:val="53"/>
              <w:spacing w:line="360" w:lineRule="auto"/>
              <w:ind w:firstLine="280" w:firstLineChars="10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Cs/>
                <w:color w:val="auto"/>
                <w:spacing w:val="20"/>
                <w:sz w:val="24"/>
                <w:highlight w:val="none"/>
                <w:lang w:eastAsia="zh-CN"/>
              </w:rPr>
              <w:t>儿童用悬吊训练器</w:t>
            </w:r>
          </w:p>
        </w:tc>
        <w:tc>
          <w:tcPr>
            <w:tcW w:w="1125" w:type="dxa"/>
            <w:tcBorders>
              <w:left w:val="single" w:color="000000" w:sz="6" w:space="0"/>
              <w:bottom w:val="single" w:color="000000" w:sz="6" w:space="0"/>
              <w:right w:val="single" w:color="auto" w:sz="4" w:space="0"/>
            </w:tcBorders>
            <w:noWrap w:val="0"/>
            <w:vAlign w:val="center"/>
          </w:tcPr>
          <w:p w14:paraId="65B98DB1">
            <w:pPr>
              <w:pStyle w:val="53"/>
              <w:spacing w:line="360" w:lineRule="auto"/>
              <w:ind w:firstLine="280" w:firstLineChars="100"/>
              <w:jc w:val="both"/>
              <w:rPr>
                <w:rFonts w:hint="eastAsia" w:ascii="仿宋" w:hAnsi="仿宋" w:eastAsia="仿宋" w:cs="仿宋"/>
                <w:iCs/>
                <w:color w:val="auto"/>
                <w:spacing w:val="20"/>
                <w:sz w:val="24"/>
                <w:highlight w:val="none"/>
                <w:lang w:val="en-US" w:eastAsia="zh-CN"/>
              </w:rPr>
            </w:pPr>
            <w:r>
              <w:rPr>
                <w:rFonts w:hint="eastAsia" w:ascii="仿宋" w:hAnsi="仿宋" w:eastAsia="仿宋" w:cs="仿宋"/>
                <w:iCs/>
                <w:color w:val="auto"/>
                <w:spacing w:val="20"/>
                <w:sz w:val="24"/>
                <w:highlight w:val="none"/>
                <w:lang w:val="en-US" w:eastAsia="zh-CN"/>
              </w:rPr>
              <w:t>1</w:t>
            </w:r>
          </w:p>
        </w:tc>
        <w:tc>
          <w:tcPr>
            <w:tcW w:w="1000" w:type="dxa"/>
            <w:tcBorders>
              <w:left w:val="single" w:color="auto" w:sz="4" w:space="0"/>
              <w:bottom w:val="single" w:color="000000" w:sz="6" w:space="0"/>
              <w:right w:val="single" w:color="auto" w:sz="4" w:space="0"/>
            </w:tcBorders>
            <w:noWrap w:val="0"/>
            <w:vAlign w:val="center"/>
          </w:tcPr>
          <w:p w14:paraId="73CAF120">
            <w:pPr>
              <w:spacing w:line="360" w:lineRule="auto"/>
              <w:ind w:firstLine="280" w:firstLineChars="100"/>
              <w:jc w:val="both"/>
              <w:rPr>
                <w:rFonts w:hint="eastAsia" w:ascii="仿宋" w:hAnsi="仿宋" w:eastAsia="仿宋" w:cs="仿宋"/>
                <w:iCs/>
                <w:color w:val="auto"/>
                <w:spacing w:val="20"/>
                <w:sz w:val="24"/>
                <w:highlight w:val="none"/>
                <w:lang w:val="en-US" w:eastAsia="zh-CN"/>
              </w:rPr>
            </w:pPr>
            <w:r>
              <w:rPr>
                <w:rFonts w:hint="eastAsia" w:ascii="仿宋" w:hAnsi="仿宋" w:eastAsia="仿宋" w:cs="仿宋"/>
                <w:iCs/>
                <w:color w:val="auto"/>
                <w:spacing w:val="20"/>
                <w:sz w:val="24"/>
                <w:highlight w:val="none"/>
                <w:lang w:val="en-US" w:eastAsia="zh-CN"/>
              </w:rPr>
              <w:t>套</w:t>
            </w:r>
          </w:p>
        </w:tc>
        <w:tc>
          <w:tcPr>
            <w:tcW w:w="1719" w:type="dxa"/>
            <w:tcBorders>
              <w:left w:val="single" w:color="auto" w:sz="4" w:space="0"/>
              <w:bottom w:val="single" w:color="000000" w:sz="6" w:space="0"/>
            </w:tcBorders>
            <w:noWrap w:val="0"/>
            <w:vAlign w:val="center"/>
          </w:tcPr>
          <w:p w14:paraId="20705D98">
            <w:pPr>
              <w:pStyle w:val="53"/>
              <w:spacing w:line="360" w:lineRule="auto"/>
              <w:ind w:firstLine="280" w:firstLineChars="100"/>
              <w:jc w:val="center"/>
              <w:rPr>
                <w:rFonts w:hint="eastAsia" w:ascii="仿宋" w:hAnsi="仿宋" w:eastAsia="仿宋" w:cs="仿宋"/>
                <w:iCs/>
                <w:color w:val="auto"/>
                <w:spacing w:val="20"/>
                <w:sz w:val="24"/>
                <w:highlight w:val="none"/>
              </w:rPr>
            </w:pPr>
          </w:p>
        </w:tc>
        <w:tc>
          <w:tcPr>
            <w:tcW w:w="1114" w:type="dxa"/>
            <w:tcBorders>
              <w:left w:val="single" w:color="auto" w:sz="4" w:space="0"/>
              <w:bottom w:val="single" w:color="000000" w:sz="6" w:space="0"/>
            </w:tcBorders>
            <w:noWrap w:val="0"/>
            <w:vAlign w:val="center"/>
          </w:tcPr>
          <w:p w14:paraId="3668D9A5">
            <w:pPr>
              <w:pStyle w:val="53"/>
              <w:spacing w:line="360" w:lineRule="auto"/>
              <w:ind w:firstLine="280" w:firstLineChars="100"/>
              <w:jc w:val="center"/>
              <w:rPr>
                <w:rFonts w:hint="eastAsia" w:ascii="仿宋" w:hAnsi="仿宋" w:eastAsia="仿宋" w:cs="仿宋"/>
                <w:iCs/>
                <w:color w:val="auto"/>
                <w:spacing w:val="20"/>
                <w:sz w:val="24"/>
                <w:highlight w:val="none"/>
              </w:rPr>
            </w:pPr>
          </w:p>
        </w:tc>
      </w:tr>
      <w:tr w14:paraId="592DE613">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715" w:type="dxa"/>
            <w:tcBorders>
              <w:bottom w:val="single" w:color="000000" w:sz="6" w:space="0"/>
              <w:right w:val="single" w:color="000000" w:sz="6" w:space="0"/>
            </w:tcBorders>
            <w:noWrap w:val="0"/>
            <w:vAlign w:val="center"/>
          </w:tcPr>
          <w:p w14:paraId="2A5C9A36">
            <w:pPr>
              <w:pStyle w:val="53"/>
              <w:spacing w:line="360" w:lineRule="auto"/>
              <w:jc w:val="center"/>
              <w:rPr>
                <w:rFonts w:hint="default" w:ascii="仿宋" w:hAnsi="仿宋" w:eastAsia="仿宋" w:cs="仿宋"/>
                <w:iCs/>
                <w:color w:val="auto"/>
                <w:spacing w:val="20"/>
                <w:sz w:val="24"/>
                <w:highlight w:val="none"/>
                <w:lang w:val="en-US" w:eastAsia="zh-CN"/>
              </w:rPr>
            </w:pPr>
            <w:r>
              <w:rPr>
                <w:rFonts w:hint="eastAsia" w:ascii="仿宋" w:hAnsi="仿宋" w:eastAsia="仿宋" w:cs="仿宋"/>
                <w:iCs/>
                <w:color w:val="auto"/>
                <w:spacing w:val="20"/>
                <w:sz w:val="24"/>
                <w:highlight w:val="none"/>
                <w:lang w:val="en-US" w:eastAsia="zh-CN"/>
              </w:rPr>
              <w:t>11</w:t>
            </w:r>
          </w:p>
        </w:tc>
        <w:tc>
          <w:tcPr>
            <w:tcW w:w="3523" w:type="dxa"/>
            <w:tcBorders>
              <w:left w:val="single" w:color="000000" w:sz="6" w:space="0"/>
              <w:bottom w:val="single" w:color="000000" w:sz="6" w:space="0"/>
              <w:right w:val="single" w:color="000000" w:sz="6" w:space="0"/>
            </w:tcBorders>
            <w:noWrap w:val="0"/>
            <w:vAlign w:val="center"/>
          </w:tcPr>
          <w:p w14:paraId="568C4A6C">
            <w:pPr>
              <w:pStyle w:val="53"/>
              <w:spacing w:line="360" w:lineRule="auto"/>
              <w:ind w:firstLine="240" w:firstLineChars="10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眼动认知评估与训练仪</w:t>
            </w:r>
          </w:p>
        </w:tc>
        <w:tc>
          <w:tcPr>
            <w:tcW w:w="1125" w:type="dxa"/>
            <w:tcBorders>
              <w:left w:val="single" w:color="000000" w:sz="6" w:space="0"/>
              <w:bottom w:val="single" w:color="000000" w:sz="6" w:space="0"/>
              <w:right w:val="single" w:color="auto" w:sz="4" w:space="0"/>
            </w:tcBorders>
            <w:noWrap w:val="0"/>
            <w:vAlign w:val="center"/>
          </w:tcPr>
          <w:p w14:paraId="02673C58">
            <w:pPr>
              <w:pStyle w:val="53"/>
              <w:spacing w:line="360" w:lineRule="auto"/>
              <w:ind w:firstLine="280" w:firstLineChars="100"/>
              <w:jc w:val="both"/>
              <w:rPr>
                <w:rFonts w:hint="eastAsia" w:ascii="仿宋" w:hAnsi="仿宋" w:eastAsia="仿宋" w:cs="仿宋"/>
                <w:iCs/>
                <w:color w:val="auto"/>
                <w:spacing w:val="20"/>
                <w:sz w:val="24"/>
                <w:highlight w:val="none"/>
                <w:lang w:val="en-US" w:eastAsia="zh-CN"/>
              </w:rPr>
            </w:pPr>
            <w:r>
              <w:rPr>
                <w:rFonts w:hint="eastAsia" w:ascii="仿宋" w:hAnsi="仿宋" w:eastAsia="仿宋" w:cs="仿宋"/>
                <w:iCs/>
                <w:color w:val="auto"/>
                <w:spacing w:val="20"/>
                <w:sz w:val="24"/>
                <w:highlight w:val="none"/>
                <w:lang w:val="en-US" w:eastAsia="zh-CN"/>
              </w:rPr>
              <w:t>1</w:t>
            </w:r>
          </w:p>
        </w:tc>
        <w:tc>
          <w:tcPr>
            <w:tcW w:w="1000" w:type="dxa"/>
            <w:tcBorders>
              <w:left w:val="single" w:color="auto" w:sz="4" w:space="0"/>
              <w:bottom w:val="single" w:color="000000" w:sz="6" w:space="0"/>
              <w:right w:val="single" w:color="auto" w:sz="4" w:space="0"/>
            </w:tcBorders>
            <w:noWrap w:val="0"/>
            <w:vAlign w:val="center"/>
          </w:tcPr>
          <w:p w14:paraId="2E9A0208">
            <w:pPr>
              <w:spacing w:line="360" w:lineRule="auto"/>
              <w:ind w:firstLine="280" w:firstLineChars="100"/>
              <w:jc w:val="both"/>
              <w:rPr>
                <w:rFonts w:hint="eastAsia" w:ascii="仿宋" w:hAnsi="仿宋" w:eastAsia="仿宋" w:cs="仿宋"/>
                <w:iCs/>
                <w:color w:val="auto"/>
                <w:spacing w:val="20"/>
                <w:sz w:val="24"/>
                <w:highlight w:val="none"/>
                <w:lang w:val="en-US" w:eastAsia="zh-CN"/>
              </w:rPr>
            </w:pPr>
            <w:r>
              <w:rPr>
                <w:rFonts w:hint="eastAsia" w:ascii="仿宋" w:hAnsi="仿宋" w:eastAsia="仿宋" w:cs="仿宋"/>
                <w:iCs/>
                <w:color w:val="auto"/>
                <w:spacing w:val="20"/>
                <w:sz w:val="24"/>
                <w:highlight w:val="none"/>
                <w:lang w:val="en-US" w:eastAsia="zh-CN"/>
              </w:rPr>
              <w:t>套</w:t>
            </w:r>
          </w:p>
        </w:tc>
        <w:tc>
          <w:tcPr>
            <w:tcW w:w="1719" w:type="dxa"/>
            <w:tcBorders>
              <w:left w:val="single" w:color="auto" w:sz="4" w:space="0"/>
              <w:bottom w:val="single" w:color="000000" w:sz="6" w:space="0"/>
            </w:tcBorders>
            <w:noWrap w:val="0"/>
            <w:vAlign w:val="center"/>
          </w:tcPr>
          <w:p w14:paraId="0ECA9B42">
            <w:pPr>
              <w:pStyle w:val="53"/>
              <w:spacing w:line="360" w:lineRule="auto"/>
              <w:ind w:firstLine="280" w:firstLineChars="100"/>
              <w:jc w:val="center"/>
              <w:rPr>
                <w:rFonts w:hint="eastAsia" w:ascii="仿宋" w:hAnsi="仿宋" w:eastAsia="仿宋" w:cs="仿宋"/>
                <w:iCs/>
                <w:color w:val="auto"/>
                <w:spacing w:val="20"/>
                <w:sz w:val="24"/>
                <w:highlight w:val="none"/>
              </w:rPr>
            </w:pPr>
          </w:p>
        </w:tc>
        <w:tc>
          <w:tcPr>
            <w:tcW w:w="1114" w:type="dxa"/>
            <w:tcBorders>
              <w:left w:val="single" w:color="auto" w:sz="4" w:space="0"/>
              <w:bottom w:val="single" w:color="000000" w:sz="6" w:space="0"/>
            </w:tcBorders>
            <w:noWrap w:val="0"/>
            <w:vAlign w:val="center"/>
          </w:tcPr>
          <w:p w14:paraId="04442265">
            <w:pPr>
              <w:pStyle w:val="53"/>
              <w:spacing w:line="360" w:lineRule="auto"/>
              <w:ind w:firstLine="280" w:firstLineChars="100"/>
              <w:jc w:val="center"/>
              <w:rPr>
                <w:rFonts w:hint="eastAsia" w:ascii="仿宋" w:hAnsi="仿宋" w:eastAsia="仿宋" w:cs="仿宋"/>
                <w:iCs/>
                <w:color w:val="auto"/>
                <w:spacing w:val="20"/>
                <w:sz w:val="24"/>
                <w:highlight w:val="none"/>
              </w:rPr>
            </w:pPr>
          </w:p>
        </w:tc>
      </w:tr>
      <w:tr w14:paraId="400A7202">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631" w:hRule="atLeast"/>
          <w:jc w:val="center"/>
        </w:trPr>
        <w:tc>
          <w:tcPr>
            <w:tcW w:w="715" w:type="dxa"/>
            <w:tcBorders>
              <w:top w:val="single" w:color="000000" w:sz="6" w:space="0"/>
              <w:right w:val="single" w:color="000000" w:sz="6" w:space="0"/>
            </w:tcBorders>
            <w:noWrap w:val="0"/>
            <w:vAlign w:val="bottom"/>
          </w:tcPr>
          <w:p w14:paraId="4C05C646">
            <w:pPr>
              <w:pStyle w:val="53"/>
              <w:spacing w:line="360" w:lineRule="auto"/>
              <w:jc w:val="center"/>
              <w:rPr>
                <w:rFonts w:hint="eastAsia" w:ascii="宋体" w:hAnsi="宋体" w:eastAsia="宋体" w:cs="宋体"/>
                <w:iCs/>
                <w:color w:val="auto"/>
                <w:spacing w:val="20"/>
                <w:sz w:val="24"/>
                <w:highlight w:val="none"/>
                <w:lang w:val="en-US" w:eastAsia="zh-CN"/>
              </w:rPr>
            </w:pPr>
          </w:p>
        </w:tc>
        <w:tc>
          <w:tcPr>
            <w:tcW w:w="3523" w:type="dxa"/>
            <w:tcBorders>
              <w:top w:val="single" w:color="000000" w:sz="6" w:space="0"/>
              <w:left w:val="single" w:color="000000" w:sz="6" w:space="0"/>
              <w:right w:val="single" w:color="000000" w:sz="6" w:space="0"/>
            </w:tcBorders>
            <w:noWrap w:val="0"/>
            <w:vAlign w:val="bottom"/>
          </w:tcPr>
          <w:p w14:paraId="6C1BE8D8">
            <w:pPr>
              <w:pStyle w:val="53"/>
              <w:spacing w:line="360" w:lineRule="auto"/>
              <w:ind w:firstLine="280" w:firstLineChars="100"/>
              <w:jc w:val="center"/>
              <w:rPr>
                <w:rFonts w:hint="eastAsia" w:ascii="宋体" w:hAnsi="宋体" w:eastAsia="宋体" w:cs="宋体"/>
                <w:iCs/>
                <w:color w:val="auto"/>
                <w:spacing w:val="20"/>
                <w:sz w:val="24"/>
                <w:highlight w:val="none"/>
                <w:lang w:eastAsia="zh-CN"/>
              </w:rPr>
            </w:pPr>
            <w:r>
              <w:rPr>
                <w:rFonts w:hint="eastAsia" w:ascii="宋体" w:hAnsi="宋体" w:eastAsia="宋体" w:cs="宋体"/>
                <w:iCs/>
                <w:color w:val="auto"/>
                <w:spacing w:val="20"/>
                <w:sz w:val="24"/>
                <w:highlight w:val="none"/>
                <w:lang w:eastAsia="zh-CN"/>
              </w:rPr>
              <w:t>合计</w:t>
            </w:r>
          </w:p>
        </w:tc>
        <w:tc>
          <w:tcPr>
            <w:tcW w:w="4958" w:type="dxa"/>
            <w:gridSpan w:val="4"/>
            <w:tcBorders>
              <w:top w:val="single" w:color="000000" w:sz="6" w:space="0"/>
              <w:left w:val="single" w:color="000000" w:sz="6" w:space="0"/>
            </w:tcBorders>
            <w:noWrap w:val="0"/>
            <w:vAlign w:val="bottom"/>
          </w:tcPr>
          <w:p w14:paraId="73A1401F">
            <w:pPr>
              <w:pStyle w:val="53"/>
              <w:spacing w:line="360" w:lineRule="auto"/>
              <w:ind w:firstLine="280" w:firstLineChars="100"/>
              <w:jc w:val="center"/>
              <w:rPr>
                <w:rFonts w:hint="eastAsia" w:ascii="宋体" w:hAnsi="宋体" w:eastAsia="宋体" w:cs="宋体"/>
                <w:iCs/>
                <w:color w:val="auto"/>
                <w:spacing w:val="20"/>
                <w:sz w:val="24"/>
                <w:highlight w:val="none"/>
              </w:rPr>
            </w:pPr>
            <w:r>
              <w:rPr>
                <w:rFonts w:hint="eastAsia" w:ascii="宋体" w:hAnsi="宋体" w:cs="宋体"/>
                <w:iCs/>
                <w:color w:val="auto"/>
                <w:spacing w:val="20"/>
                <w:sz w:val="24"/>
                <w:highlight w:val="none"/>
                <w:lang w:val="en-US" w:eastAsia="zh-CN"/>
              </w:rPr>
              <w:t xml:space="preserve"> </w:t>
            </w:r>
            <w:r>
              <w:rPr>
                <w:rFonts w:hint="eastAsia" w:ascii="宋体" w:hAnsi="宋体" w:eastAsia="宋体" w:cs="宋体"/>
                <w:iCs/>
                <w:color w:val="auto"/>
                <w:spacing w:val="20"/>
                <w:sz w:val="24"/>
                <w:highlight w:val="none"/>
              </w:rPr>
              <w:t>大写</w:t>
            </w:r>
            <w:r>
              <w:rPr>
                <w:rFonts w:hint="eastAsia" w:ascii="宋体" w:hAnsi="宋体" w:eastAsia="宋体" w:cs="宋体"/>
                <w:iCs/>
                <w:color w:val="auto"/>
                <w:spacing w:val="20"/>
                <w:sz w:val="24"/>
                <w:highlight w:val="none"/>
                <w:u w:val="none"/>
              </w:rPr>
              <w:t>：</w:t>
            </w:r>
            <w:r>
              <w:rPr>
                <w:rFonts w:hint="eastAsia" w:ascii="宋体" w:hAnsi="宋体" w:eastAsia="宋体" w:cs="宋体"/>
                <w:iCs/>
                <w:color w:val="auto"/>
                <w:spacing w:val="20"/>
                <w:sz w:val="24"/>
                <w:highlight w:val="none"/>
                <w:u w:val="single"/>
                <w:lang w:val="en-US" w:eastAsia="zh-CN"/>
              </w:rPr>
              <w:t xml:space="preserve"> </w:t>
            </w:r>
            <w:r>
              <w:rPr>
                <w:rFonts w:hint="eastAsia" w:ascii="宋体" w:hAnsi="宋体" w:eastAsia="宋体" w:cs="宋体"/>
                <w:iCs/>
                <w:color w:val="auto"/>
                <w:spacing w:val="20"/>
                <w:sz w:val="24"/>
                <w:highlight w:val="none"/>
                <w:u w:val="single"/>
              </w:rPr>
              <w:t xml:space="preserve">   </w:t>
            </w:r>
            <w:r>
              <w:rPr>
                <w:rFonts w:hint="eastAsia" w:ascii="宋体" w:hAnsi="宋体" w:eastAsia="宋体" w:cs="宋体"/>
                <w:iCs/>
                <w:color w:val="auto"/>
                <w:spacing w:val="20"/>
                <w:sz w:val="24"/>
                <w:highlight w:val="none"/>
                <w:u w:val="single"/>
                <w:lang w:val="en-US" w:eastAsia="zh-CN"/>
              </w:rPr>
              <w:t xml:space="preserve">   </w:t>
            </w:r>
            <w:r>
              <w:rPr>
                <w:rFonts w:hint="eastAsia" w:ascii="宋体" w:hAnsi="宋体" w:eastAsia="宋体" w:cs="宋体"/>
                <w:iCs/>
                <w:color w:val="auto"/>
                <w:spacing w:val="20"/>
                <w:sz w:val="24"/>
                <w:highlight w:val="none"/>
              </w:rPr>
              <w:t>元整</w:t>
            </w:r>
          </w:p>
          <w:p w14:paraId="4C5CF7DB">
            <w:pPr>
              <w:pStyle w:val="53"/>
              <w:spacing w:line="360" w:lineRule="auto"/>
              <w:ind w:firstLine="1400" w:firstLineChars="500"/>
              <w:jc w:val="both"/>
              <w:rPr>
                <w:rFonts w:hint="eastAsia" w:ascii="宋体" w:hAnsi="宋体" w:eastAsia="宋体" w:cs="宋体"/>
                <w:iCs/>
                <w:color w:val="auto"/>
                <w:spacing w:val="20"/>
                <w:sz w:val="24"/>
                <w:highlight w:val="none"/>
              </w:rPr>
            </w:pPr>
            <w:r>
              <w:rPr>
                <w:rFonts w:hint="eastAsia" w:ascii="宋体" w:hAnsi="宋体" w:cs="宋体"/>
                <w:iCs/>
                <w:color w:val="auto"/>
                <w:spacing w:val="20"/>
                <w:sz w:val="24"/>
                <w:highlight w:val="none"/>
                <w:lang w:val="en-US" w:eastAsia="zh-CN"/>
              </w:rPr>
              <w:t>小写：</w:t>
            </w:r>
            <w:r>
              <w:rPr>
                <w:rFonts w:hint="eastAsia" w:ascii="宋体" w:hAnsi="宋体" w:eastAsia="宋体" w:cs="宋体"/>
                <w:iCs/>
                <w:color w:val="auto"/>
                <w:spacing w:val="20"/>
                <w:sz w:val="24"/>
                <w:highlight w:val="none"/>
              </w:rPr>
              <w:t>￥</w:t>
            </w:r>
            <w:r>
              <w:rPr>
                <w:rFonts w:hint="eastAsia" w:ascii="宋体" w:hAnsi="宋体" w:eastAsia="宋体" w:cs="宋体"/>
                <w:iCs/>
                <w:color w:val="auto"/>
                <w:spacing w:val="20"/>
                <w:sz w:val="24"/>
                <w:highlight w:val="none"/>
                <w:u w:val="single"/>
              </w:rPr>
              <w:t xml:space="preserve">   </w:t>
            </w:r>
            <w:r>
              <w:rPr>
                <w:rFonts w:hint="eastAsia" w:ascii="宋体" w:hAnsi="宋体" w:eastAsia="宋体" w:cs="宋体"/>
                <w:iCs/>
                <w:color w:val="auto"/>
                <w:spacing w:val="20"/>
                <w:sz w:val="24"/>
                <w:highlight w:val="none"/>
                <w:u w:val="single"/>
                <w:lang w:val="en-US" w:eastAsia="zh-CN"/>
              </w:rPr>
              <w:t xml:space="preserve"> </w:t>
            </w:r>
            <w:r>
              <w:rPr>
                <w:rFonts w:hint="eastAsia" w:ascii="宋体" w:hAnsi="宋体" w:eastAsia="宋体" w:cs="宋体"/>
                <w:iCs/>
                <w:color w:val="auto"/>
                <w:spacing w:val="20"/>
                <w:sz w:val="24"/>
                <w:highlight w:val="none"/>
                <w:u w:val="single"/>
              </w:rPr>
              <w:t xml:space="preserve">   </w:t>
            </w:r>
          </w:p>
        </w:tc>
      </w:tr>
    </w:tbl>
    <w:p w14:paraId="5690CB3F">
      <w:pPr>
        <w:widowControl w:val="0"/>
        <w:adjustRightInd/>
        <w:snapToGrid/>
        <w:spacing w:after="0" w:line="360" w:lineRule="exact"/>
        <w:jc w:val="both"/>
        <w:rPr>
          <w:rFonts w:hint="eastAsia" w:ascii="微软雅黑" w:hAnsi="微软雅黑" w:cs="微软雅黑"/>
          <w:b w:val="0"/>
          <w:bCs w:val="0"/>
          <w:color w:val="auto"/>
          <w:kern w:val="2"/>
          <w:highlight w:val="none"/>
        </w:rPr>
      </w:pPr>
      <w:r>
        <w:rPr>
          <w:rFonts w:hint="eastAsia" w:ascii="宋体" w:hAnsi="宋体" w:eastAsia="宋体" w:cs="宋体"/>
          <w:b w:val="0"/>
          <w:bCs w:val="0"/>
          <w:color w:val="auto"/>
          <w:sz w:val="22"/>
          <w:szCs w:val="22"/>
          <w:highlight w:val="none"/>
        </w:rPr>
        <w:t xml:space="preserve">  </w:t>
      </w:r>
      <w:r>
        <w:rPr>
          <w:rFonts w:hint="eastAsia" w:ascii="微软雅黑" w:hAnsi="微软雅黑" w:cs="微软雅黑"/>
          <w:b w:val="0"/>
          <w:bCs w:val="0"/>
          <w:color w:val="auto"/>
          <w:kern w:val="2"/>
          <w:highlight w:val="none"/>
        </w:rPr>
        <w:t xml:space="preserve">注：1.最终按采购人实际采购数量*中标单价来结算。 </w:t>
      </w:r>
    </w:p>
    <w:p w14:paraId="49C71517">
      <w:pPr>
        <w:widowControl w:val="0"/>
        <w:adjustRightInd/>
        <w:snapToGrid/>
        <w:spacing w:after="0" w:line="360" w:lineRule="exact"/>
        <w:ind w:firstLine="630" w:firstLineChars="300"/>
        <w:jc w:val="both"/>
        <w:rPr>
          <w:rFonts w:hint="eastAsia" w:ascii="微软雅黑" w:hAnsi="微软雅黑" w:cs="微软雅黑"/>
          <w:b w:val="0"/>
          <w:bCs w:val="0"/>
          <w:color w:val="auto"/>
          <w:kern w:val="2"/>
          <w:highlight w:val="none"/>
        </w:rPr>
      </w:pPr>
      <w:r>
        <w:rPr>
          <w:rFonts w:hint="eastAsia" w:ascii="微软雅黑" w:hAnsi="微软雅黑" w:cs="微软雅黑"/>
          <w:b w:val="0"/>
          <w:bCs w:val="0"/>
          <w:color w:val="auto"/>
          <w:kern w:val="2"/>
          <w:highlight w:val="none"/>
        </w:rPr>
        <w:t>2. 合计应与“开标一览表”中投标报价相一致。</w:t>
      </w:r>
    </w:p>
    <w:p w14:paraId="1E74AED9">
      <w:pPr>
        <w:widowControl w:val="0"/>
        <w:adjustRightInd/>
        <w:snapToGrid/>
        <w:spacing w:after="0" w:line="360" w:lineRule="exact"/>
        <w:ind w:firstLine="630" w:firstLineChars="300"/>
        <w:jc w:val="both"/>
        <w:rPr>
          <w:rFonts w:hint="eastAsia" w:ascii="微软雅黑" w:hAnsi="微软雅黑" w:cs="微软雅黑"/>
          <w:b w:val="0"/>
          <w:bCs w:val="0"/>
          <w:color w:val="auto"/>
          <w:kern w:val="2"/>
          <w:highlight w:val="none"/>
        </w:rPr>
      </w:pPr>
      <w:r>
        <w:rPr>
          <w:rFonts w:hint="eastAsia" w:ascii="微软雅黑" w:hAnsi="微软雅黑" w:cs="微软雅黑"/>
          <w:b w:val="0"/>
          <w:bCs w:val="0"/>
          <w:color w:val="auto"/>
          <w:kern w:val="2"/>
          <w:highlight w:val="none"/>
        </w:rPr>
        <w:t>3. 本表所列费用为本项目的全部费用，除此外，不允许增加任何费用。</w:t>
      </w:r>
    </w:p>
    <w:p w14:paraId="304B599E">
      <w:pPr>
        <w:widowControl w:val="0"/>
        <w:adjustRightInd/>
        <w:snapToGrid/>
        <w:spacing w:after="0" w:line="360" w:lineRule="exact"/>
        <w:ind w:firstLine="630" w:firstLineChars="300"/>
        <w:jc w:val="both"/>
        <w:rPr>
          <w:rFonts w:hint="eastAsia" w:ascii="微软雅黑" w:hAnsi="微软雅黑" w:cs="微软雅黑"/>
          <w:b w:val="0"/>
          <w:bCs w:val="0"/>
          <w:color w:val="auto"/>
          <w:kern w:val="2"/>
          <w:highlight w:val="none"/>
        </w:rPr>
      </w:pPr>
      <w:r>
        <w:rPr>
          <w:rFonts w:hint="eastAsia" w:ascii="微软雅黑" w:hAnsi="微软雅黑" w:cs="微软雅黑"/>
          <w:b w:val="0"/>
          <w:bCs w:val="0"/>
          <w:color w:val="auto"/>
          <w:kern w:val="2"/>
          <w:highlight w:val="none"/>
        </w:rPr>
        <w:t>4.本表可在不改变格式的情况下根据具体需要自行增减。</w:t>
      </w:r>
    </w:p>
    <w:p w14:paraId="185422F0">
      <w:pPr>
        <w:keepNext w:val="0"/>
        <w:keepLines w:val="0"/>
        <w:pageBreakBefore w:val="0"/>
        <w:kinsoku/>
        <w:topLinePunct w:val="0"/>
        <w:bidi w:val="0"/>
        <w:spacing w:line="54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14:paraId="239FFF2F">
      <w:pPr>
        <w:keepNext w:val="0"/>
        <w:keepLines w:val="0"/>
        <w:pageBreakBefore w:val="0"/>
        <w:kinsoku/>
        <w:topLinePunct w:val="0"/>
        <w:bidi w:val="0"/>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投标人名称（盖章）：                             </w:t>
      </w:r>
    </w:p>
    <w:p w14:paraId="5AC589A4">
      <w:pPr>
        <w:keepNext w:val="0"/>
        <w:keepLines w:val="0"/>
        <w:pageBreakBefore w:val="0"/>
        <w:kinsoku/>
        <w:topLinePunct w:val="0"/>
        <w:bidi w:val="0"/>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法定代表人或被授权代表（签字或盖章）：              </w:t>
      </w:r>
    </w:p>
    <w:p w14:paraId="1B056630">
      <w:pPr>
        <w:keepNext w:val="0"/>
        <w:keepLines w:val="0"/>
        <w:pageBreakBefore w:val="0"/>
        <w:kinsoku/>
        <w:topLinePunct w:val="0"/>
        <w:bidi w:val="0"/>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47EF905A">
      <w:pPr>
        <w:pStyle w:val="43"/>
        <w:keepNext w:val="0"/>
        <w:keepLines w:val="0"/>
        <w:pageBreakBefore w:val="0"/>
        <w:kinsoku/>
        <w:topLinePunct w:val="0"/>
        <w:bidi w:val="0"/>
        <w:rPr>
          <w:rFonts w:hint="eastAsia" w:eastAsia="微软雅黑" w:cs="宋体"/>
          <w:b/>
          <w:color w:val="auto"/>
          <w:szCs w:val="24"/>
          <w:highlight w:val="none"/>
          <w:lang w:val="en-US" w:eastAsia="zh-CN"/>
        </w:rPr>
      </w:pPr>
    </w:p>
    <w:p w14:paraId="20901E1A">
      <w:pPr>
        <w:pStyle w:val="43"/>
        <w:keepNext w:val="0"/>
        <w:keepLines w:val="0"/>
        <w:pageBreakBefore w:val="0"/>
        <w:kinsoku/>
        <w:topLinePunct w:val="0"/>
        <w:bidi w:val="0"/>
        <w:jc w:val="both"/>
        <w:rPr>
          <w:rFonts w:hint="eastAsia" w:ascii="宋体" w:hAnsi="宋体" w:eastAsia="宋体" w:cs="宋体"/>
          <w:b/>
          <w:color w:val="auto"/>
          <w:szCs w:val="24"/>
          <w:highlight w:val="none"/>
          <w:lang w:val="en-US"/>
        </w:rPr>
      </w:pPr>
    </w:p>
    <w:p w14:paraId="72D0BEF0">
      <w:pPr>
        <w:pStyle w:val="43"/>
        <w:keepNext w:val="0"/>
        <w:keepLines w:val="0"/>
        <w:pageBreakBefore w:val="0"/>
        <w:kinsoku/>
        <w:topLinePunct w:val="0"/>
        <w:bidi w:val="0"/>
        <w:jc w:val="center"/>
        <w:rPr>
          <w:rFonts w:hint="eastAsia" w:ascii="宋体" w:hAnsi="宋体" w:eastAsia="宋体" w:cs="宋体"/>
          <w:b/>
          <w:color w:val="auto"/>
          <w:szCs w:val="24"/>
          <w:highlight w:val="none"/>
          <w:lang w:val="en-US"/>
        </w:rPr>
      </w:pPr>
    </w:p>
    <w:p w14:paraId="13253248">
      <w:pPr>
        <w:pStyle w:val="43"/>
        <w:keepNext w:val="0"/>
        <w:keepLines w:val="0"/>
        <w:pageBreakBefore w:val="0"/>
        <w:kinsoku/>
        <w:topLinePunct w:val="0"/>
        <w:bidi w:val="0"/>
        <w:jc w:val="center"/>
        <w:rPr>
          <w:rFonts w:hint="eastAsia" w:ascii="宋体" w:hAnsi="宋体" w:eastAsia="宋体" w:cs="宋体"/>
          <w:b/>
          <w:color w:val="auto"/>
          <w:sz w:val="30"/>
          <w:szCs w:val="30"/>
          <w:highlight w:val="none"/>
          <w:lang w:val="en-US"/>
        </w:rPr>
      </w:pPr>
      <w:r>
        <w:rPr>
          <w:rFonts w:hint="eastAsia" w:ascii="宋体" w:hAnsi="宋体" w:eastAsia="宋体" w:cs="宋体"/>
          <w:b/>
          <w:color w:val="auto"/>
          <w:sz w:val="30"/>
          <w:szCs w:val="30"/>
          <w:highlight w:val="none"/>
          <w:lang w:val="en-US"/>
        </w:rPr>
        <w:t>中小企业声明函（</w:t>
      </w:r>
      <w:r>
        <w:rPr>
          <w:rFonts w:hint="eastAsia" w:ascii="宋体" w:hAnsi="宋体" w:eastAsia="宋体" w:cs="宋体"/>
          <w:b/>
          <w:color w:val="auto"/>
          <w:sz w:val="30"/>
          <w:szCs w:val="30"/>
          <w:highlight w:val="none"/>
          <w:lang w:val="en-US" w:eastAsia="zh-CN"/>
        </w:rPr>
        <w:t>货物</w:t>
      </w:r>
      <w:r>
        <w:rPr>
          <w:rFonts w:hint="eastAsia" w:ascii="宋体" w:hAnsi="宋体" w:eastAsia="宋体" w:cs="宋体"/>
          <w:b/>
          <w:color w:val="auto"/>
          <w:sz w:val="30"/>
          <w:szCs w:val="30"/>
          <w:highlight w:val="none"/>
          <w:lang w:val="en-US"/>
        </w:rPr>
        <w:t>）</w:t>
      </w:r>
    </w:p>
    <w:p w14:paraId="33AA39E1">
      <w:pPr>
        <w:keepNext w:val="0"/>
        <w:keepLines w:val="0"/>
        <w:pageBreakBefore w:val="0"/>
        <w:kinsoku/>
        <w:topLinePunct w:val="0"/>
        <w:bidi w:val="0"/>
        <w:spacing w:line="240" w:lineRule="auto"/>
        <w:ind w:firstLine="464" w:firstLineChars="200"/>
        <w:rPr>
          <w:rFonts w:hint="eastAsia" w:ascii="微软雅黑" w:hAnsi="微软雅黑" w:eastAsia="微软雅黑" w:cs="微软雅黑"/>
          <w:color w:val="auto"/>
          <w:spacing w:val="6"/>
          <w:sz w:val="22"/>
          <w:szCs w:val="22"/>
          <w:highlight w:val="none"/>
        </w:rPr>
      </w:pPr>
    </w:p>
    <w:p w14:paraId="6A2EF9FB">
      <w:pPr>
        <w:widowControl w:val="0"/>
        <w:adjustRightInd/>
        <w:snapToGrid/>
        <w:spacing w:after="0" w:line="560" w:lineRule="exact"/>
        <w:ind w:firstLine="444" w:firstLineChars="200"/>
        <w:jc w:val="both"/>
        <w:rPr>
          <w:rFonts w:hint="eastAsia" w:ascii="宋体" w:hAnsi="宋体" w:eastAsia="宋体" w:cs="宋体"/>
          <w:i w:val="0"/>
          <w:iCs w:val="0"/>
          <w:color w:val="auto"/>
          <w:spacing w:val="6"/>
          <w:kern w:val="2"/>
          <w:sz w:val="21"/>
          <w:szCs w:val="21"/>
          <w:highlight w:val="none"/>
        </w:rPr>
      </w:pPr>
      <w:r>
        <w:rPr>
          <w:rFonts w:hint="eastAsia" w:ascii="宋体" w:hAnsi="宋体" w:eastAsia="宋体" w:cs="宋体"/>
          <w:i w:val="0"/>
          <w:iCs w:val="0"/>
          <w:color w:val="auto"/>
          <w:spacing w:val="6"/>
          <w:kern w:val="2"/>
          <w:sz w:val="21"/>
          <w:szCs w:val="21"/>
          <w:highlight w:val="none"/>
        </w:rPr>
        <w:t>本公司</w:t>
      </w:r>
      <w:r>
        <w:rPr>
          <w:rFonts w:hint="eastAsia" w:ascii="宋体" w:hAnsi="宋体" w:eastAsia="宋体" w:cs="宋体"/>
          <w:i w:val="0"/>
          <w:iCs w:val="0"/>
          <w:color w:val="auto"/>
          <w:spacing w:val="6"/>
          <w:kern w:val="2"/>
          <w:sz w:val="21"/>
          <w:szCs w:val="21"/>
          <w:highlight w:val="none"/>
          <w:lang w:eastAsia="zh-CN"/>
        </w:rPr>
        <w:t>（联合体）</w:t>
      </w:r>
      <w:r>
        <w:rPr>
          <w:rFonts w:hint="eastAsia" w:ascii="宋体" w:hAnsi="宋体" w:eastAsia="宋体" w:cs="宋体"/>
          <w:i w:val="0"/>
          <w:iCs w:val="0"/>
          <w:color w:val="auto"/>
          <w:spacing w:val="6"/>
          <w:kern w:val="2"/>
          <w:sz w:val="21"/>
          <w:szCs w:val="21"/>
          <w:highlight w:val="none"/>
        </w:rPr>
        <w:t>郑重声明，根据《政府采购促进中小企业发展</w:t>
      </w:r>
      <w:r>
        <w:rPr>
          <w:rFonts w:hint="eastAsia" w:ascii="宋体" w:hAnsi="宋体" w:eastAsia="宋体" w:cs="宋体"/>
          <w:i w:val="0"/>
          <w:iCs w:val="0"/>
          <w:color w:val="auto"/>
          <w:spacing w:val="6"/>
          <w:kern w:val="2"/>
          <w:sz w:val="21"/>
          <w:szCs w:val="21"/>
          <w:highlight w:val="none"/>
          <w:lang w:eastAsia="zh-CN"/>
        </w:rPr>
        <w:t>管理</w:t>
      </w:r>
      <w:r>
        <w:rPr>
          <w:rFonts w:hint="eastAsia" w:ascii="宋体" w:hAnsi="宋体" w:eastAsia="宋体" w:cs="宋体"/>
          <w:i w:val="0"/>
          <w:iCs w:val="0"/>
          <w:color w:val="auto"/>
          <w:spacing w:val="6"/>
          <w:kern w:val="2"/>
          <w:sz w:val="21"/>
          <w:szCs w:val="21"/>
          <w:highlight w:val="none"/>
        </w:rPr>
        <w:t>办法》（财库[20</w:t>
      </w:r>
      <w:r>
        <w:rPr>
          <w:rFonts w:hint="eastAsia" w:ascii="宋体" w:hAnsi="宋体" w:eastAsia="宋体" w:cs="宋体"/>
          <w:i w:val="0"/>
          <w:iCs w:val="0"/>
          <w:color w:val="auto"/>
          <w:spacing w:val="6"/>
          <w:kern w:val="2"/>
          <w:sz w:val="21"/>
          <w:szCs w:val="21"/>
          <w:highlight w:val="none"/>
          <w:lang w:val="en-US" w:eastAsia="zh-CN"/>
        </w:rPr>
        <w:t>20</w:t>
      </w:r>
      <w:r>
        <w:rPr>
          <w:rFonts w:hint="eastAsia" w:ascii="宋体" w:hAnsi="宋体" w:eastAsia="宋体" w:cs="宋体"/>
          <w:i w:val="0"/>
          <w:iCs w:val="0"/>
          <w:color w:val="auto"/>
          <w:spacing w:val="6"/>
          <w:kern w:val="2"/>
          <w:sz w:val="21"/>
          <w:szCs w:val="21"/>
          <w:highlight w:val="none"/>
        </w:rPr>
        <w:t>]</w:t>
      </w:r>
      <w:r>
        <w:rPr>
          <w:rFonts w:hint="eastAsia" w:ascii="宋体" w:hAnsi="宋体" w:eastAsia="宋体" w:cs="宋体"/>
          <w:i w:val="0"/>
          <w:iCs w:val="0"/>
          <w:color w:val="auto"/>
          <w:spacing w:val="6"/>
          <w:kern w:val="2"/>
          <w:sz w:val="21"/>
          <w:szCs w:val="21"/>
          <w:highlight w:val="none"/>
          <w:lang w:val="en-US" w:eastAsia="zh-CN"/>
        </w:rPr>
        <w:t>46</w:t>
      </w:r>
      <w:r>
        <w:rPr>
          <w:rFonts w:hint="eastAsia" w:ascii="宋体" w:hAnsi="宋体" w:eastAsia="宋体" w:cs="宋体"/>
          <w:i w:val="0"/>
          <w:iCs w:val="0"/>
          <w:color w:val="auto"/>
          <w:spacing w:val="6"/>
          <w:kern w:val="2"/>
          <w:sz w:val="21"/>
          <w:szCs w:val="21"/>
          <w:highlight w:val="none"/>
        </w:rPr>
        <w:t>号）的规定，本公司</w:t>
      </w:r>
      <w:r>
        <w:rPr>
          <w:rFonts w:hint="eastAsia" w:ascii="宋体" w:hAnsi="宋体" w:eastAsia="宋体" w:cs="宋体"/>
          <w:i w:val="0"/>
          <w:iCs w:val="0"/>
          <w:color w:val="auto"/>
          <w:spacing w:val="6"/>
          <w:kern w:val="2"/>
          <w:sz w:val="21"/>
          <w:szCs w:val="21"/>
          <w:highlight w:val="none"/>
          <w:lang w:eastAsia="zh-CN"/>
        </w:rPr>
        <w:t>（联合体）参加</w:t>
      </w:r>
      <w:r>
        <w:rPr>
          <w:rFonts w:hint="eastAsia" w:ascii="宋体" w:hAnsi="宋体" w:eastAsia="宋体" w:cs="宋体"/>
          <w:i w:val="0"/>
          <w:iCs w:val="0"/>
          <w:color w:val="auto"/>
          <w:spacing w:val="6"/>
          <w:kern w:val="2"/>
          <w:sz w:val="21"/>
          <w:szCs w:val="21"/>
          <w:highlight w:val="none"/>
          <w:u w:val="single"/>
          <w:lang w:val="en-US" w:eastAsia="zh-CN"/>
        </w:rPr>
        <w:t>（单位名称）</w:t>
      </w:r>
      <w:r>
        <w:rPr>
          <w:rFonts w:hint="eastAsia" w:ascii="宋体" w:hAnsi="宋体" w:eastAsia="宋体" w:cs="宋体"/>
          <w:i w:val="0"/>
          <w:iCs w:val="0"/>
          <w:color w:val="auto"/>
          <w:spacing w:val="6"/>
          <w:kern w:val="2"/>
          <w:sz w:val="21"/>
          <w:szCs w:val="21"/>
          <w:highlight w:val="none"/>
          <w:lang w:val="en-US" w:eastAsia="zh-CN"/>
        </w:rPr>
        <w:t>的</w:t>
      </w:r>
      <w:r>
        <w:rPr>
          <w:rFonts w:hint="eastAsia" w:ascii="宋体" w:hAnsi="宋体" w:eastAsia="宋体" w:cs="宋体"/>
          <w:i w:val="0"/>
          <w:iCs w:val="0"/>
          <w:color w:val="auto"/>
          <w:spacing w:val="6"/>
          <w:kern w:val="2"/>
          <w:sz w:val="21"/>
          <w:szCs w:val="21"/>
          <w:highlight w:val="none"/>
          <w:u w:val="single"/>
          <w:lang w:val="en-US" w:eastAsia="zh-CN"/>
        </w:rPr>
        <w:t xml:space="preserve"> （项目名称）  </w:t>
      </w:r>
      <w:r>
        <w:rPr>
          <w:rFonts w:hint="eastAsia" w:ascii="宋体" w:hAnsi="宋体" w:eastAsia="宋体" w:cs="宋体"/>
          <w:i w:val="0"/>
          <w:iCs w:val="0"/>
          <w:color w:val="auto"/>
          <w:spacing w:val="6"/>
          <w:kern w:val="2"/>
          <w:sz w:val="21"/>
          <w:szCs w:val="21"/>
          <w:highlight w:val="none"/>
          <w:lang w:val="en-US" w:eastAsia="zh-CN"/>
        </w:rPr>
        <w:t>采购活动，提供的服务全部由符合政策要求的中小企业提供。相关企业（含联合体中的中小企业、签订分包意向协议的中小企业）的具体情况如下：</w:t>
      </w:r>
    </w:p>
    <w:p w14:paraId="57C06B99">
      <w:pPr>
        <w:widowControl w:val="0"/>
        <w:numPr>
          <w:ilvl w:val="0"/>
          <w:numId w:val="9"/>
        </w:numPr>
        <w:adjustRightInd/>
        <w:snapToGrid/>
        <w:spacing w:after="0" w:line="560" w:lineRule="exact"/>
        <w:ind w:firstLine="444" w:firstLineChars="200"/>
        <w:jc w:val="both"/>
        <w:rPr>
          <w:rFonts w:hint="eastAsia" w:ascii="宋体" w:hAnsi="宋体" w:eastAsia="宋体" w:cs="宋体"/>
          <w:i w:val="0"/>
          <w:iCs w:val="0"/>
          <w:color w:val="auto"/>
          <w:spacing w:val="6"/>
          <w:kern w:val="2"/>
          <w:sz w:val="21"/>
          <w:szCs w:val="21"/>
          <w:highlight w:val="none"/>
          <w:lang w:val="en-US" w:eastAsia="zh-CN"/>
        </w:rPr>
      </w:pPr>
      <w:r>
        <w:rPr>
          <w:rFonts w:hint="eastAsia" w:ascii="宋体" w:hAnsi="宋体" w:eastAsia="宋体" w:cs="宋体"/>
          <w:i w:val="0"/>
          <w:iCs w:val="0"/>
          <w:color w:val="auto"/>
          <w:spacing w:val="6"/>
          <w:kern w:val="2"/>
          <w:sz w:val="21"/>
          <w:szCs w:val="21"/>
          <w:highlight w:val="none"/>
          <w:u w:val="single"/>
          <w:lang w:eastAsia="zh-CN"/>
        </w:rPr>
        <w:t>标的名称</w:t>
      </w:r>
      <w:r>
        <w:rPr>
          <w:rFonts w:hint="eastAsia" w:ascii="宋体" w:hAnsi="宋体" w:eastAsia="宋体" w:cs="宋体"/>
          <w:i w:val="0"/>
          <w:iCs w:val="0"/>
          <w:color w:val="auto"/>
          <w:spacing w:val="6"/>
          <w:kern w:val="2"/>
          <w:sz w:val="21"/>
          <w:szCs w:val="21"/>
          <w:highlight w:val="none"/>
          <w:lang w:eastAsia="zh-CN"/>
        </w:rPr>
        <w:t>，属于</w:t>
      </w:r>
      <w:r>
        <w:rPr>
          <w:rFonts w:hint="eastAsia" w:ascii="宋体" w:hAnsi="宋体" w:eastAsia="宋体" w:cs="宋体"/>
          <w:i w:val="0"/>
          <w:iCs w:val="0"/>
          <w:color w:val="auto"/>
          <w:spacing w:val="6"/>
          <w:kern w:val="2"/>
          <w:sz w:val="21"/>
          <w:szCs w:val="21"/>
          <w:highlight w:val="none"/>
          <w:u w:val="single"/>
          <w:lang w:eastAsia="zh-CN"/>
        </w:rPr>
        <w:t>（采购文件中明确的所属行业）</w:t>
      </w:r>
      <w:r>
        <w:rPr>
          <w:rFonts w:hint="eastAsia" w:ascii="宋体" w:hAnsi="宋体" w:eastAsia="宋体" w:cs="宋体"/>
          <w:i w:val="0"/>
          <w:iCs w:val="0"/>
          <w:color w:val="auto"/>
          <w:spacing w:val="6"/>
          <w:kern w:val="2"/>
          <w:sz w:val="21"/>
          <w:szCs w:val="21"/>
          <w:highlight w:val="none"/>
          <w:lang w:eastAsia="zh-CN"/>
        </w:rPr>
        <w:t>行业；服务商为</w:t>
      </w:r>
      <w:r>
        <w:rPr>
          <w:rFonts w:hint="eastAsia" w:ascii="宋体" w:hAnsi="宋体" w:eastAsia="宋体" w:cs="宋体"/>
          <w:i w:val="0"/>
          <w:iCs w:val="0"/>
          <w:color w:val="auto"/>
          <w:spacing w:val="6"/>
          <w:kern w:val="2"/>
          <w:sz w:val="21"/>
          <w:szCs w:val="21"/>
          <w:highlight w:val="none"/>
          <w:lang w:val="en-US" w:eastAsia="zh-CN"/>
        </w:rPr>
        <w:t xml:space="preserve"> </w:t>
      </w:r>
      <w:r>
        <w:rPr>
          <w:rFonts w:hint="eastAsia" w:ascii="宋体" w:hAnsi="宋体" w:eastAsia="宋体" w:cs="宋体"/>
          <w:i w:val="0"/>
          <w:iCs w:val="0"/>
          <w:color w:val="auto"/>
          <w:spacing w:val="6"/>
          <w:kern w:val="2"/>
          <w:sz w:val="21"/>
          <w:szCs w:val="21"/>
          <w:highlight w:val="none"/>
          <w:u w:val="single"/>
          <w:lang w:val="en-US" w:eastAsia="zh-CN"/>
        </w:rPr>
        <w:t>（</w:t>
      </w:r>
      <w:r>
        <w:rPr>
          <w:rFonts w:hint="eastAsia" w:ascii="宋体" w:hAnsi="宋体" w:eastAsia="宋体" w:cs="宋体"/>
          <w:i w:val="0"/>
          <w:iCs w:val="0"/>
          <w:color w:val="auto"/>
          <w:spacing w:val="6"/>
          <w:kern w:val="2"/>
          <w:sz w:val="21"/>
          <w:szCs w:val="21"/>
          <w:highlight w:val="none"/>
          <w:u w:val="single"/>
          <w:lang w:eastAsia="zh-CN"/>
        </w:rPr>
        <w:t>企业名称）</w:t>
      </w:r>
      <w:r>
        <w:rPr>
          <w:rFonts w:hint="eastAsia" w:ascii="宋体" w:hAnsi="宋体" w:eastAsia="宋体" w:cs="宋体"/>
          <w:i w:val="0"/>
          <w:iCs w:val="0"/>
          <w:color w:val="auto"/>
          <w:spacing w:val="6"/>
          <w:kern w:val="2"/>
          <w:sz w:val="21"/>
          <w:szCs w:val="21"/>
          <w:highlight w:val="none"/>
          <w:lang w:eastAsia="zh-CN"/>
        </w:rPr>
        <w:t>，从业人员</w:t>
      </w:r>
      <w:r>
        <w:rPr>
          <w:rFonts w:hint="eastAsia" w:ascii="宋体" w:hAnsi="宋体" w:eastAsia="宋体" w:cs="宋体"/>
          <w:i w:val="0"/>
          <w:iCs w:val="0"/>
          <w:color w:val="auto"/>
          <w:spacing w:val="6"/>
          <w:kern w:val="2"/>
          <w:sz w:val="21"/>
          <w:szCs w:val="21"/>
          <w:highlight w:val="none"/>
          <w:u w:val="single"/>
          <w:lang w:val="en-US" w:eastAsia="zh-CN"/>
        </w:rPr>
        <w:t xml:space="preserve">   </w:t>
      </w:r>
      <w:r>
        <w:rPr>
          <w:rFonts w:hint="eastAsia" w:ascii="宋体" w:hAnsi="宋体" w:eastAsia="宋体" w:cs="宋体"/>
          <w:i w:val="0"/>
          <w:iCs w:val="0"/>
          <w:color w:val="auto"/>
          <w:spacing w:val="6"/>
          <w:kern w:val="2"/>
          <w:sz w:val="21"/>
          <w:szCs w:val="21"/>
          <w:highlight w:val="none"/>
          <w:lang w:val="en-US" w:eastAsia="zh-CN"/>
        </w:rPr>
        <w:t>人，营业收入为</w:t>
      </w:r>
      <w:r>
        <w:rPr>
          <w:rFonts w:hint="eastAsia" w:ascii="宋体" w:hAnsi="宋体" w:eastAsia="宋体" w:cs="宋体"/>
          <w:i w:val="0"/>
          <w:iCs w:val="0"/>
          <w:color w:val="auto"/>
          <w:spacing w:val="6"/>
          <w:kern w:val="2"/>
          <w:sz w:val="21"/>
          <w:szCs w:val="21"/>
          <w:highlight w:val="none"/>
          <w:u w:val="single"/>
          <w:lang w:val="en-US" w:eastAsia="zh-CN"/>
        </w:rPr>
        <w:t xml:space="preserve">   </w:t>
      </w:r>
      <w:r>
        <w:rPr>
          <w:rFonts w:hint="eastAsia" w:ascii="宋体" w:hAnsi="宋体" w:eastAsia="宋体" w:cs="宋体"/>
          <w:i w:val="0"/>
          <w:iCs w:val="0"/>
          <w:color w:val="auto"/>
          <w:spacing w:val="6"/>
          <w:kern w:val="2"/>
          <w:sz w:val="21"/>
          <w:szCs w:val="21"/>
          <w:highlight w:val="none"/>
          <w:lang w:val="en-US" w:eastAsia="zh-CN"/>
        </w:rPr>
        <w:t>万元，资产总额为</w:t>
      </w:r>
      <w:r>
        <w:rPr>
          <w:rFonts w:hint="eastAsia" w:ascii="宋体" w:hAnsi="宋体" w:eastAsia="宋体" w:cs="宋体"/>
          <w:i w:val="0"/>
          <w:iCs w:val="0"/>
          <w:color w:val="auto"/>
          <w:spacing w:val="6"/>
          <w:kern w:val="2"/>
          <w:sz w:val="21"/>
          <w:szCs w:val="21"/>
          <w:highlight w:val="none"/>
          <w:u w:val="single"/>
          <w:lang w:val="en-US" w:eastAsia="zh-CN"/>
        </w:rPr>
        <w:t xml:space="preserve">   </w:t>
      </w:r>
      <w:r>
        <w:rPr>
          <w:rFonts w:hint="eastAsia" w:ascii="宋体" w:hAnsi="宋体" w:eastAsia="宋体" w:cs="宋体"/>
          <w:i w:val="0"/>
          <w:iCs w:val="0"/>
          <w:color w:val="auto"/>
          <w:spacing w:val="6"/>
          <w:kern w:val="2"/>
          <w:sz w:val="21"/>
          <w:szCs w:val="21"/>
          <w:highlight w:val="none"/>
          <w:lang w:val="en-US" w:eastAsia="zh-CN"/>
        </w:rPr>
        <w:t>万元，属于</w:t>
      </w:r>
      <w:r>
        <w:rPr>
          <w:rFonts w:hint="eastAsia" w:ascii="宋体" w:hAnsi="宋体" w:eastAsia="宋体" w:cs="宋体"/>
          <w:i w:val="0"/>
          <w:iCs w:val="0"/>
          <w:color w:val="auto"/>
          <w:spacing w:val="6"/>
          <w:kern w:val="2"/>
          <w:sz w:val="21"/>
          <w:szCs w:val="21"/>
          <w:highlight w:val="none"/>
          <w:u w:val="single"/>
          <w:lang w:val="en-US" w:eastAsia="zh-CN"/>
        </w:rPr>
        <w:t xml:space="preserve">  （中型企业、小型企业、微型企业）</w:t>
      </w:r>
      <w:r>
        <w:rPr>
          <w:rFonts w:hint="eastAsia" w:ascii="宋体" w:hAnsi="宋体" w:eastAsia="宋体" w:cs="宋体"/>
          <w:i w:val="0"/>
          <w:iCs w:val="0"/>
          <w:color w:val="auto"/>
          <w:spacing w:val="6"/>
          <w:kern w:val="2"/>
          <w:sz w:val="21"/>
          <w:szCs w:val="21"/>
          <w:highlight w:val="none"/>
          <w:lang w:val="en-US" w:eastAsia="zh-CN"/>
        </w:rPr>
        <w:t>；</w:t>
      </w:r>
    </w:p>
    <w:p w14:paraId="22561DEE">
      <w:pPr>
        <w:widowControl w:val="0"/>
        <w:numPr>
          <w:ilvl w:val="0"/>
          <w:numId w:val="9"/>
        </w:numPr>
        <w:adjustRightInd/>
        <w:snapToGrid/>
        <w:spacing w:after="0" w:line="560" w:lineRule="exact"/>
        <w:ind w:firstLine="444" w:firstLineChars="200"/>
        <w:jc w:val="both"/>
        <w:rPr>
          <w:rFonts w:hint="eastAsia" w:ascii="宋体" w:hAnsi="宋体" w:eastAsia="宋体" w:cs="宋体"/>
          <w:i w:val="0"/>
          <w:iCs w:val="0"/>
          <w:color w:val="auto"/>
          <w:spacing w:val="6"/>
          <w:kern w:val="2"/>
          <w:sz w:val="21"/>
          <w:szCs w:val="21"/>
          <w:highlight w:val="none"/>
          <w:lang w:eastAsia="zh-CN"/>
        </w:rPr>
      </w:pPr>
      <w:r>
        <w:rPr>
          <w:rFonts w:hint="eastAsia" w:ascii="宋体" w:hAnsi="宋体" w:eastAsia="宋体" w:cs="宋体"/>
          <w:i w:val="0"/>
          <w:iCs w:val="0"/>
          <w:color w:val="auto"/>
          <w:spacing w:val="6"/>
          <w:kern w:val="2"/>
          <w:sz w:val="21"/>
          <w:szCs w:val="21"/>
          <w:highlight w:val="none"/>
          <w:u w:val="single"/>
          <w:lang w:eastAsia="zh-CN"/>
        </w:rPr>
        <w:t>标的名称</w:t>
      </w:r>
      <w:r>
        <w:rPr>
          <w:rFonts w:hint="eastAsia" w:ascii="宋体" w:hAnsi="宋体" w:eastAsia="宋体" w:cs="宋体"/>
          <w:i w:val="0"/>
          <w:iCs w:val="0"/>
          <w:color w:val="auto"/>
          <w:spacing w:val="6"/>
          <w:kern w:val="2"/>
          <w:sz w:val="21"/>
          <w:szCs w:val="21"/>
          <w:highlight w:val="none"/>
          <w:lang w:eastAsia="zh-CN"/>
        </w:rPr>
        <w:t>，属于</w:t>
      </w:r>
      <w:r>
        <w:rPr>
          <w:rFonts w:hint="eastAsia" w:ascii="宋体" w:hAnsi="宋体" w:eastAsia="宋体" w:cs="宋体"/>
          <w:i w:val="0"/>
          <w:iCs w:val="0"/>
          <w:color w:val="auto"/>
          <w:spacing w:val="6"/>
          <w:kern w:val="2"/>
          <w:sz w:val="21"/>
          <w:szCs w:val="21"/>
          <w:highlight w:val="none"/>
          <w:u w:val="single"/>
          <w:lang w:eastAsia="zh-CN"/>
        </w:rPr>
        <w:t>（采购文件中明确的所属行业）</w:t>
      </w:r>
      <w:r>
        <w:rPr>
          <w:rFonts w:hint="eastAsia" w:ascii="宋体" w:hAnsi="宋体" w:eastAsia="宋体" w:cs="宋体"/>
          <w:i w:val="0"/>
          <w:iCs w:val="0"/>
          <w:color w:val="auto"/>
          <w:spacing w:val="6"/>
          <w:kern w:val="2"/>
          <w:sz w:val="21"/>
          <w:szCs w:val="21"/>
          <w:highlight w:val="none"/>
          <w:lang w:eastAsia="zh-CN"/>
        </w:rPr>
        <w:t>行业；服务商为</w:t>
      </w:r>
      <w:r>
        <w:rPr>
          <w:rFonts w:hint="eastAsia" w:ascii="宋体" w:hAnsi="宋体" w:eastAsia="宋体" w:cs="宋体"/>
          <w:i w:val="0"/>
          <w:iCs w:val="0"/>
          <w:color w:val="auto"/>
          <w:spacing w:val="6"/>
          <w:kern w:val="2"/>
          <w:sz w:val="21"/>
          <w:szCs w:val="21"/>
          <w:highlight w:val="none"/>
          <w:lang w:val="en-US" w:eastAsia="zh-CN"/>
        </w:rPr>
        <w:t xml:space="preserve"> </w:t>
      </w:r>
      <w:r>
        <w:rPr>
          <w:rFonts w:hint="eastAsia" w:ascii="宋体" w:hAnsi="宋体" w:eastAsia="宋体" w:cs="宋体"/>
          <w:i w:val="0"/>
          <w:iCs w:val="0"/>
          <w:color w:val="auto"/>
          <w:spacing w:val="6"/>
          <w:kern w:val="2"/>
          <w:sz w:val="21"/>
          <w:szCs w:val="21"/>
          <w:highlight w:val="none"/>
          <w:u w:val="single"/>
          <w:lang w:val="en-US" w:eastAsia="zh-CN"/>
        </w:rPr>
        <w:t>（</w:t>
      </w:r>
      <w:r>
        <w:rPr>
          <w:rFonts w:hint="eastAsia" w:ascii="宋体" w:hAnsi="宋体" w:eastAsia="宋体" w:cs="宋体"/>
          <w:i w:val="0"/>
          <w:iCs w:val="0"/>
          <w:color w:val="auto"/>
          <w:spacing w:val="6"/>
          <w:kern w:val="2"/>
          <w:sz w:val="21"/>
          <w:szCs w:val="21"/>
          <w:highlight w:val="none"/>
          <w:u w:val="single"/>
          <w:lang w:eastAsia="zh-CN"/>
        </w:rPr>
        <w:t>企业名称）</w:t>
      </w:r>
      <w:r>
        <w:rPr>
          <w:rFonts w:hint="eastAsia" w:ascii="宋体" w:hAnsi="宋体" w:eastAsia="宋体" w:cs="宋体"/>
          <w:i w:val="0"/>
          <w:iCs w:val="0"/>
          <w:color w:val="auto"/>
          <w:spacing w:val="6"/>
          <w:kern w:val="2"/>
          <w:sz w:val="21"/>
          <w:szCs w:val="21"/>
          <w:highlight w:val="none"/>
          <w:lang w:eastAsia="zh-CN"/>
        </w:rPr>
        <w:t>，从业人员</w:t>
      </w:r>
      <w:r>
        <w:rPr>
          <w:rFonts w:hint="eastAsia" w:ascii="宋体" w:hAnsi="宋体" w:eastAsia="宋体" w:cs="宋体"/>
          <w:i w:val="0"/>
          <w:iCs w:val="0"/>
          <w:color w:val="auto"/>
          <w:spacing w:val="6"/>
          <w:kern w:val="2"/>
          <w:sz w:val="21"/>
          <w:szCs w:val="21"/>
          <w:highlight w:val="none"/>
          <w:u w:val="single"/>
          <w:lang w:val="en-US" w:eastAsia="zh-CN"/>
        </w:rPr>
        <w:t xml:space="preserve">   </w:t>
      </w:r>
      <w:r>
        <w:rPr>
          <w:rFonts w:hint="eastAsia" w:ascii="宋体" w:hAnsi="宋体" w:eastAsia="宋体" w:cs="宋体"/>
          <w:i w:val="0"/>
          <w:iCs w:val="0"/>
          <w:color w:val="auto"/>
          <w:spacing w:val="6"/>
          <w:kern w:val="2"/>
          <w:sz w:val="21"/>
          <w:szCs w:val="21"/>
          <w:highlight w:val="none"/>
          <w:lang w:val="en-US" w:eastAsia="zh-CN"/>
        </w:rPr>
        <w:t>人，营业收入为</w:t>
      </w:r>
      <w:r>
        <w:rPr>
          <w:rFonts w:hint="eastAsia" w:ascii="宋体" w:hAnsi="宋体" w:eastAsia="宋体" w:cs="宋体"/>
          <w:i w:val="0"/>
          <w:iCs w:val="0"/>
          <w:color w:val="auto"/>
          <w:spacing w:val="6"/>
          <w:kern w:val="2"/>
          <w:sz w:val="21"/>
          <w:szCs w:val="21"/>
          <w:highlight w:val="none"/>
          <w:u w:val="single"/>
          <w:lang w:val="en-US" w:eastAsia="zh-CN"/>
        </w:rPr>
        <w:t xml:space="preserve">   </w:t>
      </w:r>
      <w:r>
        <w:rPr>
          <w:rFonts w:hint="eastAsia" w:ascii="宋体" w:hAnsi="宋体" w:eastAsia="宋体" w:cs="宋体"/>
          <w:i w:val="0"/>
          <w:iCs w:val="0"/>
          <w:color w:val="auto"/>
          <w:spacing w:val="6"/>
          <w:kern w:val="2"/>
          <w:sz w:val="21"/>
          <w:szCs w:val="21"/>
          <w:highlight w:val="none"/>
          <w:lang w:val="en-US" w:eastAsia="zh-CN"/>
        </w:rPr>
        <w:t>万元，资产总额为</w:t>
      </w:r>
      <w:r>
        <w:rPr>
          <w:rFonts w:hint="eastAsia" w:ascii="宋体" w:hAnsi="宋体" w:eastAsia="宋体" w:cs="宋体"/>
          <w:i w:val="0"/>
          <w:iCs w:val="0"/>
          <w:color w:val="auto"/>
          <w:spacing w:val="6"/>
          <w:kern w:val="2"/>
          <w:sz w:val="21"/>
          <w:szCs w:val="21"/>
          <w:highlight w:val="none"/>
          <w:u w:val="single"/>
          <w:lang w:val="en-US" w:eastAsia="zh-CN"/>
        </w:rPr>
        <w:t xml:space="preserve">   </w:t>
      </w:r>
      <w:r>
        <w:rPr>
          <w:rFonts w:hint="eastAsia" w:ascii="宋体" w:hAnsi="宋体" w:eastAsia="宋体" w:cs="宋体"/>
          <w:i w:val="0"/>
          <w:iCs w:val="0"/>
          <w:color w:val="auto"/>
          <w:spacing w:val="6"/>
          <w:kern w:val="2"/>
          <w:sz w:val="21"/>
          <w:szCs w:val="21"/>
          <w:highlight w:val="none"/>
          <w:lang w:val="en-US" w:eastAsia="zh-CN"/>
        </w:rPr>
        <w:t>万元，属于</w:t>
      </w:r>
      <w:r>
        <w:rPr>
          <w:rFonts w:hint="eastAsia" w:ascii="宋体" w:hAnsi="宋体" w:eastAsia="宋体" w:cs="宋体"/>
          <w:i w:val="0"/>
          <w:iCs w:val="0"/>
          <w:color w:val="auto"/>
          <w:spacing w:val="6"/>
          <w:kern w:val="2"/>
          <w:sz w:val="21"/>
          <w:szCs w:val="21"/>
          <w:highlight w:val="none"/>
          <w:u w:val="single"/>
          <w:lang w:val="en-US" w:eastAsia="zh-CN"/>
        </w:rPr>
        <w:t xml:space="preserve">  （中型企业、小型企业、微型企业）</w:t>
      </w:r>
      <w:r>
        <w:rPr>
          <w:rFonts w:hint="eastAsia" w:ascii="宋体" w:hAnsi="宋体" w:eastAsia="宋体" w:cs="宋体"/>
          <w:i w:val="0"/>
          <w:iCs w:val="0"/>
          <w:color w:val="auto"/>
          <w:spacing w:val="6"/>
          <w:kern w:val="2"/>
          <w:sz w:val="21"/>
          <w:szCs w:val="21"/>
          <w:highlight w:val="none"/>
          <w:lang w:eastAsia="zh-CN"/>
        </w:rPr>
        <w:t>；</w:t>
      </w:r>
    </w:p>
    <w:p w14:paraId="618DD032">
      <w:pPr>
        <w:widowControl w:val="0"/>
        <w:numPr>
          <w:ilvl w:val="0"/>
          <w:numId w:val="0"/>
        </w:numPr>
        <w:adjustRightInd/>
        <w:snapToGrid/>
        <w:spacing w:after="0" w:line="560" w:lineRule="exact"/>
        <w:ind w:firstLine="444" w:firstLineChars="200"/>
        <w:jc w:val="both"/>
        <w:rPr>
          <w:rFonts w:hint="eastAsia" w:ascii="宋体" w:hAnsi="宋体" w:eastAsia="宋体" w:cs="宋体"/>
          <w:i w:val="0"/>
          <w:iCs w:val="0"/>
          <w:color w:val="auto"/>
          <w:kern w:val="2"/>
          <w:sz w:val="21"/>
          <w:szCs w:val="21"/>
          <w:highlight w:val="none"/>
          <w:lang w:eastAsia="zh-CN"/>
        </w:rPr>
      </w:pPr>
      <w:r>
        <w:rPr>
          <w:rFonts w:hint="eastAsia" w:ascii="宋体" w:hAnsi="宋体" w:eastAsia="宋体" w:cs="宋体"/>
          <w:i w:val="0"/>
          <w:iCs w:val="0"/>
          <w:color w:val="auto"/>
          <w:spacing w:val="6"/>
          <w:kern w:val="2"/>
          <w:sz w:val="21"/>
          <w:szCs w:val="21"/>
          <w:highlight w:val="none"/>
          <w:lang w:eastAsia="zh-CN"/>
        </w:rPr>
        <w:t>……</w:t>
      </w:r>
    </w:p>
    <w:p w14:paraId="1DBC3463">
      <w:pPr>
        <w:widowControl w:val="0"/>
        <w:adjustRightInd/>
        <w:snapToGrid/>
        <w:spacing w:after="0" w:line="560" w:lineRule="exact"/>
        <w:ind w:firstLine="444" w:firstLineChars="200"/>
        <w:jc w:val="both"/>
        <w:rPr>
          <w:rFonts w:hint="eastAsia" w:ascii="宋体" w:hAnsi="宋体" w:eastAsia="宋体" w:cs="宋体"/>
          <w:i w:val="0"/>
          <w:iCs w:val="0"/>
          <w:color w:val="auto"/>
          <w:spacing w:val="6"/>
          <w:kern w:val="2"/>
          <w:sz w:val="21"/>
          <w:szCs w:val="21"/>
          <w:highlight w:val="none"/>
          <w:lang w:eastAsia="zh-CN"/>
        </w:rPr>
      </w:pPr>
      <w:r>
        <w:rPr>
          <w:rFonts w:hint="eastAsia" w:ascii="宋体" w:hAnsi="宋体" w:eastAsia="宋体" w:cs="宋体"/>
          <w:i w:val="0"/>
          <w:iCs w:val="0"/>
          <w:color w:val="auto"/>
          <w:spacing w:val="6"/>
          <w:kern w:val="2"/>
          <w:sz w:val="21"/>
          <w:szCs w:val="21"/>
          <w:highlight w:val="none"/>
          <w:lang w:eastAsia="zh-CN"/>
        </w:rPr>
        <w:t>以上企业，不属于大企业的分支机构，不存在控股股东为大企业的情形，也不存在与大企业的负责人为同一人的情形。</w:t>
      </w:r>
    </w:p>
    <w:p w14:paraId="73485A02">
      <w:pPr>
        <w:pStyle w:val="8"/>
        <w:rPr>
          <w:rFonts w:hint="eastAsia"/>
          <w:color w:val="auto"/>
          <w:sz w:val="21"/>
          <w:szCs w:val="21"/>
          <w:highlight w:val="none"/>
          <w:lang w:eastAsia="zh-CN"/>
        </w:rPr>
      </w:pPr>
    </w:p>
    <w:p w14:paraId="2D86B741">
      <w:pPr>
        <w:keepNext w:val="0"/>
        <w:keepLines w:val="0"/>
        <w:pageBreakBefore w:val="0"/>
        <w:kinsoku/>
        <w:topLinePunct w:val="0"/>
        <w:bidi w:val="0"/>
        <w:spacing w:line="240" w:lineRule="auto"/>
        <w:ind w:firstLine="444" w:firstLineChars="200"/>
        <w:rPr>
          <w:rFonts w:hint="eastAsia" w:ascii="宋体" w:hAnsi="宋体" w:eastAsia="宋体" w:cs="宋体"/>
          <w:color w:val="auto"/>
          <w:sz w:val="21"/>
          <w:szCs w:val="21"/>
          <w:highlight w:val="none"/>
        </w:rPr>
      </w:pPr>
      <w:r>
        <w:rPr>
          <w:rFonts w:hint="eastAsia" w:ascii="宋体" w:hAnsi="宋体" w:eastAsia="宋体" w:cs="宋体"/>
          <w:i w:val="0"/>
          <w:iCs w:val="0"/>
          <w:color w:val="auto"/>
          <w:spacing w:val="6"/>
          <w:kern w:val="2"/>
          <w:sz w:val="21"/>
          <w:szCs w:val="21"/>
          <w:highlight w:val="none"/>
          <w:lang w:eastAsia="zh-CN"/>
        </w:rPr>
        <w:t>本企业</w:t>
      </w:r>
      <w:r>
        <w:rPr>
          <w:rFonts w:hint="eastAsia" w:ascii="宋体" w:hAnsi="宋体" w:eastAsia="宋体" w:cs="宋体"/>
          <w:i w:val="0"/>
          <w:iCs w:val="0"/>
          <w:color w:val="auto"/>
          <w:spacing w:val="6"/>
          <w:kern w:val="2"/>
          <w:sz w:val="21"/>
          <w:szCs w:val="21"/>
          <w:highlight w:val="none"/>
        </w:rPr>
        <w:t>对上述声明</w:t>
      </w:r>
      <w:r>
        <w:rPr>
          <w:rFonts w:hint="eastAsia" w:ascii="宋体" w:hAnsi="宋体" w:eastAsia="宋体" w:cs="宋体"/>
          <w:i w:val="0"/>
          <w:iCs w:val="0"/>
          <w:color w:val="auto"/>
          <w:spacing w:val="6"/>
          <w:kern w:val="2"/>
          <w:sz w:val="21"/>
          <w:szCs w:val="21"/>
          <w:highlight w:val="none"/>
          <w:lang w:eastAsia="zh-CN"/>
        </w:rPr>
        <w:t>内容</w:t>
      </w:r>
      <w:r>
        <w:rPr>
          <w:rFonts w:hint="eastAsia" w:ascii="宋体" w:hAnsi="宋体" w:eastAsia="宋体" w:cs="宋体"/>
          <w:i w:val="0"/>
          <w:iCs w:val="0"/>
          <w:color w:val="auto"/>
          <w:spacing w:val="6"/>
          <w:kern w:val="2"/>
          <w:sz w:val="21"/>
          <w:szCs w:val="21"/>
          <w:highlight w:val="none"/>
        </w:rPr>
        <w:t>的真实性负责。如有虚假，将依法承担相应责任</w:t>
      </w:r>
      <w:r>
        <w:rPr>
          <w:rFonts w:hint="eastAsia" w:ascii="宋体" w:hAnsi="宋体" w:eastAsia="宋体" w:cs="宋体"/>
          <w:color w:val="auto"/>
          <w:spacing w:val="6"/>
          <w:sz w:val="21"/>
          <w:szCs w:val="21"/>
          <w:highlight w:val="none"/>
        </w:rPr>
        <w:t>。</w:t>
      </w:r>
    </w:p>
    <w:p w14:paraId="05934243">
      <w:pPr>
        <w:keepNext w:val="0"/>
        <w:keepLines w:val="0"/>
        <w:pageBreakBefore w:val="0"/>
        <w:tabs>
          <w:tab w:val="left" w:pos="4860"/>
        </w:tabs>
        <w:kinsoku/>
        <w:topLinePunct w:val="0"/>
        <w:bidi w:val="0"/>
        <w:spacing w:line="360" w:lineRule="auto"/>
        <w:ind w:right="1560" w:firstLine="1332" w:firstLineChars="6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w:t>
      </w:r>
    </w:p>
    <w:p w14:paraId="6156DE59">
      <w:pPr>
        <w:keepNext w:val="0"/>
        <w:keepLines w:val="0"/>
        <w:pageBreakBefore w:val="0"/>
        <w:kinsoku/>
        <w:topLinePunct w:val="0"/>
        <w:bidi w:val="0"/>
        <w:spacing w:line="480" w:lineRule="auto"/>
        <w:rPr>
          <w:rFonts w:hint="eastAsia" w:ascii="宋体" w:hAnsi="宋体" w:eastAsia="宋体" w:cs="宋体"/>
          <w:color w:val="auto"/>
          <w:sz w:val="21"/>
          <w:szCs w:val="21"/>
          <w:highlight w:val="none"/>
        </w:rPr>
      </w:pPr>
    </w:p>
    <w:p w14:paraId="42C37274">
      <w:pPr>
        <w:keepNext w:val="0"/>
        <w:keepLines w:val="0"/>
        <w:pageBreakBefore w:val="0"/>
        <w:kinsoku/>
        <w:topLinePunct w:val="0"/>
        <w:bidi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投标人名称（盖章）：                             </w:t>
      </w:r>
    </w:p>
    <w:p w14:paraId="728915D5">
      <w:pPr>
        <w:keepNext w:val="0"/>
        <w:keepLines w:val="0"/>
        <w:pageBreakBefore w:val="0"/>
        <w:kinsoku/>
        <w:topLinePunct w:val="0"/>
        <w:bidi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法定代表人或被授权代表（签字或盖章）：              </w:t>
      </w:r>
    </w:p>
    <w:p w14:paraId="5EDFEF8A">
      <w:pPr>
        <w:keepNext w:val="0"/>
        <w:keepLines w:val="0"/>
        <w:pageBreakBefore w:val="0"/>
        <w:kinsoku/>
        <w:topLinePunct w:val="0"/>
        <w:bidi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3332D9C7">
      <w:pPr>
        <w:keepNext w:val="0"/>
        <w:keepLines w:val="0"/>
        <w:pageBreakBefore w:val="0"/>
        <w:tabs>
          <w:tab w:val="left" w:pos="4860"/>
        </w:tabs>
        <w:kinsoku/>
        <w:topLinePunct w:val="0"/>
        <w:bidi w:val="0"/>
        <w:spacing w:line="360" w:lineRule="auto"/>
        <w:ind w:right="1560"/>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color w:val="auto"/>
          <w:spacing w:val="6"/>
          <w:sz w:val="22"/>
          <w:szCs w:val="22"/>
          <w:highlight w:val="none"/>
        </w:rPr>
        <w:t xml:space="preserve"> </w:t>
      </w:r>
    </w:p>
    <w:p w14:paraId="1369A62A">
      <w:pPr>
        <w:pStyle w:val="33"/>
        <w:keepNext w:val="0"/>
        <w:keepLines w:val="0"/>
        <w:pageBreakBefore w:val="0"/>
        <w:kinsoku/>
        <w:topLinePunct w:val="0"/>
        <w:bidi w:val="0"/>
        <w:jc w:val="center"/>
        <w:rPr>
          <w:rFonts w:hint="eastAsia" w:ascii="仿宋_GB2312" w:hAnsi="Times New Roman" w:eastAsia="仿宋_GB2312" w:cs="Times New Roman"/>
          <w:color w:val="auto"/>
          <w:sz w:val="28"/>
          <w:szCs w:val="28"/>
          <w:highlight w:val="none"/>
        </w:rPr>
      </w:pPr>
    </w:p>
    <w:p w14:paraId="3BA09CC0">
      <w:pPr>
        <w:pStyle w:val="33"/>
        <w:keepNext w:val="0"/>
        <w:keepLines w:val="0"/>
        <w:pageBreakBefore w:val="0"/>
        <w:kinsoku/>
        <w:topLinePunct w:val="0"/>
        <w:bidi w:val="0"/>
        <w:jc w:val="both"/>
        <w:rPr>
          <w:rFonts w:hint="eastAsia" w:ascii="微软雅黑" w:hAnsi="微软雅黑" w:eastAsia="微软雅黑" w:cs="微软雅黑"/>
          <w:color w:val="auto"/>
          <w:sz w:val="22"/>
          <w:szCs w:val="22"/>
          <w:highlight w:val="none"/>
        </w:rPr>
      </w:pPr>
    </w:p>
    <w:p w14:paraId="7DEB7E60">
      <w:pPr>
        <w:pStyle w:val="33"/>
        <w:keepNext w:val="0"/>
        <w:keepLines w:val="0"/>
        <w:pageBreakBefore w:val="0"/>
        <w:kinsoku/>
        <w:topLinePunct w:val="0"/>
        <w:bidi w:val="0"/>
        <w:jc w:val="both"/>
        <w:rPr>
          <w:rFonts w:hint="eastAsia" w:ascii="微软雅黑" w:hAnsi="微软雅黑" w:eastAsia="微软雅黑" w:cs="微软雅黑"/>
          <w:color w:val="auto"/>
          <w:sz w:val="22"/>
          <w:szCs w:val="22"/>
          <w:highlight w:val="none"/>
        </w:rPr>
      </w:pPr>
    </w:p>
    <w:p w14:paraId="018FC3BE">
      <w:pPr>
        <w:pStyle w:val="33"/>
        <w:keepNext w:val="0"/>
        <w:keepLines w:val="0"/>
        <w:pageBreakBefore w:val="0"/>
        <w:kinsoku/>
        <w:topLinePunct w:val="0"/>
        <w:bidi w:val="0"/>
        <w:jc w:val="both"/>
        <w:rPr>
          <w:rFonts w:hint="eastAsia" w:ascii="宋体" w:hAnsi="宋体" w:eastAsia="宋体" w:cs="宋体"/>
          <w:color w:val="auto"/>
          <w:sz w:val="24"/>
          <w:szCs w:val="24"/>
          <w:highlight w:val="none"/>
        </w:rPr>
      </w:pPr>
    </w:p>
    <w:p w14:paraId="44BD007C">
      <w:pPr>
        <w:pStyle w:val="33"/>
        <w:keepNext w:val="0"/>
        <w:keepLines w:val="0"/>
        <w:pageBreakBefore w:val="0"/>
        <w:kinsoku/>
        <w:topLinePunct w:val="0"/>
        <w:bidi w:val="0"/>
        <w:jc w:val="center"/>
        <w:rPr>
          <w:rFonts w:hint="eastAsia" w:ascii="宋体" w:hAnsi="宋体" w:eastAsia="宋体" w:cs="宋体"/>
          <w:color w:val="auto"/>
          <w:sz w:val="24"/>
          <w:szCs w:val="24"/>
          <w:highlight w:val="none"/>
        </w:rPr>
      </w:pPr>
    </w:p>
    <w:p w14:paraId="00052F95">
      <w:pPr>
        <w:pStyle w:val="33"/>
        <w:keepNext w:val="0"/>
        <w:keepLines w:val="0"/>
        <w:pageBreakBefore w:val="0"/>
        <w:kinsoku/>
        <w:topLinePunct w:val="0"/>
        <w:bidi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监狱或戒毒企业声明函</w:t>
      </w:r>
    </w:p>
    <w:p w14:paraId="10BE5AD7">
      <w:pPr>
        <w:pStyle w:val="33"/>
        <w:keepNext w:val="0"/>
        <w:keepLines w:val="0"/>
        <w:pageBreakBefore w:val="0"/>
        <w:kinsoku/>
        <w:topLinePunct w:val="0"/>
        <w:bidi w:val="0"/>
        <w:jc w:val="center"/>
        <w:rPr>
          <w:rFonts w:hint="eastAsia" w:ascii="微软雅黑" w:hAnsi="微软雅黑" w:eastAsia="微软雅黑" w:cs="微软雅黑"/>
          <w:color w:val="auto"/>
          <w:sz w:val="22"/>
          <w:szCs w:val="22"/>
          <w:highlight w:val="none"/>
          <w:lang w:val="en-GB"/>
        </w:rPr>
      </w:pPr>
    </w:p>
    <w:p w14:paraId="69509647">
      <w:pPr>
        <w:keepNext w:val="0"/>
        <w:keepLines w:val="0"/>
        <w:pageBreakBefore w:val="0"/>
        <w:widowControl w:val="0"/>
        <w:kinsoku/>
        <w:topLinePunct w:val="0"/>
        <w:bidi w:val="0"/>
        <w:adjustRightInd/>
        <w:snapToGrid/>
        <w:spacing w:after="0" w:line="560" w:lineRule="exact"/>
        <w:ind w:firstLine="444" w:firstLineChars="20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14:paraId="24797677">
      <w:pPr>
        <w:keepNext w:val="0"/>
        <w:keepLines w:val="0"/>
        <w:pageBreakBefore w:val="0"/>
        <w:widowControl w:val="0"/>
        <w:kinsoku/>
        <w:topLinePunct w:val="0"/>
        <w:bidi w:val="0"/>
        <w:adjustRightInd/>
        <w:snapToGrid/>
        <w:spacing w:after="0" w:line="560" w:lineRule="exact"/>
        <w:ind w:firstLine="444" w:firstLineChars="20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本企业对上述声明的真实性负责。如有虚假，将依法承担相应责任。</w:t>
      </w:r>
    </w:p>
    <w:p w14:paraId="18D721E5">
      <w:pPr>
        <w:keepNext w:val="0"/>
        <w:keepLines w:val="0"/>
        <w:pageBreakBefore w:val="0"/>
        <w:widowControl w:val="0"/>
        <w:kinsoku/>
        <w:topLinePunct w:val="0"/>
        <w:bidi w:val="0"/>
        <w:adjustRightInd/>
        <w:snapToGrid/>
        <w:spacing w:after="0" w:line="560" w:lineRule="exact"/>
        <w:ind w:firstLine="444" w:firstLineChars="200"/>
        <w:jc w:val="both"/>
        <w:rPr>
          <w:rFonts w:hint="eastAsia" w:ascii="宋体" w:hAnsi="宋体" w:eastAsia="宋体" w:cs="宋体"/>
          <w:color w:val="auto"/>
          <w:spacing w:val="6"/>
          <w:kern w:val="2"/>
          <w:sz w:val="21"/>
          <w:szCs w:val="21"/>
          <w:highlight w:val="none"/>
        </w:rPr>
      </w:pPr>
    </w:p>
    <w:p w14:paraId="47ECA862">
      <w:pPr>
        <w:keepNext w:val="0"/>
        <w:keepLines w:val="0"/>
        <w:pageBreakBefore w:val="0"/>
        <w:widowControl w:val="0"/>
        <w:kinsoku/>
        <w:topLinePunct w:val="0"/>
        <w:bidi w:val="0"/>
        <w:adjustRightInd/>
        <w:snapToGrid/>
        <w:spacing w:after="0" w:line="560" w:lineRule="exact"/>
        <w:ind w:firstLine="444" w:firstLineChars="200"/>
        <w:jc w:val="both"/>
        <w:rPr>
          <w:rFonts w:hint="eastAsia" w:ascii="宋体" w:hAnsi="宋体" w:eastAsia="宋体" w:cs="宋体"/>
          <w:color w:val="auto"/>
          <w:spacing w:val="6"/>
          <w:kern w:val="2"/>
          <w:sz w:val="21"/>
          <w:szCs w:val="21"/>
          <w:highlight w:val="none"/>
        </w:rPr>
      </w:pPr>
    </w:p>
    <w:p w14:paraId="1799E5F6">
      <w:pPr>
        <w:keepNext w:val="0"/>
        <w:keepLines w:val="0"/>
        <w:pageBreakBefore w:val="0"/>
        <w:kinsoku/>
        <w:topLinePunct w:val="0"/>
        <w:bidi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投标人名称（盖章）：                             </w:t>
      </w:r>
    </w:p>
    <w:p w14:paraId="2592D3EF">
      <w:pPr>
        <w:keepNext w:val="0"/>
        <w:keepLines w:val="0"/>
        <w:pageBreakBefore w:val="0"/>
        <w:kinsoku/>
        <w:topLinePunct w:val="0"/>
        <w:bidi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法定代表人或被授权代表（签字或盖章）：              </w:t>
      </w:r>
    </w:p>
    <w:p w14:paraId="15FC9AA7">
      <w:pPr>
        <w:keepNext w:val="0"/>
        <w:keepLines w:val="0"/>
        <w:pageBreakBefore w:val="0"/>
        <w:kinsoku/>
        <w:topLinePunct w:val="0"/>
        <w:bidi w:val="0"/>
        <w:spacing w:line="540" w:lineRule="exact"/>
        <w:rPr>
          <w:rFonts w:hint="eastAsia" w:ascii="宋体" w:hAnsi="宋体" w:eastAsia="宋体" w:cs="宋体"/>
          <w:color w:val="auto"/>
          <w:sz w:val="21"/>
          <w:szCs w:val="21"/>
          <w:highlight w:val="none"/>
        </w:rPr>
        <w:sectPr>
          <w:pgSz w:w="11906" w:h="16838"/>
          <w:pgMar w:top="1389" w:right="1389" w:bottom="1389" w:left="1389" w:header="851" w:footer="992" w:gutter="284"/>
          <w:pgNumType w:fmt="decimal"/>
          <w:cols w:space="720" w:num="1"/>
          <w:docGrid w:linePitch="312" w:charSpace="0"/>
        </w:sect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467F9B65">
      <w:pPr>
        <w:pStyle w:val="33"/>
        <w:keepNext w:val="0"/>
        <w:keepLines w:val="0"/>
        <w:pageBreakBefore w:val="0"/>
        <w:kinsoku/>
        <w:topLinePunct w:val="0"/>
        <w:bidi w:val="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残疾人福利性单位声明函</w:t>
      </w:r>
    </w:p>
    <w:p w14:paraId="7D5298B7">
      <w:pPr>
        <w:keepNext w:val="0"/>
        <w:keepLines w:val="0"/>
        <w:pageBreakBefore w:val="0"/>
        <w:widowControl w:val="0"/>
        <w:kinsoku/>
        <w:topLinePunct w:val="0"/>
        <w:bidi w:val="0"/>
        <w:adjustRightInd/>
        <w:snapToGrid/>
        <w:spacing w:after="0" w:line="588" w:lineRule="exact"/>
        <w:jc w:val="both"/>
        <w:rPr>
          <w:rFonts w:hint="eastAsia" w:ascii="微软雅黑" w:hAnsi="微软雅黑" w:cs="微软雅黑"/>
          <w:b/>
          <w:color w:val="auto"/>
          <w:spacing w:val="6"/>
          <w:kern w:val="2"/>
          <w:sz w:val="21"/>
          <w:szCs w:val="21"/>
          <w:highlight w:val="none"/>
        </w:rPr>
      </w:pPr>
    </w:p>
    <w:p w14:paraId="17F1ADB7">
      <w:pPr>
        <w:keepNext w:val="0"/>
        <w:keepLines w:val="0"/>
        <w:pageBreakBefore w:val="0"/>
        <w:widowControl w:val="0"/>
        <w:kinsoku/>
        <w:topLinePunct w:val="0"/>
        <w:bidi w:val="0"/>
        <w:adjustRightIn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05B2A3">
      <w:pPr>
        <w:keepNext w:val="0"/>
        <w:keepLines w:val="0"/>
        <w:pageBreakBefore w:val="0"/>
        <w:widowControl w:val="0"/>
        <w:kinsoku/>
        <w:topLinePunct w:val="0"/>
        <w:bidi w:val="0"/>
        <w:adjustRightInd/>
        <w:spacing w:after="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本单位对上述声明的真实性负责。如有虚假，将依法承担相应责任。</w:t>
      </w:r>
    </w:p>
    <w:p w14:paraId="075AADF2">
      <w:pPr>
        <w:keepNext w:val="0"/>
        <w:keepLines w:val="0"/>
        <w:pageBreakBefore w:val="0"/>
        <w:widowControl w:val="0"/>
        <w:kinsoku/>
        <w:topLinePunct w:val="0"/>
        <w:bidi w:val="0"/>
        <w:adjustRightInd/>
        <w:spacing w:after="0" w:line="360" w:lineRule="auto"/>
        <w:ind w:firstLine="420" w:firstLineChars="200"/>
        <w:jc w:val="both"/>
        <w:rPr>
          <w:rFonts w:hint="eastAsia" w:ascii="宋体" w:hAnsi="宋体" w:eastAsia="宋体" w:cs="宋体"/>
          <w:color w:val="auto"/>
          <w:kern w:val="2"/>
          <w:sz w:val="21"/>
          <w:szCs w:val="21"/>
          <w:highlight w:val="none"/>
        </w:rPr>
      </w:pPr>
    </w:p>
    <w:p w14:paraId="35C498F6">
      <w:pPr>
        <w:keepNext w:val="0"/>
        <w:keepLines w:val="0"/>
        <w:pageBreakBefore w:val="0"/>
        <w:widowControl w:val="0"/>
        <w:kinsoku/>
        <w:topLinePunct w:val="0"/>
        <w:bidi w:val="0"/>
        <w:adjustRightInd/>
        <w:snapToGrid/>
        <w:spacing w:after="0" w:line="588" w:lineRule="exact"/>
        <w:ind w:firstLine="444" w:firstLineChars="200"/>
        <w:jc w:val="both"/>
        <w:rPr>
          <w:rFonts w:hint="eastAsia" w:ascii="宋体" w:hAnsi="宋体" w:eastAsia="宋体" w:cs="宋体"/>
          <w:color w:val="auto"/>
          <w:spacing w:val="6"/>
          <w:kern w:val="2"/>
          <w:sz w:val="21"/>
          <w:szCs w:val="21"/>
          <w:highlight w:val="none"/>
        </w:rPr>
      </w:pPr>
    </w:p>
    <w:p w14:paraId="7858D3F1">
      <w:pPr>
        <w:keepNext w:val="0"/>
        <w:keepLines w:val="0"/>
        <w:pageBreakBefore w:val="0"/>
        <w:kinsoku/>
        <w:topLinePunct w:val="0"/>
        <w:bidi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投标人名称（盖章）：                             </w:t>
      </w:r>
    </w:p>
    <w:p w14:paraId="5674E8FC">
      <w:pPr>
        <w:keepNext w:val="0"/>
        <w:keepLines w:val="0"/>
        <w:pageBreakBefore w:val="0"/>
        <w:kinsoku/>
        <w:topLinePunct w:val="0"/>
        <w:bidi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法定代表人或被授权代表（签字或盖章）：              </w:t>
      </w:r>
    </w:p>
    <w:p w14:paraId="430A4F51">
      <w:pPr>
        <w:keepNext w:val="0"/>
        <w:keepLines w:val="0"/>
        <w:pageBreakBefore w:val="0"/>
        <w:kinsoku/>
        <w:topLinePunct w:val="0"/>
        <w:bidi w:val="0"/>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77684943">
      <w:pPr>
        <w:keepNext w:val="0"/>
        <w:keepLines w:val="0"/>
        <w:pageBreakBefore w:val="0"/>
        <w:widowControl w:val="0"/>
        <w:kinsoku/>
        <w:topLinePunct w:val="0"/>
        <w:bidi w:val="0"/>
        <w:spacing w:line="540" w:lineRule="exact"/>
        <w:jc w:val="center"/>
        <w:rPr>
          <w:rFonts w:hint="eastAsia" w:ascii="宋体" w:hAnsi="宋体" w:eastAsia="宋体" w:cs="宋体"/>
          <w:color w:val="auto"/>
          <w:kern w:val="2"/>
          <w:sz w:val="22"/>
          <w:szCs w:val="22"/>
          <w:highlight w:val="none"/>
        </w:rPr>
      </w:pPr>
    </w:p>
    <w:p w14:paraId="7CE0D74F">
      <w:pPr>
        <w:widowControl/>
        <w:spacing w:line="420" w:lineRule="atLeast"/>
        <w:jc w:val="center"/>
        <w:rPr>
          <w:rFonts w:hint="eastAsia" w:ascii="宋体" w:hAnsi="宋体" w:eastAsia="宋体" w:cs="宋体"/>
          <w:b/>
          <w:bCs/>
          <w:color w:val="auto"/>
          <w:kern w:val="0"/>
          <w:sz w:val="24"/>
          <w:szCs w:val="24"/>
          <w:highlight w:val="none"/>
        </w:rPr>
      </w:pPr>
    </w:p>
    <w:p w14:paraId="6B9ED038">
      <w:pPr>
        <w:widowControl/>
        <w:spacing w:line="420" w:lineRule="atLeast"/>
        <w:jc w:val="center"/>
        <w:rPr>
          <w:rFonts w:hint="eastAsia" w:ascii="宋体" w:hAnsi="宋体" w:eastAsia="宋体" w:cs="宋体"/>
          <w:b/>
          <w:bCs/>
          <w:color w:val="auto"/>
          <w:kern w:val="0"/>
          <w:sz w:val="24"/>
          <w:szCs w:val="24"/>
          <w:highlight w:val="none"/>
        </w:rPr>
      </w:pPr>
    </w:p>
    <w:p w14:paraId="50447AF7">
      <w:pPr>
        <w:widowControl/>
        <w:spacing w:line="420" w:lineRule="atLeast"/>
        <w:jc w:val="center"/>
        <w:rPr>
          <w:rFonts w:hint="eastAsia" w:ascii="宋体" w:hAnsi="宋体" w:eastAsia="宋体" w:cs="宋体"/>
          <w:b/>
          <w:bCs/>
          <w:color w:val="auto"/>
          <w:kern w:val="0"/>
          <w:sz w:val="24"/>
          <w:szCs w:val="24"/>
          <w:highlight w:val="none"/>
        </w:rPr>
      </w:pPr>
    </w:p>
    <w:p w14:paraId="1331B922">
      <w:pPr>
        <w:widowControl/>
        <w:spacing w:line="420" w:lineRule="atLeast"/>
        <w:jc w:val="center"/>
        <w:rPr>
          <w:rFonts w:hint="eastAsia" w:ascii="宋体" w:hAnsi="宋体" w:eastAsia="宋体" w:cs="宋体"/>
          <w:b/>
          <w:bCs/>
          <w:color w:val="auto"/>
          <w:kern w:val="0"/>
          <w:sz w:val="24"/>
          <w:szCs w:val="24"/>
          <w:highlight w:val="none"/>
        </w:rPr>
      </w:pPr>
    </w:p>
    <w:p w14:paraId="1834BA9D">
      <w:pPr>
        <w:widowControl/>
        <w:spacing w:line="420" w:lineRule="atLeast"/>
        <w:jc w:val="center"/>
        <w:rPr>
          <w:rFonts w:hint="eastAsia" w:ascii="宋体" w:hAnsi="宋体" w:eastAsia="宋体" w:cs="宋体"/>
          <w:b/>
          <w:bCs/>
          <w:color w:val="auto"/>
          <w:kern w:val="0"/>
          <w:sz w:val="24"/>
          <w:szCs w:val="24"/>
          <w:highlight w:val="none"/>
        </w:rPr>
      </w:pPr>
    </w:p>
    <w:p w14:paraId="47C579DD">
      <w:pPr>
        <w:widowControl/>
        <w:spacing w:line="420" w:lineRule="atLeast"/>
        <w:jc w:val="center"/>
        <w:rPr>
          <w:rFonts w:hint="eastAsia" w:ascii="宋体" w:hAnsi="宋体" w:eastAsia="宋体" w:cs="宋体"/>
          <w:b/>
          <w:bCs/>
          <w:color w:val="auto"/>
          <w:kern w:val="0"/>
          <w:sz w:val="24"/>
          <w:szCs w:val="24"/>
          <w:highlight w:val="none"/>
        </w:rPr>
      </w:pPr>
    </w:p>
    <w:p w14:paraId="4919717E">
      <w:pPr>
        <w:widowControl/>
        <w:spacing w:line="420" w:lineRule="atLeast"/>
        <w:jc w:val="center"/>
        <w:rPr>
          <w:rFonts w:hint="eastAsia" w:ascii="宋体" w:hAnsi="宋体" w:eastAsia="宋体" w:cs="宋体"/>
          <w:b/>
          <w:bCs/>
          <w:color w:val="auto"/>
          <w:kern w:val="0"/>
          <w:sz w:val="24"/>
          <w:szCs w:val="24"/>
          <w:highlight w:val="none"/>
        </w:rPr>
      </w:pPr>
    </w:p>
    <w:p w14:paraId="4660075D">
      <w:pPr>
        <w:widowControl/>
        <w:spacing w:line="420" w:lineRule="atLeast"/>
        <w:jc w:val="center"/>
        <w:rPr>
          <w:rFonts w:hint="eastAsia" w:ascii="宋体" w:hAnsi="宋体" w:eastAsia="宋体" w:cs="宋体"/>
          <w:b/>
          <w:bCs/>
          <w:color w:val="auto"/>
          <w:kern w:val="0"/>
          <w:sz w:val="24"/>
          <w:szCs w:val="24"/>
          <w:highlight w:val="none"/>
        </w:rPr>
      </w:pPr>
    </w:p>
    <w:p w14:paraId="1A51D295">
      <w:pPr>
        <w:widowControl/>
        <w:spacing w:line="420" w:lineRule="atLeast"/>
        <w:jc w:val="center"/>
        <w:rPr>
          <w:rFonts w:hint="eastAsia" w:ascii="宋体" w:hAnsi="宋体" w:eastAsia="宋体" w:cs="宋体"/>
          <w:b/>
          <w:bCs/>
          <w:color w:val="auto"/>
          <w:kern w:val="0"/>
          <w:sz w:val="24"/>
          <w:szCs w:val="24"/>
          <w:highlight w:val="none"/>
        </w:rPr>
      </w:pPr>
    </w:p>
    <w:p w14:paraId="14FB76D1">
      <w:pPr>
        <w:widowControl/>
        <w:spacing w:line="420" w:lineRule="atLeast"/>
        <w:jc w:val="center"/>
        <w:rPr>
          <w:rFonts w:hint="eastAsia" w:ascii="宋体" w:hAnsi="宋体" w:eastAsia="宋体" w:cs="宋体"/>
          <w:b/>
          <w:bCs/>
          <w:color w:val="auto"/>
          <w:kern w:val="0"/>
          <w:sz w:val="24"/>
          <w:szCs w:val="24"/>
          <w:highlight w:val="none"/>
        </w:rPr>
      </w:pPr>
    </w:p>
    <w:p w14:paraId="0EBC9EB8">
      <w:pPr>
        <w:widowControl/>
        <w:spacing w:line="420" w:lineRule="atLeast"/>
        <w:jc w:val="center"/>
        <w:rPr>
          <w:rFonts w:hint="eastAsia" w:ascii="宋体" w:hAnsi="宋体" w:eastAsia="宋体" w:cs="宋体"/>
          <w:b/>
          <w:bCs/>
          <w:color w:val="auto"/>
          <w:kern w:val="0"/>
          <w:sz w:val="24"/>
          <w:szCs w:val="24"/>
          <w:highlight w:val="none"/>
        </w:rPr>
      </w:pPr>
    </w:p>
    <w:p w14:paraId="6283466E">
      <w:pPr>
        <w:widowControl/>
        <w:spacing w:line="420" w:lineRule="atLeast"/>
        <w:jc w:val="center"/>
        <w:rPr>
          <w:rFonts w:hint="eastAsia" w:ascii="宋体" w:hAnsi="宋体" w:eastAsia="宋体" w:cs="宋体"/>
          <w:b/>
          <w:bCs/>
          <w:color w:val="auto"/>
          <w:kern w:val="0"/>
          <w:sz w:val="24"/>
          <w:szCs w:val="24"/>
          <w:highlight w:val="none"/>
        </w:rPr>
      </w:pPr>
    </w:p>
    <w:p w14:paraId="36032F60">
      <w:pPr>
        <w:widowControl/>
        <w:spacing w:line="420" w:lineRule="atLeast"/>
        <w:jc w:val="center"/>
        <w:rPr>
          <w:rFonts w:hint="eastAsia" w:ascii="宋体" w:hAnsi="宋体" w:eastAsia="宋体" w:cs="宋体"/>
          <w:b/>
          <w:bCs/>
          <w:color w:val="auto"/>
          <w:kern w:val="0"/>
          <w:sz w:val="24"/>
          <w:szCs w:val="24"/>
          <w:highlight w:val="none"/>
        </w:rPr>
      </w:pPr>
    </w:p>
    <w:p w14:paraId="30FE67E0">
      <w:pPr>
        <w:widowControl/>
        <w:spacing w:line="420" w:lineRule="atLeast"/>
        <w:jc w:val="center"/>
        <w:rPr>
          <w:rFonts w:hint="eastAsia" w:ascii="宋体" w:hAnsi="宋体" w:eastAsia="宋体" w:cs="宋体"/>
          <w:b/>
          <w:bCs/>
          <w:color w:val="auto"/>
          <w:kern w:val="0"/>
          <w:sz w:val="24"/>
          <w:szCs w:val="24"/>
          <w:highlight w:val="none"/>
        </w:rPr>
      </w:pPr>
    </w:p>
    <w:p w14:paraId="680D996E">
      <w:pPr>
        <w:widowControl/>
        <w:spacing w:line="420" w:lineRule="atLeast"/>
        <w:jc w:val="center"/>
        <w:rPr>
          <w:rFonts w:hint="eastAsia" w:ascii="宋体" w:hAnsi="宋体" w:eastAsia="宋体" w:cs="宋体"/>
          <w:b/>
          <w:bCs/>
          <w:color w:val="auto"/>
          <w:kern w:val="0"/>
          <w:sz w:val="24"/>
          <w:szCs w:val="24"/>
          <w:highlight w:val="none"/>
        </w:rPr>
      </w:pPr>
    </w:p>
    <w:p w14:paraId="619B0838">
      <w:pPr>
        <w:widowControl/>
        <w:spacing w:line="420" w:lineRule="atLeast"/>
        <w:jc w:val="center"/>
        <w:rPr>
          <w:rFonts w:hint="eastAsia" w:ascii="宋体" w:hAnsi="宋体" w:eastAsia="宋体" w:cs="宋体"/>
          <w:b/>
          <w:bCs/>
          <w:color w:val="auto"/>
          <w:kern w:val="0"/>
          <w:sz w:val="24"/>
          <w:szCs w:val="24"/>
          <w:highlight w:val="none"/>
        </w:rPr>
      </w:pPr>
    </w:p>
    <w:p w14:paraId="35885756">
      <w:pPr>
        <w:widowControl/>
        <w:spacing w:line="420" w:lineRule="atLeast"/>
        <w:jc w:val="center"/>
        <w:rPr>
          <w:rFonts w:hint="eastAsia" w:ascii="宋体" w:hAnsi="宋体" w:eastAsia="宋体" w:cs="宋体"/>
          <w:b/>
          <w:bCs/>
          <w:color w:val="auto"/>
          <w:kern w:val="0"/>
          <w:sz w:val="24"/>
          <w:szCs w:val="24"/>
          <w:highlight w:val="none"/>
        </w:rPr>
      </w:pPr>
    </w:p>
    <w:p w14:paraId="1FB4B9EC">
      <w:pPr>
        <w:widowControl/>
        <w:spacing w:line="420" w:lineRule="atLeast"/>
        <w:jc w:val="center"/>
        <w:rPr>
          <w:rFonts w:hint="eastAsia" w:ascii="宋体" w:hAnsi="宋体" w:eastAsia="宋体" w:cs="宋体"/>
          <w:b/>
          <w:bCs/>
          <w:color w:val="auto"/>
          <w:kern w:val="0"/>
          <w:sz w:val="24"/>
          <w:szCs w:val="24"/>
          <w:highlight w:val="none"/>
        </w:rPr>
      </w:pPr>
    </w:p>
    <w:p w14:paraId="0B403CF6">
      <w:pPr>
        <w:widowControl/>
        <w:spacing w:line="420" w:lineRule="atLeas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电子投标文件与纸质投标文件内容一致承诺书</w:t>
      </w:r>
    </w:p>
    <w:p w14:paraId="2E5A8C4A">
      <w:pPr>
        <w:pStyle w:val="28"/>
        <w:spacing w:line="48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（投标时无需提供）</w:t>
      </w:r>
    </w:p>
    <w:p w14:paraId="5882C623">
      <w:pPr>
        <w:pStyle w:val="2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致: </w:t>
      </w:r>
      <w:r>
        <w:rPr>
          <w:rFonts w:hint="eastAsia" w:ascii="宋体" w:hAnsi="宋体" w:cs="宋体"/>
          <w:color w:val="auto"/>
          <w:sz w:val="21"/>
          <w:szCs w:val="21"/>
          <w:highlight w:val="none"/>
          <w:lang w:val="en-US" w:eastAsia="zh-CN"/>
        </w:rPr>
        <w:t>衢州市柯城区残疾人联合会</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浙江聚尚工程项目管理有限公司</w:t>
      </w:r>
    </w:p>
    <w:p w14:paraId="11A96927">
      <w:pPr>
        <w:pStyle w:val="28"/>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w:t>
      </w:r>
      <w:r>
        <w:rPr>
          <w:rFonts w:hint="eastAsia" w:ascii="宋体" w:hAnsi="宋体" w:eastAsia="宋体" w:cs="宋体"/>
          <w:color w:val="auto"/>
          <w:sz w:val="21"/>
          <w:szCs w:val="21"/>
          <w:highlight w:val="none"/>
          <w:lang w:val="zh-CN" w:eastAsia="zh-CN"/>
        </w:rPr>
        <w:t>有</w:t>
      </w:r>
      <w:r>
        <w:rPr>
          <w:rFonts w:hint="eastAsia" w:ascii="宋体" w:hAnsi="宋体" w:cs="宋体"/>
          <w:color w:val="auto"/>
          <w:sz w:val="21"/>
          <w:szCs w:val="21"/>
          <w:highlight w:val="none"/>
          <w:lang w:val="zh-CN" w:eastAsia="zh-CN"/>
        </w:rPr>
        <w:t>衢州市柯城区贝蓓儿儿童康复指导中心提升改造工程设备采购</w:t>
      </w:r>
      <w:r>
        <w:rPr>
          <w:rFonts w:hint="eastAsia" w:ascii="宋体" w:hAnsi="宋体" w:eastAsia="宋体" w:cs="宋体"/>
          <w:color w:val="auto"/>
          <w:sz w:val="21"/>
          <w:szCs w:val="21"/>
          <w:highlight w:val="none"/>
          <w:lang w:val="en-US" w:eastAsia="zh-CN"/>
        </w:rPr>
        <w:t>（项目编号：</w:t>
      </w:r>
      <w:r>
        <w:rPr>
          <w:rFonts w:hint="eastAsia" w:ascii="宋体" w:hAnsi="宋体" w:cs="宋体"/>
          <w:color w:val="auto"/>
          <w:sz w:val="21"/>
          <w:szCs w:val="21"/>
          <w:highlight w:val="none"/>
          <w:lang w:val="zh-CN" w:eastAsia="zh-CN"/>
        </w:rPr>
        <w:t>ZJJSCG-2024016</w:t>
      </w:r>
      <w:r>
        <w:rPr>
          <w:rFonts w:hint="eastAsia" w:ascii="宋体" w:hAnsi="宋体" w:eastAsia="宋体" w:cs="宋体"/>
          <w:color w:val="auto"/>
          <w:sz w:val="21"/>
          <w:szCs w:val="21"/>
          <w:highlight w:val="none"/>
          <w:lang w:val="en-US" w:eastAsia="zh-CN"/>
        </w:rPr>
        <w:t>），我单位在政采云系统中上传的</w:t>
      </w:r>
      <w:r>
        <w:rPr>
          <w:rFonts w:hint="eastAsia" w:ascii="宋体" w:hAnsi="宋体" w:eastAsia="宋体" w:cs="宋体"/>
          <w:color w:val="auto"/>
          <w:sz w:val="21"/>
          <w:szCs w:val="21"/>
          <w:highlight w:val="none"/>
        </w:rPr>
        <w:t>电子投标文件与本次提供的纸质投标文件内容一致。</w:t>
      </w:r>
    </w:p>
    <w:p w14:paraId="0EE9DA42">
      <w:pPr>
        <w:pStyle w:val="28"/>
        <w:spacing w:line="480" w:lineRule="auto"/>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特此承诺</w:t>
      </w:r>
      <w:r>
        <w:rPr>
          <w:rFonts w:hint="eastAsia" w:ascii="宋体" w:hAnsi="宋体" w:eastAsia="宋体" w:cs="宋体"/>
          <w:color w:val="auto"/>
          <w:sz w:val="21"/>
          <w:szCs w:val="21"/>
          <w:highlight w:val="none"/>
          <w:lang w:eastAsia="zh-CN"/>
        </w:rPr>
        <w:t>！</w:t>
      </w:r>
    </w:p>
    <w:p w14:paraId="5B29F24E">
      <w:pPr>
        <w:pStyle w:val="28"/>
        <w:spacing w:line="360" w:lineRule="auto"/>
        <w:ind w:left="0" w:leftChars="0" w:firstLine="420" w:firstLineChars="200"/>
        <w:rPr>
          <w:rFonts w:hint="eastAsia" w:ascii="宋体" w:hAnsi="宋体" w:eastAsia="宋体" w:cs="宋体"/>
          <w:color w:val="auto"/>
          <w:sz w:val="21"/>
          <w:szCs w:val="21"/>
          <w:highlight w:val="none"/>
        </w:rPr>
      </w:pPr>
    </w:p>
    <w:p w14:paraId="0D63CF33">
      <w:pPr>
        <w:pStyle w:val="28"/>
        <w:spacing w:line="360" w:lineRule="auto"/>
        <w:ind w:left="0" w:leftChars="0" w:firstLine="420" w:firstLineChars="200"/>
        <w:rPr>
          <w:rFonts w:hint="eastAsia" w:ascii="宋体" w:hAnsi="宋体" w:eastAsia="宋体" w:cs="宋体"/>
          <w:color w:val="auto"/>
          <w:sz w:val="21"/>
          <w:szCs w:val="21"/>
          <w:highlight w:val="none"/>
        </w:rPr>
      </w:pPr>
    </w:p>
    <w:p w14:paraId="18643D0F">
      <w:pPr>
        <w:pStyle w:val="28"/>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:(盖章)</w:t>
      </w:r>
    </w:p>
    <w:p w14:paraId="00A52F9F">
      <w:pPr>
        <w:pStyle w:val="28"/>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14:paraId="7CB4B744">
      <w:pPr>
        <w:pStyle w:val="28"/>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4E412081">
      <w:pPr>
        <w:pStyle w:val="21"/>
        <w:rPr>
          <w:rFonts w:hint="eastAsia" w:ascii="宋体" w:hAnsi="宋体" w:eastAsia="宋体" w:cs="宋体"/>
          <w:color w:val="auto"/>
          <w:sz w:val="24"/>
          <w:szCs w:val="24"/>
          <w:highlight w:val="none"/>
          <w:u w:val="none"/>
        </w:rPr>
      </w:pPr>
    </w:p>
    <w:p w14:paraId="508F7ED0">
      <w:pPr>
        <w:rPr>
          <w:rFonts w:hint="eastAsia" w:ascii="宋体" w:hAnsi="宋体" w:eastAsia="宋体" w:cs="宋体"/>
          <w:color w:val="auto"/>
          <w:highlight w:val="none"/>
        </w:rPr>
      </w:pPr>
    </w:p>
    <w:p w14:paraId="4A07869B">
      <w:pPr>
        <w:pStyle w:val="3"/>
        <w:rPr>
          <w:rFonts w:hint="eastAsia" w:ascii="宋体" w:hAnsi="宋体" w:eastAsia="宋体" w:cs="宋体"/>
          <w:color w:val="auto"/>
          <w:highlight w:val="none"/>
        </w:rPr>
      </w:pPr>
    </w:p>
    <w:p w14:paraId="5A361C01">
      <w:pPr>
        <w:rPr>
          <w:rFonts w:hint="eastAsia" w:ascii="宋体" w:hAnsi="宋体" w:eastAsia="宋体" w:cs="宋体"/>
          <w:color w:val="auto"/>
          <w:highlight w:val="none"/>
        </w:rPr>
      </w:pPr>
    </w:p>
    <w:p w14:paraId="51EE07DB">
      <w:pPr>
        <w:pStyle w:val="3"/>
        <w:rPr>
          <w:rFonts w:hint="eastAsia" w:ascii="宋体" w:hAnsi="宋体" w:eastAsia="宋体" w:cs="宋体"/>
          <w:color w:val="auto"/>
          <w:highlight w:val="none"/>
        </w:rPr>
      </w:pPr>
    </w:p>
    <w:p w14:paraId="48531B5E">
      <w:pPr>
        <w:rPr>
          <w:rFonts w:hint="eastAsia" w:ascii="宋体" w:hAnsi="宋体" w:eastAsia="宋体" w:cs="宋体"/>
          <w:color w:val="auto"/>
          <w:highlight w:val="none"/>
        </w:rPr>
      </w:pPr>
    </w:p>
    <w:p w14:paraId="09FEABB9">
      <w:pPr>
        <w:pStyle w:val="3"/>
        <w:rPr>
          <w:rFonts w:hint="eastAsia" w:ascii="宋体" w:hAnsi="宋体" w:eastAsia="宋体" w:cs="宋体"/>
          <w:color w:val="auto"/>
          <w:highlight w:val="none"/>
        </w:rPr>
      </w:pPr>
    </w:p>
    <w:p w14:paraId="6C5E964B">
      <w:pPr>
        <w:rPr>
          <w:rFonts w:hint="eastAsia" w:ascii="宋体" w:hAnsi="宋体" w:eastAsia="宋体" w:cs="宋体"/>
          <w:color w:val="auto"/>
          <w:highlight w:val="none"/>
        </w:rPr>
      </w:pPr>
    </w:p>
    <w:p w14:paraId="439CB73C">
      <w:pPr>
        <w:pStyle w:val="3"/>
        <w:rPr>
          <w:rFonts w:hint="eastAsia" w:ascii="宋体" w:hAnsi="宋体" w:eastAsia="宋体" w:cs="宋体"/>
          <w:color w:val="auto"/>
          <w:highlight w:val="none"/>
        </w:rPr>
      </w:pPr>
    </w:p>
    <w:p w14:paraId="56E4B1F0">
      <w:pPr>
        <w:rPr>
          <w:rFonts w:hint="eastAsia" w:ascii="宋体" w:hAnsi="宋体" w:eastAsia="宋体" w:cs="宋体"/>
          <w:color w:val="auto"/>
          <w:highlight w:val="none"/>
        </w:rPr>
      </w:pPr>
    </w:p>
    <w:p w14:paraId="08CECAB4">
      <w:pPr>
        <w:pStyle w:val="3"/>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auto"/>
          <w:spacing w:val="0"/>
          <w:highlight w:val="none"/>
        </w:rPr>
      </w:pPr>
    </w:p>
    <w:p w14:paraId="49C614C1">
      <w:pPr>
        <w:pStyle w:val="3"/>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auto"/>
          <w:spacing w:val="0"/>
          <w:highlight w:val="none"/>
        </w:rPr>
      </w:pPr>
    </w:p>
    <w:p w14:paraId="6BC19E43">
      <w:pPr>
        <w:pStyle w:val="3"/>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auto"/>
          <w:spacing w:val="0"/>
          <w:highlight w:val="none"/>
        </w:rPr>
      </w:pPr>
    </w:p>
    <w:p w14:paraId="73FA97B4">
      <w:pPr>
        <w:pStyle w:val="3"/>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auto"/>
          <w:spacing w:val="0"/>
          <w:highlight w:val="none"/>
        </w:rPr>
      </w:pPr>
      <w:r>
        <w:rPr>
          <w:rFonts w:hint="eastAsia" w:ascii="宋体" w:hAnsi="宋体" w:eastAsia="宋体" w:cs="宋体"/>
          <w:i w:val="0"/>
          <w:caps w:val="0"/>
          <w:color w:val="auto"/>
          <w:spacing w:val="0"/>
          <w:highlight w:val="none"/>
        </w:rPr>
        <w:t>政府采购活动现场确认声明书</w:t>
      </w:r>
    </w:p>
    <w:p w14:paraId="143361A6">
      <w:pPr>
        <w:spacing w:line="360" w:lineRule="auto"/>
        <w:rPr>
          <w:rFonts w:hint="eastAsia" w:ascii="宋体" w:hAnsi="宋体" w:eastAsia="宋体" w:cs="宋体"/>
          <w:i w:val="0"/>
          <w:caps w:val="0"/>
          <w:color w:val="auto"/>
          <w:spacing w:val="0"/>
          <w:sz w:val="21"/>
          <w:szCs w:val="21"/>
          <w:highlight w:val="none"/>
        </w:rPr>
      </w:pPr>
      <w:r>
        <w:rPr>
          <w:rFonts w:hint="eastAsia" w:ascii="宋体" w:hAnsi="宋体" w:cs="宋体"/>
          <w:i w:val="0"/>
          <w:caps w:val="0"/>
          <w:color w:val="auto"/>
          <w:spacing w:val="0"/>
          <w:sz w:val="21"/>
          <w:szCs w:val="21"/>
          <w:highlight w:val="none"/>
          <w:lang w:val="zh-CN"/>
        </w:rPr>
        <w:t>衢州市柯城区残疾人联合会</w:t>
      </w:r>
      <w:r>
        <w:rPr>
          <w:rFonts w:hint="eastAsia" w:ascii="宋体" w:hAnsi="宋体" w:eastAsia="宋体" w:cs="宋体"/>
          <w:i w:val="0"/>
          <w:caps w:val="0"/>
          <w:color w:val="auto"/>
          <w:spacing w:val="0"/>
          <w:sz w:val="21"/>
          <w:szCs w:val="21"/>
          <w:highlight w:val="none"/>
          <w:lang w:val="zh-CN"/>
        </w:rPr>
        <w:t>、</w:t>
      </w:r>
      <w:r>
        <w:rPr>
          <w:rFonts w:hint="eastAsia" w:ascii="宋体" w:hAnsi="宋体" w:cs="宋体"/>
          <w:i w:val="0"/>
          <w:caps w:val="0"/>
          <w:color w:val="auto"/>
          <w:spacing w:val="0"/>
          <w:sz w:val="21"/>
          <w:szCs w:val="21"/>
          <w:highlight w:val="none"/>
          <w:lang w:val="zh-CN" w:eastAsia="zh-CN"/>
        </w:rPr>
        <w:t>浙江聚尚工程项目管理有限公司</w:t>
      </w:r>
      <w:r>
        <w:rPr>
          <w:rFonts w:hint="eastAsia" w:ascii="宋体" w:hAnsi="宋体" w:eastAsia="宋体" w:cs="宋体"/>
          <w:i w:val="0"/>
          <w:caps w:val="0"/>
          <w:color w:val="auto"/>
          <w:spacing w:val="0"/>
          <w:sz w:val="21"/>
          <w:szCs w:val="21"/>
          <w:highlight w:val="none"/>
        </w:rPr>
        <w:t>:</w:t>
      </w:r>
    </w:p>
    <w:p w14:paraId="6B57A473">
      <w:pPr>
        <w:spacing w:line="360" w:lineRule="auto"/>
        <w:ind w:left="0" w:leftChars="0" w:firstLine="399" w:firstLineChars="19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本人</w:t>
      </w:r>
      <w:r>
        <w:rPr>
          <w:rFonts w:hint="eastAsia" w:ascii="宋体" w:hAnsi="宋体" w:eastAsia="宋体" w:cs="宋体"/>
          <w:i w:val="0"/>
          <w:caps w:val="0"/>
          <w:color w:val="auto"/>
          <w:spacing w:val="0"/>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rPr>
        <w:t>（授权代表姓名），经由</w:t>
      </w:r>
      <w:r>
        <w:rPr>
          <w:rFonts w:hint="eastAsia" w:ascii="宋体" w:hAnsi="宋体" w:eastAsia="宋体" w:cs="宋体"/>
          <w:i w:val="0"/>
          <w:caps w:val="0"/>
          <w:color w:val="auto"/>
          <w:spacing w:val="0"/>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rPr>
        <w:t>（单位）</w:t>
      </w:r>
      <w:r>
        <w:rPr>
          <w:rFonts w:hint="eastAsia" w:ascii="宋体" w:hAnsi="宋体" w:eastAsia="宋体" w:cs="宋体"/>
          <w:i w:val="0"/>
          <w:caps w:val="0"/>
          <w:color w:val="auto"/>
          <w:spacing w:val="0"/>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rPr>
        <w:t>（法定代表人姓名）合法授权参加</w:t>
      </w:r>
      <w:r>
        <w:rPr>
          <w:rFonts w:hint="eastAsia" w:ascii="宋体" w:hAnsi="宋体" w:cs="宋体"/>
          <w:i w:val="0"/>
          <w:caps w:val="0"/>
          <w:color w:val="auto"/>
          <w:spacing w:val="0"/>
          <w:sz w:val="21"/>
          <w:szCs w:val="21"/>
          <w:highlight w:val="none"/>
          <w:u w:val="single"/>
          <w:lang w:val="en-US" w:eastAsia="zh-CN"/>
        </w:rPr>
        <w:t>衢州市柯城区贝蓓儿儿童康复指导中心提升改造工程设备采购</w:t>
      </w:r>
      <w:r>
        <w:rPr>
          <w:rFonts w:hint="eastAsia" w:ascii="宋体" w:hAnsi="宋体" w:eastAsia="宋体" w:cs="宋体"/>
          <w:i w:val="0"/>
          <w:caps w:val="0"/>
          <w:color w:val="auto"/>
          <w:spacing w:val="0"/>
          <w:sz w:val="21"/>
          <w:szCs w:val="21"/>
          <w:highlight w:val="none"/>
        </w:rPr>
        <w:t>（编号：</w:t>
      </w:r>
      <w:r>
        <w:rPr>
          <w:rFonts w:hint="eastAsia" w:ascii="宋体" w:hAnsi="宋体" w:cs="宋体"/>
          <w:i w:val="0"/>
          <w:caps w:val="0"/>
          <w:color w:val="auto"/>
          <w:spacing w:val="0"/>
          <w:sz w:val="21"/>
          <w:szCs w:val="21"/>
          <w:highlight w:val="none"/>
          <w:lang w:eastAsia="zh-CN"/>
        </w:rPr>
        <w:t>ZJJSCG-2024016</w:t>
      </w:r>
      <w:r>
        <w:rPr>
          <w:rFonts w:hint="eastAsia" w:ascii="宋体" w:hAnsi="宋体" w:eastAsia="宋体" w:cs="宋体"/>
          <w:i w:val="0"/>
          <w:caps w:val="0"/>
          <w:color w:val="auto"/>
          <w:spacing w:val="0"/>
          <w:sz w:val="21"/>
          <w:szCs w:val="21"/>
          <w:highlight w:val="none"/>
        </w:rPr>
        <w:t>）政府采购活动．经与本单位法人代表（负责人）联系确认，现就有关公平竞争事项郑重声明如下:</w:t>
      </w:r>
    </w:p>
    <w:p w14:paraId="3CBBD8E4">
      <w:pPr>
        <w:spacing w:line="360" w:lineRule="auto"/>
        <w:ind w:left="0" w:leftChars="0" w:firstLine="399" w:firstLineChars="19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一、本单位与采购人之间</w:t>
      </w:r>
      <w:r>
        <w:rPr>
          <w:rFonts w:hint="eastAsia" w:ascii="宋体" w:hAnsi="宋体" w:eastAsia="宋体" w:cs="宋体"/>
          <w:i w:val="0"/>
          <w:caps w:val="0"/>
          <w:color w:val="auto"/>
          <w:spacing w:val="0"/>
          <w:sz w:val="24"/>
          <w:szCs w:val="24"/>
          <w:highlight w:val="none"/>
        </w:rPr>
        <w:t>口</w:t>
      </w:r>
      <w:r>
        <w:rPr>
          <w:rFonts w:hint="eastAsia" w:ascii="宋体" w:hAnsi="宋体" w:eastAsia="宋体" w:cs="宋体"/>
          <w:i w:val="0"/>
          <w:caps w:val="0"/>
          <w:color w:val="auto"/>
          <w:spacing w:val="0"/>
          <w:sz w:val="21"/>
          <w:szCs w:val="21"/>
          <w:highlight w:val="none"/>
        </w:rPr>
        <w:t>不存在利害关系</w:t>
      </w:r>
      <w:r>
        <w:rPr>
          <w:rFonts w:hint="eastAsia" w:ascii="宋体" w:hAnsi="宋体" w:eastAsia="宋体" w:cs="宋体"/>
          <w:i w:val="0"/>
          <w:caps w:val="0"/>
          <w:color w:val="auto"/>
          <w:spacing w:val="0"/>
          <w:sz w:val="24"/>
          <w:szCs w:val="24"/>
          <w:highlight w:val="none"/>
        </w:rPr>
        <w:t>口</w:t>
      </w:r>
      <w:r>
        <w:rPr>
          <w:rFonts w:hint="eastAsia" w:ascii="宋体" w:hAnsi="宋体" w:eastAsia="宋体" w:cs="宋体"/>
          <w:i w:val="0"/>
          <w:caps w:val="0"/>
          <w:color w:val="auto"/>
          <w:spacing w:val="0"/>
          <w:sz w:val="21"/>
          <w:szCs w:val="21"/>
          <w:highlight w:val="none"/>
        </w:rPr>
        <w:t>存在下列利害关系:</w:t>
      </w:r>
    </w:p>
    <w:p w14:paraId="5947C40D">
      <w:pPr>
        <w:spacing w:line="360" w:lineRule="auto"/>
        <w:ind w:left="0" w:leftChars="0" w:firstLine="399" w:firstLineChars="19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A．投资关系      B．行政隶属关系      C．业务指导关系</w:t>
      </w:r>
    </w:p>
    <w:p w14:paraId="7697109A">
      <w:pPr>
        <w:spacing w:line="360" w:lineRule="auto"/>
        <w:ind w:left="0" w:leftChars="0" w:firstLine="399" w:firstLineChars="19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D．其他可能影响采购公正的利害关系（如有，请如实说明）。</w:t>
      </w:r>
    </w:p>
    <w:p w14:paraId="06AC6E02">
      <w:pPr>
        <w:spacing w:line="360" w:lineRule="auto"/>
        <w:ind w:left="0" w:leftChars="0" w:firstLine="399" w:firstLineChars="19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二、现己清楚知道参加本项目采购活动的其他所有供应商名称，本单位</w:t>
      </w:r>
      <w:r>
        <w:rPr>
          <w:rFonts w:hint="eastAsia" w:ascii="宋体" w:hAnsi="宋体" w:eastAsia="宋体" w:cs="宋体"/>
          <w:i w:val="0"/>
          <w:caps w:val="0"/>
          <w:color w:val="auto"/>
          <w:spacing w:val="0"/>
          <w:sz w:val="21"/>
          <w:szCs w:val="21"/>
          <w:highlight w:val="none"/>
          <w:lang w:val="en-US" w:eastAsia="zh-CN"/>
        </w:rPr>
        <w:t xml:space="preserve"> </w:t>
      </w:r>
      <w:r>
        <w:rPr>
          <w:rFonts w:hint="eastAsia" w:ascii="宋体" w:hAnsi="宋体" w:eastAsia="宋体" w:cs="宋体"/>
          <w:i w:val="0"/>
          <w:caps w:val="0"/>
          <w:color w:val="auto"/>
          <w:spacing w:val="0"/>
          <w:sz w:val="24"/>
          <w:szCs w:val="24"/>
          <w:highlight w:val="none"/>
        </w:rPr>
        <w:t>口</w:t>
      </w:r>
      <w:r>
        <w:rPr>
          <w:rFonts w:hint="eastAsia" w:ascii="宋体" w:hAnsi="宋体" w:eastAsia="宋体" w:cs="宋体"/>
          <w:i w:val="0"/>
          <w:caps w:val="0"/>
          <w:color w:val="auto"/>
          <w:spacing w:val="0"/>
          <w:sz w:val="21"/>
          <w:szCs w:val="21"/>
          <w:highlight w:val="none"/>
        </w:rPr>
        <w:t>与其他所有供应商之间均不存在利害关系</w:t>
      </w:r>
      <w:r>
        <w:rPr>
          <w:rFonts w:hint="eastAsia" w:ascii="宋体" w:hAnsi="宋体" w:eastAsia="宋体" w:cs="宋体"/>
          <w:i w:val="0"/>
          <w:caps w:val="0"/>
          <w:color w:val="auto"/>
          <w:spacing w:val="0"/>
          <w:sz w:val="21"/>
          <w:szCs w:val="21"/>
          <w:highlight w:val="none"/>
          <w:lang w:val="en-US" w:eastAsia="zh-CN"/>
        </w:rPr>
        <w:t xml:space="preserve"> </w:t>
      </w:r>
      <w:r>
        <w:rPr>
          <w:rFonts w:hint="eastAsia" w:ascii="宋体" w:hAnsi="宋体" w:eastAsia="宋体" w:cs="宋体"/>
          <w:i w:val="0"/>
          <w:caps w:val="0"/>
          <w:color w:val="auto"/>
          <w:spacing w:val="0"/>
          <w:sz w:val="24"/>
          <w:szCs w:val="24"/>
          <w:highlight w:val="none"/>
        </w:rPr>
        <w:t>口</w:t>
      </w:r>
      <w:r>
        <w:rPr>
          <w:rFonts w:hint="eastAsia" w:ascii="宋体" w:hAnsi="宋体" w:eastAsia="宋体" w:cs="宋体"/>
          <w:i w:val="0"/>
          <w:caps w:val="0"/>
          <w:color w:val="auto"/>
          <w:spacing w:val="0"/>
          <w:sz w:val="21"/>
          <w:szCs w:val="21"/>
          <w:highlight w:val="none"/>
        </w:rPr>
        <w:t>与</w:t>
      </w:r>
      <w:r>
        <w:rPr>
          <w:rFonts w:hint="eastAsia" w:ascii="宋体" w:hAnsi="宋体" w:eastAsia="宋体" w:cs="宋体"/>
          <w:i w:val="0"/>
          <w:caps w:val="0"/>
          <w:color w:val="auto"/>
          <w:spacing w:val="0"/>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rPr>
        <w:t>（供应商名称）之间存在下列利害关系:</w:t>
      </w:r>
    </w:p>
    <w:p w14:paraId="3B3F361D">
      <w:pPr>
        <w:spacing w:line="360" w:lineRule="auto"/>
        <w:ind w:left="0" w:leftChars="0" w:firstLine="399" w:firstLineChars="190"/>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A．法定代表人或负责人或实际控制人是同一人</w:t>
      </w:r>
    </w:p>
    <w:p w14:paraId="5338399F">
      <w:pPr>
        <w:spacing w:line="360" w:lineRule="auto"/>
        <w:ind w:left="0" w:leftChars="0" w:firstLine="399" w:firstLineChars="19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B．法定代表人或负责人或实际控制人是夫妻关系</w:t>
      </w:r>
    </w:p>
    <w:p w14:paraId="56AFDD15">
      <w:pPr>
        <w:spacing w:line="360" w:lineRule="auto"/>
        <w:ind w:left="0" w:leftChars="0" w:firstLine="399" w:firstLineChars="19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C．法定代表人或负责人或实际控制人是直系血亲关系</w:t>
      </w:r>
    </w:p>
    <w:p w14:paraId="5D3E728F">
      <w:pPr>
        <w:spacing w:line="360" w:lineRule="auto"/>
        <w:ind w:left="0" w:leftChars="0" w:firstLine="399" w:firstLineChars="19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D．法定代表人或负责人或实际控制人存在三代以内旁系血亲关系</w:t>
      </w:r>
    </w:p>
    <w:p w14:paraId="34C37C26">
      <w:pPr>
        <w:spacing w:line="360" w:lineRule="auto"/>
        <w:ind w:left="0" w:leftChars="0" w:firstLine="399" w:firstLineChars="19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E．法定代表人或负责人或实际控制人存在近姻亲关系</w:t>
      </w:r>
    </w:p>
    <w:p w14:paraId="4F5D556D">
      <w:pPr>
        <w:spacing w:line="360" w:lineRule="auto"/>
        <w:ind w:left="0" w:leftChars="0" w:firstLine="399" w:firstLineChars="19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F．法定代表人或负责人或实际控制人存在股份控制或实际控制关系</w:t>
      </w:r>
    </w:p>
    <w:p w14:paraId="7F3AF309">
      <w:pPr>
        <w:spacing w:line="360" w:lineRule="auto"/>
        <w:ind w:left="0" w:leftChars="0" w:firstLine="399" w:firstLineChars="19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 xml:space="preserve">G．存在共同直接或间接投资设立子公司、联营企业和合营企业情况    </w:t>
      </w:r>
    </w:p>
    <w:p w14:paraId="1D4ACA82">
      <w:pPr>
        <w:spacing w:line="360" w:lineRule="auto"/>
        <w:ind w:left="0" w:leftChars="0" w:firstLine="399" w:firstLineChars="19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H．存在分级代理或代销关系、同一生产制造商关系、管理关系、重要业务（占主营业务收入</w:t>
      </w:r>
      <w:r>
        <w:rPr>
          <w:rFonts w:hint="eastAsia" w:ascii="宋体" w:hAnsi="宋体" w:eastAsia="宋体" w:cs="宋体"/>
          <w:i w:val="0"/>
          <w:caps w:val="0"/>
          <w:color w:val="auto"/>
          <w:spacing w:val="0"/>
          <w:sz w:val="21"/>
          <w:szCs w:val="21"/>
          <w:highlight w:val="none"/>
          <w:lang w:val="en-US" w:eastAsia="zh-CN"/>
        </w:rPr>
        <w:t>50</w:t>
      </w:r>
      <w:r>
        <w:rPr>
          <w:rFonts w:hint="eastAsia" w:ascii="宋体" w:hAnsi="宋体" w:eastAsia="宋体" w:cs="宋体"/>
          <w:i w:val="0"/>
          <w:caps w:val="0"/>
          <w:color w:val="auto"/>
          <w:spacing w:val="0"/>
          <w:sz w:val="21"/>
          <w:szCs w:val="21"/>
          <w:highlight w:val="none"/>
        </w:rPr>
        <w:t>％以上）或重要财务往来关系（如融资）等其他实质性控制关系</w:t>
      </w:r>
    </w:p>
    <w:p w14:paraId="5B5049A7">
      <w:pPr>
        <w:spacing w:line="360" w:lineRule="auto"/>
        <w:ind w:left="0" w:leftChars="0" w:firstLine="399" w:firstLineChars="19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I．其他利害关系情况________________________________________。</w:t>
      </w:r>
    </w:p>
    <w:p w14:paraId="048D71A3">
      <w:pPr>
        <w:spacing w:line="360" w:lineRule="auto"/>
        <w:ind w:left="0" w:leftChars="0" w:firstLine="399" w:firstLineChars="19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三、现己清楚知道并严格遵守政府采购法律法规和现场纪律。</w:t>
      </w:r>
    </w:p>
    <w:p w14:paraId="6AFA97BB">
      <w:pPr>
        <w:spacing w:line="360" w:lineRule="auto"/>
        <w:ind w:left="0" w:leftChars="0" w:firstLine="399" w:firstLineChars="190"/>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rPr>
        <w:t>四、我发现 ____________________供应商之间存在或可能存在上述第二条第_______项利害关系。</w:t>
      </w:r>
    </w:p>
    <w:p w14:paraId="1A923F75">
      <w:pPr>
        <w:spacing w:line="480" w:lineRule="auto"/>
        <w:ind w:left="0" w:leftChars="0" w:firstLine="399" w:firstLineChars="190"/>
        <w:rPr>
          <w:rFonts w:hint="eastAsia" w:ascii="宋体" w:hAnsi="宋体" w:eastAsia="宋体" w:cs="宋体"/>
          <w:i w:val="0"/>
          <w:caps w:val="0"/>
          <w:color w:val="auto"/>
          <w:spacing w:val="0"/>
          <w:sz w:val="21"/>
          <w:szCs w:val="21"/>
          <w:highlight w:val="none"/>
        </w:rPr>
      </w:pPr>
    </w:p>
    <w:p w14:paraId="6C1759F6">
      <w:pPr>
        <w:spacing w:line="480" w:lineRule="auto"/>
        <w:ind w:left="0" w:leftChars="0" w:firstLine="399" w:firstLineChars="190"/>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 xml:space="preserve">供应商代表签名: </w:t>
      </w:r>
    </w:p>
    <w:p w14:paraId="06975C6D">
      <w:pPr>
        <w:spacing w:line="720" w:lineRule="auto"/>
        <w:ind w:left="0" w:leftChars="0" w:firstLine="2398" w:firstLineChars="1142"/>
        <w:jc w:val="right"/>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rPr>
        <w:t xml:space="preserve"> </w:t>
      </w:r>
      <w:r>
        <w:rPr>
          <w:rFonts w:hint="eastAsia" w:ascii="宋体" w:hAnsi="宋体" w:cs="宋体"/>
          <w:i w:val="0"/>
          <w:caps w:val="0"/>
          <w:color w:val="auto"/>
          <w:spacing w:val="0"/>
          <w:sz w:val="21"/>
          <w:szCs w:val="21"/>
          <w:highlight w:val="none"/>
          <w:lang w:val="en-US" w:eastAsia="zh-CN"/>
        </w:rPr>
        <w:t xml:space="preserve"> </w:t>
      </w:r>
      <w:r>
        <w:rPr>
          <w:rFonts w:hint="eastAsia" w:ascii="宋体" w:hAnsi="宋体" w:eastAsia="宋体" w:cs="宋体"/>
          <w:i w:val="0"/>
          <w:caps w:val="0"/>
          <w:color w:val="auto"/>
          <w:spacing w:val="0"/>
          <w:sz w:val="21"/>
          <w:szCs w:val="21"/>
          <w:highlight w:val="none"/>
          <w:lang w:eastAsia="zh-CN"/>
        </w:rPr>
        <w:t>年</w:t>
      </w:r>
      <w:r>
        <w:rPr>
          <w:rFonts w:hint="eastAsia" w:ascii="宋体" w:hAnsi="宋体" w:eastAsia="宋体" w:cs="宋体"/>
          <w:i w:val="0"/>
          <w:caps w:val="0"/>
          <w:color w:val="auto"/>
          <w:spacing w:val="0"/>
          <w:sz w:val="21"/>
          <w:szCs w:val="21"/>
          <w:highlight w:val="none"/>
          <w:lang w:val="en-US" w:eastAsia="zh-CN"/>
        </w:rPr>
        <w:t xml:space="preserve">  </w:t>
      </w:r>
      <w:r>
        <w:rPr>
          <w:rFonts w:hint="eastAsia" w:ascii="宋体" w:hAnsi="宋体" w:eastAsia="宋体" w:cs="宋体"/>
          <w:i w:val="0"/>
          <w:caps w:val="0"/>
          <w:color w:val="auto"/>
          <w:spacing w:val="0"/>
          <w:sz w:val="21"/>
          <w:szCs w:val="21"/>
          <w:highlight w:val="none"/>
          <w:lang w:eastAsia="zh-CN"/>
        </w:rPr>
        <w:t>月</w:t>
      </w:r>
      <w:r>
        <w:rPr>
          <w:rFonts w:hint="eastAsia" w:ascii="宋体" w:hAnsi="宋体" w:eastAsia="宋体" w:cs="宋体"/>
          <w:i w:val="0"/>
          <w:caps w:val="0"/>
          <w:color w:val="auto"/>
          <w:spacing w:val="0"/>
          <w:sz w:val="21"/>
          <w:szCs w:val="21"/>
          <w:highlight w:val="none"/>
          <w:lang w:val="en-US" w:eastAsia="zh-CN"/>
        </w:rPr>
        <w:t xml:space="preserve">  </w:t>
      </w:r>
      <w:r>
        <w:rPr>
          <w:rFonts w:hint="eastAsia" w:ascii="宋体" w:hAnsi="宋体" w:eastAsia="宋体" w:cs="宋体"/>
          <w:i w:val="0"/>
          <w:caps w:val="0"/>
          <w:color w:val="auto"/>
          <w:spacing w:val="0"/>
          <w:sz w:val="21"/>
          <w:szCs w:val="21"/>
          <w:highlight w:val="none"/>
          <w:lang w:eastAsia="zh-CN"/>
        </w:rPr>
        <w:t>日</w:t>
      </w:r>
    </w:p>
    <w:p w14:paraId="65867A11">
      <w:pPr>
        <w:spacing w:line="360" w:lineRule="auto"/>
        <w:ind w:left="0" w:leftChars="0" w:firstLine="399" w:firstLineChars="190"/>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lang w:val="en-US" w:eastAsia="zh-CN"/>
        </w:rPr>
        <w:t>注：</w:t>
      </w:r>
      <w:r>
        <w:rPr>
          <w:rFonts w:hint="eastAsia" w:ascii="宋体" w:hAnsi="宋体" w:eastAsia="宋体" w:cs="宋体"/>
          <w:i w:val="0"/>
          <w:caps w:val="0"/>
          <w:color w:val="auto"/>
          <w:spacing w:val="0"/>
          <w:sz w:val="21"/>
          <w:szCs w:val="21"/>
          <w:highlight w:val="none"/>
        </w:rPr>
        <w:t>投标文件解密结束，各供应商通过邮件形式发送《政府采购活动现场确认声明书》</w:t>
      </w:r>
      <w:r>
        <w:rPr>
          <w:rFonts w:hint="eastAsia" w:ascii="宋体" w:hAnsi="宋体" w:eastAsia="宋体" w:cs="宋体"/>
          <w:i w:val="0"/>
          <w:caps w:val="0"/>
          <w:color w:val="auto"/>
          <w:spacing w:val="0"/>
          <w:sz w:val="21"/>
          <w:szCs w:val="21"/>
          <w:highlight w:val="none"/>
          <w:lang w:eastAsia="zh-CN"/>
        </w:rPr>
        <w:t>给代理机构2291117847@qq.com</w:t>
      </w:r>
    </w:p>
    <w:sectPr>
      <w:headerReference r:id="rId8" w:type="default"/>
      <w:footerReference r:id="rId9" w:type="default"/>
      <w:pgSz w:w="11906" w:h="16838"/>
      <w:pgMar w:top="1242" w:right="1080" w:bottom="1100" w:left="1298" w:header="851" w:footer="709"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66CFA">
    <w:pPr>
      <w:pStyle w:val="15"/>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EEB0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4EEB0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D280A">
    <w:pPr>
      <w:pStyle w:val="15"/>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11B60">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7411B60">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490A">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8300C">
                          <w:pPr>
                            <w:pStyle w:val="1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7E8300C">
                    <w:pPr>
                      <w:pStyle w:val="1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30127">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955F">
                          <w:pPr>
                            <w:pStyle w:val="1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5CB955F">
                    <w:pPr>
                      <w:pStyle w:val="1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75EA3">
    <w:pPr>
      <w:pStyle w:val="16"/>
      <w:pBdr>
        <w:bottom w:val="single" w:color="auto" w:sz="4" w:space="1"/>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82D76">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337F5">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AD471"/>
    <w:multiLevelType w:val="singleLevel"/>
    <w:tmpl w:val="CE4AD471"/>
    <w:lvl w:ilvl="0" w:tentative="0">
      <w:start w:val="1"/>
      <w:numFmt w:val="decimal"/>
      <w:suff w:val="space"/>
      <w:lvlText w:val="%1."/>
      <w:lvlJc w:val="left"/>
    </w:lvl>
  </w:abstractNum>
  <w:abstractNum w:abstractNumId="1">
    <w:nsid w:val="00000017"/>
    <w:multiLevelType w:val="singleLevel"/>
    <w:tmpl w:val="00000017"/>
    <w:lvl w:ilvl="0" w:tentative="0">
      <w:start w:val="1"/>
      <w:numFmt w:val="decimal"/>
      <w:suff w:val="nothing"/>
      <w:lvlText w:val="%1、"/>
      <w:lvlJc w:val="left"/>
    </w:lvl>
  </w:abstractNum>
  <w:abstractNum w:abstractNumId="2">
    <w:nsid w:val="01C498A1"/>
    <w:multiLevelType w:val="singleLevel"/>
    <w:tmpl w:val="01C498A1"/>
    <w:lvl w:ilvl="0" w:tentative="0">
      <w:start w:val="1"/>
      <w:numFmt w:val="decimal"/>
      <w:suff w:val="nothing"/>
      <w:lvlText w:val="（%1）"/>
      <w:lvlJc w:val="left"/>
    </w:lvl>
  </w:abstractNum>
  <w:abstractNum w:abstractNumId="3">
    <w:nsid w:val="125E0AA1"/>
    <w:multiLevelType w:val="singleLevel"/>
    <w:tmpl w:val="125E0AA1"/>
    <w:lvl w:ilvl="0" w:tentative="0">
      <w:start w:val="1"/>
      <w:numFmt w:val="decimal"/>
      <w:suff w:val="nothing"/>
      <w:lvlText w:val="%1、"/>
      <w:lvlJc w:val="left"/>
    </w:lvl>
  </w:abstractNum>
  <w:abstractNum w:abstractNumId="4">
    <w:nsid w:val="374FDCA7"/>
    <w:multiLevelType w:val="singleLevel"/>
    <w:tmpl w:val="374FDCA7"/>
    <w:lvl w:ilvl="0" w:tentative="0">
      <w:start w:val="1"/>
      <w:numFmt w:val="chineseCounting"/>
      <w:suff w:val="nothing"/>
      <w:lvlText w:val="%1、"/>
      <w:lvlJc w:val="left"/>
      <w:rPr>
        <w:rFonts w:hint="eastAsia"/>
      </w:rPr>
    </w:lvl>
  </w:abstractNum>
  <w:abstractNum w:abstractNumId="5">
    <w:nsid w:val="3FA9E490"/>
    <w:multiLevelType w:val="singleLevel"/>
    <w:tmpl w:val="3FA9E490"/>
    <w:lvl w:ilvl="0" w:tentative="0">
      <w:start w:val="1"/>
      <w:numFmt w:val="decimal"/>
      <w:suff w:val="nothing"/>
      <w:lvlText w:val="%1、"/>
      <w:lvlJc w:val="left"/>
    </w:lvl>
  </w:abstractNum>
  <w:abstractNum w:abstractNumId="6">
    <w:nsid w:val="51241502"/>
    <w:multiLevelType w:val="singleLevel"/>
    <w:tmpl w:val="51241502"/>
    <w:lvl w:ilvl="0" w:tentative="0">
      <w:start w:val="1"/>
      <w:numFmt w:val="decimal"/>
      <w:suff w:val="nothing"/>
      <w:lvlText w:val="（%1）"/>
      <w:lvlJc w:val="left"/>
    </w:lvl>
  </w:abstractNum>
  <w:abstractNum w:abstractNumId="7">
    <w:nsid w:val="5545CB81"/>
    <w:multiLevelType w:val="singleLevel"/>
    <w:tmpl w:val="5545CB81"/>
    <w:lvl w:ilvl="0" w:tentative="0">
      <w:start w:val="1"/>
      <w:numFmt w:val="chineseCounting"/>
      <w:suff w:val="space"/>
      <w:lvlText w:val="第%1章"/>
      <w:lvlJc w:val="left"/>
    </w:lvl>
  </w:abstractNum>
  <w:abstractNum w:abstractNumId="8">
    <w:nsid w:val="55608DE2"/>
    <w:multiLevelType w:val="singleLevel"/>
    <w:tmpl w:val="55608DE2"/>
    <w:lvl w:ilvl="0" w:tentative="0">
      <w:start w:val="2"/>
      <w:numFmt w:val="decimal"/>
      <w:suff w:val="nothing"/>
      <w:lvlText w:val="%1、"/>
      <w:lvlJc w:val="left"/>
    </w:lvl>
  </w:abstractNum>
  <w:num w:numId="1">
    <w:abstractNumId w:val="7"/>
  </w:num>
  <w:num w:numId="2">
    <w:abstractNumId w:val="3"/>
  </w:num>
  <w:num w:numId="3">
    <w:abstractNumId w:val="6"/>
  </w:num>
  <w:num w:numId="4">
    <w:abstractNumId w:val="5"/>
  </w:num>
  <w:num w:numId="5">
    <w:abstractNumId w:val="2"/>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YTk3NjBmNTBmNGYzYWU2NmM3NzU4ZTFkODcyYmYifQ=="/>
  </w:docVars>
  <w:rsids>
    <w:rsidRoot w:val="00000000"/>
    <w:rsid w:val="000C024B"/>
    <w:rsid w:val="00157B29"/>
    <w:rsid w:val="0050269C"/>
    <w:rsid w:val="00762A47"/>
    <w:rsid w:val="00AD4606"/>
    <w:rsid w:val="011D3FD1"/>
    <w:rsid w:val="01964270"/>
    <w:rsid w:val="02664AB3"/>
    <w:rsid w:val="02B92692"/>
    <w:rsid w:val="02BF7191"/>
    <w:rsid w:val="02FE0843"/>
    <w:rsid w:val="030948E4"/>
    <w:rsid w:val="034C1CB7"/>
    <w:rsid w:val="037627CE"/>
    <w:rsid w:val="03A10763"/>
    <w:rsid w:val="03A367D0"/>
    <w:rsid w:val="03C5242D"/>
    <w:rsid w:val="045C6E7D"/>
    <w:rsid w:val="053D096D"/>
    <w:rsid w:val="05963DBB"/>
    <w:rsid w:val="059A3C03"/>
    <w:rsid w:val="05E37545"/>
    <w:rsid w:val="06262539"/>
    <w:rsid w:val="06361296"/>
    <w:rsid w:val="06BE78BB"/>
    <w:rsid w:val="06F2019A"/>
    <w:rsid w:val="071B549B"/>
    <w:rsid w:val="072E5D3F"/>
    <w:rsid w:val="086504F8"/>
    <w:rsid w:val="08BD5B77"/>
    <w:rsid w:val="09187C60"/>
    <w:rsid w:val="09236C37"/>
    <w:rsid w:val="09435CA7"/>
    <w:rsid w:val="09685084"/>
    <w:rsid w:val="0A344626"/>
    <w:rsid w:val="0C564D28"/>
    <w:rsid w:val="0CA67806"/>
    <w:rsid w:val="0D4C225E"/>
    <w:rsid w:val="0D7429BC"/>
    <w:rsid w:val="0D9A65C4"/>
    <w:rsid w:val="0E0013EF"/>
    <w:rsid w:val="0E310F00"/>
    <w:rsid w:val="0E425A20"/>
    <w:rsid w:val="0F1B5E14"/>
    <w:rsid w:val="0F770CD4"/>
    <w:rsid w:val="1001144E"/>
    <w:rsid w:val="10DE709A"/>
    <w:rsid w:val="1129594A"/>
    <w:rsid w:val="116D504B"/>
    <w:rsid w:val="11D23353"/>
    <w:rsid w:val="11F823DD"/>
    <w:rsid w:val="12336AE8"/>
    <w:rsid w:val="126006AE"/>
    <w:rsid w:val="127057C3"/>
    <w:rsid w:val="1359117D"/>
    <w:rsid w:val="13AA7707"/>
    <w:rsid w:val="140039BA"/>
    <w:rsid w:val="14681A9C"/>
    <w:rsid w:val="14FA0389"/>
    <w:rsid w:val="15317ACB"/>
    <w:rsid w:val="153E0AA2"/>
    <w:rsid w:val="15A42920"/>
    <w:rsid w:val="16D241B6"/>
    <w:rsid w:val="16DC0A29"/>
    <w:rsid w:val="16FE7F5B"/>
    <w:rsid w:val="17B3100B"/>
    <w:rsid w:val="17C06242"/>
    <w:rsid w:val="180E07A0"/>
    <w:rsid w:val="186644FB"/>
    <w:rsid w:val="187E0E0D"/>
    <w:rsid w:val="18F07E29"/>
    <w:rsid w:val="190A2DBD"/>
    <w:rsid w:val="19362985"/>
    <w:rsid w:val="193F575B"/>
    <w:rsid w:val="19766A09"/>
    <w:rsid w:val="19C15CF3"/>
    <w:rsid w:val="1A24767F"/>
    <w:rsid w:val="1A9F2E2A"/>
    <w:rsid w:val="1AAB623F"/>
    <w:rsid w:val="1ADA4C64"/>
    <w:rsid w:val="1B0173D1"/>
    <w:rsid w:val="1B0E7D27"/>
    <w:rsid w:val="1B1F6E83"/>
    <w:rsid w:val="1B3C158C"/>
    <w:rsid w:val="1BA84E74"/>
    <w:rsid w:val="1BBF3F8D"/>
    <w:rsid w:val="1C747AED"/>
    <w:rsid w:val="1CF62CBB"/>
    <w:rsid w:val="1D0B7C0D"/>
    <w:rsid w:val="1D1C0156"/>
    <w:rsid w:val="1D250979"/>
    <w:rsid w:val="1D291CEE"/>
    <w:rsid w:val="1D644E00"/>
    <w:rsid w:val="1DCB6346"/>
    <w:rsid w:val="1E4F44B4"/>
    <w:rsid w:val="1EC7392B"/>
    <w:rsid w:val="1EDC5A99"/>
    <w:rsid w:val="1F2E2637"/>
    <w:rsid w:val="1FBB59F9"/>
    <w:rsid w:val="20E80C5E"/>
    <w:rsid w:val="21224D81"/>
    <w:rsid w:val="213A4B7E"/>
    <w:rsid w:val="21D07542"/>
    <w:rsid w:val="21F11323"/>
    <w:rsid w:val="227F316B"/>
    <w:rsid w:val="22C30B28"/>
    <w:rsid w:val="23321F3C"/>
    <w:rsid w:val="23443D1B"/>
    <w:rsid w:val="23BC14BC"/>
    <w:rsid w:val="24BF1305"/>
    <w:rsid w:val="25686332"/>
    <w:rsid w:val="26276451"/>
    <w:rsid w:val="26DC3C24"/>
    <w:rsid w:val="26E36D60"/>
    <w:rsid w:val="270A69E3"/>
    <w:rsid w:val="28974828"/>
    <w:rsid w:val="29B47CDE"/>
    <w:rsid w:val="2AD55DE2"/>
    <w:rsid w:val="2B497B44"/>
    <w:rsid w:val="2C3314B7"/>
    <w:rsid w:val="2C5C1A8E"/>
    <w:rsid w:val="2C6F782E"/>
    <w:rsid w:val="2C744C47"/>
    <w:rsid w:val="2C9D39A4"/>
    <w:rsid w:val="2CB371D5"/>
    <w:rsid w:val="2CE315D0"/>
    <w:rsid w:val="2D8B1288"/>
    <w:rsid w:val="2D9A6501"/>
    <w:rsid w:val="2DE53D06"/>
    <w:rsid w:val="2E505623"/>
    <w:rsid w:val="2E7D3F3E"/>
    <w:rsid w:val="2EA461DE"/>
    <w:rsid w:val="2F025794"/>
    <w:rsid w:val="2F3A07C6"/>
    <w:rsid w:val="2FA71A2F"/>
    <w:rsid w:val="30D047F9"/>
    <w:rsid w:val="30ED15AC"/>
    <w:rsid w:val="312D57A8"/>
    <w:rsid w:val="31C30463"/>
    <w:rsid w:val="32237F05"/>
    <w:rsid w:val="32243EE7"/>
    <w:rsid w:val="327F5F42"/>
    <w:rsid w:val="330C5891"/>
    <w:rsid w:val="331211DA"/>
    <w:rsid w:val="3370606D"/>
    <w:rsid w:val="339D7C68"/>
    <w:rsid w:val="33A77AF7"/>
    <w:rsid w:val="33D06896"/>
    <w:rsid w:val="345117AD"/>
    <w:rsid w:val="354C7CA2"/>
    <w:rsid w:val="35797AA3"/>
    <w:rsid w:val="3591284F"/>
    <w:rsid w:val="35BA1962"/>
    <w:rsid w:val="36324A14"/>
    <w:rsid w:val="365E6403"/>
    <w:rsid w:val="366E1940"/>
    <w:rsid w:val="36BF6B9E"/>
    <w:rsid w:val="380B25BB"/>
    <w:rsid w:val="382B5D90"/>
    <w:rsid w:val="383D660A"/>
    <w:rsid w:val="38646035"/>
    <w:rsid w:val="39175804"/>
    <w:rsid w:val="39F87B91"/>
    <w:rsid w:val="3A466E58"/>
    <w:rsid w:val="3AD46FC3"/>
    <w:rsid w:val="3ADF690D"/>
    <w:rsid w:val="3B04714F"/>
    <w:rsid w:val="3BC17D71"/>
    <w:rsid w:val="3BDC4FC9"/>
    <w:rsid w:val="3C1240F1"/>
    <w:rsid w:val="3C37632F"/>
    <w:rsid w:val="3CC104FA"/>
    <w:rsid w:val="3E177436"/>
    <w:rsid w:val="3E2C605B"/>
    <w:rsid w:val="3E372639"/>
    <w:rsid w:val="3E786057"/>
    <w:rsid w:val="3E9A39E6"/>
    <w:rsid w:val="3F054125"/>
    <w:rsid w:val="3F152F5D"/>
    <w:rsid w:val="401833CA"/>
    <w:rsid w:val="40740724"/>
    <w:rsid w:val="4194304E"/>
    <w:rsid w:val="41DB1250"/>
    <w:rsid w:val="421E6EA7"/>
    <w:rsid w:val="4266262F"/>
    <w:rsid w:val="42985759"/>
    <w:rsid w:val="434F174B"/>
    <w:rsid w:val="435110B3"/>
    <w:rsid w:val="437B23A2"/>
    <w:rsid w:val="438738BC"/>
    <w:rsid w:val="43EE79FA"/>
    <w:rsid w:val="44675EB5"/>
    <w:rsid w:val="449D6480"/>
    <w:rsid w:val="44A96556"/>
    <w:rsid w:val="45E250BF"/>
    <w:rsid w:val="46F41882"/>
    <w:rsid w:val="46F66FB6"/>
    <w:rsid w:val="471F2BF8"/>
    <w:rsid w:val="47835F02"/>
    <w:rsid w:val="47A06854"/>
    <w:rsid w:val="49D91446"/>
    <w:rsid w:val="49DB2C22"/>
    <w:rsid w:val="4A387954"/>
    <w:rsid w:val="4A625EE5"/>
    <w:rsid w:val="4AF620F7"/>
    <w:rsid w:val="4B1F5B53"/>
    <w:rsid w:val="4B356177"/>
    <w:rsid w:val="4B4D418D"/>
    <w:rsid w:val="4BD016F9"/>
    <w:rsid w:val="4BF43975"/>
    <w:rsid w:val="4CFE30D0"/>
    <w:rsid w:val="4D400709"/>
    <w:rsid w:val="4DEF3E34"/>
    <w:rsid w:val="4EC92B5C"/>
    <w:rsid w:val="50941302"/>
    <w:rsid w:val="50C23D07"/>
    <w:rsid w:val="50E46546"/>
    <w:rsid w:val="51684F66"/>
    <w:rsid w:val="5178704C"/>
    <w:rsid w:val="51966F2D"/>
    <w:rsid w:val="51D4516B"/>
    <w:rsid w:val="52094213"/>
    <w:rsid w:val="52855EF3"/>
    <w:rsid w:val="52D03D8D"/>
    <w:rsid w:val="536A2EEF"/>
    <w:rsid w:val="538D1AC4"/>
    <w:rsid w:val="53C440BF"/>
    <w:rsid w:val="53E06252"/>
    <w:rsid w:val="54554E92"/>
    <w:rsid w:val="54D3010D"/>
    <w:rsid w:val="54E90E8F"/>
    <w:rsid w:val="553A7B39"/>
    <w:rsid w:val="55443822"/>
    <w:rsid w:val="554925D0"/>
    <w:rsid w:val="56B934B6"/>
    <w:rsid w:val="57B22198"/>
    <w:rsid w:val="587906FB"/>
    <w:rsid w:val="592F37F5"/>
    <w:rsid w:val="5A1E07DB"/>
    <w:rsid w:val="5A3524EC"/>
    <w:rsid w:val="5A97112D"/>
    <w:rsid w:val="5AC56198"/>
    <w:rsid w:val="5AE1409E"/>
    <w:rsid w:val="5B582B30"/>
    <w:rsid w:val="5C497A9B"/>
    <w:rsid w:val="5C6E6AF1"/>
    <w:rsid w:val="5D272B33"/>
    <w:rsid w:val="5DCE7463"/>
    <w:rsid w:val="5E0A27A3"/>
    <w:rsid w:val="5E433D21"/>
    <w:rsid w:val="5F1F4FD8"/>
    <w:rsid w:val="5F253D79"/>
    <w:rsid w:val="5F826471"/>
    <w:rsid w:val="601C3E40"/>
    <w:rsid w:val="6022031E"/>
    <w:rsid w:val="60B42F40"/>
    <w:rsid w:val="61207D20"/>
    <w:rsid w:val="613D7660"/>
    <w:rsid w:val="61A0487C"/>
    <w:rsid w:val="61DC0375"/>
    <w:rsid w:val="62DB3C52"/>
    <w:rsid w:val="631B1054"/>
    <w:rsid w:val="634251EC"/>
    <w:rsid w:val="635D78BF"/>
    <w:rsid w:val="63DD630A"/>
    <w:rsid w:val="6417181C"/>
    <w:rsid w:val="64610ACC"/>
    <w:rsid w:val="64761A16"/>
    <w:rsid w:val="64B57AAD"/>
    <w:rsid w:val="652C0CB8"/>
    <w:rsid w:val="65B1102D"/>
    <w:rsid w:val="66A0511E"/>
    <w:rsid w:val="672901E4"/>
    <w:rsid w:val="673101C9"/>
    <w:rsid w:val="67AC75B0"/>
    <w:rsid w:val="67D8154E"/>
    <w:rsid w:val="68744304"/>
    <w:rsid w:val="68902EFF"/>
    <w:rsid w:val="68C77097"/>
    <w:rsid w:val="69825487"/>
    <w:rsid w:val="699456BD"/>
    <w:rsid w:val="6A191219"/>
    <w:rsid w:val="6A6D0CFD"/>
    <w:rsid w:val="6ACD6427"/>
    <w:rsid w:val="6B0A3581"/>
    <w:rsid w:val="6D394EF9"/>
    <w:rsid w:val="6D3C1CE1"/>
    <w:rsid w:val="6DD11C54"/>
    <w:rsid w:val="6F396DC3"/>
    <w:rsid w:val="6F5C1C38"/>
    <w:rsid w:val="6F661DF9"/>
    <w:rsid w:val="6FB92DB8"/>
    <w:rsid w:val="6FBC095C"/>
    <w:rsid w:val="6FDC1B6B"/>
    <w:rsid w:val="6FDF34F1"/>
    <w:rsid w:val="700D12CB"/>
    <w:rsid w:val="711133BB"/>
    <w:rsid w:val="71155335"/>
    <w:rsid w:val="714745D8"/>
    <w:rsid w:val="727E6F0A"/>
    <w:rsid w:val="72E27499"/>
    <w:rsid w:val="730B2E93"/>
    <w:rsid w:val="739E534C"/>
    <w:rsid w:val="73B21561"/>
    <w:rsid w:val="73CD7F89"/>
    <w:rsid w:val="7404690C"/>
    <w:rsid w:val="742E18B0"/>
    <w:rsid w:val="74970A21"/>
    <w:rsid w:val="75D42E52"/>
    <w:rsid w:val="75F12E26"/>
    <w:rsid w:val="766F7295"/>
    <w:rsid w:val="776B5B78"/>
    <w:rsid w:val="77AD4519"/>
    <w:rsid w:val="77B40946"/>
    <w:rsid w:val="78062DAA"/>
    <w:rsid w:val="78AD0549"/>
    <w:rsid w:val="7951362F"/>
    <w:rsid w:val="79E32242"/>
    <w:rsid w:val="7A4C6CAC"/>
    <w:rsid w:val="7A6D0F55"/>
    <w:rsid w:val="7A7430CC"/>
    <w:rsid w:val="7A87593D"/>
    <w:rsid w:val="7A8E3AEB"/>
    <w:rsid w:val="7AE2272C"/>
    <w:rsid w:val="7BA5427B"/>
    <w:rsid w:val="7BEF2711"/>
    <w:rsid w:val="7BF72814"/>
    <w:rsid w:val="7C51056C"/>
    <w:rsid w:val="7C7D73CB"/>
    <w:rsid w:val="7C8B1E42"/>
    <w:rsid w:val="7CE056B2"/>
    <w:rsid w:val="7D7522A9"/>
    <w:rsid w:val="7D7D2BE0"/>
    <w:rsid w:val="7D8E2E47"/>
    <w:rsid w:val="7E067DAC"/>
    <w:rsid w:val="7E3808B5"/>
    <w:rsid w:val="7F44643E"/>
    <w:rsid w:val="7F550920"/>
    <w:rsid w:val="7FAA3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autoRedefine/>
    <w:qFormat/>
    <w:uiPriority w:val="9"/>
    <w:pPr>
      <w:keepNext/>
      <w:jc w:val="center"/>
      <w:outlineLvl w:val="0"/>
    </w:pPr>
    <w:rPr>
      <w:rFonts w:ascii="楷体_GB2312" w:eastAsia="楷体_GB2312"/>
      <w:b/>
      <w:bCs/>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autoRedefine/>
    <w:unhideWhenUsed/>
    <w:qFormat/>
    <w:uiPriority w:val="9"/>
    <w:pPr>
      <w:keepNext/>
      <w:keepLines/>
      <w:spacing w:before="260" w:after="260" w:line="415" w:lineRule="auto"/>
      <w:outlineLvl w:val="2"/>
    </w:pPr>
    <w:rPr>
      <w:b/>
      <w:bCs/>
      <w:sz w:val="32"/>
      <w:szCs w:val="32"/>
    </w:rPr>
  </w:style>
  <w:style w:type="paragraph" w:styleId="6">
    <w:name w:val="heading 6"/>
    <w:basedOn w:val="1"/>
    <w:next w:val="1"/>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unhideWhenUsed/>
    <w:qFormat/>
    <w:uiPriority w:val="99"/>
    <w:pPr>
      <w:adjustRightInd w:val="0"/>
      <w:spacing w:line="312" w:lineRule="atLeast"/>
      <w:ind w:firstLine="420"/>
    </w:pPr>
    <w:rPr>
      <w:rFonts w:ascii="Calibri" w:hAnsi="Calibri" w:eastAsia="宋体" w:cs="黑体"/>
      <w:szCs w:val="22"/>
    </w:rPr>
  </w:style>
  <w:style w:type="paragraph" w:styleId="7">
    <w:name w:val="toa heading"/>
    <w:basedOn w:val="1"/>
    <w:next w:val="1"/>
    <w:autoRedefine/>
    <w:unhideWhenUsed/>
    <w:qFormat/>
    <w:uiPriority w:val="99"/>
    <w:pPr>
      <w:spacing w:before="120"/>
    </w:pPr>
    <w:rPr>
      <w:rFonts w:ascii="Arial" w:hAnsi="Arial" w:eastAsia="仿宋_GB2312" w:cs="Arial"/>
      <w:b/>
      <w:bCs/>
      <w:color w:val="000000"/>
      <w:kern w:val="0"/>
      <w:sz w:val="24"/>
      <w:szCs w:val="21"/>
    </w:rPr>
  </w:style>
  <w:style w:type="paragraph" w:styleId="8">
    <w:name w:val="Body Text"/>
    <w:basedOn w:val="1"/>
    <w:next w:val="9"/>
    <w:autoRedefine/>
    <w:unhideWhenUsed/>
    <w:qFormat/>
    <w:uiPriority w:val="99"/>
    <w:pPr>
      <w:spacing w:after="120"/>
    </w:pPr>
  </w:style>
  <w:style w:type="paragraph" w:styleId="9">
    <w:name w:val="Body Text First Indent"/>
    <w:basedOn w:val="8"/>
    <w:next w:val="1"/>
    <w:autoRedefine/>
    <w:qFormat/>
    <w:uiPriority w:val="0"/>
    <w:pPr>
      <w:autoSpaceDE w:val="0"/>
      <w:autoSpaceDN w:val="0"/>
      <w:adjustRightInd w:val="0"/>
      <w:ind w:firstLine="420" w:firstLineChars="100"/>
      <w:textAlignment w:val="baseline"/>
    </w:pPr>
    <w:rPr>
      <w:sz w:val="24"/>
      <w:szCs w:val="20"/>
    </w:rPr>
  </w:style>
  <w:style w:type="paragraph" w:styleId="10">
    <w:name w:val="Body Text Indent"/>
    <w:basedOn w:val="1"/>
    <w:next w:val="1"/>
    <w:autoRedefine/>
    <w:unhideWhenUsed/>
    <w:qFormat/>
    <w:uiPriority w:val="99"/>
    <w:pPr>
      <w:ind w:left="480" w:hanging="480" w:hangingChars="200"/>
    </w:pPr>
    <w:rPr>
      <w:sz w:val="24"/>
    </w:rPr>
  </w:style>
  <w:style w:type="paragraph" w:styleId="11">
    <w:name w:val="Plain Text"/>
    <w:basedOn w:val="1"/>
    <w:next w:val="12"/>
    <w:autoRedefine/>
    <w:unhideWhenUsed/>
    <w:qFormat/>
    <w:uiPriority w:val="99"/>
    <w:pPr>
      <w:widowControl/>
      <w:overflowPunct w:val="0"/>
      <w:autoSpaceDE w:val="0"/>
      <w:autoSpaceDN w:val="0"/>
      <w:adjustRightInd w:val="0"/>
      <w:jc w:val="left"/>
    </w:pPr>
    <w:rPr>
      <w:rFonts w:ascii="宋体" w:hAnsi="Courier New" w:cs="黑体"/>
      <w:szCs w:val="21"/>
    </w:rPr>
  </w:style>
  <w:style w:type="paragraph" w:styleId="12">
    <w:name w:val="Balloon Text"/>
    <w:basedOn w:val="1"/>
    <w:next w:val="1"/>
    <w:autoRedefine/>
    <w:qFormat/>
    <w:uiPriority w:val="99"/>
    <w:rPr>
      <w:rFonts w:hint="default"/>
      <w:sz w:val="18"/>
      <w:szCs w:val="18"/>
    </w:rPr>
  </w:style>
  <w:style w:type="paragraph" w:styleId="13">
    <w:name w:val="Date"/>
    <w:basedOn w:val="1"/>
    <w:next w:val="1"/>
    <w:autoRedefine/>
    <w:qFormat/>
    <w:uiPriority w:val="0"/>
    <w:rPr>
      <w:rFonts w:ascii="Times New Roman" w:hAnsi="Times New Roman" w:eastAsia="宋体"/>
      <w:sz w:val="44"/>
      <w:szCs w:val="20"/>
    </w:rPr>
  </w:style>
  <w:style w:type="paragraph" w:styleId="14">
    <w:name w:val="Body Text Indent 2"/>
    <w:basedOn w:val="1"/>
    <w:autoRedefine/>
    <w:qFormat/>
    <w:uiPriority w:val="0"/>
    <w:pPr>
      <w:spacing w:after="120" w:line="480" w:lineRule="auto"/>
      <w:ind w:left="420" w:leftChars="200"/>
    </w:p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7">
    <w:name w:val="toc 4"/>
    <w:basedOn w:val="1"/>
    <w:next w:val="1"/>
    <w:unhideWhenUsed/>
    <w:qFormat/>
    <w:uiPriority w:val="39"/>
    <w:pPr>
      <w:ind w:left="1260" w:leftChars="600"/>
    </w:pPr>
    <w:rPr>
      <w:rFonts w:ascii="Calibri" w:hAnsi="Calibri"/>
      <w:szCs w:val="22"/>
    </w:rPr>
  </w:style>
  <w:style w:type="paragraph" w:styleId="18">
    <w:name w:val="toc 6"/>
    <w:basedOn w:val="1"/>
    <w:next w:val="1"/>
    <w:autoRedefine/>
    <w:qFormat/>
    <w:uiPriority w:val="39"/>
    <w:pPr>
      <w:ind w:left="1050"/>
      <w:jc w:val="left"/>
    </w:pPr>
    <w:rPr>
      <w:sz w:val="18"/>
      <w:szCs w:val="18"/>
    </w:r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0">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21">
    <w:name w:val="Body Text First Indent 2"/>
    <w:basedOn w:val="10"/>
    <w:next w:val="22"/>
    <w:autoRedefine/>
    <w:unhideWhenUsed/>
    <w:qFormat/>
    <w:uiPriority w:val="99"/>
    <w:pPr>
      <w:spacing w:after="120" w:line="240" w:lineRule="auto"/>
      <w:ind w:left="420" w:leftChars="200" w:firstLine="420"/>
    </w:pPr>
    <w:rPr>
      <w:rFonts w:cs="宋体"/>
      <w:sz w:val="21"/>
      <w:szCs w:val="21"/>
    </w:rPr>
  </w:style>
  <w:style w:type="paragraph" w:customStyle="1" w:styleId="2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4">
    <w:name w:val="Table Grid"/>
    <w:basedOn w:val="23"/>
    <w:autoRedefine/>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basedOn w:val="25"/>
    <w:autoRedefine/>
    <w:unhideWhenUsed/>
    <w:qFormat/>
    <w:uiPriority w:val="99"/>
    <w:rPr>
      <w:color w:val="000000"/>
      <w:sz w:val="20"/>
      <w:szCs w:val="20"/>
      <w:u w:val="none"/>
    </w:rPr>
  </w:style>
  <w:style w:type="paragraph" w:customStyle="1" w:styleId="27">
    <w:name w:val="Default"/>
    <w:autoRedefine/>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8">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
    <w:name w:val="正文文字"/>
    <w:basedOn w:val="1"/>
    <w:autoRedefine/>
    <w:qFormat/>
    <w:uiPriority w:val="0"/>
    <w:pPr>
      <w:spacing w:after="119" w:line="351" w:lineRule="atLeast"/>
      <w:ind w:firstLine="419"/>
    </w:pPr>
    <w:rPr>
      <w:kern w:val="2"/>
    </w:rPr>
  </w:style>
  <w:style w:type="paragraph" w:customStyle="1" w:styleId="30">
    <w:name w:val="WPSOffice手动目录 1"/>
    <w:autoRedefine/>
    <w:qFormat/>
    <w:uiPriority w:val="0"/>
    <w:pPr>
      <w:ind w:leftChars="0"/>
    </w:pPr>
    <w:rPr>
      <w:rFonts w:ascii="Times New Roman" w:hAnsi="Times New Roman" w:eastAsia="宋体" w:cs="Times New Roman"/>
      <w:sz w:val="20"/>
      <w:szCs w:val="20"/>
    </w:rPr>
  </w:style>
  <w:style w:type="paragraph" w:customStyle="1" w:styleId="31">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32">
    <w:name w:val="标题 1 字符"/>
    <w:link w:val="2"/>
    <w:autoRedefine/>
    <w:qFormat/>
    <w:locked/>
    <w:uiPriority w:val="99"/>
    <w:rPr>
      <w:rFonts w:ascii="楷体_GB2312" w:eastAsia="楷体_GB2312"/>
      <w:b/>
      <w:bCs/>
    </w:rPr>
  </w:style>
  <w:style w:type="paragraph" w:customStyle="1" w:styleId="3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Table Paragraph"/>
    <w:basedOn w:val="1"/>
    <w:autoRedefine/>
    <w:qFormat/>
    <w:uiPriority w:val="1"/>
    <w:rPr>
      <w:rFonts w:ascii="宋体" w:hAnsi="宋体" w:eastAsia="宋体" w:cs="宋体"/>
      <w:lang w:val="zh-CN" w:eastAsia="zh-CN" w:bidi="zh-CN"/>
    </w:rPr>
  </w:style>
  <w:style w:type="character" w:customStyle="1" w:styleId="35">
    <w:name w:val="UserStyle_94"/>
    <w:basedOn w:val="36"/>
    <w:autoRedefine/>
    <w:qFormat/>
    <w:uiPriority w:val="0"/>
    <w:rPr>
      <w:rFonts w:ascii="宋体" w:hAnsi="宋体" w:eastAsia="宋体"/>
      <w:sz w:val="21"/>
      <w:szCs w:val="21"/>
      <w:lang w:val="en-US" w:eastAsia="zh-CN" w:bidi="ar-SA"/>
    </w:rPr>
  </w:style>
  <w:style w:type="character" w:customStyle="1" w:styleId="36">
    <w:name w:val="NormalCharacter"/>
    <w:autoRedefine/>
    <w:qFormat/>
    <w:uiPriority w:val="0"/>
    <w:rPr>
      <w:rFonts w:ascii="Times New Roman" w:hAnsi="Times New Roman" w:eastAsia="宋体"/>
      <w:lang w:val="en-US" w:eastAsia="zh-CN" w:bidi="ar-SA"/>
    </w:rPr>
  </w:style>
  <w:style w:type="character" w:customStyle="1" w:styleId="37">
    <w:name w:val="无"/>
    <w:autoRedefine/>
    <w:qFormat/>
    <w:uiPriority w:val="99"/>
  </w:style>
  <w:style w:type="paragraph" w:customStyle="1" w:styleId="38">
    <w:name w:val="Heading2"/>
    <w:basedOn w:val="1"/>
    <w:next w:val="1"/>
    <w:autoRedefine/>
    <w:qFormat/>
    <w:uiPriority w:val="0"/>
    <w:pPr>
      <w:keepNext/>
      <w:keepLines/>
      <w:spacing w:before="260" w:after="260" w:line="416" w:lineRule="auto"/>
      <w:ind w:left="704" w:hanging="420"/>
    </w:pPr>
    <w:rPr>
      <w:rFonts w:ascii="宋体" w:hAnsi="宋体" w:eastAsia="宋体"/>
      <w:b/>
      <w:kern w:val="0"/>
      <w:sz w:val="24"/>
      <w:szCs w:val="20"/>
    </w:rPr>
  </w:style>
  <w:style w:type="character" w:customStyle="1" w:styleId="39">
    <w:name w:val="标题 2 Char"/>
    <w:autoRedefine/>
    <w:qFormat/>
    <w:uiPriority w:val="9"/>
    <w:rPr>
      <w:rFonts w:ascii="宋体" w:hAnsi="宋体" w:eastAsia="黑体"/>
      <w:b/>
      <w:bCs/>
      <w:kern w:val="2"/>
      <w:sz w:val="24"/>
      <w:szCs w:val="32"/>
      <w:lang w:val="en-US" w:eastAsia="zh-CN" w:bidi="ar-SA"/>
    </w:rPr>
  </w:style>
  <w:style w:type="paragraph" w:customStyle="1" w:styleId="40">
    <w:name w:val="Body text|1"/>
    <w:basedOn w:val="1"/>
    <w:autoRedefine/>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character" w:customStyle="1" w:styleId="41">
    <w:name w:val="Hyperlink.3"/>
    <w:autoRedefine/>
    <w:qFormat/>
    <w:uiPriority w:val="0"/>
    <w:rPr>
      <w:rFonts w:ascii="宋体" w:hAnsi="宋体" w:eastAsia="宋体" w:cs="Times New Roman"/>
      <w:lang w:val="en-US"/>
    </w:rPr>
  </w:style>
  <w:style w:type="paragraph" w:customStyle="1" w:styleId="42">
    <w:name w:val="表格文字"/>
    <w:basedOn w:val="1"/>
    <w:next w:val="8"/>
    <w:autoRedefine/>
    <w:qFormat/>
    <w:uiPriority w:val="0"/>
    <w:pPr>
      <w:adjustRightInd w:val="0"/>
      <w:spacing w:line="420" w:lineRule="atLeast"/>
      <w:jc w:val="left"/>
      <w:textAlignment w:val="baseline"/>
    </w:pPr>
    <w:rPr>
      <w:kern w:val="0"/>
    </w:rPr>
  </w:style>
  <w:style w:type="paragraph" w:customStyle="1" w:styleId="43">
    <w:name w:val="[Normal]"/>
    <w:autoRedefine/>
    <w:unhideWhenUsed/>
    <w:qFormat/>
    <w:uiPriority w:val="0"/>
    <w:rPr>
      <w:rFonts w:hint="eastAsia" w:ascii="宋体" w:hAnsi="宋体" w:eastAsia="宋体" w:cs="Times New Roman"/>
      <w:sz w:val="24"/>
      <w:lang w:val="zh-CN" w:eastAsia="zh-CN" w:bidi="ar-SA"/>
    </w:rPr>
  </w:style>
  <w:style w:type="paragraph" w:customStyle="1" w:styleId="44">
    <w:name w:val="正文缩进2格"/>
    <w:basedOn w:val="1"/>
    <w:autoRedefine/>
    <w:qFormat/>
    <w:uiPriority w:val="0"/>
    <w:pPr>
      <w:spacing w:line="600" w:lineRule="exact"/>
      <w:ind w:firstLine="639" w:firstLineChars="206"/>
    </w:pPr>
    <w:rPr>
      <w:rFonts w:ascii="仿宋_GB2312" w:hAnsi="宋体" w:eastAsia="仿宋_GB2312" w:cs="Times New Roman"/>
      <w:sz w:val="31"/>
      <w:szCs w:val="28"/>
    </w:rPr>
  </w:style>
  <w:style w:type="paragraph" w:customStyle="1" w:styleId="45">
    <w:name w:val="样式1"/>
    <w:basedOn w:val="3"/>
    <w:autoRedefine/>
    <w:qFormat/>
    <w:uiPriority w:val="0"/>
    <w:pPr>
      <w:jc w:val="center"/>
    </w:pPr>
    <w:rPr>
      <w:rFonts w:ascii="宋体" w:hAnsi="宋体"/>
      <w:sz w:val="36"/>
      <w:szCs w:val="36"/>
    </w:rPr>
  </w:style>
  <w:style w:type="character" w:customStyle="1" w:styleId="46">
    <w:name w:val="font21"/>
    <w:basedOn w:val="25"/>
    <w:qFormat/>
    <w:uiPriority w:val="0"/>
    <w:rPr>
      <w:rFonts w:hint="eastAsia" w:ascii="宋体" w:hAnsi="宋体" w:eastAsia="宋体" w:cs="宋体"/>
      <w:color w:val="000000"/>
      <w:sz w:val="20"/>
      <w:szCs w:val="20"/>
      <w:u w:val="none"/>
    </w:rPr>
  </w:style>
  <w:style w:type="character" w:customStyle="1" w:styleId="47">
    <w:name w:val="font01"/>
    <w:basedOn w:val="25"/>
    <w:qFormat/>
    <w:uiPriority w:val="0"/>
    <w:rPr>
      <w:rFonts w:hint="default" w:ascii="Arial" w:hAnsi="Arial" w:cs="Arial"/>
      <w:color w:val="000000"/>
      <w:sz w:val="20"/>
      <w:szCs w:val="20"/>
      <w:u w:val="none"/>
    </w:rPr>
  </w:style>
  <w:style w:type="paragraph" w:customStyle="1" w:styleId="48">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4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 Char_0"/>
    <w:basedOn w:val="49"/>
    <w:qFormat/>
    <w:uiPriority w:val="0"/>
    <w:rPr>
      <w:rFonts w:ascii="Tahoma" w:hAnsi="Tahoma"/>
      <w:sz w:val="24"/>
      <w:szCs w:val="20"/>
    </w:rPr>
  </w:style>
  <w:style w:type="paragraph" w:customStyle="1" w:styleId="51">
    <w:name w:val="纯文本_4_0"/>
    <w:basedOn w:val="52"/>
    <w:qFormat/>
    <w:uiPriority w:val="0"/>
    <w:rPr>
      <w:rFonts w:ascii="宋体" w:hAnsi="Courier New"/>
      <w:szCs w:val="20"/>
    </w:rPr>
  </w:style>
  <w:style w:type="paragraph" w:customStyle="1" w:styleId="52">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form"/>
    <w:basedOn w:val="1"/>
    <w:qFormat/>
    <w:uiPriority w:val="0"/>
    <w:pPr>
      <w:wordWrap w:val="0"/>
      <w:spacing w:line="240" w:lineRule="auto"/>
      <w:jc w:val="center"/>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39607</Words>
  <Characters>42329</Characters>
  <Lines>0</Lines>
  <Paragraphs>0</Paragraphs>
  <TotalTime>28</TotalTime>
  <ScaleCrop>false</ScaleCrop>
  <LinksUpToDate>false</LinksUpToDate>
  <CharactersWithSpaces>45944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2020-05-25T01:21:00Z</dcterms:created>
  <dc:creator>Administrator</dc:creator>
  <cp:lastModifiedBy>齐庆</cp:lastModifiedBy>
  <cp:lastPrinted>2021-11-01T02:20:00Z</cp:lastPrinted>
  <dcterms:modified xsi:type="dcterms:W3CDTF">2024-09-30T10:58:59Z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E649238A73034DF7B45F4A4847F48453_13</vt:lpwstr>
  </property>
</Properties>
</file>