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07D6B">
      <w:pPr>
        <w:jc w:val="center"/>
        <w:rPr>
          <w:rFonts w:hint="eastAsia" w:ascii="宋体" w:hAnsi="宋体" w:eastAsia="宋体" w:cs="宋体"/>
          <w:b/>
          <w:bCs/>
          <w:color w:val="auto"/>
          <w:sz w:val="48"/>
          <w:szCs w:val="48"/>
          <w:highlight w:val="none"/>
          <w:lang w:val="zh-CN"/>
        </w:rPr>
      </w:pPr>
    </w:p>
    <w:p w14:paraId="4FED0DC5">
      <w:pPr>
        <w:pStyle w:val="67"/>
        <w:rPr>
          <w:rFonts w:hint="eastAsia" w:ascii="宋体" w:hAnsi="宋体" w:eastAsia="宋体" w:cs="宋体"/>
          <w:color w:val="auto"/>
          <w:highlight w:val="none"/>
          <w:lang w:val="zh-CN"/>
        </w:rPr>
      </w:pPr>
    </w:p>
    <w:p w14:paraId="053BBDD6">
      <w:pPr>
        <w:jc w:val="center"/>
        <w:rPr>
          <w:rFonts w:hint="eastAsia" w:ascii="宋体" w:hAnsi="宋体" w:eastAsia="宋体" w:cs="宋体"/>
          <w:b/>
          <w:bCs/>
          <w:color w:val="auto"/>
          <w:sz w:val="48"/>
          <w:szCs w:val="48"/>
          <w:highlight w:val="none"/>
          <w:lang w:val="zh-CN"/>
        </w:rPr>
      </w:pPr>
      <w:r>
        <w:rPr>
          <w:rFonts w:hint="eastAsia" w:hAnsi="宋体" w:cs="宋体"/>
          <w:b/>
          <w:bCs/>
          <w:color w:val="auto"/>
          <w:sz w:val="48"/>
          <w:szCs w:val="48"/>
          <w:highlight w:val="none"/>
          <w:lang w:val="zh-CN"/>
        </w:rPr>
        <w:t>金华市婺城区人民法院多元解纷专项服务采购项目</w:t>
      </w:r>
    </w:p>
    <w:p w14:paraId="1AE2D780">
      <w:pPr>
        <w:rPr>
          <w:rFonts w:hint="eastAsia" w:ascii="宋体" w:hAnsi="宋体" w:eastAsia="宋体" w:cs="宋体"/>
          <w:color w:val="auto"/>
          <w:sz w:val="18"/>
          <w:szCs w:val="18"/>
          <w:highlight w:val="none"/>
          <w:lang w:val="zh-CN"/>
        </w:rPr>
      </w:pPr>
    </w:p>
    <w:p w14:paraId="5946F472">
      <w:pPr>
        <w:rPr>
          <w:rFonts w:hint="eastAsia" w:ascii="宋体" w:hAnsi="宋体" w:eastAsia="宋体" w:cs="宋体"/>
          <w:color w:val="auto"/>
          <w:sz w:val="18"/>
          <w:szCs w:val="18"/>
          <w:highlight w:val="none"/>
          <w:lang w:val="zh-CN"/>
        </w:rPr>
      </w:pPr>
    </w:p>
    <w:p w14:paraId="73C70135">
      <w:pPr>
        <w:pStyle w:val="20"/>
        <w:ind w:firstLine="280"/>
        <w:rPr>
          <w:rFonts w:hint="eastAsia" w:ascii="宋体" w:hAnsi="宋体" w:eastAsia="宋体" w:cs="宋体"/>
          <w:color w:val="auto"/>
          <w:highlight w:val="none"/>
          <w:lang w:val="zh-CN"/>
        </w:rPr>
      </w:pPr>
    </w:p>
    <w:p w14:paraId="3E2CC2E0">
      <w:pPr>
        <w:pStyle w:val="20"/>
        <w:ind w:firstLine="0" w:firstLineChars="0"/>
        <w:rPr>
          <w:rFonts w:hint="eastAsia" w:ascii="宋体" w:hAnsi="宋体" w:eastAsia="宋体" w:cs="宋体"/>
          <w:color w:val="auto"/>
          <w:highlight w:val="none"/>
          <w:lang w:val="zh-CN"/>
        </w:rPr>
      </w:pPr>
    </w:p>
    <w:p w14:paraId="109A6DDA">
      <w:pPr>
        <w:rPr>
          <w:rFonts w:hint="eastAsia" w:ascii="宋体" w:hAnsi="宋体" w:eastAsia="宋体" w:cs="宋体"/>
          <w:color w:val="auto"/>
          <w:highlight w:val="none"/>
          <w:lang w:val="zh-CN"/>
        </w:rPr>
      </w:pPr>
    </w:p>
    <w:p w14:paraId="0442E0FB">
      <w:pPr>
        <w:pStyle w:val="20"/>
        <w:ind w:firstLine="280"/>
        <w:rPr>
          <w:rFonts w:hint="eastAsia" w:ascii="宋体" w:hAnsi="宋体" w:eastAsia="宋体" w:cs="宋体"/>
          <w:color w:val="auto"/>
          <w:highlight w:val="none"/>
          <w:lang w:val="zh-CN"/>
        </w:rPr>
      </w:pPr>
    </w:p>
    <w:p w14:paraId="646DA3BD">
      <w:pPr>
        <w:pStyle w:val="37"/>
        <w:rPr>
          <w:rFonts w:hint="eastAsia" w:ascii="宋体" w:hAnsi="宋体" w:eastAsia="宋体" w:cs="宋体"/>
          <w:color w:val="auto"/>
          <w:highlight w:val="none"/>
          <w:lang w:val="zh-CN"/>
        </w:rPr>
      </w:pPr>
    </w:p>
    <w:p w14:paraId="052805CD">
      <w:pPr>
        <w:pStyle w:val="20"/>
        <w:ind w:firstLine="280"/>
        <w:rPr>
          <w:rFonts w:hint="eastAsia" w:ascii="宋体" w:hAnsi="宋体" w:eastAsia="宋体" w:cs="宋体"/>
          <w:color w:val="auto"/>
          <w:highlight w:val="none"/>
          <w:lang w:val="zh-CN"/>
        </w:rPr>
      </w:pPr>
    </w:p>
    <w:p w14:paraId="318636BE">
      <w:pPr>
        <w:jc w:val="center"/>
        <w:rPr>
          <w:rFonts w:hint="eastAsia" w:ascii="宋体" w:hAnsi="宋体" w:eastAsia="宋体" w:cs="宋体"/>
          <w:b/>
          <w:bCs/>
          <w:color w:val="auto"/>
          <w:sz w:val="48"/>
          <w:szCs w:val="48"/>
          <w:highlight w:val="none"/>
          <w:lang w:val="zh-CN"/>
        </w:rPr>
      </w:pPr>
      <w:r>
        <w:rPr>
          <w:rFonts w:hint="eastAsia" w:ascii="宋体" w:hAnsi="宋体" w:eastAsia="宋体" w:cs="宋体"/>
          <w:b/>
          <w:bCs/>
          <w:color w:val="auto"/>
          <w:sz w:val="48"/>
          <w:szCs w:val="48"/>
          <w:highlight w:val="none"/>
          <w:lang w:val="zh-CN"/>
        </w:rPr>
        <w:t>竞争性磋商文件</w:t>
      </w:r>
    </w:p>
    <w:p w14:paraId="509D40C8">
      <w:pPr>
        <w:rPr>
          <w:rFonts w:hint="eastAsia" w:ascii="宋体" w:hAnsi="宋体" w:eastAsia="宋体" w:cs="宋体"/>
          <w:color w:val="auto"/>
          <w:sz w:val="18"/>
          <w:szCs w:val="18"/>
          <w:highlight w:val="none"/>
          <w:lang w:val="zh-CN"/>
        </w:rPr>
      </w:pPr>
    </w:p>
    <w:p w14:paraId="55C8B22E">
      <w:pPr>
        <w:pStyle w:val="2"/>
        <w:ind w:left="680"/>
        <w:rPr>
          <w:rFonts w:hint="eastAsia" w:ascii="宋体" w:hAnsi="宋体" w:eastAsia="宋体" w:cs="宋体"/>
          <w:color w:val="auto"/>
          <w:highlight w:val="none"/>
          <w:lang w:val="zh-CN"/>
        </w:rPr>
      </w:pPr>
    </w:p>
    <w:p w14:paraId="07A8E1E5">
      <w:pPr>
        <w:rPr>
          <w:rFonts w:hint="eastAsia" w:ascii="宋体" w:hAnsi="宋体" w:eastAsia="宋体" w:cs="宋体"/>
          <w:color w:val="auto"/>
          <w:sz w:val="18"/>
          <w:szCs w:val="18"/>
          <w:highlight w:val="none"/>
          <w:lang w:val="zh-CN"/>
        </w:rPr>
      </w:pPr>
    </w:p>
    <w:p w14:paraId="788E9263">
      <w:pPr>
        <w:pStyle w:val="20"/>
        <w:ind w:firstLine="281"/>
        <w:rPr>
          <w:rFonts w:hint="eastAsia" w:ascii="宋体" w:hAnsi="宋体" w:eastAsia="宋体" w:cs="宋体"/>
          <w:b/>
          <w:bCs/>
          <w:color w:val="auto"/>
          <w:szCs w:val="21"/>
          <w:highlight w:val="none"/>
          <w:lang w:val="zh-CN"/>
        </w:rPr>
      </w:pPr>
    </w:p>
    <w:p w14:paraId="0A165CA1">
      <w:pPr>
        <w:pStyle w:val="37"/>
        <w:rPr>
          <w:rFonts w:hint="eastAsia" w:ascii="宋体" w:hAnsi="宋体" w:eastAsia="宋体" w:cs="宋体"/>
          <w:color w:val="auto"/>
          <w:highlight w:val="none"/>
          <w:lang w:val="zh-CN"/>
        </w:rPr>
      </w:pPr>
    </w:p>
    <w:p w14:paraId="7FD16939">
      <w:pPr>
        <w:outlineLvl w:val="9"/>
        <w:rPr>
          <w:rFonts w:hint="eastAsia" w:ascii="宋体" w:hAnsi="宋体" w:eastAsia="宋体" w:cs="宋体"/>
          <w:color w:val="auto"/>
          <w:highlight w:val="none"/>
          <w:lang w:val="zh-CN"/>
        </w:rPr>
      </w:pPr>
    </w:p>
    <w:p w14:paraId="32D62A8B">
      <w:pPr>
        <w:outlineLvl w:val="9"/>
        <w:rPr>
          <w:rFonts w:hint="eastAsia" w:ascii="宋体" w:hAnsi="宋体" w:eastAsia="宋体" w:cs="宋体"/>
          <w:color w:val="auto"/>
          <w:highlight w:val="none"/>
          <w:lang w:val="zh-CN"/>
        </w:rPr>
      </w:pPr>
    </w:p>
    <w:p w14:paraId="2F448258">
      <w:pPr>
        <w:pStyle w:val="25"/>
        <w:snapToGrid w:val="0"/>
        <w:spacing w:before="120" w:after="120" w:line="36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r>
        <w:rPr>
          <w:rFonts w:hint="eastAsia" w:hAnsi="宋体" w:cs="宋体"/>
          <w:b/>
          <w:bCs/>
          <w:color w:val="auto"/>
          <w:sz w:val="30"/>
          <w:szCs w:val="30"/>
          <w:highlight w:val="none"/>
          <w:lang w:eastAsia="zh-CN"/>
        </w:rPr>
        <w:t xml:space="preserve">TY2025-FW029-ZFCG029 </w:t>
      </w:r>
    </w:p>
    <w:p w14:paraId="4C0181CB">
      <w:pPr>
        <w:pStyle w:val="25"/>
        <w:snapToGrid w:val="0"/>
        <w:spacing w:before="120" w:after="120" w:line="36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采购</w:t>
      </w:r>
      <w:r>
        <w:rPr>
          <w:rFonts w:hint="eastAsia" w:ascii="宋体" w:hAnsi="宋体" w:eastAsia="宋体" w:cs="宋体"/>
          <w:b/>
          <w:bCs/>
          <w:color w:val="auto"/>
          <w:sz w:val="30"/>
          <w:szCs w:val="30"/>
          <w:highlight w:val="none"/>
          <w:lang w:val="en-US" w:eastAsia="zh-CN"/>
        </w:rPr>
        <w:t>单位</w:t>
      </w:r>
      <w:r>
        <w:rPr>
          <w:rFonts w:hint="eastAsia" w:ascii="宋体" w:hAnsi="宋体" w:eastAsia="宋体" w:cs="宋体"/>
          <w:b/>
          <w:bCs/>
          <w:color w:val="auto"/>
          <w:sz w:val="30"/>
          <w:szCs w:val="30"/>
          <w:highlight w:val="none"/>
        </w:rPr>
        <w:t xml:space="preserve">： </w:t>
      </w:r>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lang w:eastAsia="zh-CN"/>
        </w:rPr>
        <w:t>金华市婺城区人民法院</w:t>
      </w:r>
    </w:p>
    <w:p w14:paraId="1984575F">
      <w:pPr>
        <w:pStyle w:val="25"/>
        <w:snapToGrid w:val="0"/>
        <w:spacing w:before="120" w:after="120" w:line="360" w:lineRule="auto"/>
        <w:ind w:firstLine="602" w:firstLineChars="2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hAnsi="宋体"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金华市天盈招标代理有限公司</w:t>
      </w:r>
    </w:p>
    <w:p w14:paraId="287279E0">
      <w:pPr>
        <w:pStyle w:val="25"/>
        <w:snapToGrid w:val="0"/>
        <w:spacing w:before="120" w:after="120" w:line="360" w:lineRule="auto"/>
        <w:ind w:firstLine="602" w:firstLineChars="2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sz w:val="30"/>
          <w:szCs w:val="30"/>
          <w:highlight w:val="none"/>
        </w:rPr>
        <w:t xml:space="preserve">监管单位： </w:t>
      </w:r>
      <w:r>
        <w:rPr>
          <w:rFonts w:hint="eastAsia" w:hAnsi="宋体" w:cs="宋体"/>
          <w:b/>
          <w:color w:val="auto"/>
          <w:sz w:val="30"/>
          <w:szCs w:val="48"/>
          <w:highlight w:val="none"/>
          <w:lang w:eastAsia="zh-CN"/>
        </w:rPr>
        <w:t>金华市婺城区财政局政府采购监督管理办公室</w:t>
      </w:r>
    </w:p>
    <w:p w14:paraId="6A54AD01">
      <w:pPr>
        <w:spacing w:line="480" w:lineRule="exact"/>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2 0 2 </w:t>
      </w:r>
      <w:r>
        <w:rPr>
          <w:rFonts w:hint="eastAsia"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年 </w:t>
      </w:r>
      <w:r>
        <w:rPr>
          <w:rFonts w:hint="eastAsia" w:hAnsi="宋体" w:cs="宋体"/>
          <w:b/>
          <w:bCs/>
          <w:color w:val="auto"/>
          <w:sz w:val="32"/>
          <w:szCs w:val="32"/>
          <w:highlight w:val="none"/>
          <w:lang w:val="en-US" w:eastAsia="zh-CN"/>
        </w:rPr>
        <w:t xml:space="preserve">0 2 </w:t>
      </w:r>
      <w:r>
        <w:rPr>
          <w:rFonts w:hint="eastAsia" w:ascii="宋体" w:hAnsi="宋体" w:eastAsia="宋体" w:cs="宋体"/>
          <w:b/>
          <w:bCs/>
          <w:color w:val="auto"/>
          <w:sz w:val="32"/>
          <w:szCs w:val="32"/>
          <w:highlight w:val="none"/>
          <w:lang w:val="zh-CN"/>
        </w:rPr>
        <w:t xml:space="preserve">月 </w:t>
      </w:r>
      <w:bookmarkStart w:id="0" w:name="_Toc237182500"/>
    </w:p>
    <w:p w14:paraId="1D487191">
      <w:pPr>
        <w:pStyle w:val="20"/>
        <w:ind w:firstLine="280"/>
        <w:rPr>
          <w:rFonts w:hint="eastAsia" w:ascii="宋体" w:hAnsi="宋体" w:eastAsia="宋体" w:cs="宋体"/>
          <w:color w:val="auto"/>
          <w:highlight w:val="none"/>
        </w:rPr>
      </w:pPr>
    </w:p>
    <w:p w14:paraId="5B20B9E6">
      <w:pPr>
        <w:jc w:val="center"/>
        <w:rPr>
          <w:rFonts w:hint="eastAsia" w:ascii="宋体" w:hAnsi="宋体" w:eastAsia="宋体" w:cs="宋体"/>
          <w:b/>
          <w:color w:val="auto"/>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68014DA0">
      <w:pPr>
        <w:jc w:val="center"/>
        <w:rPr>
          <w:rFonts w:hint="eastAsia" w:ascii="宋体" w:hAnsi="宋体" w:eastAsia="宋体" w:cs="宋体"/>
          <w:b/>
          <w:color w:val="auto"/>
          <w:highlight w:val="none"/>
        </w:rPr>
      </w:pPr>
      <w:r>
        <w:rPr>
          <w:rFonts w:hint="eastAsia" w:ascii="宋体" w:hAnsi="宋体" w:eastAsia="宋体" w:cs="宋体"/>
          <w:b/>
          <w:color w:val="auto"/>
          <w:highlight w:val="none"/>
        </w:rPr>
        <w:t>目        录</w:t>
      </w:r>
    </w:p>
    <w:p w14:paraId="42A9E884">
      <w:pPr>
        <w:pStyle w:val="2"/>
        <w:ind w:left="680"/>
        <w:rPr>
          <w:rFonts w:hint="eastAsia" w:ascii="宋体" w:hAnsi="宋体" w:eastAsia="宋体" w:cs="宋体"/>
          <w:color w:val="auto"/>
          <w:highlight w:val="none"/>
        </w:rPr>
      </w:pPr>
    </w:p>
    <w:p w14:paraId="38B8035A">
      <w:pPr>
        <w:pStyle w:val="33"/>
        <w:tabs>
          <w:tab w:val="right" w:leader="dot" w:pos="9638"/>
        </w:tabs>
        <w:rPr>
          <w:color w:val="auto"/>
          <w:highlight w:val="none"/>
        </w:rPr>
      </w:pPr>
      <w:r>
        <w:rPr>
          <w:rStyle w:val="55"/>
          <w:rFonts w:hint="eastAsia" w:ascii="宋体" w:hAnsi="宋体" w:eastAsia="宋体" w:cs="宋体"/>
          <w:color w:val="auto"/>
          <w:highlight w:val="none"/>
        </w:rPr>
        <w:fldChar w:fldCharType="begin"/>
      </w:r>
      <w:r>
        <w:rPr>
          <w:rStyle w:val="55"/>
          <w:rFonts w:hint="eastAsia" w:ascii="宋体" w:hAnsi="宋体" w:eastAsia="宋体" w:cs="宋体"/>
          <w:color w:val="auto"/>
          <w:sz w:val="21"/>
          <w:szCs w:val="21"/>
          <w:highlight w:val="none"/>
        </w:rPr>
        <w:instrText xml:space="preserve">TOC \o "1-3" \h \z \u</w:instrText>
      </w:r>
      <w:r>
        <w:rPr>
          <w:rStyle w:val="55"/>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_Toc18290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14:paraId="20FD1986">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_Toc26778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第二部分  采购需求</w:t>
      </w:r>
      <w:r>
        <w:rPr>
          <w:color w:val="auto"/>
          <w:highlight w:val="none"/>
        </w:rPr>
        <w:tab/>
      </w:r>
      <w:r>
        <w:rPr>
          <w:color w:val="auto"/>
          <w:highlight w:val="none"/>
        </w:rPr>
        <w:fldChar w:fldCharType="begin"/>
      </w:r>
      <w:r>
        <w:rPr>
          <w:color w:val="auto"/>
          <w:highlight w:val="none"/>
        </w:rPr>
        <w:instrText xml:space="preserve"> PAGEREF _Toc26778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6C0008B8">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_Toc17959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第三部分  响应供应商须知</w:t>
      </w:r>
      <w:r>
        <w:rPr>
          <w:color w:val="auto"/>
          <w:highlight w:val="none"/>
        </w:rPr>
        <w:tab/>
      </w:r>
      <w:r>
        <w:rPr>
          <w:color w:val="auto"/>
          <w:highlight w:val="none"/>
        </w:rPr>
        <w:fldChar w:fldCharType="begin"/>
      </w:r>
      <w:r>
        <w:rPr>
          <w:color w:val="auto"/>
          <w:highlight w:val="none"/>
        </w:rPr>
        <w:instrText xml:space="preserve"> PAGEREF _Toc17959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3DF49533">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_Toc23975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前附表</w:t>
      </w:r>
      <w:r>
        <w:rPr>
          <w:color w:val="auto"/>
          <w:highlight w:val="none"/>
        </w:rPr>
        <w:tab/>
      </w:r>
      <w:r>
        <w:rPr>
          <w:color w:val="auto"/>
          <w:highlight w:val="none"/>
        </w:rPr>
        <w:fldChar w:fldCharType="begin"/>
      </w:r>
      <w:r>
        <w:rPr>
          <w:color w:val="auto"/>
          <w:highlight w:val="none"/>
        </w:rPr>
        <w:instrText xml:space="preserve"> PAGEREF _Toc23975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1D1701A">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第四部分  磋商办法及评分标准</w:t>
      </w:r>
      <w:r>
        <w:rPr>
          <w:color w:val="auto"/>
          <w:highlight w:val="none"/>
        </w:rPr>
        <w:tab/>
      </w:r>
      <w:r>
        <w:rPr>
          <w:color w:val="auto"/>
          <w:highlight w:val="none"/>
        </w:rPr>
        <w:fldChar w:fldCharType="begin"/>
      </w:r>
      <w:r>
        <w:rPr>
          <w:color w:val="auto"/>
          <w:highlight w:val="none"/>
        </w:rPr>
        <w:instrText xml:space="preserve"> PAGEREF _Toc27937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27BDA9A7">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_Toc18801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第五部分  合同主要条款</w:t>
      </w:r>
      <w:r>
        <w:rPr>
          <w:color w:val="auto"/>
          <w:highlight w:val="none"/>
        </w:rPr>
        <w:tab/>
      </w:r>
      <w:r>
        <w:rPr>
          <w:color w:val="auto"/>
          <w:highlight w:val="none"/>
        </w:rPr>
        <w:fldChar w:fldCharType="begin"/>
      </w:r>
      <w:r>
        <w:rPr>
          <w:color w:val="auto"/>
          <w:highlight w:val="none"/>
        </w:rPr>
        <w:instrText xml:space="preserve"> PAGEREF _Toc18801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6C787A40">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第六部分  应递交的响应文件格式范例</w:t>
      </w:r>
      <w:r>
        <w:rPr>
          <w:color w:val="auto"/>
          <w:highlight w:val="none"/>
        </w:rPr>
        <w:tab/>
      </w:r>
      <w:r>
        <w:rPr>
          <w:color w:val="auto"/>
          <w:highlight w:val="none"/>
        </w:rPr>
        <w:fldChar w:fldCharType="begin"/>
      </w:r>
      <w:r>
        <w:rPr>
          <w:color w:val="auto"/>
          <w:highlight w:val="none"/>
        </w:rPr>
        <w:instrText xml:space="preserve"> PAGEREF _Toc11831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1"/>
          <w:highlight w:val="none"/>
        </w:rPr>
        <w:fldChar w:fldCharType="end"/>
      </w:r>
    </w:p>
    <w:p w14:paraId="2DCFA240">
      <w:pPr>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40AC48E9">
      <w:pPr>
        <w:snapToGrid w:val="0"/>
        <w:spacing w:line="480" w:lineRule="auto"/>
        <w:ind w:firstLine="422" w:firstLineChars="200"/>
        <w:jc w:val="both"/>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032053A5">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1" w:name="_Toc8485"/>
      <w:r>
        <w:rPr>
          <w:rFonts w:hint="eastAsia" w:ascii="宋体" w:hAnsi="宋体" w:eastAsia="宋体" w:cs="宋体"/>
          <w:b/>
          <w:color w:val="auto"/>
          <w:sz w:val="21"/>
          <w:highlight w:val="none"/>
        </w:rPr>
        <w:t>举报电话：</w:t>
      </w:r>
      <w:bookmarkEnd w:id="1"/>
    </w:p>
    <w:p w14:paraId="40F56537">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2" w:name="_Toc8590"/>
      <w:r>
        <w:rPr>
          <w:rFonts w:hint="eastAsia" w:ascii="宋体" w:hAnsi="宋体" w:eastAsia="宋体" w:cs="宋体"/>
          <w:b/>
          <w:color w:val="auto"/>
          <w:sz w:val="21"/>
          <w:highlight w:val="none"/>
        </w:rPr>
        <w:t>市扫黑办  0579-82495227</w:t>
      </w:r>
      <w:bookmarkEnd w:id="2"/>
    </w:p>
    <w:p w14:paraId="786A7B25">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3" w:name="_Toc29658"/>
      <w:r>
        <w:rPr>
          <w:rFonts w:hint="eastAsia" w:ascii="宋体" w:hAnsi="宋体" w:eastAsia="宋体" w:cs="宋体"/>
          <w:b/>
          <w:color w:val="auto"/>
          <w:sz w:val="21"/>
          <w:highlight w:val="none"/>
        </w:rPr>
        <w:t>市公安局  110、0579-82512110</w:t>
      </w:r>
      <w:bookmarkEnd w:id="3"/>
    </w:p>
    <w:p w14:paraId="071EA5B5">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4" w:name="_Toc2768"/>
      <w:r>
        <w:rPr>
          <w:rFonts w:hint="eastAsia" w:ascii="宋体" w:hAnsi="宋体" w:eastAsia="宋体" w:cs="宋体"/>
          <w:b/>
          <w:color w:val="auto"/>
          <w:sz w:val="21"/>
          <w:highlight w:val="none"/>
        </w:rPr>
        <w:t>市检察院  0579-82537082</w:t>
      </w:r>
      <w:bookmarkEnd w:id="4"/>
    </w:p>
    <w:p w14:paraId="7349D47E">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5" w:name="_Toc17168"/>
      <w:r>
        <w:rPr>
          <w:rFonts w:hint="eastAsia" w:ascii="宋体" w:hAnsi="宋体" w:eastAsia="宋体" w:cs="宋体"/>
          <w:b/>
          <w:color w:val="auto"/>
          <w:sz w:val="21"/>
          <w:highlight w:val="none"/>
        </w:rPr>
        <w:t>市 法 院  0579-82688725</w:t>
      </w:r>
      <w:bookmarkEnd w:id="5"/>
    </w:p>
    <w:p w14:paraId="0D376552">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6" w:name="_Toc28377"/>
      <w:r>
        <w:rPr>
          <w:rFonts w:hint="eastAsia" w:ascii="宋体" w:hAnsi="宋体" w:eastAsia="宋体" w:cs="宋体"/>
          <w:b/>
          <w:color w:val="auto"/>
          <w:sz w:val="21"/>
          <w:highlight w:val="none"/>
        </w:rPr>
        <w:t>市公共资源交易管理办公室  0579-82469285</w:t>
      </w:r>
      <w:bookmarkEnd w:id="6"/>
    </w:p>
    <w:p w14:paraId="7524178A">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7" w:name="_Toc18962"/>
      <w:r>
        <w:rPr>
          <w:rFonts w:hint="eastAsia" w:ascii="宋体" w:hAnsi="宋体" w:eastAsia="宋体" w:cs="宋体"/>
          <w:b/>
          <w:color w:val="auto"/>
          <w:sz w:val="21"/>
          <w:highlight w:val="none"/>
        </w:rPr>
        <w:t>市公共资源交易中心  0579-83187211</w:t>
      </w:r>
      <w:bookmarkEnd w:id="7"/>
    </w:p>
    <w:p w14:paraId="01AE19EA">
      <w:pPr>
        <w:spacing w:line="480" w:lineRule="auto"/>
        <w:ind w:firstLine="211" w:firstLineChars="100"/>
        <w:jc w:val="both"/>
        <w:rPr>
          <w:rFonts w:hint="eastAsia" w:ascii="宋体" w:hAnsi="宋体" w:eastAsia="宋体" w:cs="宋体"/>
          <w:b/>
          <w:bCs/>
          <w:color w:val="auto"/>
          <w:sz w:val="21"/>
          <w:szCs w:val="21"/>
          <w:highlight w:val="none"/>
        </w:rPr>
      </w:pPr>
      <w:bookmarkStart w:id="8" w:name="_Toc237340100"/>
      <w:bookmarkStart w:id="9" w:name="_Toc237414001"/>
      <w:bookmarkStart w:id="10" w:name="_Toc237413905"/>
      <w:bookmarkStart w:id="11" w:name="_Toc237189781"/>
      <w:bookmarkStart w:id="12" w:name="_Toc237193452"/>
      <w:r>
        <w:rPr>
          <w:rFonts w:hint="eastAsia" w:ascii="宋体" w:hAnsi="宋体" w:eastAsia="宋体" w:cs="宋体"/>
          <w:b/>
          <w:bCs/>
          <w:color w:val="auto"/>
          <w:sz w:val="21"/>
          <w:szCs w:val="21"/>
          <w:highlight w:val="none"/>
        </w:rPr>
        <w:t>温馨提示：</w:t>
      </w:r>
    </w:p>
    <w:p w14:paraId="7E7C1DB5">
      <w:pPr>
        <w:numPr>
          <w:ilvl w:val="0"/>
          <w:numId w:val="3"/>
        </w:numPr>
        <w:spacing w:line="38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响应供应商不得向</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、政府采购工作人员、磋商小组专家行贿，违者一经查实，将列入政府采购黑名单！</w:t>
      </w:r>
    </w:p>
    <w:p w14:paraId="1A9B3A5B">
      <w:pPr>
        <w:numPr>
          <w:ilvl w:val="0"/>
          <w:numId w:val="3"/>
        </w:numPr>
        <w:spacing w:line="38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响应供应商可在政采云平台（http://zfcg.czt.zj.gov.cn/）进行免费注册成为正式供应商，具体详见网站响应供应商注册要求，否则将无法参加投标。</w:t>
      </w:r>
    </w:p>
    <w:p w14:paraId="4A20A20F">
      <w:pPr>
        <w:tabs>
          <w:tab w:val="left" w:pos="0"/>
        </w:tabs>
        <w:spacing w:line="380" w:lineRule="exact"/>
        <w:ind w:left="56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（注：请认真阅读此竞争性磋商文件，并按规定制作磋商响应文件，否则我们的努力将是徒劳。）</w:t>
      </w:r>
    </w:p>
    <w:bookmarkEnd w:id="0"/>
    <w:bookmarkEnd w:id="8"/>
    <w:bookmarkEnd w:id="9"/>
    <w:bookmarkEnd w:id="10"/>
    <w:bookmarkEnd w:id="11"/>
    <w:bookmarkEnd w:id="12"/>
    <w:p w14:paraId="08E8E7E5">
      <w:pPr>
        <w:pStyle w:val="4"/>
        <w:spacing w:line="360" w:lineRule="auto"/>
        <w:jc w:val="center"/>
        <w:rPr>
          <w:rFonts w:hint="eastAsia" w:ascii="宋体" w:hAnsi="宋体" w:eastAsia="宋体" w:cs="宋体"/>
          <w:color w:val="auto"/>
          <w:sz w:val="30"/>
          <w:szCs w:val="30"/>
          <w:highlight w:val="none"/>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3" w:name="_Toc237193453"/>
      <w:bookmarkStart w:id="14" w:name="_Toc237414002"/>
      <w:bookmarkStart w:id="15" w:name="_Toc184785918"/>
      <w:bookmarkStart w:id="16" w:name="_Toc295737623"/>
      <w:bookmarkStart w:id="17" w:name="_Toc265065977"/>
      <w:bookmarkStart w:id="18" w:name="_Toc237182501"/>
      <w:bookmarkStart w:id="19" w:name="_Toc296074334"/>
      <w:bookmarkStart w:id="20" w:name="_Toc237340101"/>
      <w:bookmarkStart w:id="21" w:name="_Toc217289129"/>
      <w:bookmarkStart w:id="22" w:name="_Toc237189782"/>
      <w:bookmarkStart w:id="23" w:name="_Toc237176505"/>
      <w:bookmarkStart w:id="24" w:name="_Toc237413906"/>
      <w:bookmarkStart w:id="25" w:name="_Toc256977533"/>
      <w:bookmarkStart w:id="26" w:name="_Toc205638623"/>
      <w:bookmarkStart w:id="27" w:name="_Toc295910871"/>
      <w:bookmarkStart w:id="28" w:name="_Toc264211065"/>
      <w:bookmarkStart w:id="29" w:name="_Toc18458"/>
      <w:bookmarkStart w:id="30" w:name="_Toc30124"/>
      <w:bookmarkStart w:id="31" w:name="_Toc28190"/>
      <w:bookmarkStart w:id="32" w:name="_Toc9720"/>
      <w:bookmarkStart w:id="33" w:name="_Toc23060"/>
      <w:bookmarkStart w:id="34" w:name="_Toc30715"/>
    </w:p>
    <w:p w14:paraId="529ED774">
      <w:pPr>
        <w:pStyle w:val="4"/>
        <w:spacing w:line="360" w:lineRule="auto"/>
        <w:jc w:val="center"/>
        <w:rPr>
          <w:rFonts w:hint="eastAsia" w:ascii="宋体" w:hAnsi="宋体" w:eastAsia="宋体" w:cs="宋体"/>
          <w:color w:val="auto"/>
          <w:sz w:val="30"/>
          <w:szCs w:val="30"/>
          <w:highlight w:val="none"/>
        </w:rPr>
      </w:pPr>
      <w:bookmarkStart w:id="35" w:name="_Toc17090"/>
      <w:bookmarkStart w:id="36" w:name="_Toc10478"/>
      <w:bookmarkStart w:id="37" w:name="_Toc18290"/>
      <w:bookmarkStart w:id="38" w:name="_Toc25297"/>
      <w:bookmarkStart w:id="39" w:name="_Toc4842"/>
      <w:bookmarkStart w:id="40" w:name="_Toc21864"/>
      <w:bookmarkStart w:id="41" w:name="_Toc7944"/>
      <w:bookmarkStart w:id="42" w:name="_Toc11660"/>
      <w:bookmarkStart w:id="43" w:name="_Toc22264"/>
      <w:bookmarkStart w:id="44" w:name="_Toc1"/>
      <w:bookmarkStart w:id="45" w:name="_Toc23519"/>
      <w:r>
        <w:rPr>
          <w:rFonts w:hint="eastAsia" w:ascii="宋体" w:hAnsi="宋体" w:eastAsia="宋体" w:cs="宋体"/>
          <w:color w:val="auto"/>
          <w:sz w:val="30"/>
          <w:szCs w:val="30"/>
          <w:highlight w:val="none"/>
        </w:rPr>
        <w:t>第一部分</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ascii="宋体" w:hAnsi="宋体" w:eastAsia="宋体" w:cs="宋体"/>
          <w:color w:val="auto"/>
          <w:sz w:val="30"/>
          <w:szCs w:val="30"/>
          <w:highlight w:val="none"/>
        </w:rPr>
        <w:t xml:space="preserve"> 竞争性磋商公告</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6B429A">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902E8DB">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eastAsia="宋体" w:cs="宋体"/>
          <w:bCs/>
          <w:color w:val="auto"/>
          <w:sz w:val="21"/>
          <w:szCs w:val="21"/>
          <w:highlight w:val="none"/>
        </w:rPr>
      </w:pPr>
      <w:r>
        <w:rPr>
          <w:rFonts w:hint="eastAsia" w:hAnsi="宋体" w:cs="宋体"/>
          <w:color w:val="auto"/>
          <w:sz w:val="21"/>
          <w:szCs w:val="21"/>
          <w:highlight w:val="none"/>
          <w:lang w:eastAsia="zh-CN"/>
        </w:rPr>
        <w:t>金华市婺城区人民法院</w:t>
      </w:r>
      <w:r>
        <w:rPr>
          <w:rFonts w:hint="eastAsia" w:ascii="宋体" w:hAnsi="宋体" w:eastAsia="宋体" w:cs="宋体"/>
          <w:color w:val="auto"/>
          <w:sz w:val="21"/>
          <w:szCs w:val="21"/>
          <w:highlight w:val="none"/>
        </w:rPr>
        <w:t>关于</w:t>
      </w:r>
      <w:r>
        <w:rPr>
          <w:rFonts w:hint="eastAsia" w:hAnsi="宋体" w:cs="宋体"/>
          <w:color w:val="auto"/>
          <w:sz w:val="21"/>
          <w:szCs w:val="21"/>
          <w:highlight w:val="none"/>
          <w:lang w:eastAsia="zh-CN"/>
        </w:rPr>
        <w:t>金华市婺城区人民法院多元解纷专项服务采购项目</w:t>
      </w:r>
      <w:r>
        <w:rPr>
          <w:rFonts w:hint="eastAsia" w:ascii="宋体" w:hAnsi="宋体" w:eastAsia="宋体" w:cs="宋体"/>
          <w:color w:val="auto"/>
          <w:sz w:val="21"/>
          <w:szCs w:val="21"/>
          <w:highlight w:val="none"/>
        </w:rPr>
        <w:t>的供应商应在浙江省“政采云”平台获取磋商采购文件，并于</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2025</w:t>
      </w:r>
      <w:r>
        <w:rPr>
          <w:rFonts w:hint="eastAsia" w:ascii="宋体" w:hAnsi="宋体" w:eastAsia="宋体" w:cs="宋体"/>
          <w:bCs/>
          <w:color w:val="auto"/>
          <w:sz w:val="21"/>
          <w:szCs w:val="21"/>
          <w:highlight w:val="none"/>
          <w:u w:val="single"/>
        </w:rPr>
        <w:t>年</w:t>
      </w:r>
      <w:r>
        <w:rPr>
          <w:rFonts w:hint="eastAsia"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u w:val="single"/>
        </w:rPr>
        <w:t>月</w:t>
      </w:r>
      <w:r>
        <w:rPr>
          <w:rFonts w:hint="eastAsia"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日</w:t>
      </w:r>
      <w:r>
        <w:rPr>
          <w:rFonts w:hint="eastAsia"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北京时间）前上传</w:t>
      </w:r>
      <w:r>
        <w:rPr>
          <w:rFonts w:hint="eastAsia" w:ascii="宋体" w:hAnsi="宋体" w:eastAsia="宋体" w:cs="宋体"/>
          <w:color w:val="auto"/>
          <w:sz w:val="21"/>
          <w:szCs w:val="21"/>
          <w:highlight w:val="none"/>
        </w:rPr>
        <w:t>磋商响应文件。</w:t>
      </w:r>
    </w:p>
    <w:p w14:paraId="49618A4B">
      <w:pPr>
        <w:pStyle w:val="43"/>
        <w:shd w:val="clear" w:color="auto" w:fill="FFFFFF"/>
        <w:adjustRightInd w:val="0"/>
        <w:snapToGrid w:val="0"/>
        <w:spacing w:before="0" w:beforeAutospacing="0" w:after="0" w:afterAutospacing="0"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一、项目基本情况</w:t>
      </w:r>
    </w:p>
    <w:p w14:paraId="362CFF72">
      <w:pPr>
        <w:pStyle w:val="43"/>
        <w:shd w:val="clear" w:color="auto" w:fill="FFFFFF"/>
        <w:adjustRightInd w:val="0"/>
        <w:snapToGrid w:val="0"/>
        <w:spacing w:before="0" w:beforeAutospacing="0" w:after="0" w:afterAutospacing="0"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 xml:space="preserve">TY2025-FW029-ZFCG029 </w:t>
      </w:r>
    </w:p>
    <w:p w14:paraId="60051F97">
      <w:pPr>
        <w:tabs>
          <w:tab w:val="left" w:pos="1260"/>
        </w:tabs>
        <w:autoSpaceDE/>
        <w:autoSpaceDN/>
        <w:adjustRightInd/>
        <w:snapToGrid w:val="0"/>
        <w:spacing w:line="42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政府采购计划文号：[2025]79号</w:t>
      </w:r>
      <w:bookmarkStart w:id="301" w:name="_GoBack"/>
      <w:bookmarkEnd w:id="301"/>
      <w:r>
        <w:rPr>
          <w:rFonts w:hint="eastAsia" w:hAnsi="宋体" w:cs="宋体"/>
          <w:i w:val="0"/>
          <w:iCs w:val="0"/>
          <w:caps w:val="0"/>
          <w:color w:val="auto"/>
          <w:spacing w:val="0"/>
          <w:sz w:val="21"/>
          <w:szCs w:val="21"/>
          <w:highlight w:val="none"/>
          <w:u w:val="none"/>
          <w:shd w:val="clear"/>
          <w:lang w:val="en-US" w:eastAsia="zh-CN"/>
        </w:rPr>
        <w:t xml:space="preserve"> </w:t>
      </w:r>
    </w:p>
    <w:p w14:paraId="497E78F4">
      <w:pPr>
        <w:tabs>
          <w:tab w:val="left" w:pos="1260"/>
        </w:tabs>
        <w:autoSpaceDE/>
        <w:autoSpaceDN/>
        <w:adjustRightInd/>
        <w:snapToGrid w:val="0"/>
        <w:spacing w:line="4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采购组织类型：分散采购委托代理  </w:t>
      </w:r>
    </w:p>
    <w:p w14:paraId="03DCFB0A">
      <w:pPr>
        <w:pStyle w:val="43"/>
        <w:shd w:val="clear" w:color="auto" w:fill="FFFFFF"/>
        <w:adjustRightInd w:val="0"/>
        <w:snapToGrid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金华市婺城区人民法院多元解纷专项服务采购项目</w:t>
      </w:r>
      <w:r>
        <w:rPr>
          <w:rFonts w:hint="eastAsia" w:ascii="宋体" w:hAnsi="宋体" w:eastAsia="宋体" w:cs="宋体"/>
          <w:color w:val="auto"/>
          <w:sz w:val="21"/>
          <w:szCs w:val="21"/>
          <w:highlight w:val="none"/>
        </w:rPr>
        <w:t> </w:t>
      </w:r>
    </w:p>
    <w:p w14:paraId="58B2B4B5">
      <w:pPr>
        <w:pStyle w:val="43"/>
        <w:shd w:val="clear" w:color="auto" w:fill="FFFFFF"/>
        <w:adjustRightInd w:val="0"/>
        <w:snapToGrid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式：竞争性磋商</w:t>
      </w:r>
    </w:p>
    <w:p w14:paraId="183696DA">
      <w:pPr>
        <w:pStyle w:val="43"/>
        <w:shd w:val="clear" w:color="auto" w:fill="FFFFFF"/>
        <w:adjustRightInd w:val="0"/>
        <w:snapToGrid w:val="0"/>
        <w:spacing w:before="0" w:beforeAutospacing="0" w:after="0" w:afterAutospacing="0"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预算金额（人民币）：</w:t>
      </w:r>
      <w:r>
        <w:rPr>
          <w:rFonts w:hint="eastAsia" w:cs="宋体"/>
          <w:color w:val="auto"/>
          <w:sz w:val="21"/>
          <w:szCs w:val="21"/>
          <w:highlight w:val="none"/>
          <w:lang w:val="en-US" w:eastAsia="zh-CN"/>
        </w:rPr>
        <w:t>84万元</w:t>
      </w:r>
    </w:p>
    <w:p w14:paraId="69F707C4">
      <w:pPr>
        <w:pStyle w:val="43"/>
        <w:shd w:val="clear" w:color="auto" w:fill="FFFFFF"/>
        <w:adjustRightInd w:val="0"/>
        <w:snapToGrid w:val="0"/>
        <w:spacing w:before="0" w:beforeAutospacing="0" w:after="0" w:afterAutospacing="0"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最高限价</w:t>
      </w:r>
      <w:r>
        <w:rPr>
          <w:rFonts w:hint="eastAsia" w:ascii="宋体" w:hAnsi="宋体" w:eastAsia="宋体" w:cs="宋体"/>
          <w:color w:val="auto"/>
          <w:sz w:val="21"/>
          <w:szCs w:val="21"/>
          <w:highlight w:val="none"/>
        </w:rPr>
        <w:t>（人民币）：</w:t>
      </w:r>
      <w:r>
        <w:rPr>
          <w:rFonts w:hint="eastAsia" w:cs="宋体"/>
          <w:color w:val="auto"/>
          <w:sz w:val="21"/>
          <w:szCs w:val="21"/>
          <w:highlight w:val="none"/>
          <w:lang w:val="en-US" w:eastAsia="zh-CN"/>
        </w:rPr>
        <w:t>84万元</w:t>
      </w:r>
    </w:p>
    <w:p w14:paraId="5806F68D">
      <w:pPr>
        <w:pStyle w:val="43"/>
        <w:shd w:val="clear" w:color="auto" w:fill="FFFFFF"/>
        <w:adjustRightInd w:val="0"/>
        <w:snapToGrid w:val="0"/>
        <w:spacing w:before="0" w:beforeAutospacing="0" w:after="0" w:afterAutospacing="0" w:line="42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采购需求：</w:t>
      </w:r>
    </w:p>
    <w:tbl>
      <w:tblPr>
        <w:tblStyle w:val="4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9"/>
        <w:gridCol w:w="3858"/>
        <w:gridCol w:w="924"/>
        <w:gridCol w:w="1831"/>
      </w:tblGrid>
      <w:tr w14:paraId="210C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4" w:type="dxa"/>
            <w:vAlign w:val="center"/>
          </w:tcPr>
          <w:p w14:paraId="4E36077C">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29" w:type="dxa"/>
            <w:vAlign w:val="center"/>
          </w:tcPr>
          <w:p w14:paraId="4BCA9F3B">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858" w:type="dxa"/>
            <w:vAlign w:val="center"/>
          </w:tcPr>
          <w:p w14:paraId="3DE309CB">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924" w:type="dxa"/>
            <w:vAlign w:val="center"/>
          </w:tcPr>
          <w:p w14:paraId="4B79ACC7">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831" w:type="dxa"/>
            <w:vAlign w:val="center"/>
          </w:tcPr>
          <w:p w14:paraId="755148CB">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     （人民币）</w:t>
            </w:r>
          </w:p>
        </w:tc>
      </w:tr>
      <w:tr w14:paraId="089C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84" w:type="dxa"/>
            <w:vAlign w:val="center"/>
          </w:tcPr>
          <w:p w14:paraId="382C03D1">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29" w:type="dxa"/>
            <w:vAlign w:val="center"/>
          </w:tcPr>
          <w:p w14:paraId="18E86038">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金华市婺城区人民法院多元解纷专项服务采购项目</w:t>
            </w:r>
          </w:p>
        </w:tc>
        <w:tc>
          <w:tcPr>
            <w:tcW w:w="3858" w:type="dxa"/>
            <w:vAlign w:val="center"/>
          </w:tcPr>
          <w:p w14:paraId="2D881554">
            <w:pPr>
              <w:keepNext w:val="0"/>
              <w:keepLines w:val="0"/>
              <w:pageBreakBefore w:val="0"/>
              <w:suppressLineNumbers w:val="0"/>
              <w:kinsoku/>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承担</w:t>
            </w:r>
            <w:r>
              <w:rPr>
                <w:rFonts w:hint="eastAsia" w:hAnsi="宋体" w:cs="宋体"/>
                <w:color w:val="auto"/>
                <w:sz w:val="21"/>
                <w:szCs w:val="21"/>
                <w:highlight w:val="none"/>
                <w:lang w:eastAsia="zh-CN"/>
              </w:rPr>
              <w:t>金华市婺城区人民法院</w:t>
            </w:r>
            <w:r>
              <w:rPr>
                <w:rFonts w:hint="eastAsia" w:hAnsi="宋体" w:cs="宋体"/>
                <w:bCs/>
                <w:color w:val="auto"/>
                <w:sz w:val="21"/>
                <w:szCs w:val="21"/>
                <w:highlight w:val="none"/>
              </w:rPr>
              <w:t>诉源治理人民调解辅助工作</w:t>
            </w:r>
            <w:r>
              <w:rPr>
                <w:rFonts w:hint="eastAsia" w:hAnsi="宋体" w:cs="宋体"/>
                <w:color w:val="auto"/>
                <w:sz w:val="21"/>
                <w:szCs w:val="21"/>
                <w:highlight w:val="none"/>
              </w:rPr>
              <w:t>等，具体详见“第二部分采购需求”</w:t>
            </w:r>
          </w:p>
        </w:tc>
        <w:tc>
          <w:tcPr>
            <w:tcW w:w="924" w:type="dxa"/>
            <w:vAlign w:val="center"/>
          </w:tcPr>
          <w:p w14:paraId="0CCC0F0E">
            <w:pPr>
              <w:pStyle w:val="2"/>
              <w:keepNext w:val="0"/>
              <w:keepLines w:val="0"/>
              <w:suppressLineNumbers w:val="0"/>
              <w:autoSpaceDE w:val="0"/>
              <w:autoSpaceDN w:val="0"/>
              <w:adjustRightInd w:val="0"/>
              <w:spacing w:before="0" w:beforeAutospacing="0" w:after="0" w:afterAutospacing="0" w:line="460" w:lineRule="exact"/>
              <w:ind w:left="0" w:leftChars="0" w:right="0"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一年</w:t>
            </w:r>
          </w:p>
        </w:tc>
        <w:tc>
          <w:tcPr>
            <w:tcW w:w="1831" w:type="dxa"/>
            <w:vAlign w:val="center"/>
          </w:tcPr>
          <w:p w14:paraId="66E406C0">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84万元</w:t>
            </w:r>
          </w:p>
        </w:tc>
      </w:tr>
    </w:tbl>
    <w:p w14:paraId="1ABC1ECE">
      <w:pPr>
        <w:adjustRightInd/>
        <w:spacing w:line="460" w:lineRule="exact"/>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本项目不接受联合体投标。</w:t>
      </w:r>
    </w:p>
    <w:p w14:paraId="7BE7E9B3">
      <w:pPr>
        <w:adjustRightInd/>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申请人</w:t>
      </w:r>
      <w:r>
        <w:rPr>
          <w:rFonts w:hint="eastAsia" w:ascii="宋体" w:hAnsi="宋体" w:eastAsia="宋体" w:cs="宋体"/>
          <w:b/>
          <w:bCs/>
          <w:color w:val="auto"/>
          <w:sz w:val="21"/>
          <w:szCs w:val="21"/>
          <w:highlight w:val="none"/>
        </w:rPr>
        <w:t>的资格要求：</w:t>
      </w:r>
    </w:p>
    <w:p w14:paraId="695FB182">
      <w:pPr>
        <w:tabs>
          <w:tab w:val="left" w:pos="1260"/>
        </w:tabs>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247BC5D">
      <w:pPr>
        <w:tabs>
          <w:tab w:val="left" w:pos="1260"/>
        </w:tabs>
        <w:autoSpaceDE/>
        <w:autoSpaceDN/>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w:t>
      </w:r>
    </w:p>
    <w:p w14:paraId="7588FF68">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（1）落实政府采购政策需满足的资格要求：</w:t>
      </w:r>
    </w:p>
    <w:p w14:paraId="4253ED1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1EE32C">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专门面向中小企业；</w:t>
      </w:r>
    </w:p>
    <w:p w14:paraId="729E00A8">
      <w:pPr>
        <w:snapToGrid w:val="0"/>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货物全部由符合政策要求的中小企业制造，提供中小企业声明函；</w:t>
      </w:r>
    </w:p>
    <w:p w14:paraId="424ABF1D">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☐货物全部由符合政策要求的小微企业制造，提供中小企业声明函；</w:t>
      </w:r>
    </w:p>
    <w:p w14:paraId="44E334B4">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工程全部由符合政策要求的中小企业承接，提供中小企业声明函；</w:t>
      </w:r>
    </w:p>
    <w:p w14:paraId="097946BE">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☐工程全部由符合政策要求的小微企业承接，提供中小企业声明函；</w:t>
      </w:r>
    </w:p>
    <w:p w14:paraId="4952638A">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服务全部由符合政策要求的中小企业承接，提供中小企业声明函；</w:t>
      </w:r>
    </w:p>
    <w:p w14:paraId="5BE64795">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☐服务全部由符合政策要求的小微企业承接，提供中小企业声明函；</w:t>
      </w:r>
    </w:p>
    <w:p w14:paraId="2BC92E7D">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652425D">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3.本项目的其它特定资格要求</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无</w:t>
      </w:r>
    </w:p>
    <w:p w14:paraId="58C44178">
      <w:pPr>
        <w:tabs>
          <w:tab w:val="left" w:pos="1260"/>
        </w:tabs>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bCs/>
          <w:color w:val="auto"/>
          <w:sz w:val="21"/>
          <w:szCs w:val="21"/>
          <w:highlight w:val="none"/>
        </w:rPr>
        <w:t>4</w:t>
      </w:r>
      <w:r>
        <w:rPr>
          <w:rFonts w:hint="eastAsia" w:hAnsi="宋体" w:cs="宋体"/>
          <w:b/>
          <w:color w:val="auto"/>
          <w:sz w:val="21"/>
          <w:szCs w:val="21"/>
          <w:highlight w:val="none"/>
        </w:rPr>
        <w:t>.</w:t>
      </w:r>
      <w:r>
        <w:rPr>
          <w:rFonts w:hAnsi="宋体" w:cs="宋体"/>
          <w:color w:val="auto"/>
          <w:sz w:val="21"/>
          <w:szCs w:val="21"/>
          <w:highlight w:val="none"/>
        </w:rPr>
        <w:t>本项目</w:t>
      </w:r>
      <w:r>
        <w:rPr>
          <w:rFonts w:hint="eastAsia" w:hAnsi="宋体" w:cs="宋体"/>
          <w:color w:val="auto"/>
          <w:sz w:val="21"/>
          <w:szCs w:val="21"/>
          <w:highlight w:val="none"/>
        </w:rPr>
        <w:t>不</w:t>
      </w:r>
      <w:r>
        <w:rPr>
          <w:rFonts w:hAnsi="宋体" w:cs="宋体"/>
          <w:color w:val="auto"/>
          <w:sz w:val="21"/>
          <w:szCs w:val="21"/>
          <w:highlight w:val="none"/>
        </w:rPr>
        <w:t>接受</w:t>
      </w:r>
      <w:r>
        <w:rPr>
          <w:rFonts w:hint="eastAsia" w:hAnsi="宋体" w:cs="宋体"/>
          <w:color w:val="auto"/>
          <w:sz w:val="21"/>
          <w:szCs w:val="21"/>
          <w:highlight w:val="none"/>
        </w:rPr>
        <w:t>供应商以</w:t>
      </w:r>
      <w:r>
        <w:rPr>
          <w:rFonts w:hAnsi="宋体" w:cs="宋体"/>
          <w:color w:val="auto"/>
          <w:sz w:val="21"/>
          <w:szCs w:val="21"/>
          <w:highlight w:val="none"/>
        </w:rPr>
        <w:t>联合体</w:t>
      </w:r>
      <w:r>
        <w:rPr>
          <w:rFonts w:hint="eastAsia" w:hAnsi="宋体" w:cs="宋体"/>
          <w:color w:val="auto"/>
          <w:sz w:val="21"/>
          <w:szCs w:val="21"/>
          <w:highlight w:val="none"/>
        </w:rPr>
        <w:t>形式参加磋商采购</w:t>
      </w:r>
      <w:r>
        <w:rPr>
          <w:rFonts w:hAnsi="宋体" w:cs="宋体"/>
          <w:color w:val="auto"/>
          <w:sz w:val="21"/>
          <w:szCs w:val="21"/>
          <w:highlight w:val="none"/>
        </w:rPr>
        <w:t>。</w:t>
      </w:r>
    </w:p>
    <w:p w14:paraId="483040BA">
      <w:pPr>
        <w:tabs>
          <w:tab w:val="left" w:pos="1260"/>
        </w:tabs>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三、供应商获取磋商文件（</w:t>
      </w:r>
      <w:r>
        <w:rPr>
          <w:rFonts w:hint="eastAsia" w:ascii="宋体" w:hAnsi="宋体" w:eastAsia="宋体" w:cs="宋体"/>
          <w:color w:val="auto"/>
          <w:sz w:val="21"/>
          <w:szCs w:val="21"/>
          <w:highlight w:val="none"/>
          <w:shd w:val="clear" w:color="auto" w:fill="FFFFFF"/>
        </w:rPr>
        <w:t>采购文件</w:t>
      </w:r>
      <w:r>
        <w:rPr>
          <w:rFonts w:hint="eastAsia" w:ascii="宋体" w:hAnsi="宋体" w:eastAsia="宋体" w:cs="宋体"/>
          <w:b/>
          <w:color w:val="auto"/>
          <w:sz w:val="21"/>
          <w:szCs w:val="21"/>
          <w:highlight w:val="none"/>
        </w:rPr>
        <w:t>）</w:t>
      </w:r>
    </w:p>
    <w:p w14:paraId="4E8723DA">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1.时间：本项目公告发布之日起至</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日，每天上午00:00至12:00，下午12:00至23:59（北京时间）</w:t>
      </w:r>
    </w:p>
    <w:p w14:paraId="16C3576C">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 采购文件获取地址及方式</w:t>
      </w:r>
    </w:p>
    <w:p w14:paraId="41C411D0">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（1）获取地址（网址）：政采云平台线上获取（</w:t>
      </w:r>
      <w:r>
        <w:rPr>
          <w:rFonts w:hint="eastAsia" w:ascii="宋体" w:hAnsi="宋体" w:eastAsia="宋体" w:cs="宋体"/>
          <w:color w:val="auto"/>
          <w:sz w:val="21"/>
          <w:szCs w:val="21"/>
          <w:highlight w:val="none"/>
        </w:rPr>
        <w:t>https://www.zcygov.cn）</w:t>
      </w:r>
      <w:r>
        <w:rPr>
          <w:rFonts w:hint="eastAsia" w:ascii="宋体" w:hAnsi="宋体" w:eastAsia="宋体" w:cs="宋体"/>
          <w:color w:val="auto"/>
          <w:sz w:val="21"/>
          <w:szCs w:val="21"/>
          <w:highlight w:val="none"/>
          <w:shd w:val="clear" w:color="auto" w:fill="FFFFFF"/>
        </w:rPr>
        <w:t>。</w:t>
      </w:r>
    </w:p>
    <w:p w14:paraId="759F4541">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（2）获取采购文件方式：供应商自行登录浙江省“政采云”平台（网址https://www.zcygov.cn）获取采购文件（供应商线上获取采购文件的流程：供应商</w:t>
      </w:r>
      <w:r>
        <w:rPr>
          <w:rFonts w:hint="eastAsia" w:ascii="宋体" w:hAnsi="宋体" w:eastAsia="宋体" w:cs="宋体"/>
          <w:color w:val="auto"/>
          <w:sz w:val="21"/>
          <w:szCs w:val="21"/>
          <w:highlight w:val="none"/>
          <w:shd w:val="clear" w:color="auto" w:fill="FFFFFF"/>
          <w:lang w:eastAsia="zh-CN"/>
        </w:rPr>
        <w:t>登录浙江省</w:t>
      </w:r>
      <w:r>
        <w:rPr>
          <w:rFonts w:hint="eastAsia" w:ascii="宋体" w:hAnsi="宋体" w:eastAsia="宋体" w:cs="宋体"/>
          <w:color w:val="auto"/>
          <w:sz w:val="21"/>
          <w:szCs w:val="21"/>
          <w:highlight w:val="none"/>
          <w:shd w:val="clear" w:color="auto" w:fill="FFFFFF"/>
        </w:rPr>
        <w:t>“政采云”平台并进入【项目采购】应用模块，点击左侧菜单的【获取采购文件】，点击对应项目的【申请获取采购文件】按钮，填写获取采购文件申请信息后，点右下角【确定】按钮提交）</w:t>
      </w:r>
    </w:p>
    <w:p w14:paraId="3F2F6520">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（3）售价（元）：  0 </w:t>
      </w:r>
    </w:p>
    <w:p w14:paraId="43BD066D">
      <w:pPr>
        <w:spacing w:line="500" w:lineRule="exact"/>
        <w:ind w:firstLine="422" w:firstLineChars="200"/>
        <w:rPr>
          <w:rStyle w:val="49"/>
          <w:rFonts w:hint="eastAsia" w:ascii="宋体" w:hAnsi="宋体" w:eastAsia="宋体" w:cs="宋体"/>
          <w:bCs w:val="0"/>
          <w:color w:val="auto"/>
          <w:sz w:val="21"/>
          <w:szCs w:val="21"/>
          <w:highlight w:val="none"/>
        </w:rPr>
      </w:pPr>
      <w:r>
        <w:rPr>
          <w:rStyle w:val="49"/>
          <w:rFonts w:hint="eastAsia" w:ascii="宋体" w:hAnsi="宋体" w:eastAsia="宋体" w:cs="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3DD15FDC">
      <w:pPr>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rPr>
        <w:t>（2）采购代理机构将拒绝接受非报名人的投标文件（即“磋商响应文件”，下同）。</w:t>
      </w:r>
    </w:p>
    <w:p w14:paraId="165F3539">
      <w:pPr>
        <w:tabs>
          <w:tab w:val="left" w:pos="1260"/>
        </w:tabs>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46" w:name="_Toc28359005"/>
      <w:bookmarkStart w:id="47" w:name="_Toc28359082"/>
      <w:bookmarkStart w:id="48" w:name="_Toc35393624"/>
      <w:bookmarkStart w:id="49" w:name="_Toc35393793"/>
      <w:r>
        <w:rPr>
          <w:rFonts w:hint="eastAsia" w:ascii="宋体" w:hAnsi="宋体" w:eastAsia="宋体" w:cs="宋体"/>
          <w:b/>
          <w:color w:val="auto"/>
          <w:sz w:val="21"/>
          <w:szCs w:val="21"/>
          <w:highlight w:val="none"/>
        </w:rPr>
        <w:t>四、提交磋商响应文件</w:t>
      </w:r>
      <w:bookmarkEnd w:id="46"/>
      <w:bookmarkEnd w:id="47"/>
      <w:r>
        <w:rPr>
          <w:rFonts w:hint="eastAsia" w:ascii="宋体" w:hAnsi="宋体" w:eastAsia="宋体" w:cs="宋体"/>
          <w:b/>
          <w:color w:val="auto"/>
          <w:sz w:val="21"/>
          <w:szCs w:val="21"/>
          <w:highlight w:val="none"/>
        </w:rPr>
        <w:t>截止时间、开启时间和地点</w:t>
      </w:r>
      <w:bookmarkEnd w:id="48"/>
      <w:bookmarkEnd w:id="49"/>
    </w:p>
    <w:p w14:paraId="5B9D7A87">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1.提交磋商响应文件截止时间：</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14：30</w:t>
      </w:r>
      <w:r>
        <w:rPr>
          <w:rFonts w:hint="eastAsia" w:ascii="宋体" w:hAnsi="宋体" w:eastAsia="宋体" w:cs="宋体"/>
          <w:color w:val="auto"/>
          <w:sz w:val="21"/>
          <w:szCs w:val="21"/>
          <w:highlight w:val="none"/>
        </w:rPr>
        <w:t>时（北京时间）</w:t>
      </w:r>
    </w:p>
    <w:p w14:paraId="104DC850">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投标地点（网址）：通过浙江政府采购网政府采购云平台实行在线投标响应（即“在线磋商响应”）。</w:t>
      </w:r>
    </w:p>
    <w:p w14:paraId="60F1651A">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开</w:t>
      </w:r>
      <w:r>
        <w:rPr>
          <w:rFonts w:hint="eastAsia" w:ascii="宋体" w:hAnsi="宋体" w:eastAsia="宋体" w:cs="宋体"/>
          <w:color w:val="auto"/>
          <w:sz w:val="21"/>
          <w:szCs w:val="21"/>
          <w:highlight w:val="none"/>
        </w:rPr>
        <w:t>启</w:t>
      </w:r>
      <w:r>
        <w:rPr>
          <w:rFonts w:hint="eastAsia" w:ascii="宋体" w:hAnsi="宋体" w:eastAsia="宋体" w:cs="宋体"/>
          <w:color w:val="auto"/>
          <w:sz w:val="21"/>
          <w:szCs w:val="21"/>
          <w:highlight w:val="none"/>
          <w:shd w:val="clear" w:color="auto" w:fill="FFFFFF"/>
        </w:rPr>
        <w:t>时间：</w:t>
      </w:r>
      <w:r>
        <w:rPr>
          <w:rFonts w:hint="eastAsia"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14：30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shd w:val="clear" w:color="auto" w:fill="FFFFFF"/>
        </w:rPr>
        <w:t>（北京时间）</w:t>
      </w:r>
    </w:p>
    <w:p w14:paraId="4782119C">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开</w:t>
      </w:r>
      <w:r>
        <w:rPr>
          <w:rFonts w:hint="eastAsia" w:ascii="宋体" w:hAnsi="宋体" w:eastAsia="宋体" w:cs="宋体"/>
          <w:color w:val="auto"/>
          <w:sz w:val="21"/>
          <w:szCs w:val="21"/>
          <w:highlight w:val="none"/>
        </w:rPr>
        <w:t>启</w:t>
      </w:r>
      <w:r>
        <w:rPr>
          <w:rFonts w:hint="eastAsia" w:ascii="宋体" w:hAnsi="宋体" w:eastAsia="宋体" w:cs="宋体"/>
          <w:color w:val="auto"/>
          <w:sz w:val="21"/>
          <w:szCs w:val="21"/>
          <w:highlight w:val="none"/>
          <w:shd w:val="clear" w:color="auto" w:fill="FFFFFF"/>
        </w:rPr>
        <w:t>地点（网址）：</w:t>
      </w:r>
      <w:r>
        <w:rPr>
          <w:rFonts w:hint="eastAsia" w:ascii="宋体" w:hAnsi="宋体" w:eastAsia="宋体" w:cs="宋体"/>
          <w:color w:val="auto"/>
          <w:sz w:val="21"/>
          <w:szCs w:val="21"/>
          <w:highlight w:val="none"/>
        </w:rPr>
        <w:t>金华市双龙南街858号金华财富大厦（金华市行政服务中心新办事大厅4楼开标</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室），本项目</w:t>
      </w:r>
      <w:r>
        <w:rPr>
          <w:rFonts w:hint="eastAsia" w:ascii="宋体" w:hAnsi="宋体" w:eastAsia="宋体" w:cs="宋体"/>
          <w:color w:val="auto"/>
          <w:sz w:val="21"/>
          <w:szCs w:val="21"/>
          <w:highlight w:val="none"/>
          <w:shd w:val="clear" w:color="auto" w:fill="FFFFFF"/>
        </w:rPr>
        <w:t>通过浙江政府采购网政府采</w:t>
      </w:r>
      <w:r>
        <w:rPr>
          <w:rFonts w:hint="eastAsia" w:ascii="宋体" w:hAnsi="宋体" w:eastAsia="宋体" w:cs="宋体"/>
          <w:color w:val="auto"/>
          <w:sz w:val="21"/>
          <w:szCs w:val="21"/>
          <w:highlight w:val="none"/>
        </w:rPr>
        <w:t>购云平台在线开标，</w:t>
      </w:r>
      <w:r>
        <w:rPr>
          <w:rStyle w:val="49"/>
          <w:rFonts w:hint="eastAsia" w:ascii="宋体" w:hAnsi="宋体" w:eastAsia="宋体" w:cs="宋体"/>
          <w:b w:val="0"/>
          <w:bCs w:val="0"/>
          <w:color w:val="auto"/>
          <w:sz w:val="21"/>
          <w:szCs w:val="21"/>
          <w:highlight w:val="none"/>
        </w:rPr>
        <w:t>供应商无需到开标现场，但须准时在线参加，直至评审结束。</w:t>
      </w:r>
      <w:r>
        <w:rPr>
          <w:rFonts w:hint="eastAsia" w:ascii="宋体" w:hAnsi="宋体" w:eastAsia="宋体" w:cs="宋体"/>
          <w:color w:val="auto"/>
          <w:sz w:val="21"/>
          <w:szCs w:val="21"/>
          <w:highlight w:val="none"/>
        </w:rPr>
        <w:t>开标截止时间后30分钟以内供应商登录“政采云”平台，用“项目采购-开标评标”功能进行解密投标文件。若供应商在规定时间内投标文件无法解密或解密失败（含未提交），则投标无效。</w:t>
      </w:r>
    </w:p>
    <w:p w14:paraId="546EFEE8">
      <w:pPr>
        <w:pStyle w:val="43"/>
        <w:spacing w:before="0" w:beforeAutospacing="0" w:after="0" w:afterAutospacing="0" w:line="500" w:lineRule="exact"/>
        <w:ind w:firstLine="422" w:firstLineChars="200"/>
        <w:jc w:val="both"/>
        <w:rPr>
          <w:rFonts w:hint="eastAsia" w:ascii="宋体" w:hAnsi="宋体" w:eastAsia="宋体" w:cs="宋体"/>
          <w:color w:val="auto"/>
          <w:sz w:val="21"/>
          <w:szCs w:val="21"/>
          <w:highlight w:val="none"/>
        </w:rPr>
      </w:pPr>
      <w:bookmarkStart w:id="50" w:name="_Toc28359007"/>
      <w:bookmarkStart w:id="51" w:name="_Toc28359084"/>
      <w:bookmarkStart w:id="52" w:name="_Toc35393625"/>
      <w:bookmarkStart w:id="53" w:name="_Toc35393794"/>
      <w:r>
        <w:rPr>
          <w:rStyle w:val="49"/>
          <w:rFonts w:hint="eastAsia" w:ascii="宋体" w:hAnsi="宋体" w:eastAsia="宋体" w:cs="宋体"/>
          <w:color w:val="auto"/>
          <w:sz w:val="21"/>
          <w:szCs w:val="21"/>
          <w:highlight w:val="none"/>
          <w:shd w:val="clear" w:color="auto" w:fill="FFFFFF"/>
        </w:rPr>
        <w:t>五、公告期限及其他事项</w:t>
      </w:r>
    </w:p>
    <w:p w14:paraId="5B26C120">
      <w:pPr>
        <w:tabs>
          <w:tab w:val="left" w:pos="1260"/>
        </w:tabs>
        <w:autoSpaceDE/>
        <w:autoSpaceDN/>
        <w:adjustRightInd/>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和采购代理机构提出质疑。质疑供应商对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、采购代理机构的答复不满意或者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42EC040D">
      <w:pPr>
        <w:tabs>
          <w:tab w:val="left" w:pos="1260"/>
        </w:tabs>
        <w:autoSpaceDE/>
        <w:autoSpaceDN/>
        <w:adjustRightInd/>
        <w:spacing w:line="500" w:lineRule="exact"/>
        <w:ind w:firstLine="420" w:firstLineChars="200"/>
        <w:jc w:val="both"/>
        <w:textAlignment w:val="auto"/>
        <w:rPr>
          <w:rStyle w:val="49"/>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14:paraId="701E8D2C">
      <w:pPr>
        <w:spacing w:line="500" w:lineRule="exact"/>
        <w:ind w:firstLine="420" w:firstLineChars="200"/>
        <w:jc w:val="both"/>
        <w:rPr>
          <w:rFonts w:hint="eastAsia" w:ascii="宋体" w:hAnsi="宋体" w:eastAsia="宋体" w:cs="宋体"/>
          <w:color w:val="auto"/>
          <w:sz w:val="21"/>
          <w:szCs w:val="21"/>
          <w:highlight w:val="none"/>
        </w:rPr>
      </w:pPr>
      <w:r>
        <w:rPr>
          <w:rStyle w:val="49"/>
          <w:rFonts w:hint="eastAsia" w:ascii="宋体" w:hAnsi="宋体" w:eastAsia="宋体" w:cs="宋体"/>
          <w:b w:val="0"/>
          <w:bCs w:val="0"/>
          <w:color w:val="auto"/>
          <w:sz w:val="21"/>
          <w:szCs w:val="21"/>
          <w:highlight w:val="none"/>
        </w:rPr>
        <w:t>3.供</w:t>
      </w:r>
      <w:r>
        <w:rPr>
          <w:rFonts w:hint="eastAsia" w:ascii="宋体" w:hAnsi="宋体" w:eastAsia="宋体" w:cs="宋体"/>
          <w:color w:val="auto"/>
          <w:sz w:val="21"/>
          <w:szCs w:val="21"/>
          <w:highlight w:val="none"/>
        </w:rPr>
        <w:t>应商注册网址：</w:t>
      </w:r>
      <w:r>
        <w:rPr>
          <w:rFonts w:hint="eastAsia" w:ascii="宋体" w:hAnsi="宋体" w:eastAsia="宋体" w:cs="宋体"/>
          <w:color w:val="auto"/>
          <w:kern w:val="2"/>
          <w:sz w:val="21"/>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"https://middle.zcygov.cn/settle-front/" \l "/registry"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https://middle.zcygov.cn/settle-front/#/registry</w:t>
      </w:r>
      <w:r>
        <w:rPr>
          <w:rFonts w:hint="eastAsia" w:ascii="宋体" w:hAnsi="宋体" w:eastAsia="宋体" w:cs="宋体"/>
          <w:color w:val="auto"/>
          <w:sz w:val="21"/>
          <w:szCs w:val="21"/>
          <w:highlight w:val="none"/>
        </w:rPr>
        <w:fldChar w:fldCharType="end"/>
      </w:r>
    </w:p>
    <w:p w14:paraId="3B3C6482">
      <w:pPr>
        <w:tabs>
          <w:tab w:val="left" w:pos="1260"/>
        </w:tabs>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rPr>
        <w:t>六、公告地址：</w:t>
      </w:r>
      <w:r>
        <w:rPr>
          <w:rFonts w:hint="eastAsia" w:ascii="宋体" w:hAnsi="宋体" w:eastAsia="宋体" w:cs="宋体"/>
          <w:color w:val="auto"/>
          <w:sz w:val="21"/>
          <w:szCs w:val="21"/>
          <w:highlight w:val="none"/>
        </w:rPr>
        <w:t>浙江政府采购网(http://zfcg.czt.zj.gov.cn/)。</w:t>
      </w:r>
    </w:p>
    <w:p w14:paraId="240A865D">
      <w:pPr>
        <w:pStyle w:val="43"/>
        <w:spacing w:before="0" w:beforeAutospacing="0" w:after="0" w:afterAutospacing="0" w:line="500" w:lineRule="exact"/>
        <w:ind w:firstLine="422" w:firstLineChars="200"/>
        <w:rPr>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shd w:val="clear" w:color="auto" w:fill="FFFFFF"/>
        </w:rPr>
        <w:t>七、电子投标事项特别说明</w:t>
      </w:r>
    </w:p>
    <w:p w14:paraId="02E96DE8">
      <w:pPr>
        <w:pStyle w:val="43"/>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本项目实行电子投标，磋商响应供应商应按照本项目采购文件和政采云平台的要求编制、加密并递交响应文件。供应商在使用系统进行磋商响应的过程中遇到涉及平台使用的任何问题，可致电政采云平台技术支持热线咨询，联系方式：95763。</w:t>
      </w:r>
    </w:p>
    <w:p w14:paraId="22C16590">
      <w:pPr>
        <w:pStyle w:val="43"/>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14:paraId="67427050">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14:paraId="4A1C60F4">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4.供应商将加密的电子版响应文件于磋商响应截止时间前上传到政采云系统中。</w:t>
      </w:r>
    </w:p>
    <w:p w14:paraId="67BE2EB8">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4C50485A">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注：建议使用谷歌浏览器，使用其他浏览器可能发生无法解密等未知情况。</w:t>
      </w:r>
    </w:p>
    <w:p w14:paraId="38D1B2FC">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送达的磋商响应、响应文件，将被政采云平台拒收。</w:t>
      </w:r>
      <w:bookmarkEnd w:id="50"/>
      <w:bookmarkEnd w:id="51"/>
      <w:bookmarkEnd w:id="52"/>
      <w:bookmarkEnd w:id="53"/>
    </w:p>
    <w:p w14:paraId="52FEDEEE">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八、其他补充事宜</w:t>
      </w:r>
    </w:p>
    <w:p w14:paraId="51D71115">
      <w:pPr>
        <w:tabs>
          <w:tab w:val="left" w:pos="1260"/>
        </w:tabs>
        <w:adjustRightInd/>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435BD27">
      <w:pPr>
        <w:tabs>
          <w:tab w:val="left" w:pos="1260"/>
        </w:tabs>
        <w:autoSpaceDE/>
        <w:autoSpaceDN/>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63DA40">
      <w:pPr>
        <w:pStyle w:val="43"/>
        <w:snapToGrid w:val="0"/>
        <w:spacing w:before="0" w:beforeAutospacing="0" w:after="0" w:afterAutospacing="0" w:line="500" w:lineRule="exact"/>
        <w:ind w:firstLine="420" w:firstLineChars="200"/>
        <w:rPr>
          <w:rStyle w:val="49"/>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提出质疑，对其他内容的以书面形式向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和采购代理机构提出质疑。质疑供应商对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、采购代理机构的答复不满意或者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6D2E29BB">
      <w:pPr>
        <w:tabs>
          <w:tab w:val="left" w:pos="1260"/>
        </w:tabs>
        <w:adjustRightInd/>
        <w:spacing w:line="500" w:lineRule="exact"/>
        <w:ind w:firstLine="42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4.其他事项：见磋商采购文件。 </w:t>
      </w:r>
    </w:p>
    <w:p w14:paraId="45ECEA09">
      <w:pPr>
        <w:tabs>
          <w:tab w:val="left" w:pos="1260"/>
        </w:tabs>
        <w:adjustRightInd/>
        <w:spacing w:line="500" w:lineRule="exact"/>
        <w:ind w:firstLine="42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ascii="宋体" w:hAnsi="宋体" w:eastAsia="宋体" w:cs="宋体"/>
          <w:bCs/>
          <w:color w:val="auto"/>
          <w:sz w:val="21"/>
          <w:szCs w:val="21"/>
          <w:highlight w:val="none"/>
          <w:lang w:eastAsia="zh-CN"/>
        </w:rPr>
        <w:t>可登录</w:t>
      </w:r>
      <w:r>
        <w:rPr>
          <w:rFonts w:hint="eastAsia" w:ascii="宋体" w:hAnsi="宋体" w:eastAsia="宋体" w:cs="宋体"/>
          <w:bCs/>
          <w:color w:val="auto"/>
          <w:sz w:val="21"/>
          <w:szCs w:val="21"/>
          <w:highlight w:val="none"/>
        </w:rPr>
        <w:t>浙江政府采购( 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4EA89B65">
      <w:pPr>
        <w:widowControl/>
        <w:tabs>
          <w:tab w:val="left" w:pos="1260"/>
        </w:tabs>
        <w:autoSpaceDE/>
        <w:autoSpaceDN/>
        <w:adjustRightInd/>
        <w:spacing w:line="500" w:lineRule="exact"/>
        <w:ind w:firstLine="42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9B77773">
      <w:pPr>
        <w:widowControl/>
        <w:tabs>
          <w:tab w:val="left" w:pos="1260"/>
        </w:tabs>
        <w:autoSpaceDE/>
        <w:autoSpaceDN/>
        <w:adjustRightInd/>
        <w:spacing w:line="500" w:lineRule="exact"/>
        <w:ind w:firstLine="42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政府采购金融服务提示：</w:t>
      </w:r>
    </w:p>
    <w:p w14:paraId="25325C4B">
      <w:pPr>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为扩大政府采购金融服务面，除政采云网上金融服务合作银行外，金华市范围增加线下合作银行两家，具体信息如下：</w:t>
      </w:r>
    </w:p>
    <w:p w14:paraId="7C7160CA">
      <w:pPr>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金华银行文创支行   联系人：姜  峰   联系电话： 13905792828   0579-82479020</w:t>
      </w:r>
    </w:p>
    <w:p w14:paraId="262069AA">
      <w:pPr>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浙商银行金华分行   联系人：朱晨祥   联系电话： 15857978811   0579-82999581</w:t>
      </w:r>
    </w:p>
    <w:p w14:paraId="2E2298E1">
      <w:pPr>
        <w:pStyle w:val="100"/>
        <w:spacing w:line="460" w:lineRule="exact"/>
        <w:ind w:firstLine="42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九、对本次采购提出询问、质疑、投诉，请按以下方式联系。</w:t>
      </w:r>
      <w:r>
        <w:rPr>
          <w:rFonts w:hint="eastAsia" w:ascii="宋体" w:hAnsi="宋体" w:eastAsia="宋体" w:cs="宋体"/>
          <w:color w:val="auto"/>
          <w:sz w:val="21"/>
          <w:szCs w:val="21"/>
          <w:highlight w:val="none"/>
        </w:rPr>
        <w:t>　　　　　　　　　　　　</w:t>
      </w:r>
    </w:p>
    <w:p w14:paraId="458F5519">
      <w:pPr>
        <w:pStyle w:val="43"/>
        <w:shd w:val="clear" w:color="auto" w:fill="FFFFFF"/>
        <w:adjustRightInd w:val="0"/>
        <w:snapToGrid w:val="0"/>
        <w:spacing w:before="0" w:beforeAutospacing="0" w:after="0" w:afterAutospacing="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信息</w:t>
      </w:r>
    </w:p>
    <w:p w14:paraId="45F4268D">
      <w:pPr>
        <w:pStyle w:val="43"/>
        <w:shd w:val="clear" w:color="auto" w:fill="FFFFFF"/>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称：金华市婺城区人民法院</w:t>
      </w:r>
    </w:p>
    <w:p w14:paraId="50272ADA">
      <w:pPr>
        <w:pStyle w:val="43"/>
        <w:shd w:val="clear" w:color="auto" w:fill="FFFFFF"/>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联系人：方耀辉        </w:t>
      </w:r>
    </w:p>
    <w:p w14:paraId="129F7482">
      <w:pPr>
        <w:pStyle w:val="43"/>
        <w:shd w:val="clear" w:color="auto" w:fill="FFFFFF"/>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联系电话：0579-82466856 </w:t>
      </w:r>
    </w:p>
    <w:p w14:paraId="11B66C31">
      <w:pPr>
        <w:pStyle w:val="43"/>
        <w:shd w:val="clear" w:color="auto" w:fill="FFFFFF"/>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质疑联系人：范益健   </w:t>
      </w:r>
    </w:p>
    <w:p w14:paraId="2A512B95">
      <w:pPr>
        <w:pStyle w:val="43"/>
        <w:shd w:val="clear" w:color="auto" w:fill="FFFFFF"/>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质疑联系电话：0579-82468681 </w:t>
      </w:r>
    </w:p>
    <w:p w14:paraId="114E3B6C">
      <w:pPr>
        <w:shd w:val="clear" w:color="auto" w:fill="FFFFFF"/>
        <w:tabs>
          <w:tab w:val="left" w:pos="1260"/>
        </w:tabs>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78853D33">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 </w:t>
      </w:r>
      <w:r>
        <w:rPr>
          <w:rStyle w:val="140"/>
          <w:rFonts w:hint="eastAsia" w:ascii="宋体" w:hAnsi="宋体" w:eastAsia="宋体" w:cs="宋体"/>
          <w:color w:val="auto"/>
          <w:sz w:val="21"/>
          <w:szCs w:val="21"/>
          <w:highlight w:val="none"/>
        </w:rPr>
        <w:t>金华市天盈招标代理有限公司</w:t>
      </w:r>
      <w:r>
        <w:rPr>
          <w:rFonts w:hint="eastAsia" w:ascii="宋体" w:hAnsi="宋体" w:eastAsia="宋体" w:cs="宋体"/>
          <w:color w:val="auto"/>
          <w:sz w:val="21"/>
          <w:szCs w:val="21"/>
          <w:highlight w:val="none"/>
        </w:rPr>
        <w:t> 　　　　　　　　　　　</w:t>
      </w:r>
    </w:p>
    <w:p w14:paraId="7933F7A2">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 </w:t>
      </w:r>
      <w:r>
        <w:rPr>
          <w:rStyle w:val="140"/>
          <w:rFonts w:hint="eastAsia" w:ascii="宋体" w:hAnsi="宋体" w:eastAsia="宋体" w:cs="宋体"/>
          <w:color w:val="auto"/>
          <w:sz w:val="21"/>
          <w:szCs w:val="21"/>
          <w:highlight w:val="none"/>
        </w:rPr>
        <w:t>金华市创新街18号南楼四楼，农科教大楼西侧</w:t>
      </w:r>
      <w:r>
        <w:rPr>
          <w:rFonts w:hint="eastAsia" w:ascii="宋体" w:hAnsi="宋体" w:eastAsia="宋体" w:cs="宋体"/>
          <w:color w:val="auto"/>
          <w:sz w:val="21"/>
          <w:szCs w:val="21"/>
          <w:highlight w:val="none"/>
        </w:rPr>
        <w:t> </w:t>
      </w:r>
    </w:p>
    <w:p w14:paraId="38DA9492">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cs="宋体"/>
          <w:color w:val="auto"/>
          <w:sz w:val="21"/>
          <w:szCs w:val="21"/>
          <w:highlight w:val="none"/>
          <w:lang w:eastAsia="zh-CN"/>
        </w:rPr>
        <w:t>于玲琍</w:t>
      </w:r>
      <w:r>
        <w:rPr>
          <w:rFonts w:hint="eastAsia" w:ascii="宋体" w:hAnsi="宋体" w:eastAsia="宋体" w:cs="宋体"/>
          <w:color w:val="auto"/>
          <w:sz w:val="21"/>
          <w:szCs w:val="21"/>
          <w:highlight w:val="none"/>
        </w:rPr>
        <w:t> 　   　　　　　　　　　　　</w:t>
      </w:r>
    </w:p>
    <w:p w14:paraId="639440EF">
      <w:pPr>
        <w:pStyle w:val="43"/>
        <w:shd w:val="clear" w:color="auto" w:fill="FFFFFF"/>
        <w:adjustRightInd w:val="0"/>
        <w:snapToGrid w:val="0"/>
        <w:spacing w:before="0" w:beforeAutospacing="0" w:after="0" w:afterAutospacing="0" w:line="4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项目联系方式（询问）：0579-821620</w:t>
      </w:r>
      <w:r>
        <w:rPr>
          <w:rFonts w:hint="eastAsia" w:cs="宋体"/>
          <w:color w:val="auto"/>
          <w:sz w:val="21"/>
          <w:szCs w:val="21"/>
          <w:highlight w:val="none"/>
          <w:lang w:val="en-US" w:eastAsia="zh-CN"/>
        </w:rPr>
        <w:t>67</w:t>
      </w:r>
    </w:p>
    <w:p w14:paraId="2ECE12E1">
      <w:pPr>
        <w:shd w:val="clear" w:color="auto" w:fill="FFFFFF"/>
        <w:tabs>
          <w:tab w:val="left" w:pos="1260"/>
        </w:tabs>
        <w:adjustRightInd/>
        <w:snapToGrid w:val="0"/>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质疑联系人（询问）：夏翰宇　   　　</w:t>
      </w:r>
    </w:p>
    <w:p w14:paraId="3348729F">
      <w:pPr>
        <w:tabs>
          <w:tab w:val="left" w:pos="1260"/>
        </w:tabs>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质疑联系方式（询问）：0579-82474058</w:t>
      </w:r>
    </w:p>
    <w:p w14:paraId="49C13139">
      <w:pPr>
        <w:pStyle w:val="43"/>
        <w:shd w:val="clear" w:color="auto" w:fill="FFFFFF"/>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27A3C4A2">
      <w:pPr>
        <w:tabs>
          <w:tab w:val="left" w:pos="1260"/>
        </w:tabs>
        <w:autoSpaceDE/>
        <w:autoSpaceDN/>
        <w:adjustRightInd/>
        <w:snapToGrid w:val="0"/>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金华市婺城区财政局政府采购监督管理办公室</w:t>
      </w:r>
      <w:r>
        <w:rPr>
          <w:rFonts w:hint="eastAsia" w:ascii="宋体" w:hAnsi="宋体" w:eastAsia="宋体" w:cs="宋体"/>
          <w:color w:val="auto"/>
          <w:sz w:val="21"/>
          <w:szCs w:val="21"/>
          <w:highlight w:val="none"/>
        </w:rPr>
        <w:t>　　　　　　　　　　　</w:t>
      </w:r>
    </w:p>
    <w:p w14:paraId="78420BE2">
      <w:pPr>
        <w:tabs>
          <w:tab w:val="left" w:pos="1260"/>
        </w:tabs>
        <w:autoSpaceDE/>
        <w:autoSpaceDN/>
        <w:adjustRightInd/>
        <w:snapToGrid w:val="0"/>
        <w:spacing w:line="460" w:lineRule="exact"/>
        <w:ind w:firstLine="525" w:firstLineChars="2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李</w:t>
      </w:r>
      <w:r>
        <w:rPr>
          <w:rFonts w:hint="eastAsia" w:ascii="宋体" w:hAnsi="宋体" w:eastAsia="宋体" w:cs="宋体"/>
          <w:color w:val="auto"/>
          <w:sz w:val="21"/>
          <w:szCs w:val="21"/>
          <w:highlight w:val="none"/>
          <w:lang w:val="en-US" w:eastAsia="zh-CN"/>
        </w:rPr>
        <w:t>老师</w:t>
      </w:r>
    </w:p>
    <w:p w14:paraId="4CCD6491">
      <w:pPr>
        <w:pStyle w:val="43"/>
        <w:shd w:val="clear" w:color="auto" w:fill="FFFFFF"/>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监督投诉电话：0579-8</w:t>
      </w:r>
      <w:r>
        <w:rPr>
          <w:rFonts w:hint="eastAsia" w:ascii="宋体" w:hAnsi="宋体" w:eastAsia="宋体" w:cs="宋体"/>
          <w:color w:val="auto"/>
          <w:sz w:val="21"/>
          <w:szCs w:val="21"/>
          <w:highlight w:val="none"/>
          <w:lang w:val="en-US" w:eastAsia="zh-CN"/>
        </w:rPr>
        <w:t>2487292</w:t>
      </w:r>
      <w:r>
        <w:rPr>
          <w:rFonts w:hint="eastAsia" w:ascii="宋体" w:hAnsi="宋体" w:eastAsia="宋体" w:cs="宋体"/>
          <w:color w:val="auto"/>
          <w:sz w:val="21"/>
          <w:szCs w:val="21"/>
          <w:highlight w:val="none"/>
        </w:rPr>
        <w:br w:type="page"/>
      </w:r>
    </w:p>
    <w:p w14:paraId="0C2FF311">
      <w:pPr>
        <w:pStyle w:val="4"/>
        <w:spacing w:line="360" w:lineRule="auto"/>
        <w:ind w:left="0" w:leftChars="0" w:firstLine="0" w:firstLineChars="0"/>
        <w:jc w:val="center"/>
        <w:rPr>
          <w:rFonts w:hint="eastAsia" w:ascii="宋体" w:hAnsi="宋体" w:eastAsia="宋体" w:cs="宋体"/>
          <w:color w:val="auto"/>
          <w:sz w:val="30"/>
          <w:szCs w:val="30"/>
          <w:highlight w:val="none"/>
        </w:rPr>
      </w:pPr>
      <w:bookmarkStart w:id="54" w:name="_Toc4690"/>
      <w:bookmarkStart w:id="55" w:name="_Toc24167"/>
      <w:bookmarkStart w:id="56" w:name="_Toc1556"/>
      <w:bookmarkStart w:id="57" w:name="_Toc7466"/>
      <w:bookmarkStart w:id="58" w:name="_Toc20320"/>
      <w:bookmarkStart w:id="59" w:name="_Toc3493"/>
      <w:bookmarkStart w:id="60" w:name="_Toc23702"/>
      <w:bookmarkStart w:id="61" w:name="_Toc26778"/>
      <w:bookmarkStart w:id="62" w:name="_Toc28241"/>
      <w:bookmarkStart w:id="63" w:name="_Toc26932"/>
      <w:bookmarkStart w:id="64" w:name="_Toc15662"/>
      <w:bookmarkStart w:id="65" w:name="_Toc14596"/>
      <w:bookmarkStart w:id="66" w:name="_Toc16899"/>
      <w:bookmarkStart w:id="67" w:name="_Toc27729"/>
      <w:bookmarkStart w:id="68" w:name="_Toc30797"/>
      <w:bookmarkStart w:id="69" w:name="_Toc6928"/>
      <w:bookmarkStart w:id="70" w:name="_Toc4280"/>
      <w:bookmarkStart w:id="71" w:name="_Toc217289130"/>
      <w:bookmarkStart w:id="72" w:name="_Toc184785919"/>
      <w:bookmarkStart w:id="73" w:name="_Toc237176506"/>
      <w:bookmarkStart w:id="74" w:name="_Toc237413907"/>
      <w:bookmarkStart w:id="75" w:name="_Toc296074335"/>
      <w:bookmarkStart w:id="76" w:name="_Toc265065978"/>
      <w:bookmarkStart w:id="77" w:name="_Toc237189783"/>
      <w:bookmarkStart w:id="78" w:name="_Toc256977534"/>
      <w:bookmarkStart w:id="79" w:name="_Toc264211066"/>
      <w:bookmarkStart w:id="80" w:name="_Toc295910872"/>
      <w:bookmarkStart w:id="81" w:name="_Toc295737624"/>
      <w:bookmarkStart w:id="82" w:name="_Toc237340102"/>
      <w:bookmarkStart w:id="83" w:name="_Toc237414003"/>
      <w:bookmarkStart w:id="84" w:name="_Toc237193454"/>
      <w:bookmarkStart w:id="85" w:name="_Toc237182502"/>
      <w:r>
        <w:rPr>
          <w:rFonts w:hint="eastAsia" w:ascii="宋体" w:hAnsi="宋体" w:eastAsia="宋体" w:cs="宋体"/>
          <w:color w:val="auto"/>
          <w:sz w:val="30"/>
          <w:szCs w:val="30"/>
          <w:highlight w:val="none"/>
        </w:rPr>
        <w:t>第二部分  采购需求</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19D4411">
      <w:pPr>
        <w:spacing w:line="500" w:lineRule="exact"/>
        <w:ind w:firstLine="422" w:firstLineChars="200"/>
        <w:textAlignment w:val="auto"/>
        <w:rPr>
          <w:rFonts w:hAnsi="宋体" w:cs="宋体"/>
          <w:color w:val="auto"/>
          <w:sz w:val="21"/>
          <w:szCs w:val="21"/>
          <w:highlight w:val="none"/>
        </w:rPr>
      </w:pPr>
      <w:bookmarkStart w:id="86" w:name="_Toc492733886"/>
      <w:bookmarkStart w:id="87" w:name="_Toc15385"/>
      <w:bookmarkStart w:id="88" w:name="_Toc1203"/>
      <w:bookmarkStart w:id="89" w:name="_Toc35415328"/>
      <w:bookmarkStart w:id="90" w:name="_Toc26635"/>
      <w:bookmarkStart w:id="91" w:name="_Toc3681"/>
      <w:bookmarkStart w:id="92" w:name="_Toc27050"/>
      <w:bookmarkStart w:id="93" w:name="_Toc14363"/>
      <w:bookmarkStart w:id="94" w:name="_Toc90489159"/>
      <w:bookmarkStart w:id="95" w:name="_Toc964"/>
      <w:bookmarkStart w:id="96" w:name="_Toc157047657"/>
      <w:bookmarkStart w:id="97" w:name="_Toc141164482"/>
      <w:bookmarkStart w:id="98" w:name="_Toc20203"/>
      <w:bookmarkStart w:id="99" w:name="_Toc34119663"/>
      <w:bookmarkStart w:id="100" w:name="_Toc90489157"/>
      <w:bookmarkStart w:id="101" w:name="_Hlk119570796"/>
      <w:bookmarkStart w:id="102" w:name="_Toc287611930"/>
      <w:bookmarkStart w:id="103" w:name="_Toc157047703"/>
      <w:bookmarkStart w:id="104" w:name="_Toc30200"/>
      <w:bookmarkStart w:id="105" w:name="_Toc8868"/>
      <w:bookmarkStart w:id="106" w:name="_Toc31315"/>
      <w:bookmarkStart w:id="107" w:name="_Toc5905"/>
      <w:r>
        <w:rPr>
          <w:rFonts w:hint="eastAsia" w:ascii="宋体" w:hAnsi="宋体" w:eastAsia="宋体" w:cs="宋体"/>
          <w:b/>
          <w:bCs/>
          <w:color w:val="auto"/>
          <w:sz w:val="21"/>
          <w:szCs w:val="21"/>
          <w:highlight w:val="none"/>
          <w:lang w:val="en-US" w:eastAsia="zh-CN" w:bidi="ar"/>
        </w:rPr>
        <w:t>一、</w:t>
      </w:r>
      <w:r>
        <w:rPr>
          <w:rFonts w:hint="eastAsia" w:hAnsi="宋体" w:cs="宋体"/>
          <w:b/>
          <w:bCs w:val="0"/>
          <w:color w:val="auto"/>
          <w:sz w:val="21"/>
          <w:szCs w:val="21"/>
          <w:highlight w:val="none"/>
        </w:rPr>
        <w:t>采购项目基本情况</w:t>
      </w:r>
    </w:p>
    <w:p w14:paraId="3CF6ED12">
      <w:pPr>
        <w:spacing w:line="500" w:lineRule="exact"/>
        <w:ind w:firstLine="420" w:firstLineChars="200"/>
        <w:rPr>
          <w:rFonts w:hAnsi="宋体" w:cs="宋体"/>
          <w:bCs/>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szCs w:val="21"/>
          <w:highlight w:val="none"/>
        </w:rPr>
        <w:t>本项目为</w:t>
      </w:r>
      <w:r>
        <w:rPr>
          <w:rFonts w:hint="eastAsia" w:hAnsi="宋体" w:cs="宋体"/>
          <w:bCs/>
          <w:color w:val="auto"/>
          <w:sz w:val="21"/>
          <w:szCs w:val="21"/>
          <w:highlight w:val="none"/>
          <w:lang w:eastAsia="zh-CN"/>
        </w:rPr>
        <w:t>金华市婺城区人民法院多元解纷专项服务采购项目</w:t>
      </w:r>
      <w:r>
        <w:rPr>
          <w:rFonts w:hint="eastAsia" w:hAnsi="宋体" w:cs="宋体"/>
          <w:bCs/>
          <w:color w:val="auto"/>
          <w:sz w:val="21"/>
          <w:szCs w:val="21"/>
          <w:highlight w:val="none"/>
        </w:rPr>
        <w:t>。</w:t>
      </w:r>
    </w:p>
    <w:p w14:paraId="1639473D">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2.本项目</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年度</w:t>
      </w:r>
      <w:r>
        <w:rPr>
          <w:rFonts w:hint="eastAsia" w:hAnsi="宋体" w:cs="宋体"/>
          <w:color w:val="auto"/>
          <w:sz w:val="21"/>
          <w:szCs w:val="21"/>
          <w:highlight w:val="none"/>
        </w:rPr>
        <w:t>预算金额为人民币</w:t>
      </w:r>
      <w:r>
        <w:rPr>
          <w:rFonts w:hint="eastAsia" w:hAnsi="宋体" w:cs="宋体"/>
          <w:color w:val="auto"/>
          <w:sz w:val="21"/>
          <w:szCs w:val="21"/>
          <w:highlight w:val="none"/>
          <w:lang w:eastAsia="zh-CN"/>
        </w:rPr>
        <w:t>84万元</w:t>
      </w:r>
      <w:r>
        <w:rPr>
          <w:rFonts w:hint="eastAsia" w:hAnsi="宋体" w:cs="宋体"/>
          <w:color w:val="auto"/>
          <w:sz w:val="21"/>
          <w:szCs w:val="21"/>
          <w:highlight w:val="none"/>
        </w:rPr>
        <w:t>。响应供应商应就</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年度的服务费进行磋商报价，报价最高限价金额为人民币</w:t>
      </w:r>
      <w:r>
        <w:rPr>
          <w:rFonts w:hint="eastAsia" w:hAnsi="宋体" w:cs="宋体"/>
          <w:color w:val="auto"/>
          <w:sz w:val="21"/>
          <w:szCs w:val="21"/>
          <w:highlight w:val="none"/>
          <w:lang w:eastAsia="zh-CN"/>
        </w:rPr>
        <w:t>84万元</w:t>
      </w:r>
      <w:r>
        <w:rPr>
          <w:rFonts w:hint="eastAsia" w:hAnsi="宋体" w:cs="宋体"/>
          <w:color w:val="auto"/>
          <w:sz w:val="21"/>
          <w:szCs w:val="21"/>
          <w:highlight w:val="none"/>
        </w:rPr>
        <w:t>，其中，</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年1月1日至成交人合同签订并正式接管工作之日止应付前期服务商的服务费由本项目成交人与前期服务商按月或按日依照合同收费标准据实结算、支付。</w:t>
      </w:r>
    </w:p>
    <w:p w14:paraId="5E642BDD">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3.服务时间：合同签订之日起至</w:t>
      </w:r>
      <w:r>
        <w:rPr>
          <w:rFonts w:hint="eastAsia" w:hAnsi="宋体" w:cs="宋体"/>
          <w:bCs/>
          <w:color w:val="auto"/>
          <w:sz w:val="21"/>
          <w:szCs w:val="21"/>
          <w:highlight w:val="none"/>
          <w:lang w:eastAsia="zh-CN"/>
        </w:rPr>
        <w:t>2025年12月31日</w:t>
      </w:r>
      <w:r>
        <w:rPr>
          <w:rFonts w:hint="eastAsia" w:hAnsi="宋体" w:cs="宋体"/>
          <w:bCs/>
          <w:color w:val="auto"/>
          <w:sz w:val="21"/>
          <w:szCs w:val="21"/>
          <w:highlight w:val="none"/>
        </w:rPr>
        <w:t>止。</w:t>
      </w:r>
    </w:p>
    <w:p w14:paraId="6FE73F85">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4.人员数量：不少于12人，具体以</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实际通知要求为准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如项目实施过程中有人员调整需求时，成交人应及时安排新的工作人员提供服务</w:t>
      </w:r>
      <w:r>
        <w:rPr>
          <w:rFonts w:hint="eastAsia" w:hAnsi="宋体" w:cs="宋体"/>
          <w:bCs/>
          <w:color w:val="auto"/>
          <w:sz w:val="21"/>
          <w:szCs w:val="21"/>
          <w:highlight w:val="none"/>
        </w:rPr>
        <w:t>。</w:t>
      </w:r>
    </w:p>
    <w:p w14:paraId="3D15850E">
      <w:pPr>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二、工作内容及基本要求</w:t>
      </w:r>
    </w:p>
    <w:p w14:paraId="558EC6DE">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1.工作内容：</w:t>
      </w:r>
    </w:p>
    <w:p w14:paraId="305DF371">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由本项目</w:t>
      </w:r>
      <w:r>
        <w:rPr>
          <w:rFonts w:hint="eastAsia" w:hAnsi="宋体" w:cs="宋体"/>
          <w:bCs/>
          <w:color w:val="auto"/>
          <w:sz w:val="21"/>
          <w:szCs w:val="21"/>
          <w:highlight w:val="none"/>
          <w:lang w:eastAsia="zh-CN"/>
        </w:rPr>
        <w:t>成交人</w:t>
      </w:r>
      <w:r>
        <w:rPr>
          <w:rFonts w:hint="eastAsia" w:hAnsi="宋体" w:cs="宋体"/>
          <w:bCs/>
          <w:color w:val="auto"/>
          <w:sz w:val="21"/>
          <w:szCs w:val="21"/>
          <w:highlight w:val="none"/>
        </w:rPr>
        <w:t>派遣不少于12人（具体以</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实际通知要求为准）入驻承担</w:t>
      </w:r>
      <w:r>
        <w:rPr>
          <w:rFonts w:hint="eastAsia" w:hAnsi="宋体" w:cs="宋体"/>
          <w:bCs/>
          <w:color w:val="auto"/>
          <w:sz w:val="21"/>
          <w:szCs w:val="21"/>
          <w:highlight w:val="none"/>
          <w:lang w:eastAsia="zh-CN"/>
        </w:rPr>
        <w:t>本单位</w:t>
      </w:r>
      <w:r>
        <w:rPr>
          <w:rFonts w:hint="eastAsia" w:hAnsi="宋体" w:cs="宋体"/>
          <w:bCs/>
          <w:color w:val="auto"/>
          <w:sz w:val="21"/>
          <w:szCs w:val="21"/>
          <w:highlight w:val="none"/>
        </w:rPr>
        <w:t>内诉源治理人民调解辅助工作，工作内容包括但不限于：</w:t>
      </w:r>
    </w:p>
    <w:p w14:paraId="7784B118">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1）办理调解前准备过程中的事务性工作，如对接婺城区人民法院司法辅助集约保障中心流转的案件材料、采集汇总基本案情、核实当事人和代理人的身份信息、核对完善当事人送达地址确认书、引导当事人注册使用“人民法院在线服务”小程序、安排调解时间和场所等。</w:t>
      </w:r>
    </w:p>
    <w:p w14:paraId="50AF7C8E">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（2）诉前调解宣传引导，释明调解与判决的区别及优势，积极引导当事人诉前调解。</w:t>
      </w:r>
    </w:p>
    <w:p w14:paraId="335CA770">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（3）接收当事人提供的所有材料，并移交人民调解员。</w:t>
      </w:r>
    </w:p>
    <w:p w14:paraId="6771E70B">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（4）担任案件调解过程中调解笔录、调解协议等文书的记录、核对工作。</w:t>
      </w:r>
    </w:p>
    <w:p w14:paraId="434FBF40">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（5）根据人民调解员的要求，将调解完毕的案件材料流转给指导法官。</w:t>
      </w:r>
    </w:p>
    <w:p w14:paraId="0F6494FB">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（6）与指导法官沟通联系，跟踪调解完毕案件的进展，对调解成功的案件，及时接收司法确认裁定书；对调解失败的案件，了解、记录法院后续裁判结果。</w:t>
      </w:r>
    </w:p>
    <w:p w14:paraId="21821509">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（7）整理、装订、归档案卷材料。</w:t>
      </w:r>
    </w:p>
    <w:p w14:paraId="71ECB31D">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（8）完成人民调解员交办的其他事务性工作。</w:t>
      </w:r>
    </w:p>
    <w:p w14:paraId="5CA0F709">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2.岗位要求：大专</w:t>
      </w:r>
      <w:r>
        <w:rPr>
          <w:rFonts w:hint="eastAsia" w:hAnsi="宋体" w:cs="宋体"/>
          <w:bCs/>
          <w:color w:val="auto"/>
          <w:sz w:val="21"/>
          <w:szCs w:val="21"/>
          <w:highlight w:val="none"/>
          <w:lang w:val="en-US" w:eastAsia="zh-CN"/>
        </w:rPr>
        <w:t>及</w:t>
      </w:r>
      <w:r>
        <w:rPr>
          <w:rFonts w:hint="eastAsia" w:hAnsi="宋体" w:cs="宋体"/>
          <w:bCs/>
          <w:color w:val="auto"/>
          <w:sz w:val="21"/>
          <w:szCs w:val="21"/>
          <w:highlight w:val="none"/>
        </w:rPr>
        <w:t>以上学历，年龄</w:t>
      </w:r>
      <w:r>
        <w:rPr>
          <w:rFonts w:hint="eastAsia" w:hAnsi="宋体" w:cs="宋体"/>
          <w:bCs/>
          <w:color w:val="auto"/>
          <w:sz w:val="21"/>
          <w:szCs w:val="21"/>
          <w:highlight w:val="none"/>
          <w:lang w:val="en-US" w:eastAsia="zh-CN"/>
        </w:rPr>
        <w:t>25</w:t>
      </w:r>
      <w:r>
        <w:rPr>
          <w:rFonts w:hint="eastAsia" w:hAnsi="宋体" w:cs="宋体"/>
          <w:bCs/>
          <w:color w:val="auto"/>
          <w:sz w:val="21"/>
          <w:szCs w:val="21"/>
          <w:highlight w:val="none"/>
        </w:rPr>
        <w:t>周岁</w:t>
      </w:r>
      <w:r>
        <w:rPr>
          <w:rFonts w:hint="eastAsia" w:hAnsi="宋体" w:cs="宋体"/>
          <w:bCs/>
          <w:color w:val="auto"/>
          <w:sz w:val="21"/>
          <w:szCs w:val="21"/>
          <w:highlight w:val="none"/>
          <w:lang w:val="en-US" w:eastAsia="zh-CN"/>
        </w:rPr>
        <w:t>至</w:t>
      </w:r>
      <w:r>
        <w:rPr>
          <w:rFonts w:hint="eastAsia" w:hAnsi="宋体" w:cs="宋体"/>
          <w:bCs/>
          <w:color w:val="auto"/>
          <w:sz w:val="21"/>
          <w:szCs w:val="21"/>
          <w:highlight w:val="none"/>
        </w:rPr>
        <w:t>35周岁，无违法犯罪记录。</w:t>
      </w:r>
    </w:p>
    <w:p w14:paraId="386C4F74">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3.工作时间要求：实行8小时工作制，每周双休</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休息日安排人员值班。如因工作需要，服从</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lang w:val="en-US" w:eastAsia="zh-CN"/>
        </w:rPr>
        <w:t>要求开展工作</w:t>
      </w:r>
      <w:r>
        <w:rPr>
          <w:rFonts w:hint="eastAsia" w:hAnsi="宋体" w:cs="宋体"/>
          <w:bCs/>
          <w:color w:val="auto"/>
          <w:sz w:val="21"/>
          <w:szCs w:val="21"/>
          <w:highlight w:val="none"/>
        </w:rPr>
        <w:t>。</w:t>
      </w:r>
    </w:p>
    <w:p w14:paraId="146AA71E">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4.成交人应加强对作业人员的安全教育，严格遵守安全生产有关操作章程及</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内部规章制度，不得违规和冒险操作。若发生安全生产事故，由成交人承担全部责任和经济赔偿，与</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无关。</w:t>
      </w:r>
    </w:p>
    <w:p w14:paraId="0D5368BB">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5.驻场书记员须自觉接受</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的安全教育</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并签署保密条例</w:t>
      </w:r>
      <w:r>
        <w:rPr>
          <w:rFonts w:hint="eastAsia" w:hAnsi="宋体" w:cs="宋体"/>
          <w:bCs/>
          <w:color w:val="auto"/>
          <w:sz w:val="21"/>
          <w:szCs w:val="21"/>
          <w:highlight w:val="none"/>
        </w:rPr>
        <w:t>。</w:t>
      </w:r>
    </w:p>
    <w:p w14:paraId="2C0FCF9C">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6.人员要求：供应商根据</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需求合理配备服务人员。成交人派遣的服务人员应牢固树立宗旨意识、沟通意识、合作意识，坚持“便民、利民、为民”理念，强化服务意识和责任担当，配合各单位形成工作合力，确保各项任务保质保量按时完成。成交人应保证所录用人员身体健康、无传染性疾病、无刑事违法或处分犯罪记录、书记员言行规范，文明礼貌。具体人员要求按</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实际需求配备。</w:t>
      </w:r>
    </w:p>
    <w:p w14:paraId="65119E9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7.供应商须按《劳动合同法》和政府</w:t>
      </w:r>
      <w:r>
        <w:rPr>
          <w:rFonts w:hint="eastAsia" w:hAnsi="宋体" w:cs="宋体"/>
          <w:bCs/>
          <w:color w:val="auto"/>
          <w:sz w:val="21"/>
          <w:szCs w:val="21"/>
          <w:highlight w:val="none"/>
          <w:lang w:eastAsia="zh-CN"/>
        </w:rPr>
        <w:t>有关</w:t>
      </w:r>
      <w:r>
        <w:rPr>
          <w:rFonts w:hint="eastAsia" w:hAnsi="宋体" w:cs="宋体"/>
          <w:bCs/>
          <w:color w:val="auto"/>
          <w:sz w:val="21"/>
          <w:szCs w:val="21"/>
          <w:highlight w:val="none"/>
        </w:rPr>
        <w:t>部门规定为全体服务人员</w:t>
      </w:r>
      <w:r>
        <w:rPr>
          <w:rFonts w:hint="eastAsia" w:hAnsi="宋体" w:cs="宋体"/>
          <w:bCs/>
          <w:color w:val="auto"/>
          <w:sz w:val="21"/>
          <w:szCs w:val="21"/>
          <w:highlight w:val="none"/>
          <w:lang w:eastAsia="zh-CN"/>
        </w:rPr>
        <w:t>缴纳</w:t>
      </w:r>
      <w:r>
        <w:rPr>
          <w:rFonts w:hint="eastAsia" w:hAnsi="宋体" w:cs="宋体"/>
          <w:bCs/>
          <w:color w:val="auto"/>
          <w:sz w:val="21"/>
          <w:szCs w:val="21"/>
          <w:highlight w:val="none"/>
        </w:rPr>
        <w:t>所有相关的社会保险及其他相关费用。</w:t>
      </w:r>
    </w:p>
    <w:p w14:paraId="49472338">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8.供应商应制定具体的质量保证措施及质量保证和相关服务承诺。供应商所有的工作除应按内部流程实施外，还应接受</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或第三方的随时检查。如因质量未达到目标，</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有权要求其整改，同时供应商应承担责任和经济赔偿。</w:t>
      </w:r>
    </w:p>
    <w:p w14:paraId="4D0FF829">
      <w:pPr>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三、其他要求</w:t>
      </w:r>
    </w:p>
    <w:p w14:paraId="7FA4A4E2">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知识产权：双方均应保护对方的知识产权，未经对方同意，任何一方均不得对对方的资料及文件擅自修改、复制、向第三人转让或用于合同项目外的项目。如发生以上情况，泄密方承担一切由此引起的后果并承担赔偿责任。</w:t>
      </w:r>
    </w:p>
    <w:p w14:paraId="3F98BE98">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2.资料档案及保密要求：按照国家有关法规，采购双方应分别为对方在磋商响应文件和磋商采购文件中</w:t>
      </w:r>
      <w:r>
        <w:rPr>
          <w:rFonts w:hint="eastAsia" w:hAnsi="宋体" w:cs="宋体"/>
          <w:bCs/>
          <w:color w:val="auto"/>
          <w:sz w:val="21"/>
          <w:szCs w:val="21"/>
          <w:highlight w:val="none"/>
          <w:lang w:eastAsia="zh-CN"/>
        </w:rPr>
        <w:t>涉及</w:t>
      </w:r>
      <w:r>
        <w:rPr>
          <w:rFonts w:hint="eastAsia" w:hAnsi="宋体" w:cs="宋体"/>
          <w:bCs/>
          <w:color w:val="auto"/>
          <w:sz w:val="21"/>
          <w:szCs w:val="21"/>
          <w:highlight w:val="none"/>
        </w:rPr>
        <w:t>商业和技术等秘密保密，违者应对由此产生的后果承担相应的责任。与本项目有关的资料及数据成果中涉及国家秘密的内容，均要求按照《国家保密法》及相关法律法规执行。</w:t>
      </w:r>
    </w:p>
    <w:p w14:paraId="6B76EF2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3.成交人应当遵守相关保密法律、法规，确保</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及其他第三方的信息安全。</w:t>
      </w:r>
    </w:p>
    <w:p w14:paraId="74B9637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4.验收标准：根据国家现行技术标准，按磋商采购文件、合同规定的验收评定标准、中心的内部管理规定等规范，以及服务对象或人民群众的满意度等，由</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组织验收。</w:t>
      </w:r>
    </w:p>
    <w:p w14:paraId="690EE02C">
      <w:pPr>
        <w:spacing w:line="500" w:lineRule="exact"/>
        <w:ind w:firstLine="420" w:firstLineChars="200"/>
        <w:rPr>
          <w:rFonts w:hAnsi="宋体" w:cs="宋体"/>
          <w:color w:val="auto"/>
          <w:sz w:val="21"/>
          <w:szCs w:val="21"/>
          <w:highlight w:val="none"/>
        </w:rPr>
      </w:pPr>
      <w:r>
        <w:rPr>
          <w:rFonts w:hint="eastAsia" w:hAnsi="宋体" w:cs="宋体"/>
          <w:bCs/>
          <w:color w:val="auto"/>
          <w:sz w:val="21"/>
          <w:szCs w:val="21"/>
          <w:highlight w:val="none"/>
        </w:rPr>
        <w:t>5.其他服务承诺：在合同执行期间，如服务计划书中的承诺标准低于国家新颁布的技术标准及要求时，则成交人应该按照新颁布的标准执行。以上为本项目最低服务要求，供应商必须满足，在此基础上供应商可提供其他更多的服务承诺，并提供详细的服务计划书。</w:t>
      </w:r>
    </w:p>
    <w:p w14:paraId="7726A99E">
      <w:pPr>
        <w:keepNext/>
        <w:spacing w:line="500" w:lineRule="exact"/>
        <w:ind w:firstLine="422" w:firstLineChars="200"/>
        <w:rPr>
          <w:rFonts w:hAnsi="宋体" w:cs="宋体"/>
          <w:color w:val="auto"/>
          <w:sz w:val="21"/>
          <w:szCs w:val="21"/>
          <w:highlight w:val="none"/>
        </w:rPr>
      </w:pPr>
      <w:r>
        <w:rPr>
          <w:rFonts w:hint="eastAsia" w:hAnsi="宋体" w:cs="宋体"/>
          <w:b/>
          <w:bCs/>
          <w:color w:val="auto"/>
          <w:sz w:val="21"/>
          <w:szCs w:val="21"/>
          <w:highlight w:val="none"/>
        </w:rPr>
        <w:t>四、付款方式</w:t>
      </w:r>
    </w:p>
    <w:p w14:paraId="0B26708A">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本项目合同款系自</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年1月1日起至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止的总服务价款，包括：（1）自</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年1月1日起至成交人合同签订并正式接管工作之日止应付前期服务商的服务费；（2）自成交人合同签订并正式接管工作之日起至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止应付成交人的服务费。本项目付款方式约定如下：</w:t>
      </w:r>
    </w:p>
    <w:p w14:paraId="697CE21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1.合同签订生效且成交人正式接管服务工作后7个工作日内，</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支付成交人合同款的50%</w:t>
      </w:r>
      <w:r>
        <w:rPr>
          <w:rStyle w:val="146"/>
          <w:rFonts w:hint="eastAsia" w:hAnsi="宋体" w:cs="宋体"/>
          <w:color w:val="auto"/>
          <w:sz w:val="21"/>
          <w:szCs w:val="21"/>
          <w:highlight w:val="none"/>
        </w:rPr>
        <w:t>，</w:t>
      </w:r>
      <w:r>
        <w:rPr>
          <w:rFonts w:hint="eastAsia" w:hAnsi="宋体" w:cs="宋体"/>
          <w:color w:val="auto"/>
          <w:sz w:val="21"/>
          <w:szCs w:val="21"/>
          <w:highlight w:val="none"/>
        </w:rPr>
        <w:t>如在签订合同时，</w:t>
      </w:r>
      <w:r>
        <w:rPr>
          <w:rFonts w:hint="eastAsia" w:hAnsi="宋体" w:cs="宋体"/>
          <w:bCs/>
          <w:color w:val="auto"/>
          <w:sz w:val="21"/>
          <w:szCs w:val="21"/>
          <w:highlight w:val="none"/>
        </w:rPr>
        <w:t>成交人</w:t>
      </w:r>
      <w:r>
        <w:rPr>
          <w:rFonts w:hint="eastAsia" w:hAnsi="宋体" w:cs="宋体"/>
          <w:color w:val="auto"/>
          <w:sz w:val="21"/>
          <w:szCs w:val="21"/>
          <w:highlight w:val="none"/>
        </w:rPr>
        <w:t>明确表示无需预付款或者主动要求降低预付款比例的，可降低预付款比例，且须在合同签订前与</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沟通确定，并提供无需预付款或者降低预付款比例的承诺，双方就此条款可对合同中的支付方式进行调整；</w:t>
      </w:r>
    </w:p>
    <w:p w14:paraId="2DC0CFC9">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★成交人收到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上述服务费后，应即时与前期服务商（指“</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年1月1日起至成交人合同签订并正式接管工作之日期间的服务商”）按月或按日依照合同收费标准据实结算、支付前期服务费（指“</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年1月1日起至成交人合同签订并正式接管工作之日期间的服务费”），除依法应由前期服务商承担的税费外，成交人不得收取其他任何费用。成交人与前期服务商就该部分服务款结清之前，</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有权拒付或暂缓支付给成交人全部或部分服务款。</w:t>
      </w:r>
    </w:p>
    <w:p w14:paraId="1F6FBE6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于</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年10月份向成交人</w:t>
      </w:r>
      <w:r>
        <w:rPr>
          <w:rFonts w:hint="eastAsia" w:hAnsi="宋体" w:cs="宋体"/>
          <w:color w:val="auto"/>
          <w:sz w:val="21"/>
          <w:szCs w:val="21"/>
          <w:highlight w:val="none"/>
          <w:lang w:val="en-US" w:eastAsia="zh-CN"/>
        </w:rPr>
        <w:t>提供服务人员的考核情况，全部考核合格及以上的采购人</w:t>
      </w:r>
      <w:r>
        <w:rPr>
          <w:rFonts w:hint="eastAsia" w:hAnsi="宋体" w:cs="宋体"/>
          <w:color w:val="auto"/>
          <w:sz w:val="21"/>
          <w:szCs w:val="21"/>
          <w:highlight w:val="none"/>
        </w:rPr>
        <w:t>支付</w:t>
      </w:r>
      <w:r>
        <w:rPr>
          <w:rFonts w:hint="eastAsia" w:hAnsi="宋体" w:cs="宋体"/>
          <w:color w:val="auto"/>
          <w:sz w:val="21"/>
          <w:szCs w:val="21"/>
          <w:highlight w:val="none"/>
          <w:lang w:val="en-US" w:eastAsia="zh-CN"/>
        </w:rPr>
        <w:t>2025年度</w:t>
      </w:r>
      <w:r>
        <w:rPr>
          <w:rFonts w:hint="eastAsia" w:hAnsi="宋体" w:cs="宋体"/>
          <w:color w:val="auto"/>
          <w:sz w:val="21"/>
          <w:szCs w:val="21"/>
          <w:highlight w:val="none"/>
        </w:rPr>
        <w:t>合同金额剩余款</w:t>
      </w:r>
      <w:r>
        <w:rPr>
          <w:rFonts w:hint="eastAsia" w:hAnsi="宋体" w:cs="宋体"/>
          <w:color w:val="auto"/>
          <w:sz w:val="21"/>
          <w:szCs w:val="21"/>
          <w:highlight w:val="none"/>
          <w:lang w:eastAsia="zh-CN"/>
        </w:rPr>
        <w:t>。</w:t>
      </w:r>
      <w:r>
        <w:rPr>
          <w:rFonts w:hint="eastAsia" w:hAnsi="宋体" w:cs="宋体"/>
          <w:color w:val="auto"/>
          <w:sz w:val="21"/>
          <w:szCs w:val="21"/>
          <w:highlight w:val="none"/>
          <w:lang w:val="zh-CN"/>
        </w:rPr>
        <w:t>服务期内，如有考核扣款（</w:t>
      </w:r>
      <w:r>
        <w:rPr>
          <w:rFonts w:hint="eastAsia" w:hAnsi="宋体" w:cs="宋体"/>
          <w:color w:val="auto"/>
          <w:sz w:val="21"/>
          <w:szCs w:val="21"/>
          <w:highlight w:val="none"/>
          <w:lang w:val="en-US" w:eastAsia="zh-CN"/>
        </w:rPr>
        <w:t>指根据考核情况，考核不合格的服务人员应扣除的考核奖</w:t>
      </w:r>
      <w:r>
        <w:rPr>
          <w:rFonts w:hint="eastAsia" w:hAnsi="宋体" w:cs="宋体"/>
          <w:color w:val="auto"/>
          <w:sz w:val="21"/>
          <w:szCs w:val="21"/>
          <w:highlight w:val="none"/>
          <w:lang w:val="zh-CN"/>
        </w:rPr>
        <w:t>），由</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从应付未付合同款中扣付；不足扣付的，则由成交人缴付。</w:t>
      </w:r>
    </w:p>
    <w:p w14:paraId="2D9AB8A8">
      <w:pPr>
        <w:spacing w:line="500" w:lineRule="exact"/>
        <w:ind w:firstLine="420" w:firstLineChars="200"/>
        <w:rPr>
          <w:color w:val="auto"/>
          <w:highlight w:val="none"/>
        </w:rPr>
      </w:pPr>
      <w:r>
        <w:rPr>
          <w:rFonts w:hint="eastAsia" w:hAnsi="宋体" w:cs="宋体"/>
          <w:color w:val="auto"/>
          <w:sz w:val="21"/>
          <w:szCs w:val="21"/>
          <w:highlight w:val="none"/>
        </w:rPr>
        <w:t>3.</w:t>
      </w:r>
      <w:r>
        <w:rPr>
          <w:rFonts w:hint="eastAsia" w:hAnsi="宋体" w:cs="宋体"/>
          <w:color w:val="auto"/>
          <w:sz w:val="21"/>
          <w:szCs w:val="21"/>
          <w:highlight w:val="none"/>
          <w:lang w:eastAsia="zh-CN"/>
        </w:rPr>
        <w:t>成交人</w:t>
      </w:r>
      <w:r>
        <w:rPr>
          <w:rFonts w:hint="eastAsia" w:hAnsi="宋体" w:cs="宋体"/>
          <w:color w:val="auto"/>
          <w:sz w:val="21"/>
          <w:szCs w:val="21"/>
          <w:highlight w:val="none"/>
        </w:rPr>
        <w:t>在结算合同价款时需提供正式的税务发票。</w:t>
      </w:r>
    </w:p>
    <w:bookmarkEnd w:id="86"/>
    <w:bookmarkEnd w:id="87"/>
    <w:bookmarkEnd w:id="88"/>
    <w:p w14:paraId="5F3738F5">
      <w:pPr>
        <w:widowControl/>
        <w:autoSpaceDE/>
        <w:autoSpaceDN/>
        <w:spacing w:line="500" w:lineRule="exact"/>
        <w:ind w:firstLine="420" w:firstLineChars="200"/>
        <w:rPr>
          <w:rFonts w:hint="eastAsia" w:ascii="宋体" w:hAnsi="宋体" w:eastAsia="宋体" w:cs="宋体"/>
          <w:color w:val="auto"/>
          <w:sz w:val="21"/>
          <w:szCs w:val="21"/>
          <w:highlight w:val="none"/>
        </w:rPr>
      </w:pPr>
    </w:p>
    <w:p w14:paraId="2EA423F1">
      <w:pPr>
        <w:widowControl/>
        <w:autoSpaceDE/>
        <w:autoSpaceDN/>
        <w:spacing w:line="500" w:lineRule="exact"/>
        <w:ind w:firstLine="420" w:firstLineChars="200"/>
        <w:rPr>
          <w:rFonts w:hint="eastAsia" w:ascii="宋体" w:hAnsi="宋体" w:eastAsia="宋体" w:cs="宋体"/>
          <w:color w:val="auto"/>
          <w:sz w:val="21"/>
          <w:szCs w:val="21"/>
          <w:highlight w:val="none"/>
        </w:rPr>
      </w:pPr>
    </w:p>
    <w:p w14:paraId="4E2BDBD8">
      <w:pPr>
        <w:widowControl/>
        <w:autoSpaceDE/>
        <w:autoSpaceDN/>
        <w:spacing w:line="500" w:lineRule="exact"/>
        <w:ind w:firstLine="420" w:firstLineChars="200"/>
        <w:rPr>
          <w:rFonts w:hint="eastAsia" w:ascii="宋体" w:hAnsi="宋体" w:eastAsia="宋体" w:cs="宋体"/>
          <w:color w:val="auto"/>
          <w:sz w:val="21"/>
          <w:szCs w:val="21"/>
          <w:highlight w:val="none"/>
        </w:rPr>
      </w:pPr>
    </w:p>
    <w:p w14:paraId="005E0ED7">
      <w:pPr>
        <w:pStyle w:val="4"/>
        <w:rPr>
          <w:rFonts w:hint="eastAsia" w:ascii="宋体" w:hAnsi="宋体" w:eastAsia="宋体" w:cs="宋体"/>
          <w:color w:val="auto"/>
          <w:sz w:val="21"/>
          <w:szCs w:val="21"/>
          <w:highlight w:val="none"/>
        </w:rPr>
      </w:pPr>
    </w:p>
    <w:p w14:paraId="17B2D175">
      <w:pPr>
        <w:rPr>
          <w:rFonts w:hint="eastAsia" w:ascii="宋体" w:hAnsi="宋体" w:eastAsia="宋体" w:cs="宋体"/>
          <w:color w:val="auto"/>
          <w:sz w:val="21"/>
          <w:szCs w:val="21"/>
          <w:highlight w:val="none"/>
        </w:rPr>
      </w:pPr>
    </w:p>
    <w:p w14:paraId="237734C4">
      <w:pPr>
        <w:pStyle w:val="4"/>
        <w:rPr>
          <w:rFonts w:hint="eastAsia" w:ascii="宋体" w:hAnsi="宋体" w:eastAsia="宋体" w:cs="宋体"/>
          <w:color w:val="auto"/>
          <w:sz w:val="21"/>
          <w:szCs w:val="21"/>
          <w:highlight w:val="none"/>
        </w:rPr>
      </w:pPr>
    </w:p>
    <w:p w14:paraId="79F3F77B">
      <w:pPr>
        <w:rPr>
          <w:rFonts w:hint="eastAsia" w:ascii="宋体" w:hAnsi="宋体" w:eastAsia="宋体" w:cs="宋体"/>
          <w:color w:val="auto"/>
          <w:sz w:val="21"/>
          <w:szCs w:val="21"/>
          <w:highlight w:val="none"/>
        </w:rPr>
      </w:pPr>
    </w:p>
    <w:p w14:paraId="588AB1CB">
      <w:pPr>
        <w:pStyle w:val="4"/>
        <w:rPr>
          <w:rFonts w:hint="eastAsia" w:ascii="宋体" w:hAnsi="宋体" w:eastAsia="宋体" w:cs="宋体"/>
          <w:color w:val="auto"/>
          <w:sz w:val="21"/>
          <w:szCs w:val="21"/>
          <w:highlight w:val="none"/>
        </w:rPr>
      </w:pPr>
    </w:p>
    <w:p w14:paraId="2746D5F3">
      <w:pPr>
        <w:rPr>
          <w:rFonts w:hint="eastAsia" w:ascii="宋体" w:hAnsi="宋体" w:eastAsia="宋体" w:cs="宋体"/>
          <w:color w:val="auto"/>
          <w:sz w:val="21"/>
          <w:szCs w:val="21"/>
          <w:highlight w:val="none"/>
        </w:rPr>
      </w:pPr>
    </w:p>
    <w:p w14:paraId="66406DDF">
      <w:pPr>
        <w:pStyle w:val="4"/>
        <w:rPr>
          <w:rFonts w:hint="eastAsia" w:ascii="宋体" w:hAnsi="宋体" w:eastAsia="宋体" w:cs="宋体"/>
          <w:color w:val="auto"/>
          <w:sz w:val="21"/>
          <w:szCs w:val="21"/>
          <w:highlight w:val="none"/>
        </w:rPr>
      </w:pPr>
    </w:p>
    <w:p w14:paraId="7C343F33">
      <w:pPr>
        <w:rPr>
          <w:rFonts w:hint="eastAsia" w:ascii="宋体" w:hAnsi="宋体" w:eastAsia="宋体" w:cs="宋体"/>
          <w:color w:val="auto"/>
          <w:sz w:val="21"/>
          <w:szCs w:val="21"/>
          <w:highlight w:val="none"/>
        </w:rPr>
      </w:pPr>
    </w:p>
    <w:p w14:paraId="0ABFA6D2">
      <w:pPr>
        <w:pStyle w:val="4"/>
        <w:rPr>
          <w:rFonts w:hint="eastAsia" w:ascii="宋体" w:hAnsi="宋体" w:eastAsia="宋体" w:cs="宋体"/>
          <w:color w:val="auto"/>
          <w:sz w:val="21"/>
          <w:szCs w:val="21"/>
          <w:highlight w:val="none"/>
        </w:rPr>
      </w:pPr>
    </w:p>
    <w:p w14:paraId="4E4E464F">
      <w:pPr>
        <w:rPr>
          <w:rFonts w:hint="eastAsia"/>
        </w:rPr>
      </w:pPr>
    </w:p>
    <w:p w14:paraId="0463E8D0">
      <w:pPr>
        <w:widowControl/>
        <w:autoSpaceDE/>
        <w:autoSpaceDN/>
        <w:spacing w:line="500" w:lineRule="exact"/>
        <w:ind w:firstLine="420" w:firstLineChars="200"/>
        <w:rPr>
          <w:rFonts w:hint="eastAsia" w:ascii="宋体" w:hAnsi="宋体" w:eastAsia="宋体" w:cs="宋体"/>
          <w:color w:val="auto"/>
          <w:sz w:val="21"/>
          <w:szCs w:val="21"/>
          <w:highlight w:val="none"/>
        </w:rPr>
      </w:pPr>
    </w:p>
    <w:p w14:paraId="49776940">
      <w:pPr>
        <w:keepNext/>
        <w:outlineLvl w:val="9"/>
        <w:rPr>
          <w:rFonts w:hint="eastAsia" w:ascii="宋体" w:hAnsi="宋体" w:eastAsia="宋体" w:cs="宋体"/>
          <w:color w:val="auto"/>
          <w:sz w:val="21"/>
          <w:szCs w:val="21"/>
          <w:highlight w:val="none"/>
        </w:rPr>
      </w:pPr>
    </w:p>
    <w:p w14:paraId="3AA0CCC6">
      <w:pPr>
        <w:rPr>
          <w:rFonts w:hint="eastAsia"/>
          <w:color w:val="auto"/>
          <w:highlight w:val="none"/>
        </w:rPr>
      </w:pPr>
    </w:p>
    <w:p w14:paraId="3FDD52C4">
      <w:pPr>
        <w:widowControl/>
        <w:autoSpaceDE/>
        <w:autoSpaceDN/>
        <w:spacing w:line="500" w:lineRule="exact"/>
        <w:ind w:firstLine="420" w:firstLineChars="200"/>
        <w:rPr>
          <w:rFonts w:hint="eastAsia" w:ascii="宋体" w:hAnsi="宋体" w:eastAsia="宋体" w:cs="宋体"/>
          <w:color w:val="auto"/>
          <w:sz w:val="21"/>
          <w:szCs w:val="21"/>
          <w:highlight w:val="none"/>
        </w:rPr>
      </w:pP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2778D7FF">
      <w:pPr>
        <w:pStyle w:val="4"/>
        <w:keepNext w:val="0"/>
        <w:spacing w:line="360" w:lineRule="auto"/>
        <w:jc w:val="center"/>
        <w:rPr>
          <w:rFonts w:hint="eastAsia" w:ascii="宋体" w:hAnsi="宋体" w:eastAsia="宋体" w:cs="宋体"/>
          <w:color w:val="auto"/>
          <w:sz w:val="30"/>
          <w:szCs w:val="30"/>
          <w:highlight w:val="none"/>
        </w:rPr>
      </w:pPr>
      <w:bookmarkStart w:id="108" w:name="_Toc19666"/>
      <w:bookmarkStart w:id="109" w:name="_Toc30556"/>
      <w:bookmarkStart w:id="110" w:name="_Toc31454"/>
      <w:bookmarkStart w:id="111" w:name="_Toc16862"/>
      <w:bookmarkStart w:id="112" w:name="_Toc21373"/>
      <w:bookmarkStart w:id="113" w:name="_Toc16620"/>
      <w:bookmarkStart w:id="114" w:name="_Toc27795"/>
      <w:bookmarkStart w:id="115" w:name="_Toc13809"/>
      <w:bookmarkStart w:id="116" w:name="_Toc2149"/>
      <w:bookmarkStart w:id="117" w:name="_Toc8064"/>
      <w:bookmarkStart w:id="118" w:name="_Toc19506"/>
      <w:bookmarkStart w:id="119" w:name="_Toc9024"/>
      <w:bookmarkStart w:id="120" w:name="_Toc19838"/>
      <w:bookmarkStart w:id="121" w:name="_Toc11044"/>
      <w:bookmarkStart w:id="122" w:name="_Toc17959"/>
      <w:bookmarkStart w:id="123" w:name="_Toc831"/>
      <w:r>
        <w:rPr>
          <w:rFonts w:hint="eastAsia" w:ascii="宋体" w:hAnsi="宋体" w:eastAsia="宋体" w:cs="宋体"/>
          <w:color w:val="auto"/>
          <w:sz w:val="30"/>
          <w:szCs w:val="30"/>
          <w:highlight w:val="none"/>
        </w:rPr>
        <w:t>第三部分</w:t>
      </w:r>
      <w:bookmarkEnd w:id="71"/>
      <w:bookmarkEnd w:id="72"/>
      <w:bookmarkEnd w:id="73"/>
      <w:r>
        <w:rPr>
          <w:rFonts w:hint="eastAsia" w:ascii="宋体" w:hAnsi="宋体" w:eastAsia="宋体" w:cs="宋体"/>
          <w:color w:val="auto"/>
          <w:sz w:val="30"/>
          <w:szCs w:val="30"/>
          <w:highlight w:val="none"/>
        </w:rPr>
        <w:t xml:space="preserve">  响应供应商须知</w:t>
      </w:r>
      <w:bookmarkEnd w:id="74"/>
      <w:bookmarkEnd w:id="75"/>
      <w:bookmarkEnd w:id="76"/>
      <w:bookmarkEnd w:id="77"/>
      <w:bookmarkEnd w:id="78"/>
      <w:bookmarkEnd w:id="79"/>
      <w:bookmarkEnd w:id="80"/>
      <w:bookmarkEnd w:id="81"/>
      <w:bookmarkEnd w:id="82"/>
      <w:bookmarkEnd w:id="83"/>
      <w:bookmarkEnd w:id="84"/>
      <w:bookmarkEnd w:id="8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C955DBE">
      <w:pPr>
        <w:snapToGrid w:val="0"/>
        <w:spacing w:beforeLines="50" w:afterLines="50" w:line="276" w:lineRule="auto"/>
        <w:ind w:left="238"/>
        <w:jc w:val="center"/>
        <w:outlineLvl w:val="0"/>
        <w:rPr>
          <w:rFonts w:hint="eastAsia" w:ascii="宋体" w:hAnsi="宋体" w:eastAsia="宋体" w:cs="宋体"/>
          <w:b/>
          <w:color w:val="auto"/>
          <w:sz w:val="30"/>
          <w:szCs w:val="30"/>
          <w:highlight w:val="none"/>
        </w:rPr>
      </w:pPr>
      <w:bookmarkStart w:id="124" w:name="_Toc30351"/>
      <w:bookmarkStart w:id="125" w:name="_Toc30167"/>
      <w:bookmarkStart w:id="126" w:name="_Toc236"/>
      <w:bookmarkStart w:id="127" w:name="_Toc18907"/>
      <w:bookmarkStart w:id="128" w:name="_Toc26323"/>
      <w:bookmarkStart w:id="129" w:name="_Toc867"/>
      <w:bookmarkStart w:id="130" w:name="_Toc1263"/>
      <w:bookmarkStart w:id="131" w:name="_Toc6233"/>
      <w:bookmarkStart w:id="132" w:name="_Toc15518"/>
      <w:bookmarkStart w:id="133" w:name="_Toc4099"/>
      <w:bookmarkStart w:id="134" w:name="_Toc22634"/>
      <w:bookmarkStart w:id="135" w:name="_Toc421647255"/>
      <w:bookmarkStart w:id="136" w:name="_Toc23975"/>
      <w:bookmarkStart w:id="137" w:name="_Toc25950"/>
      <w:bookmarkStart w:id="138" w:name="_Toc12935"/>
      <w:bookmarkStart w:id="139" w:name="_Toc374366047"/>
      <w:bookmarkStart w:id="140" w:name="_Toc519072689"/>
      <w:bookmarkStart w:id="141" w:name="_Toc30749"/>
      <w:bookmarkStart w:id="142" w:name="_Toc22676"/>
      <w:bookmarkStart w:id="143" w:name="_Toc27173"/>
      <w:r>
        <w:rPr>
          <w:rFonts w:hint="eastAsia" w:ascii="宋体" w:hAnsi="宋体" w:eastAsia="宋体" w:cs="宋体"/>
          <w:b/>
          <w:color w:val="auto"/>
          <w:sz w:val="30"/>
          <w:szCs w:val="30"/>
          <w:highlight w:val="none"/>
        </w:rPr>
        <w:t>前附表</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46"/>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22"/>
        <w:gridCol w:w="6656"/>
      </w:tblGrid>
      <w:tr w14:paraId="4C9C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7C9173A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14:paraId="510E6801">
            <w:pPr>
              <w:keepNext w:val="0"/>
              <w:keepLines w:val="0"/>
              <w:suppressLineNumbers w:val="0"/>
              <w:snapToGrid w:val="0"/>
              <w:spacing w:before="0" w:beforeAutospacing="0" w:after="0" w:afterAutospacing="0"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6CD1D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14:paraId="5652656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14:paraId="79F19F06">
            <w:pPr>
              <w:keepNext w:val="0"/>
              <w:keepLines w:val="0"/>
              <w:suppressLineNumbers w:val="0"/>
              <w:snapToGrid w:val="0"/>
              <w:spacing w:before="0" w:beforeAutospacing="0" w:after="0" w:afterAutospacing="0"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金华市婺城区人民法院多元解纷专项服务采购项目</w:t>
            </w:r>
          </w:p>
        </w:tc>
      </w:tr>
      <w:tr w14:paraId="4E8D4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14:paraId="42283B8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14:paraId="026367C7">
            <w:pPr>
              <w:keepNext w:val="0"/>
              <w:keepLines w:val="0"/>
              <w:suppressLineNumbers w:val="0"/>
              <w:snapToGrid w:val="0"/>
              <w:spacing w:before="0" w:beforeAutospacing="0" w:after="0" w:afterAutospacing="0" w:line="46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磋商报价及费用：</w:t>
            </w:r>
          </w:p>
          <w:p w14:paraId="35793168">
            <w:pPr>
              <w:keepNext/>
              <w:keepLines w:val="0"/>
              <w:suppressLineNumbers w:val="0"/>
              <w:spacing w:before="0" w:beforeAutospacing="0" w:after="0" w:afterAutospacing="0" w:line="460" w:lineRule="exact"/>
              <w:ind w:left="0" w:right="0"/>
              <w:rPr>
                <w:rFonts w:hint="eastAsia" w:ascii="宋体" w:hAnsi="宋体" w:eastAsia="宋体" w:cs="宋体"/>
                <w:b/>
                <w:bCs/>
                <w:color w:val="auto"/>
                <w:sz w:val="21"/>
                <w:szCs w:val="21"/>
                <w:highlight w:val="none"/>
              </w:rPr>
            </w:pPr>
            <w:bookmarkStart w:id="144" w:name="_Toc30655"/>
            <w:bookmarkStart w:id="145" w:name="_Toc3543"/>
            <w:r>
              <w:rPr>
                <w:rFonts w:hint="eastAsia" w:ascii="宋体" w:hAnsi="宋体" w:eastAsia="宋体" w:cs="宋体"/>
                <w:b/>
                <w:bCs/>
                <w:color w:val="auto"/>
                <w:sz w:val="21"/>
                <w:szCs w:val="21"/>
                <w:highlight w:val="none"/>
              </w:rPr>
              <w:t>1.本项目竞争性磋商应以人民币报价；</w:t>
            </w:r>
            <w:bookmarkEnd w:id="144"/>
            <w:bookmarkEnd w:id="145"/>
          </w:p>
          <w:p w14:paraId="6BCDDC65">
            <w:pPr>
              <w:keepNext w:val="0"/>
              <w:keepLines w:val="0"/>
              <w:suppressLineNumbers w:val="0"/>
              <w:snapToGrid w:val="0"/>
              <w:spacing w:before="0" w:beforeAutospacing="0" w:after="0" w:afterAutospacing="0" w:line="46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2.不论磋商结果如何，响应供应商均应自行承担所有与竞争性磋商有关的全部费用；</w:t>
            </w:r>
          </w:p>
          <w:p w14:paraId="4627DF6A">
            <w:pPr>
              <w:keepNext w:val="0"/>
              <w:keepLines w:val="0"/>
              <w:suppressLineNumbers w:val="0"/>
              <w:snapToGrid w:val="0"/>
              <w:spacing w:before="0" w:beforeAutospacing="0" w:after="0" w:afterAutospacing="0" w:line="42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3.响应供应商取得成交资格后，须向招标代理机构支付</w:t>
            </w:r>
            <w:r>
              <w:rPr>
                <w:rFonts w:hint="eastAsia" w:hAnsi="宋体" w:cs="宋体"/>
                <w:b/>
                <w:bCs/>
                <w:color w:val="auto"/>
                <w:sz w:val="21"/>
                <w:szCs w:val="21"/>
                <w:highlight w:val="none"/>
                <w:lang w:val="en-US" w:eastAsia="zh-CN"/>
              </w:rPr>
              <w:t>成交金额1.5%</w:t>
            </w:r>
            <w:r>
              <w:rPr>
                <w:rFonts w:hint="eastAsia" w:ascii="宋体" w:hAnsi="宋体" w:eastAsia="宋体" w:cs="宋体"/>
                <w:b/>
                <w:bCs/>
                <w:color w:val="auto"/>
                <w:sz w:val="21"/>
                <w:szCs w:val="21"/>
                <w:highlight w:val="none"/>
              </w:rPr>
              <w:t>采购代理服务费，成交人在收到中标通知书的同时向招标代理机构以银行转账等形式支付采购代理服务费： 户名：金华市天盈招标代理有限公司  开户银行：金华银行股份有限公司多湖支行  银行账号：0188990822000064。（汇款用途请注明“采购代理服务费”及项目编号 ：</w:t>
            </w:r>
            <w:r>
              <w:rPr>
                <w:rFonts w:hint="eastAsia" w:hAnsi="宋体" w:cs="宋体"/>
                <w:b/>
                <w:bCs/>
                <w:color w:val="auto"/>
                <w:sz w:val="21"/>
                <w:szCs w:val="21"/>
                <w:highlight w:val="none"/>
                <w:lang w:val="en-US" w:eastAsia="zh-CN"/>
              </w:rPr>
              <w:t>029</w:t>
            </w:r>
            <w:r>
              <w:rPr>
                <w:rFonts w:hint="eastAsia" w:ascii="宋体" w:hAnsi="宋体" w:eastAsia="宋体" w:cs="宋体"/>
                <w:b/>
                <w:bCs/>
                <w:color w:val="auto"/>
                <w:sz w:val="21"/>
                <w:szCs w:val="21"/>
                <w:highlight w:val="none"/>
              </w:rPr>
              <w:t>）</w:t>
            </w:r>
          </w:p>
        </w:tc>
      </w:tr>
      <w:tr w14:paraId="4E22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129629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14:paraId="13C841A5">
            <w:pPr>
              <w:keepNext w:val="0"/>
              <w:keepLines w:val="0"/>
              <w:suppressLineNumbers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w:t>
            </w:r>
          </w:p>
          <w:p w14:paraId="6CC7CECF">
            <w:pPr>
              <w:keepNext w:val="0"/>
              <w:keepLines w:val="0"/>
              <w:suppressLineNumbers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响应供应商如认为磋商采购文件表述不清晰、存在歧视性、排他性或者其他违法内容的，应当于磋商响应文件递交截止时间5日前，以书面形式要求磋商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作出书面解释、澄清；磋商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将于磋商响应文件递交截止时间5日前答疑；答疑内容是磋商采购文件的组成部分，并将以书面形式送达所有已报名的响应供应商；因其他紧急情况影响本项目正常磋商采购活动的，磋商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将于磋商响应文件递交截止日期3日前书面通知所有已报名的响应供应商。</w:t>
            </w:r>
          </w:p>
        </w:tc>
      </w:tr>
      <w:tr w14:paraId="48B34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1D1CA90">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78" w:type="dxa"/>
            <w:gridSpan w:val="2"/>
            <w:tcBorders>
              <w:top w:val="single" w:color="auto" w:sz="4" w:space="0"/>
              <w:left w:val="single" w:color="auto" w:sz="4" w:space="0"/>
              <w:bottom w:val="single" w:color="auto" w:sz="4" w:space="0"/>
            </w:tcBorders>
            <w:vAlign w:val="center"/>
          </w:tcPr>
          <w:p w14:paraId="34484A64">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政策落实：</w:t>
            </w:r>
          </w:p>
          <w:p w14:paraId="0F40C7AE">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1.扶持中小企业（监狱企业、残疾人福利性单位）：</w:t>
            </w:r>
          </w:p>
          <w:p w14:paraId="08446C0B">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F25C60D">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（1）项目预算：</w:t>
            </w:r>
            <w:r>
              <w:rPr>
                <w:rFonts w:hint="eastAsia" w:hAnsi="宋体" w:cs="宋体"/>
                <w:color w:val="auto"/>
                <w:sz w:val="21"/>
                <w:szCs w:val="21"/>
                <w:highlight w:val="none"/>
                <w:u w:val="single"/>
                <w:lang w:val="en-US" w:eastAsia="zh-CN"/>
              </w:rPr>
              <w:t>84万元</w:t>
            </w:r>
            <w:r>
              <w:rPr>
                <w:rFonts w:hint="eastAsia" w:ascii="宋体" w:hAnsi="宋体" w:eastAsia="宋体" w:cs="宋体"/>
                <w:color w:val="auto"/>
                <w:sz w:val="21"/>
                <w:szCs w:val="21"/>
                <w:highlight w:val="none"/>
              </w:rPr>
              <w:t>；</w:t>
            </w:r>
          </w:p>
          <w:p w14:paraId="31C56914">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（2）项目属性：</w:t>
            </w:r>
            <w:r>
              <w:rPr>
                <w:rFonts w:hint="eastAsia" w:ascii="宋体" w:hAnsi="宋体" w:eastAsia="宋体" w:cs="宋体"/>
                <w:color w:val="auto"/>
                <w:sz w:val="21"/>
                <w:szCs w:val="21"/>
                <w:highlight w:val="none"/>
                <w:u w:val="single"/>
              </w:rPr>
              <w:t xml:space="preserve"> ②    </w:t>
            </w:r>
            <w:r>
              <w:rPr>
                <w:rFonts w:hint="eastAsia" w:ascii="宋体" w:hAnsi="宋体" w:eastAsia="宋体" w:cs="宋体"/>
                <w:color w:val="auto"/>
                <w:sz w:val="21"/>
                <w:szCs w:val="21"/>
                <w:highlight w:val="none"/>
              </w:rPr>
              <w:t>（①货物类/②服务类/③工程类）</w:t>
            </w:r>
          </w:p>
          <w:p w14:paraId="25CECEA3">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hAnsi="宋体" w:cs="宋体"/>
                <w:color w:val="auto"/>
                <w:sz w:val="21"/>
                <w:szCs w:val="21"/>
                <w:highlight w:val="none"/>
                <w:u w:val="single"/>
                <w:lang w:eastAsia="zh-CN"/>
              </w:rPr>
              <w:t>其他未列明行业——社会工作</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（具体根据《中小企业划型标准规定》执行）</w:t>
            </w:r>
          </w:p>
          <w:p w14:paraId="71A55129">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（是/否）属于预留份额专门面向中小企业采购的项目。</w:t>
            </w:r>
          </w:p>
          <w:p w14:paraId="2DAA0DBF">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（5）上述第4项中确定为“是”的采购项目，预留份额通过</w:t>
            </w:r>
            <w:r>
              <w:rPr>
                <w:rFonts w:hint="eastAsia" w:ascii="宋体" w:hAnsi="宋体" w:eastAsia="宋体" w:cs="宋体"/>
                <w:color w:val="auto"/>
                <w:sz w:val="21"/>
                <w:szCs w:val="21"/>
                <w:highlight w:val="none"/>
                <w:u w:val="single"/>
              </w:rPr>
              <w:t xml:space="preserve">  （①）  </w:t>
            </w:r>
            <w:r>
              <w:rPr>
                <w:rFonts w:hint="eastAsia" w:ascii="宋体" w:hAnsi="宋体" w:eastAsia="宋体" w:cs="宋体"/>
                <w:color w:val="auto"/>
                <w:sz w:val="21"/>
                <w:szCs w:val="21"/>
                <w:highlight w:val="none"/>
              </w:rPr>
              <w:t>措施进行：</w:t>
            </w:r>
          </w:p>
          <w:p w14:paraId="27E537C4">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①将采购项目整体或者设置采购包专门面向中小企业采购； </w:t>
            </w:r>
          </w:p>
          <w:p w14:paraId="4C380F53">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②要求供应商以联合体形式参加采购活动，且联合体中中小企业承担的部分达到</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 xml:space="preserve">(比例)； </w:t>
            </w:r>
          </w:p>
          <w:p w14:paraId="1F29DE92">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③要求获得采购合同的供应商将采购项目中的</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(比例)分包给一家或者多家中小企业。</w:t>
            </w:r>
          </w:p>
          <w:p w14:paraId="1A191F08">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专门面向中小企业采购的项目或者标项，不再执行价格评审优惠的扶持政策。</w:t>
            </w:r>
          </w:p>
          <w:p w14:paraId="7DCC7DDB">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2.节能产品、环境标志产品的强制采购政策</w:t>
            </w:r>
          </w:p>
          <w:p w14:paraId="594D4C37">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p>
          <w:p w14:paraId="17E1116E">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3.节能产品、环境标志产品的优先采购政策</w:t>
            </w:r>
          </w:p>
          <w:p w14:paraId="6C537A37">
            <w:pPr>
              <w:keepNext w:val="0"/>
              <w:keepLines w:val="0"/>
              <w:widowControl/>
              <w:suppressLineNumbers w:val="0"/>
              <w:snapToGrid w:val="0"/>
              <w:spacing w:before="0" w:beforeAutospacing="0" w:after="0" w:afterAutospacing="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eastAsia="宋体" w:cs="宋体"/>
                <w:color w:val="auto"/>
                <w:sz w:val="21"/>
                <w:szCs w:val="21"/>
                <w:highlight w:val="none"/>
                <w:lang w:val="en-US" w:eastAsia="zh-CN"/>
              </w:rPr>
              <w:t>。</w:t>
            </w:r>
          </w:p>
        </w:tc>
      </w:tr>
      <w:tr w14:paraId="05044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6F078AC">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878" w:type="dxa"/>
            <w:gridSpan w:val="2"/>
            <w:tcBorders>
              <w:top w:val="single" w:color="auto" w:sz="4" w:space="0"/>
              <w:left w:val="single" w:color="auto" w:sz="4" w:space="0"/>
              <w:bottom w:val="single" w:color="auto" w:sz="4" w:space="0"/>
            </w:tcBorders>
            <w:vAlign w:val="center"/>
          </w:tcPr>
          <w:p w14:paraId="4F6A40BB">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信用查询：</w:t>
            </w:r>
          </w:p>
          <w:p w14:paraId="5CD5A3C4">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5BD9B327">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14:paraId="33A59290">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12DD98F0">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3E52E42C">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C02D12C">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（5）联合体成员任意一方存在不良信用记录的，视同联合体存在不良信用记录（注：本项目不接受联合体投标）。</w:t>
            </w:r>
          </w:p>
        </w:tc>
      </w:tr>
      <w:tr w14:paraId="3CA7E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BF6C876">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2" w:type="dxa"/>
            <w:tcBorders>
              <w:top w:val="single" w:color="auto" w:sz="4" w:space="0"/>
              <w:left w:val="single" w:color="auto" w:sz="4" w:space="0"/>
              <w:bottom w:val="single" w:color="auto" w:sz="4" w:space="0"/>
            </w:tcBorders>
            <w:vAlign w:val="center"/>
          </w:tcPr>
          <w:p w14:paraId="395CBD5B">
            <w:pPr>
              <w:keepNext w:val="0"/>
              <w:keepLines w:val="0"/>
              <w:suppressLineNumbers w:val="0"/>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本项目对应的中小企业划分标准所属行业</w:t>
            </w:r>
          </w:p>
        </w:tc>
        <w:tc>
          <w:tcPr>
            <w:tcW w:w="6656" w:type="dxa"/>
            <w:tcBorders>
              <w:top w:val="single" w:color="auto" w:sz="4" w:space="0"/>
              <w:left w:val="single" w:color="auto" w:sz="4" w:space="0"/>
              <w:bottom w:val="single" w:color="auto" w:sz="4" w:space="0"/>
            </w:tcBorders>
            <w:vAlign w:val="center"/>
          </w:tcPr>
          <w:p w14:paraId="6AAB981C">
            <w:pPr>
              <w:keepNext w:val="0"/>
              <w:keepLines w:val="0"/>
              <w:suppressLineNumbers w:val="0"/>
              <w:snapToGrid w:val="0"/>
              <w:spacing w:before="0" w:beforeAutospacing="0" w:after="0" w:afterAutospacing="0" w:line="500" w:lineRule="exact"/>
              <w:ind w:left="0" w:right="0"/>
              <w:rPr>
                <w:rFonts w:hint="eastAsia" w:ascii="宋体" w:hAnsi="宋体" w:eastAsia="宋体" w:cs="宋体"/>
                <w:color w:val="auto"/>
                <w:szCs w:val="20"/>
                <w:highlight w:val="none"/>
              </w:rPr>
            </w:pPr>
            <w:r>
              <w:rPr>
                <w:rFonts w:hint="eastAsia" w:ascii="宋体" w:hAnsi="宋体" w:eastAsia="宋体" w:cs="宋体"/>
                <w:color w:val="auto"/>
                <w:sz w:val="21"/>
                <w:szCs w:val="21"/>
                <w:highlight w:val="none"/>
              </w:rPr>
              <w:t>根据《关于印发中小企业划型标准规定的通知》（工信部联企业〔2011〕300号），本项目</w:t>
            </w:r>
            <w:r>
              <w:rPr>
                <w:rFonts w:hint="eastAsia" w:ascii="宋体" w:hAnsi="宋体" w:eastAsia="宋体" w:cs="宋体"/>
                <w:snapToGrid w:val="0"/>
                <w:color w:val="auto"/>
                <w:sz w:val="21"/>
                <w:szCs w:val="21"/>
                <w:highlight w:val="none"/>
              </w:rPr>
              <w:t>对应的中小企业</w:t>
            </w:r>
            <w:r>
              <w:rPr>
                <w:rFonts w:hint="eastAsia" w:ascii="宋体" w:hAnsi="宋体" w:eastAsia="宋体" w:cs="宋体"/>
                <w:color w:val="auto"/>
                <w:sz w:val="21"/>
                <w:szCs w:val="21"/>
                <w:highlight w:val="none"/>
              </w:rPr>
              <w:t>按所属行业为</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其他未列明行业——社会工作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0005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37309D3">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22" w:type="dxa"/>
            <w:tcBorders>
              <w:top w:val="single" w:color="auto" w:sz="4" w:space="0"/>
              <w:left w:val="single" w:color="auto" w:sz="4" w:space="0"/>
              <w:bottom w:val="single" w:color="auto" w:sz="4" w:space="0"/>
            </w:tcBorders>
            <w:vAlign w:val="center"/>
          </w:tcPr>
          <w:p w14:paraId="03191ADB">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节能产品</w:t>
            </w:r>
          </w:p>
        </w:tc>
        <w:tc>
          <w:tcPr>
            <w:tcW w:w="6656" w:type="dxa"/>
            <w:tcBorders>
              <w:top w:val="single" w:color="auto" w:sz="4" w:space="0"/>
              <w:left w:val="single" w:color="auto" w:sz="4" w:space="0"/>
              <w:bottom w:val="single" w:color="auto" w:sz="4" w:space="0"/>
            </w:tcBorders>
            <w:vAlign w:val="center"/>
          </w:tcPr>
          <w:p w14:paraId="7CB97771">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0"/>
                <w:highlight w:val="none"/>
              </w:rPr>
              <w:t>□</w:t>
            </w:r>
            <w:r>
              <w:rPr>
                <w:rFonts w:hint="eastAsia" w:ascii="宋体" w:hAnsi="宋体" w:eastAsia="宋体" w:cs="宋体"/>
                <w:color w:val="auto"/>
                <w:sz w:val="21"/>
                <w:szCs w:val="21"/>
                <w:highlight w:val="none"/>
              </w:rPr>
              <w:t xml:space="preserve"> 强制采购节能产品</w:t>
            </w:r>
          </w:p>
          <w:p w14:paraId="331BB48A">
            <w:pPr>
              <w:pStyle w:val="109"/>
              <w:keepNext w:val="0"/>
              <w:keepLines w:val="0"/>
              <w:suppressLineNumbers w:val="0"/>
              <w:adjustRightInd w:val="0"/>
              <w:snapToGrid w:val="0"/>
              <w:spacing w:before="0" w:beforeAutospacing="0" w:after="0" w:afterAutospacing="0" w:line="460" w:lineRule="exact"/>
              <w:ind w:left="0" w:right="0" w:firstLine="0" w:firstLineChars="0"/>
              <w:jc w:val="left"/>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sym w:font="Wingdings 2" w:char="00A3"/>
            </w:r>
            <w:r>
              <w:rPr>
                <w:rFonts w:hint="eastAsia" w:ascii="宋体" w:hAnsi="宋体" w:eastAsia="宋体" w:cs="宋体"/>
                <w:color w:val="auto"/>
                <w:sz w:val="21"/>
                <w:szCs w:val="20"/>
                <w:highlight w:val="none"/>
              </w:rPr>
              <w:t xml:space="preserve"> 优先采购节能产品</w:t>
            </w:r>
          </w:p>
          <w:p w14:paraId="63822FCA">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Cs w:val="20"/>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 xml:space="preserve"> 不适用</w:t>
            </w:r>
          </w:p>
        </w:tc>
      </w:tr>
      <w:tr w14:paraId="79A9C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7D889975">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22" w:type="dxa"/>
            <w:tcBorders>
              <w:top w:val="single" w:color="auto" w:sz="4" w:space="0"/>
              <w:left w:val="single" w:color="auto" w:sz="4" w:space="0"/>
              <w:bottom w:val="single" w:color="auto" w:sz="4" w:space="0"/>
            </w:tcBorders>
            <w:vAlign w:val="center"/>
          </w:tcPr>
          <w:p w14:paraId="700AA2BA">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环境标志产品</w:t>
            </w:r>
          </w:p>
        </w:tc>
        <w:tc>
          <w:tcPr>
            <w:tcW w:w="6656" w:type="dxa"/>
            <w:tcBorders>
              <w:top w:val="single" w:color="auto" w:sz="4" w:space="0"/>
              <w:left w:val="single" w:color="auto" w:sz="4" w:space="0"/>
              <w:bottom w:val="single" w:color="auto" w:sz="4" w:space="0"/>
            </w:tcBorders>
            <w:vAlign w:val="center"/>
          </w:tcPr>
          <w:p w14:paraId="6489E9EF">
            <w:pPr>
              <w:pStyle w:val="109"/>
              <w:keepNext w:val="0"/>
              <w:keepLines w:val="0"/>
              <w:suppressLineNumbers w:val="0"/>
              <w:adjustRightInd w:val="0"/>
              <w:snapToGrid w:val="0"/>
              <w:spacing w:before="0" w:beforeAutospacing="0" w:after="0" w:afterAutospacing="0" w:line="460" w:lineRule="exact"/>
              <w:ind w:left="0" w:right="0" w:firstLine="0" w:firstLineChars="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sym w:font="Wingdings 2" w:char="00A3"/>
            </w:r>
            <w:r>
              <w:rPr>
                <w:rFonts w:hint="eastAsia" w:ascii="宋体" w:hAnsi="宋体" w:eastAsia="宋体" w:cs="宋体"/>
                <w:color w:val="auto"/>
                <w:sz w:val="21"/>
                <w:szCs w:val="20"/>
                <w:highlight w:val="none"/>
              </w:rPr>
              <w:t xml:space="preserve"> 优先采购环境标志产品</w:t>
            </w:r>
          </w:p>
          <w:p w14:paraId="680BBA70">
            <w:pPr>
              <w:keepNext w:val="0"/>
              <w:keepLines w:val="0"/>
              <w:suppressLineNumbers w:val="0"/>
              <w:snapToGrid w:val="0"/>
              <w:spacing w:before="0" w:beforeAutospacing="0" w:after="0" w:afterAutospacing="0" w:line="460" w:lineRule="exact"/>
              <w:ind w:left="0" w:right="0"/>
              <w:rPr>
                <w:rFonts w:hint="eastAsia" w:ascii="宋体" w:hAnsi="宋体" w:eastAsia="宋体" w:cs="宋体"/>
                <w:color w:val="auto"/>
                <w:szCs w:val="20"/>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 xml:space="preserve"> 不适用</w:t>
            </w:r>
          </w:p>
        </w:tc>
      </w:tr>
      <w:tr w14:paraId="1CE2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26648C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878" w:type="dxa"/>
            <w:gridSpan w:val="2"/>
            <w:tcBorders>
              <w:top w:val="single" w:color="auto" w:sz="4" w:space="0"/>
              <w:left w:val="single" w:color="auto" w:sz="4" w:space="0"/>
              <w:bottom w:val="single" w:color="auto" w:sz="4" w:space="0"/>
            </w:tcBorders>
            <w:vAlign w:val="center"/>
          </w:tcPr>
          <w:p w14:paraId="01B8C8B7">
            <w:pPr>
              <w:keepNext w:val="0"/>
              <w:keepLines w:val="0"/>
              <w:numPr>
                <w:ilvl w:val="255"/>
                <w:numId w:val="0"/>
              </w:numPr>
              <w:suppressLineNumbers w:val="0"/>
              <w:tabs>
                <w:tab w:val="left" w:pos="1260"/>
              </w:tabs>
              <w:autoSpaceDE/>
              <w:autoSpaceDN/>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磋商响应文件（磋商响应文件）的递交：</w:t>
            </w:r>
          </w:p>
          <w:p w14:paraId="3C757625">
            <w:pPr>
              <w:keepNext w:val="0"/>
              <w:keepLines w:val="0"/>
              <w:numPr>
                <w:ilvl w:val="255"/>
                <w:numId w:val="0"/>
              </w:numPr>
              <w:suppressLineNumbers w:val="0"/>
              <w:tabs>
                <w:tab w:val="left" w:pos="1260"/>
              </w:tabs>
              <w:autoSpaceDE/>
              <w:autoSpaceDN/>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本项目磋商响应文件分资格文件、商务技术文件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 w:val="0"/>
                <w:bCs w:val="0"/>
                <w:color w:val="auto"/>
                <w:sz w:val="21"/>
                <w:szCs w:val="21"/>
                <w:highlight w:val="none"/>
              </w:rPr>
              <w:t>部分</w:t>
            </w:r>
            <w:r>
              <w:rPr>
                <w:rFonts w:hint="eastAsia" w:ascii="宋体" w:hAnsi="宋体" w:eastAsia="宋体" w:cs="宋体"/>
                <w:color w:val="auto"/>
                <w:sz w:val="21"/>
                <w:szCs w:val="21"/>
                <w:highlight w:val="none"/>
              </w:rPr>
              <w:t>。磋商响应供应商应以以下方式递交磋商响应文件：</w:t>
            </w:r>
          </w:p>
          <w:p w14:paraId="01943575">
            <w:pPr>
              <w:keepNext w:val="0"/>
              <w:keepLines w:val="0"/>
              <w:numPr>
                <w:ilvl w:val="255"/>
                <w:numId w:val="0"/>
              </w:numPr>
              <w:suppressLineNumbers w:val="0"/>
              <w:tabs>
                <w:tab w:val="left" w:pos="1260"/>
              </w:tabs>
              <w:autoSpaceDE/>
              <w:autoSpaceDN/>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★1.本项目实行“网上电子磋商响应、电子评标”，磋商响应供应商应于磋商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截止时间前在“政采云”（ 电子交易客户端）上传输、递交电子版磋商响应文件（包括资格文件、商务技术文件和报价文件）；</w:t>
            </w:r>
          </w:p>
          <w:p w14:paraId="27086F7A">
            <w:pPr>
              <w:keepNext w:val="0"/>
              <w:keepLines w:val="0"/>
              <w:numPr>
                <w:ilvl w:val="255"/>
                <w:numId w:val="0"/>
              </w:numPr>
              <w:suppressLineNumbers w:val="0"/>
              <w:tabs>
                <w:tab w:val="left" w:pos="1260"/>
              </w:tabs>
              <w:autoSpaceDE/>
              <w:autoSpaceDN/>
              <w:spacing w:before="0" w:beforeAutospacing="0" w:after="0" w:afterAutospacing="0" w:line="400" w:lineRule="exact"/>
              <w:ind w:left="0" w:right="0"/>
              <w:jc w:val="both"/>
              <w:textAlignment w:val="auto"/>
              <w:rPr>
                <w:rFonts w:hint="eastAsia" w:ascii="宋体" w:hAnsi="宋体" w:eastAsia="宋体" w:cs="宋体"/>
                <w:color w:val="auto"/>
                <w:szCs w:val="20"/>
                <w:highlight w:val="none"/>
              </w:rPr>
            </w:pPr>
            <w:r>
              <w:rPr>
                <w:rFonts w:hint="eastAsia" w:ascii="宋体" w:hAnsi="宋体" w:eastAsia="宋体" w:cs="宋体"/>
                <w:bCs/>
                <w:color w:val="auto"/>
                <w:sz w:val="21"/>
                <w:szCs w:val="21"/>
                <w:highlight w:val="none"/>
              </w:rPr>
              <w:t>2.本磋商响应文件所涉及的法定代表人或其授权代表签字或盖章的内容，如果磋商响应供应商没有法定代表人电子签章，</w:t>
            </w:r>
            <w:r>
              <w:rPr>
                <w:rFonts w:hint="eastAsia" w:ascii="宋体" w:hAnsi="宋体" w:eastAsia="宋体" w:cs="宋体"/>
                <w:bCs/>
                <w:color w:val="auto"/>
                <w:sz w:val="21"/>
                <w:szCs w:val="21"/>
                <w:highlight w:val="none"/>
                <w:lang w:eastAsia="zh-CN"/>
              </w:rPr>
              <w:t>涉及</w:t>
            </w:r>
            <w:r>
              <w:rPr>
                <w:rFonts w:hint="eastAsia" w:ascii="宋体" w:hAnsi="宋体" w:eastAsia="宋体" w:cs="宋体"/>
                <w:bCs/>
                <w:color w:val="auto"/>
                <w:sz w:val="21"/>
                <w:szCs w:val="21"/>
                <w:highlight w:val="none"/>
              </w:rPr>
              <w:t xml:space="preserve">法定代表人或其授权代表签字或盖章的内容，磋商响应供应商可以线下签字或盖章后扫描上传。    </w:t>
            </w:r>
          </w:p>
        </w:tc>
      </w:tr>
      <w:tr w14:paraId="70EFE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16715AB5">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878" w:type="dxa"/>
            <w:gridSpan w:val="2"/>
            <w:tcBorders>
              <w:top w:val="single" w:color="auto" w:sz="4" w:space="0"/>
              <w:left w:val="single" w:color="auto" w:sz="4" w:space="0"/>
              <w:bottom w:val="single" w:color="auto" w:sz="4" w:space="0"/>
            </w:tcBorders>
            <w:vAlign w:val="center"/>
          </w:tcPr>
          <w:p w14:paraId="1DDB32E9">
            <w:pPr>
              <w:keepNext w:val="0"/>
              <w:keepLines w:val="0"/>
              <w:suppressLineNumbers w:val="0"/>
              <w:snapToGrid w:val="0"/>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w:t>
            </w:r>
          </w:p>
          <w:p w14:paraId="1319F38D">
            <w:pPr>
              <w:keepNext w:val="0"/>
              <w:keepLines w:val="0"/>
              <w:suppressLineNumbers w:val="0"/>
              <w:snapToGrid w:val="0"/>
              <w:spacing w:before="0" w:beforeAutospacing="0" w:after="0" w:afterAutospacing="0" w:line="440" w:lineRule="exact"/>
              <w:ind w:left="0" w:right="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14:paraId="51352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509425C">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878" w:type="dxa"/>
            <w:gridSpan w:val="2"/>
            <w:tcBorders>
              <w:top w:val="single" w:color="auto" w:sz="4" w:space="0"/>
              <w:left w:val="single" w:color="auto" w:sz="4" w:space="0"/>
              <w:bottom w:val="single" w:color="auto" w:sz="4" w:space="0"/>
            </w:tcBorders>
            <w:vAlign w:val="center"/>
          </w:tcPr>
          <w:p w14:paraId="7961B60D">
            <w:pPr>
              <w:keepNext w:val="0"/>
              <w:keepLines w:val="0"/>
              <w:suppressLineNumbers w:val="0"/>
              <w:snapToGrid w:val="0"/>
              <w:spacing w:before="0" w:beforeAutospacing="0" w:after="0" w:afterAutospacing="0" w:line="440" w:lineRule="exact"/>
              <w:ind w:left="0" w:right="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14：30</w:t>
            </w:r>
            <w:r>
              <w:rPr>
                <w:rFonts w:hint="eastAsia" w:ascii="宋体" w:hAnsi="宋体" w:eastAsia="宋体" w:cs="宋体"/>
                <w:color w:val="auto"/>
                <w:sz w:val="21"/>
                <w:szCs w:val="21"/>
                <w:highlight w:val="none"/>
              </w:rPr>
              <w:t>时，金华市双龙南街858号金华财富大厦（金华市行政服务中心新办事大厅4楼开标室）</w:t>
            </w:r>
          </w:p>
          <w:p w14:paraId="50B81B5A">
            <w:pPr>
              <w:keepNext w:val="0"/>
              <w:keepLines w:val="0"/>
              <w:suppressLineNumbers w:val="0"/>
              <w:snapToGrid w:val="0"/>
              <w:spacing w:before="0" w:beforeAutospacing="0" w:after="0" w:afterAutospacing="0" w:line="440" w:lineRule="exact"/>
              <w:ind w:left="0" w:right="0"/>
              <w:jc w:val="both"/>
              <w:textAlignment w:val="bottom"/>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截止开标时间，政采云（电子交易平台）自动提取所有</w:t>
            </w:r>
            <w:r>
              <w:rPr>
                <w:rFonts w:hint="eastAsia" w:ascii="宋体" w:hAnsi="宋体" w:eastAsia="宋体" w:cs="宋体"/>
                <w:bCs/>
                <w:color w:val="auto"/>
                <w:sz w:val="21"/>
                <w:szCs w:val="21"/>
                <w:highlight w:val="none"/>
              </w:rPr>
              <w:t>磋商响应文件</w:t>
            </w:r>
            <w:r>
              <w:rPr>
                <w:rFonts w:hint="eastAsia" w:ascii="宋体" w:hAnsi="宋体" w:eastAsia="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ascii="宋体" w:hAnsi="宋体" w:eastAsia="宋体" w:cs="宋体"/>
                <w:bCs/>
                <w:color w:val="auto"/>
                <w:sz w:val="21"/>
                <w:szCs w:val="21"/>
                <w:highlight w:val="none"/>
              </w:rPr>
              <w:t>磋商响应文件</w:t>
            </w:r>
            <w:r>
              <w:rPr>
                <w:rFonts w:hint="eastAsia" w:ascii="宋体" w:hAnsi="宋体" w:eastAsia="宋体" w:cs="宋体"/>
                <w:color w:val="auto"/>
                <w:sz w:val="21"/>
                <w:szCs w:val="21"/>
                <w:highlight w:val="none"/>
              </w:rPr>
              <w:t>；除另有规定外，磋商响应供应商未能在约定的解密时限内完成解密的，系统将默认其自动放弃投标。</w:t>
            </w:r>
          </w:p>
        </w:tc>
      </w:tr>
      <w:tr w14:paraId="2F79A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14:paraId="17D95C3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878" w:type="dxa"/>
            <w:gridSpan w:val="2"/>
            <w:tcBorders>
              <w:top w:val="single" w:color="auto" w:sz="4" w:space="0"/>
              <w:left w:val="single" w:color="auto" w:sz="4" w:space="0"/>
              <w:bottom w:val="single" w:color="auto" w:sz="4" w:space="0"/>
            </w:tcBorders>
            <w:vAlign w:val="center"/>
          </w:tcPr>
          <w:p w14:paraId="182CEEF4">
            <w:pPr>
              <w:keepNext w:val="0"/>
              <w:keepLines w:val="0"/>
              <w:suppressLineNumbers w:val="0"/>
              <w:snapToGrid w:val="0"/>
              <w:spacing w:before="0" w:beforeAutospacing="0" w:after="0" w:afterAutospacing="0" w:line="42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磋商办法：综合评分法</w:t>
            </w:r>
          </w:p>
        </w:tc>
      </w:tr>
      <w:tr w14:paraId="74791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14:paraId="3A1411B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878" w:type="dxa"/>
            <w:gridSpan w:val="2"/>
            <w:tcBorders>
              <w:top w:val="single" w:color="auto" w:sz="4" w:space="0"/>
              <w:left w:val="single" w:color="auto" w:sz="4" w:space="0"/>
              <w:bottom w:val="single" w:color="auto" w:sz="4" w:space="0"/>
            </w:tcBorders>
            <w:vAlign w:val="center"/>
          </w:tcPr>
          <w:p w14:paraId="4B907AF2">
            <w:pPr>
              <w:keepNext w:val="0"/>
              <w:keepLines w:val="0"/>
              <w:suppressLineNumbers w:val="0"/>
              <w:snapToGrid w:val="0"/>
              <w:spacing w:before="0" w:beforeAutospacing="0" w:after="0" w:afterAutospacing="0" w:line="42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磋商结果公示：浙江政府采购网</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http://zfcg.czt.zj.gov.cn/)</w:t>
            </w:r>
          </w:p>
        </w:tc>
      </w:tr>
      <w:tr w14:paraId="6B450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14:paraId="50DA66A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878" w:type="dxa"/>
            <w:gridSpan w:val="2"/>
            <w:tcBorders>
              <w:top w:val="single" w:color="auto" w:sz="4" w:space="0"/>
              <w:left w:val="single" w:color="auto" w:sz="4" w:space="0"/>
              <w:bottom w:val="single" w:color="auto" w:sz="4" w:space="0"/>
            </w:tcBorders>
            <w:vAlign w:val="center"/>
          </w:tcPr>
          <w:p w14:paraId="29054623">
            <w:pPr>
              <w:keepNext w:val="0"/>
              <w:keepLines w:val="0"/>
              <w:suppressLineNumbers w:val="0"/>
              <w:snapToGrid w:val="0"/>
              <w:spacing w:before="0" w:beforeAutospacing="0" w:after="0" w:afterAutospacing="0" w:line="42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签订合同时间：成交通知书发出后20日内。</w:t>
            </w:r>
          </w:p>
        </w:tc>
      </w:tr>
      <w:tr w14:paraId="03169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795B02C1">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878" w:type="dxa"/>
            <w:gridSpan w:val="2"/>
            <w:tcBorders>
              <w:top w:val="single" w:color="auto" w:sz="4" w:space="0"/>
              <w:left w:val="single" w:color="auto" w:sz="4" w:space="0"/>
              <w:bottom w:val="single" w:color="auto" w:sz="4" w:space="0"/>
            </w:tcBorders>
            <w:vAlign w:val="center"/>
          </w:tcPr>
          <w:p w14:paraId="66D4C404">
            <w:pPr>
              <w:keepNext w:val="0"/>
              <w:keepLines w:val="0"/>
              <w:suppressLineNumbers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磋商响应文件有效期：90天。</w:t>
            </w:r>
          </w:p>
        </w:tc>
      </w:tr>
      <w:tr w14:paraId="7CC77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0086F99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878" w:type="dxa"/>
            <w:gridSpan w:val="2"/>
            <w:tcBorders>
              <w:top w:val="single" w:color="auto" w:sz="4" w:space="0"/>
              <w:left w:val="single" w:color="auto" w:sz="4" w:space="0"/>
              <w:bottom w:val="single" w:color="auto" w:sz="4" w:space="0"/>
            </w:tcBorders>
            <w:vAlign w:val="center"/>
          </w:tcPr>
          <w:p w14:paraId="15713D11">
            <w:pPr>
              <w:keepNext w:val="0"/>
              <w:keepLines w:val="0"/>
              <w:suppressLineNumbers w:val="0"/>
              <w:snapToGrid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解释：本磋商采购文件的解释权属于磋商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tc>
      </w:tr>
    </w:tbl>
    <w:p w14:paraId="215EFF30">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146" w:name="_Toc237176507"/>
      <w:bookmarkStart w:id="147" w:name="_Toc184785920"/>
      <w:bookmarkStart w:id="148" w:name="_Toc217289131"/>
      <w:r>
        <w:rPr>
          <w:rFonts w:hint="eastAsia" w:ascii="宋体" w:hAnsi="宋体" w:eastAsia="宋体" w:cs="宋体"/>
          <w:b/>
          <w:color w:val="auto"/>
          <w:sz w:val="21"/>
          <w:szCs w:val="21"/>
          <w:highlight w:val="none"/>
        </w:rPr>
        <w:t>一 、总  则</w:t>
      </w:r>
    </w:p>
    <w:p w14:paraId="7485E33D">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6A78CBA9">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hAnsi="宋体" w:cs="宋体"/>
          <w:color w:val="auto"/>
          <w:sz w:val="21"/>
          <w:szCs w:val="21"/>
          <w:highlight w:val="none"/>
          <w:lang w:eastAsia="zh-CN"/>
        </w:rPr>
        <w:t>金华市婺城区人民法院多元解纷专项服务采购项目</w:t>
      </w:r>
      <w:r>
        <w:rPr>
          <w:rFonts w:hint="eastAsia" w:ascii="宋体" w:hAnsi="宋体" w:eastAsia="宋体" w:cs="宋体"/>
          <w:color w:val="auto"/>
          <w:sz w:val="21"/>
          <w:szCs w:val="21"/>
          <w:highlight w:val="none"/>
        </w:rPr>
        <w:t>的竞争性磋商采购、磋商响应、确定成交人、验收、合同履约、付款等行为（法律、法规另有规定的，从其规定）。</w:t>
      </w:r>
    </w:p>
    <w:p w14:paraId="5CFBC425">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690E2A39">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系指组织本次竞争性磋商采购的政府采购代理机构和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6C7C86D0">
      <w:pPr>
        <w:autoSpaceDE/>
        <w:autoSpaceDN/>
        <w:adjustRightInd/>
        <w:spacing w:line="50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.“响应供应商”（又称“投标人”）系指响应</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的采购需求并向磋商</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提交磋商响应文件（又称“投标文件”）的单位或个人。</w:t>
      </w:r>
    </w:p>
    <w:p w14:paraId="6E6298AD">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.“服务”系指采购文件规定供应商须承担的</w:t>
      </w:r>
      <w:r>
        <w:rPr>
          <w:rFonts w:hint="eastAsia" w:hAnsi="宋体" w:cs="宋体"/>
          <w:color w:val="auto"/>
          <w:sz w:val="21"/>
          <w:szCs w:val="21"/>
          <w:highlight w:val="none"/>
        </w:rPr>
        <w:t>诉源治理工作</w:t>
      </w:r>
      <w:r>
        <w:rPr>
          <w:rFonts w:hint="eastAsia" w:hAnsi="宋体" w:cs="宋体"/>
          <w:color w:val="auto"/>
          <w:sz w:val="21"/>
          <w:szCs w:val="21"/>
          <w:highlight w:val="none"/>
          <w:lang w:eastAsia="zh-CN"/>
        </w:rPr>
        <w:t>服务</w:t>
      </w:r>
      <w:r>
        <w:rPr>
          <w:rFonts w:hint="eastAsia" w:ascii="宋体" w:hAnsi="宋体" w:eastAsia="宋体" w:cs="宋体"/>
          <w:color w:val="auto"/>
          <w:sz w:val="21"/>
          <w:szCs w:val="21"/>
          <w:highlight w:val="none"/>
        </w:rPr>
        <w:t>以及有关的伴随服务。</w:t>
      </w:r>
    </w:p>
    <w:p w14:paraId="0D60682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.“项目”系指响应供应商按磋商采购文件规定向采购人提供的</w:t>
      </w:r>
      <w:r>
        <w:rPr>
          <w:rFonts w:hint="eastAsia" w:hAnsi="宋体" w:cs="宋体"/>
          <w:color w:val="auto"/>
          <w:sz w:val="21"/>
          <w:szCs w:val="21"/>
          <w:highlight w:val="none"/>
          <w:lang w:eastAsia="zh-CN"/>
        </w:rPr>
        <w:t>专业服务</w:t>
      </w:r>
      <w:r>
        <w:rPr>
          <w:rFonts w:hint="eastAsia" w:ascii="宋体" w:hAnsi="宋体" w:eastAsia="宋体" w:cs="宋体"/>
          <w:color w:val="auto"/>
          <w:sz w:val="21"/>
          <w:szCs w:val="21"/>
          <w:highlight w:val="none"/>
        </w:rPr>
        <w:t>。</w:t>
      </w:r>
    </w:p>
    <w:p w14:paraId="08CE3C29">
      <w:pPr>
        <w:autoSpaceDE/>
        <w:autoSpaceDN/>
        <w:adjustRightInd/>
        <w:spacing w:line="50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.“书面形式”包括信函、传真、电报等。</w:t>
      </w:r>
    </w:p>
    <w:p w14:paraId="7C7C7519">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.“★”系指实质性要求条款，</w:t>
      </w:r>
      <w:r>
        <w:rPr>
          <w:rFonts w:hint="eastAsia" w:ascii="宋体" w:hAnsi="宋体" w:eastAsia="宋体" w:cs="宋体"/>
          <w:color w:val="auto"/>
          <w:sz w:val="21"/>
          <w:highlight w:val="none"/>
        </w:rPr>
        <w:t>“▲”</w:t>
      </w:r>
      <w:r>
        <w:rPr>
          <w:rFonts w:hint="eastAsia" w:ascii="宋体" w:hAnsi="宋体" w:eastAsia="宋体" w:cs="宋体"/>
          <w:color w:val="auto"/>
          <w:sz w:val="21"/>
          <w:szCs w:val="21"/>
          <w:highlight w:val="none"/>
        </w:rPr>
        <w:t>系指</w:t>
      </w:r>
      <w:r>
        <w:rPr>
          <w:rFonts w:hint="eastAsia" w:ascii="宋体" w:hAnsi="宋体" w:eastAsia="宋体" w:cs="宋体"/>
          <w:color w:val="auto"/>
          <w:sz w:val="21"/>
          <w:highlight w:val="none"/>
        </w:rPr>
        <w:t>重</w:t>
      </w:r>
      <w:r>
        <w:rPr>
          <w:rFonts w:hint="eastAsia" w:ascii="宋体" w:hAnsi="宋体" w:eastAsia="宋体" w:cs="宋体"/>
          <w:color w:val="auto"/>
          <w:sz w:val="21"/>
          <w:szCs w:val="21"/>
          <w:highlight w:val="none"/>
        </w:rPr>
        <w:t>要条款。</w:t>
      </w:r>
    </w:p>
    <w:p w14:paraId="517555F2">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式</w:t>
      </w:r>
    </w:p>
    <w:p w14:paraId="5330A61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本次采购采用竞争性磋商方式进行。</w:t>
      </w:r>
    </w:p>
    <w:p w14:paraId="0DA355F1">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（四）磋商委托</w:t>
      </w:r>
    </w:p>
    <w:p w14:paraId="0B63228C">
      <w:pPr>
        <w:autoSpaceDE/>
        <w:autoSpaceDN/>
        <w:adjustRightInd/>
        <w:spacing w:line="500" w:lineRule="exact"/>
        <w:ind w:firstLine="525" w:firstLineChars="25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14:paraId="6EDD03AB">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（五）磋商费用</w:t>
      </w:r>
    </w:p>
    <w:p w14:paraId="1578E1A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不论磋商结果如何，响应供应商均应自行承担所有与本次竞争性磋商有关的全部费用（磋商采购文件有相反规定除外）。</w:t>
      </w:r>
    </w:p>
    <w:p w14:paraId="215296E6">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（六）联合体的竞争性磋商</w:t>
      </w:r>
    </w:p>
    <w:p w14:paraId="45DCB191">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本项目不接受供应商以联合体形式参与磋商。</w:t>
      </w:r>
    </w:p>
    <w:p w14:paraId="143B021C">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）转包与分包</w:t>
      </w:r>
    </w:p>
    <w:p w14:paraId="326B7A9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1.转包：本项目不允许转包。</w:t>
      </w:r>
    </w:p>
    <w:p w14:paraId="2A67581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允许，本项目不可以分包。</w:t>
      </w:r>
    </w:p>
    <w:p w14:paraId="01A8470E">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2AE34CD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响应供应商参加竞争性磋商所使用的资格、信誉、荣誉、业绩与企业认证必须为本单位（或本投标联合体）所拥有。响应供应商参加竞争性磋商所使用的采购项目实施人员必须为本单位（或本投标联合体）员工。</w:t>
      </w:r>
    </w:p>
    <w:p w14:paraId="5CCFFD9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.响应供应商应仔细阅读磋商采购文件的所有内容，按照磋商采购文件的要求提交磋商响应文件。响应供应商必须对磋商响应文件所提供的全部资料的真实性承担法律责任，并无条件接受采购代理机构、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及政府采购监督管理部门等对其中任何资料进行核实的要求。</w:t>
      </w:r>
    </w:p>
    <w:p w14:paraId="53B97DE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响应供应商在竞争性磋商采购活动中提供任何虚假材料均视为无效，并将报请监管部门查处；成交后发现的,成交供应商须根据我国的相关法律法规进行处罚，且民事赔偿并不免除违法响应供应商的行政与刑事责任。</w:t>
      </w:r>
    </w:p>
    <w:p w14:paraId="6220B743">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134D2F1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1.响应供应商认为磋商采购文件、磋商采购过程或成交结果使自己的合法权益受到损害的，应当在知道或者应知其权益受到损害之日起七个工作日内，以书面形式向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、采购代理机构提出质疑。响应供应商对磋商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的质疑答复不满意或者磋商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未在规定时间内作出答复的，可以在答复期满后十五个工作日内向同级采购监管部门投诉。</w:t>
      </w:r>
    </w:p>
    <w:p w14:paraId="38BD83A3">
      <w:pPr>
        <w:autoSpaceDE/>
        <w:autoSpaceDN/>
        <w:adjustRightInd/>
        <w:spacing w:line="500" w:lineRule="exact"/>
        <w:ind w:firstLine="420" w:firstLineChars="200"/>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2.质疑、投诉应当符合中华人民共和国财政部令第94号《政府采购质疑和投诉办法》、财库【2014】214号《政府采购竞争性磋商采购方式管理暂行办法》等的规定，并分别采用财政部发布的《政府采购供应商质疑函范本》和《政府采购供应商投诉书范本》等书面形式，质疑书、投诉书均应明确阐述磋商采购文件、磋商采购过程或成交结果中使自己合法权益受到损害的实质性内容，提供相关事实、依据和证据及其来源或线索，便于有关单位调查、答复和处理。</w:t>
      </w:r>
      <w:r>
        <w:rPr>
          <w:rFonts w:hint="eastAsia" w:ascii="宋体" w:hAnsi="宋体" w:eastAsia="宋体" w:cs="宋体"/>
          <w:bCs/>
          <w:color w:val="auto"/>
          <w:sz w:val="21"/>
          <w:szCs w:val="21"/>
          <w:highlight w:val="none"/>
        </w:rPr>
        <w:t>质疑函范本、投诉书范本请到浙江政府采购网下载专区下载。</w:t>
      </w:r>
    </w:p>
    <w:p w14:paraId="3302785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zh-CN"/>
        </w:rPr>
        <w:t>须在法定质疑期内一次性提出针对同一采购程序环节的质疑。未按上述要求提供的质疑函，采购代理机构有权不予受理。</w:t>
      </w:r>
    </w:p>
    <w:p w14:paraId="30B55D35">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二、磋商文件</w:t>
      </w:r>
    </w:p>
    <w:p w14:paraId="7F0102D1">
      <w:pPr>
        <w:pStyle w:val="100"/>
        <w:numPr>
          <w:ilvl w:val="0"/>
          <w:numId w:val="4"/>
        </w:numPr>
        <w:spacing w:line="460" w:lineRule="exact"/>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磋商文件的构成。本磋商文件由以下部分组成：</w:t>
      </w:r>
    </w:p>
    <w:p w14:paraId="77F690B7">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3540959A">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p>
    <w:p w14:paraId="3707C2D9">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3.响应供应商须知</w:t>
      </w:r>
    </w:p>
    <w:p w14:paraId="5771FA70">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4.磋商办法及评分标准</w:t>
      </w:r>
    </w:p>
    <w:p w14:paraId="414FE2C2">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2EAF8801">
      <w:pPr>
        <w:pStyle w:val="119"/>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6.应提交的响应文件格式范例</w:t>
      </w:r>
    </w:p>
    <w:p w14:paraId="00E1A25D">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7.本项目磋商采购文件的澄清、答复、修改、补充的内容（如有）</w:t>
      </w:r>
    </w:p>
    <w:p w14:paraId="7DD223A6">
      <w:pPr>
        <w:autoSpaceDE/>
        <w:autoSpaceDN/>
        <w:adjustRightInd/>
        <w:spacing w:line="500" w:lineRule="exact"/>
        <w:ind w:firstLine="211" w:firstLineChars="1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（二）响应供应商的风险</w:t>
      </w:r>
    </w:p>
    <w:p w14:paraId="330AB29A">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1.响应供应商没有按照磋商采购文件要求提供全部资料，或者响应供应商没有对磋商采购文件在各方面作出实质性响应是响应供应商的风险，并可能导致其递交的磋商响应文件被拒绝。</w:t>
      </w:r>
    </w:p>
    <w:p w14:paraId="2CE83485">
      <w:pPr>
        <w:pStyle w:val="2"/>
        <w:spacing w:after="0" w:line="500" w:lineRule="exact"/>
        <w:ind w:left="0" w:leftChars="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eastAsia="zh-CN"/>
        </w:rPr>
        <w:t>采购人</w:t>
      </w:r>
      <w:r>
        <w:rPr>
          <w:rFonts w:hint="eastAsia" w:ascii="宋体" w:hAnsi="宋体" w:eastAsia="宋体" w:cs="宋体"/>
          <w:color w:val="auto"/>
          <w:kern w:val="0"/>
          <w:highlight w:val="none"/>
        </w:rPr>
        <w:t>、采购代理机构不保证所有已完成报名的供应商都符合资格要求。</w:t>
      </w:r>
    </w:p>
    <w:p w14:paraId="4768CA4E">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（三）磋商采购文件的澄清与修改</w:t>
      </w:r>
    </w:p>
    <w:p w14:paraId="5754ABF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1.响应供应商应认真阅读本磋商采购文件，发现其中有误或有不合理要求的，响应供应商必须在</w:t>
      </w:r>
      <w:r>
        <w:rPr>
          <w:rFonts w:hint="eastAsia" w:ascii="宋体" w:hAnsi="宋体" w:eastAsia="宋体" w:cs="宋体"/>
          <w:b/>
          <w:color w:val="auto"/>
          <w:sz w:val="21"/>
          <w:szCs w:val="21"/>
          <w:highlight w:val="none"/>
        </w:rPr>
        <w:t>磋商响应文件递交截止时间5日前以书面形式要求磋商</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澄清。</w:t>
      </w:r>
      <w:r>
        <w:rPr>
          <w:rFonts w:hint="eastAsia" w:ascii="宋体" w:hAnsi="宋体" w:eastAsia="宋体" w:cs="宋体"/>
          <w:color w:val="auto"/>
          <w:sz w:val="21"/>
          <w:szCs w:val="21"/>
          <w:highlight w:val="none"/>
        </w:rPr>
        <w:t>采购代理机构对已发出的磋商采购文件进行必要澄清、答复、修改或补充的，应当在磋商采购文件要求提交磋商响应文件截止时间5日前，在财政部门指定的政府采购信息发布媒体上发布更正公告，并以书面形式通知所有磋商采购文件收受人。</w:t>
      </w:r>
    </w:p>
    <w:p w14:paraId="446D576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2.采购代理机构必须以书面形式答复响应供应商要求澄清的问题，并将不包含问题来源的答复书面通知所有购买磋商采购文件的响应供应商；除书面答复以外的其他澄清方式及澄清内容均无效。</w:t>
      </w:r>
    </w:p>
    <w:p w14:paraId="0C83D82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3.磋商采购文件澄清、答复、修改、补充的内容为磋商采购文件的组成部分。当磋商采购文件与磋商采购文件的答复、澄清、修改、补充通知就同一内容的表述不一致时，以最后发出的书面文件为准。</w:t>
      </w:r>
    </w:p>
    <w:p w14:paraId="6375AA8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4.磋商采购文件的澄清、答复、修改或补充都应该通过本代理机构以法定形式发布，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非通过本机构，不得擅自澄清、答复、修改或补充磋商采购文件。</w:t>
      </w:r>
    </w:p>
    <w:p w14:paraId="6909A314">
      <w:pPr>
        <w:autoSpaceDE/>
        <w:autoSpaceDN/>
        <w:adjustRightInd/>
        <w:spacing w:line="48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三、磋商响应文件的编制</w:t>
      </w:r>
    </w:p>
    <w:p w14:paraId="1CAAE398">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（一）磋商响应文件的组成</w:t>
      </w:r>
    </w:p>
    <w:p w14:paraId="2937127C">
      <w:pPr>
        <w:snapToGrid w:val="0"/>
        <w:spacing w:line="500" w:lineRule="exact"/>
        <w:ind w:firstLine="422" w:firstLineChars="200"/>
        <w:rPr>
          <w:rFonts w:hint="eastAsia" w:ascii="宋体" w:hAnsi="宋体" w:eastAsia="宋体" w:cs="宋体"/>
          <w:b/>
          <w:color w:val="auto"/>
          <w:sz w:val="21"/>
          <w:szCs w:val="21"/>
          <w:highlight w:val="none"/>
        </w:rPr>
      </w:pPr>
      <w:bookmarkStart w:id="149" w:name="_Toc8176"/>
      <w:r>
        <w:rPr>
          <w:rFonts w:hint="eastAsia" w:ascii="宋体" w:hAnsi="宋体" w:eastAsia="宋体" w:cs="宋体"/>
          <w:b/>
          <w:color w:val="auto"/>
          <w:sz w:val="21"/>
          <w:szCs w:val="21"/>
          <w:highlight w:val="none"/>
        </w:rPr>
        <w:t>1.磋商响应文件为电子投标文件。</w:t>
      </w:r>
      <w:bookmarkEnd w:id="149"/>
    </w:p>
    <w:p w14:paraId="0FEFA626">
      <w:pPr>
        <w:snapToGrid w:val="0"/>
        <w:spacing w:line="500" w:lineRule="exact"/>
        <w:ind w:firstLine="422" w:firstLineChars="200"/>
        <w:rPr>
          <w:rFonts w:hint="eastAsia" w:ascii="宋体" w:hAnsi="宋体" w:eastAsia="宋体" w:cs="宋体"/>
          <w:b/>
          <w:color w:val="auto"/>
          <w:sz w:val="21"/>
          <w:szCs w:val="21"/>
          <w:highlight w:val="none"/>
        </w:rPr>
      </w:pPr>
      <w:bookmarkStart w:id="150" w:name="_Toc8263"/>
      <w:r>
        <w:rPr>
          <w:rFonts w:hint="eastAsia" w:ascii="宋体" w:hAnsi="宋体" w:eastAsia="宋体" w:cs="宋体"/>
          <w:b/>
          <w:color w:val="auto"/>
          <w:sz w:val="21"/>
          <w:szCs w:val="21"/>
          <w:highlight w:val="none"/>
        </w:rPr>
        <w:t>1.1电子投标文件：电子投标文件按政采云平台供应商项目采购-电子交易操作指南（</w:t>
      </w:r>
      <w:r>
        <w:rPr>
          <w:rFonts w:hint="eastAsia" w:ascii="宋体" w:hAnsi="宋体" w:eastAsia="宋体" w:cs="宋体"/>
          <w:color w:val="auto"/>
          <w:sz w:val="21"/>
          <w:szCs w:val="21"/>
          <w:highlight w:val="none"/>
          <w:shd w:val="clear" w:color="auto" w:fill="FFFFFF"/>
        </w:rPr>
        <w:t>https://edu.zcygov.cn/luban/e-biding?utm=a0004.2ef5001f.0001.0109.da8b35e0da8611e98d8937b7ef8a3544</w:t>
      </w:r>
      <w:r>
        <w:rPr>
          <w:rFonts w:hint="eastAsia" w:ascii="宋体" w:hAnsi="宋体" w:eastAsia="宋体" w:cs="宋体"/>
          <w:b/>
          <w:color w:val="auto"/>
          <w:sz w:val="21"/>
          <w:szCs w:val="21"/>
          <w:highlight w:val="none"/>
        </w:rPr>
        <w:t>）及本采购文件要求制作、加密并递交；</w:t>
      </w:r>
      <w:bookmarkEnd w:id="150"/>
    </w:p>
    <w:p w14:paraId="367C19B4">
      <w:pPr>
        <w:snapToGrid w:val="0"/>
        <w:spacing w:line="500" w:lineRule="exact"/>
        <w:ind w:firstLine="422" w:firstLineChars="200"/>
        <w:rPr>
          <w:rFonts w:hint="eastAsia" w:ascii="宋体" w:hAnsi="宋体" w:eastAsia="宋体" w:cs="宋体"/>
          <w:b/>
          <w:color w:val="auto"/>
          <w:sz w:val="21"/>
          <w:szCs w:val="21"/>
          <w:highlight w:val="none"/>
        </w:rPr>
      </w:pPr>
      <w:bookmarkStart w:id="151" w:name="_Toc12235"/>
      <w:r>
        <w:rPr>
          <w:rFonts w:hint="eastAsia" w:ascii="宋体" w:hAnsi="宋体" w:eastAsia="宋体" w:cs="宋体"/>
          <w:b/>
          <w:color w:val="auto"/>
          <w:sz w:val="21"/>
          <w:szCs w:val="21"/>
          <w:highlight w:val="none"/>
        </w:rPr>
        <w:t>（二）投标文件的组成</w:t>
      </w:r>
      <w:bookmarkEnd w:id="151"/>
    </w:p>
    <w:p w14:paraId="466F353C">
      <w:pPr>
        <w:snapToGrid w:val="0"/>
        <w:spacing w:line="500" w:lineRule="exact"/>
        <w:ind w:firstLine="422" w:firstLineChars="200"/>
        <w:rPr>
          <w:rFonts w:hint="eastAsia" w:ascii="宋体" w:hAnsi="宋体" w:eastAsia="宋体" w:cs="宋体"/>
          <w:b/>
          <w:color w:val="auto"/>
          <w:sz w:val="21"/>
          <w:szCs w:val="21"/>
          <w:highlight w:val="none"/>
        </w:rPr>
      </w:pPr>
      <w:bookmarkStart w:id="152" w:name="_Toc18439"/>
      <w:bookmarkStart w:id="153" w:name="_Toc29267"/>
      <w:r>
        <w:rPr>
          <w:rFonts w:hint="eastAsia" w:ascii="宋体" w:hAnsi="宋体" w:eastAsia="宋体" w:cs="宋体"/>
          <w:b/>
          <w:color w:val="auto"/>
          <w:sz w:val="21"/>
          <w:szCs w:val="21"/>
          <w:highlight w:val="none"/>
        </w:rPr>
        <w:t>磋商响应文件（电子投标文件）由资格文件、商务技术文件</w:t>
      </w:r>
      <w:r>
        <w:rPr>
          <w:rFonts w:hint="eastAsia" w:ascii="宋体" w:hAnsi="宋体" w:eastAsia="宋体" w:cs="宋体"/>
          <w:b/>
          <w:color w:val="auto"/>
          <w:sz w:val="21"/>
          <w:szCs w:val="21"/>
          <w:highlight w:val="none"/>
          <w:lang w:val="en-US" w:eastAsia="zh-CN"/>
        </w:rPr>
        <w:t>和</w:t>
      </w:r>
      <w:r>
        <w:rPr>
          <w:rFonts w:hint="eastAsia" w:ascii="宋体" w:hAnsi="宋体" w:eastAsia="宋体" w:cs="宋体"/>
          <w:b/>
          <w:color w:val="auto"/>
          <w:sz w:val="21"/>
          <w:szCs w:val="21"/>
          <w:highlight w:val="none"/>
        </w:rPr>
        <w:t>报价文件</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bCs/>
          <w:color w:val="auto"/>
          <w:sz w:val="21"/>
          <w:szCs w:val="21"/>
          <w:highlight w:val="none"/>
        </w:rPr>
        <w:t>部分</w:t>
      </w:r>
      <w:r>
        <w:rPr>
          <w:rFonts w:hint="eastAsia" w:ascii="宋体" w:hAnsi="宋体" w:eastAsia="宋体" w:cs="宋体"/>
          <w:b/>
          <w:color w:val="auto"/>
          <w:sz w:val="21"/>
          <w:szCs w:val="21"/>
          <w:highlight w:val="none"/>
        </w:rPr>
        <w:t>。</w:t>
      </w:r>
      <w:bookmarkEnd w:id="152"/>
    </w:p>
    <w:bookmarkEnd w:id="153"/>
    <w:p w14:paraId="200D9CBF">
      <w:pPr>
        <w:snapToGrid w:val="0"/>
        <w:spacing w:line="500" w:lineRule="exact"/>
        <w:ind w:firstLine="422" w:firstLineChars="200"/>
        <w:rPr>
          <w:rFonts w:hint="eastAsia" w:ascii="宋体" w:hAnsi="宋体" w:eastAsia="宋体" w:cs="宋体"/>
          <w:b/>
          <w:color w:val="auto"/>
          <w:sz w:val="21"/>
          <w:szCs w:val="21"/>
          <w:highlight w:val="none"/>
        </w:rPr>
      </w:pPr>
      <w:bookmarkStart w:id="154" w:name="_Toc12140"/>
      <w:r>
        <w:rPr>
          <w:rFonts w:hint="eastAsia" w:ascii="宋体" w:hAnsi="宋体" w:eastAsia="宋体" w:cs="宋体"/>
          <w:b/>
          <w:color w:val="auto"/>
          <w:sz w:val="21"/>
          <w:szCs w:val="21"/>
          <w:highlight w:val="none"/>
        </w:rPr>
        <w:t>磋商响应文件（电子投标文件）中所</w:t>
      </w:r>
      <w:r>
        <w:rPr>
          <w:rFonts w:hint="eastAsia" w:hAnsi="宋体" w:cs="宋体"/>
          <w:b/>
          <w:color w:val="auto"/>
          <w:sz w:val="21"/>
          <w:szCs w:val="21"/>
          <w:highlight w:val="none"/>
          <w:lang w:eastAsia="zh-CN"/>
        </w:rPr>
        <w:t>需</w:t>
      </w:r>
      <w:r>
        <w:rPr>
          <w:rFonts w:hint="eastAsia" w:ascii="宋体" w:hAnsi="宋体" w:eastAsia="宋体" w:cs="宋体"/>
          <w:b/>
          <w:color w:val="auto"/>
          <w:sz w:val="21"/>
          <w:szCs w:val="21"/>
          <w:highlight w:val="none"/>
        </w:rPr>
        <w:t>加盖公章部分均采用CA签章。</w:t>
      </w:r>
      <w:bookmarkEnd w:id="154"/>
    </w:p>
    <w:p w14:paraId="30FFD80E">
      <w:pPr>
        <w:snapToGrid w:val="0"/>
        <w:spacing w:line="500" w:lineRule="exact"/>
        <w:ind w:firstLine="422" w:firstLineChars="200"/>
        <w:rPr>
          <w:rFonts w:hint="eastAsia" w:ascii="宋体" w:hAnsi="宋体" w:eastAsia="宋体" w:cs="宋体"/>
          <w:color w:val="auto"/>
          <w:sz w:val="21"/>
          <w:szCs w:val="21"/>
          <w:highlight w:val="none"/>
        </w:rPr>
      </w:pPr>
      <w:bookmarkStart w:id="155" w:name="_Toc8770"/>
      <w:r>
        <w:rPr>
          <w:rFonts w:hint="eastAsia" w:ascii="宋体" w:hAnsi="宋体" w:eastAsia="宋体" w:cs="宋体"/>
          <w:b/>
          <w:color w:val="auto"/>
          <w:sz w:val="21"/>
          <w:szCs w:val="21"/>
          <w:highlight w:val="none"/>
        </w:rPr>
        <w:t>注：本项目磋商响应价格的信息只允许出现在“报价文件”中，不得出现在资格文件、商务技术文件中。</w:t>
      </w:r>
      <w:bookmarkEnd w:id="155"/>
    </w:p>
    <w:p w14:paraId="182DCAFB">
      <w:pPr>
        <w:snapToGrid w:val="0"/>
        <w:spacing w:line="460" w:lineRule="atLeast"/>
        <w:ind w:firstLine="422" w:firstLineChars="200"/>
        <w:textAlignment w:val="bottom"/>
        <w:rPr>
          <w:rFonts w:hint="eastAsia" w:ascii="宋体" w:hAnsi="宋体" w:eastAsia="宋体" w:cs="宋体"/>
          <w:color w:val="auto"/>
          <w:highlight w:val="none"/>
        </w:rPr>
      </w:pPr>
      <w:r>
        <w:rPr>
          <w:rFonts w:hint="eastAsia" w:ascii="宋体" w:hAnsi="宋体" w:eastAsia="宋体" w:cs="宋体"/>
          <w:b/>
          <w:color w:val="auto"/>
          <w:sz w:val="21"/>
          <w:szCs w:val="21"/>
          <w:highlight w:val="none"/>
        </w:rPr>
        <w:t>1.资格文件部分</w:t>
      </w:r>
    </w:p>
    <w:p w14:paraId="05AF92FC">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有效期内的营业执照副本扫描件或复印件；</w:t>
      </w:r>
    </w:p>
    <w:p w14:paraId="1F6AEF3C">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法定代表人身份证明、法定代表人授权委托书（格式见附件，如法定代表人本人参加的，则仅</w:t>
      </w:r>
      <w:r>
        <w:rPr>
          <w:rFonts w:hint="eastAsia" w:hAnsi="宋体" w:cs="宋体"/>
          <w:color w:val="auto"/>
          <w:sz w:val="21"/>
          <w:szCs w:val="21"/>
          <w:highlight w:val="none"/>
          <w:lang w:eastAsia="zh-CN"/>
        </w:rPr>
        <w:t>需</w:t>
      </w:r>
      <w:r>
        <w:rPr>
          <w:rFonts w:hint="eastAsia" w:ascii="宋体" w:hAnsi="宋体" w:eastAsia="宋体" w:cs="宋体"/>
          <w:color w:val="auto"/>
          <w:sz w:val="21"/>
          <w:szCs w:val="21"/>
          <w:highlight w:val="none"/>
        </w:rPr>
        <w:t>提供法定代表人身份证明及法定代表人身份证复印件）；</w:t>
      </w:r>
    </w:p>
    <w:p w14:paraId="5AC63B6F">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（3）符合参加政府采购活动应当具备的一般条件的承诺函（格式见附件）；</w:t>
      </w:r>
    </w:p>
    <w:p w14:paraId="48DA8348">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（4）落实政府采购政策需满足的资格要求（格式见附件）；</w:t>
      </w:r>
    </w:p>
    <w:p w14:paraId="58F74024">
      <w:pPr>
        <w:autoSpaceDE/>
        <w:autoSpaceDN/>
        <w:adjustRightInd/>
        <w:spacing w:line="4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2.商务技术文件</w:t>
      </w:r>
    </w:p>
    <w:p w14:paraId="38501384">
      <w:pPr>
        <w:pStyle w:val="100"/>
        <w:snapToGrid w:val="0"/>
        <w:spacing w:line="460" w:lineRule="exact"/>
        <w:ind w:left="420" w:firstLine="0" w:firstLineChars="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（1）响应供应商技术商务标自评得分汇总表；（格式内容参照技术商务评分表，格式见附件）；</w:t>
      </w:r>
    </w:p>
    <w:p w14:paraId="44D8DEBA">
      <w:pPr>
        <w:pStyle w:val="100"/>
        <w:snapToGrid w:val="0"/>
        <w:spacing w:line="460" w:lineRule="exact"/>
        <w:ind w:left="420" w:firstLine="0" w:firstLineChars="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响应供应商情况表；（格式见附件）</w:t>
      </w:r>
    </w:p>
    <w:p w14:paraId="41458A69">
      <w:pPr>
        <w:snapToGrid w:val="0"/>
        <w:spacing w:line="500" w:lineRule="exact"/>
        <w:ind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）服务条款对比表；（格式见附件）</w:t>
      </w:r>
    </w:p>
    <w:p w14:paraId="3F582F8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）拟投入本项目的服务团队人员表；（格式见附件）</w:t>
      </w:r>
    </w:p>
    <w:p w14:paraId="005A148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）商务条款偏离表；（格式见附件）</w:t>
      </w:r>
    </w:p>
    <w:p w14:paraId="45200EC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）响应供应商</w:t>
      </w:r>
      <w:r>
        <w:rPr>
          <w:rFonts w:hint="eastAsia" w:hAnsi="宋体" w:cs="宋体"/>
          <w:color w:val="auto"/>
          <w:sz w:val="21"/>
          <w:szCs w:val="21"/>
          <w:highlight w:val="none"/>
          <w:lang w:eastAsia="zh-CN"/>
        </w:rPr>
        <w:t>202</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年1月1日</w:t>
      </w:r>
      <w:r>
        <w:rPr>
          <w:rFonts w:hint="eastAsia" w:ascii="宋体" w:hAnsi="宋体" w:eastAsia="宋体" w:cs="宋体"/>
          <w:color w:val="auto"/>
          <w:sz w:val="21"/>
          <w:szCs w:val="21"/>
          <w:highlight w:val="none"/>
        </w:rPr>
        <w:t>以来至今同类项目服务业绩（提供合同复印件加盖单位公章）格式见附件）；</w:t>
      </w:r>
    </w:p>
    <w:p w14:paraId="2B96E93C">
      <w:pPr>
        <w:autoSpaceDE/>
        <w:autoSpaceDN/>
        <w:adjustRightInd/>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针对本项目的详细服务方案（格式自拟）；</w:t>
      </w:r>
    </w:p>
    <w:p w14:paraId="5360DA6B">
      <w:pPr>
        <w:snapToGrid w:val="0"/>
        <w:spacing w:line="500" w:lineRule="exact"/>
        <w:ind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）评分规则中涉及的所需提供的资料；</w:t>
      </w:r>
    </w:p>
    <w:p w14:paraId="4487FA3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）磋商响应供应商需要说明的其他文件和说明（格式自拟）。</w:t>
      </w:r>
    </w:p>
    <w:p w14:paraId="70B3274F">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注：资格文件、</w:t>
      </w: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中不得含有报价的信息，否则按废标处理。</w:t>
      </w:r>
    </w:p>
    <w:p w14:paraId="72F1D23A">
      <w:pPr>
        <w:autoSpaceDE/>
        <w:autoSpaceDN/>
        <w:adjustRightInd/>
        <w:spacing w:line="48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3.报价文件部分</w:t>
      </w:r>
    </w:p>
    <w:p w14:paraId="6C443C72">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（1）磋商响应函（加盖公章）（格式见附件）；</w:t>
      </w:r>
    </w:p>
    <w:p w14:paraId="56B8D65C">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（2）开标（报价）一览表（加盖公章）（格式见附件）；</w:t>
      </w:r>
    </w:p>
    <w:p w14:paraId="121B78A1">
      <w:pPr>
        <w:numPr>
          <w:ilvl w:val="255"/>
          <w:numId w:val="0"/>
        </w:num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）供应商针对报价需要说明的其他文件和说明（格式自拟）。</w:t>
      </w:r>
    </w:p>
    <w:p w14:paraId="27816B0E">
      <w:pPr>
        <w:autoSpaceDE/>
        <w:autoSpaceDN/>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备注：供应商必须按后附表规定的格式完整、清晰、正确的填写，开标（报价）一览表中不得填报有选择性的报价方案。</w:t>
      </w:r>
    </w:p>
    <w:p w14:paraId="7868B67A">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（三）磋商响应文件的语言及计量</w:t>
      </w:r>
    </w:p>
    <w:p w14:paraId="147CC6E4">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★1.磋商响应文件以及供应商与磋商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就有关磋商事宜的所有来往函电，均应以中文汉语书写。除签名、盖章、专用名称等特殊情形外，以中文汉语以外的文字表述的磋商响应文件视同未提供。</w:t>
      </w:r>
    </w:p>
    <w:p w14:paraId="7806D9E5">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14:paraId="61A78C30">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（四）磋商报价</w:t>
      </w:r>
    </w:p>
    <w:p w14:paraId="05284D58">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1.磋商报价应按竞争性磋商采购文件中相关附表格式填写。</w:t>
      </w:r>
    </w:p>
    <w:p w14:paraId="07A861E0">
      <w:pPr>
        <w:spacing w:line="500" w:lineRule="exact"/>
        <w:ind w:firstLine="420" w:firstLineChars="200"/>
        <w:rPr>
          <w:color w:val="auto"/>
          <w:highlight w:val="none"/>
        </w:rPr>
      </w:pPr>
      <w:r>
        <w:rPr>
          <w:rFonts w:hint="eastAsia" w:hAnsi="宋体" w:cs="Arial"/>
          <w:color w:val="auto"/>
          <w:sz w:val="21"/>
          <w:szCs w:val="21"/>
          <w:highlight w:val="none"/>
        </w:rPr>
        <w:t>2.</w:t>
      </w:r>
      <w:r>
        <w:rPr>
          <w:rFonts w:hint="eastAsia" w:hAnsi="宋体" w:cs="宋体"/>
          <w:color w:val="auto"/>
          <w:sz w:val="21"/>
          <w:szCs w:val="21"/>
          <w:highlight w:val="none"/>
        </w:rPr>
        <w:t>本项目</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年度</w:t>
      </w:r>
      <w:r>
        <w:rPr>
          <w:rFonts w:hint="eastAsia" w:hAnsi="宋体" w:cs="宋体"/>
          <w:color w:val="auto"/>
          <w:sz w:val="21"/>
          <w:szCs w:val="21"/>
          <w:highlight w:val="none"/>
        </w:rPr>
        <w:t>预算金额为人民币</w:t>
      </w:r>
      <w:r>
        <w:rPr>
          <w:rFonts w:hint="eastAsia" w:hAnsi="宋体" w:cs="宋体"/>
          <w:color w:val="auto"/>
          <w:sz w:val="21"/>
          <w:szCs w:val="21"/>
          <w:highlight w:val="none"/>
          <w:lang w:eastAsia="zh-CN"/>
        </w:rPr>
        <w:t>84万元</w:t>
      </w:r>
      <w:r>
        <w:rPr>
          <w:rFonts w:hint="eastAsia" w:hAnsi="宋体" w:cs="宋体"/>
          <w:color w:val="auto"/>
          <w:sz w:val="21"/>
          <w:szCs w:val="21"/>
          <w:highlight w:val="none"/>
        </w:rPr>
        <w:t>。响应供应商应就</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年度的服务费进行磋商报价，报价最高限价金额为人民币</w:t>
      </w:r>
      <w:r>
        <w:rPr>
          <w:rFonts w:hint="eastAsia" w:hAnsi="宋体" w:cs="宋体"/>
          <w:color w:val="auto"/>
          <w:sz w:val="21"/>
          <w:szCs w:val="21"/>
          <w:highlight w:val="none"/>
          <w:lang w:eastAsia="zh-CN"/>
        </w:rPr>
        <w:t>84万元</w:t>
      </w:r>
      <w:r>
        <w:rPr>
          <w:rFonts w:hint="eastAsia" w:hAnsi="宋体" w:cs="宋体"/>
          <w:color w:val="auto"/>
          <w:sz w:val="21"/>
          <w:szCs w:val="21"/>
          <w:highlight w:val="none"/>
        </w:rPr>
        <w:t>，其中，</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年1月1日至成交人合同签订并正式接管工作之日止应付前期服务商的服务费由本项目成交人与前期服务商按月或按日依照合同收费标准据实结算、支付。★不包含应付前期服务商服务费的报价或</w:t>
      </w:r>
      <w:r>
        <w:rPr>
          <w:rFonts w:hint="eastAsia" w:hAnsi="宋体" w:cs="Arial"/>
          <w:color w:val="auto"/>
          <w:sz w:val="21"/>
          <w:szCs w:val="21"/>
          <w:highlight w:val="none"/>
        </w:rPr>
        <w:t>高于最高限价的报价均作无效报价处理。</w:t>
      </w:r>
    </w:p>
    <w:p w14:paraId="0C1B5DCC">
      <w:pPr>
        <w:autoSpaceDE/>
        <w:autoSpaceDN/>
        <w:adjustRightInd/>
        <w:snapToGrid w:val="0"/>
        <w:spacing w:line="500" w:lineRule="exact"/>
        <w:ind w:firstLine="420" w:firstLineChars="200"/>
        <w:textAlignment w:val="auto"/>
        <w:rPr>
          <w:rFonts w:hAnsi="宋体" w:cs="宋体"/>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磋商报价</w:t>
      </w:r>
      <w:r>
        <w:rPr>
          <w:rFonts w:hint="eastAsia" w:hAnsi="宋体" w:cs="Arial"/>
          <w:bCs/>
          <w:color w:val="auto"/>
          <w:sz w:val="21"/>
          <w:szCs w:val="21"/>
          <w:highlight w:val="none"/>
        </w:rPr>
        <w:t>系指</w:t>
      </w:r>
      <w:r>
        <w:rPr>
          <w:rFonts w:hAnsi="宋体" w:cs="Arial"/>
          <w:bCs/>
          <w:color w:val="auto"/>
          <w:sz w:val="21"/>
          <w:szCs w:val="21"/>
          <w:highlight w:val="none"/>
        </w:rPr>
        <w:t>磋商文件所确定</w:t>
      </w:r>
      <w:r>
        <w:rPr>
          <w:rFonts w:hint="eastAsia" w:hAnsi="宋体" w:cs="Arial"/>
          <w:bCs/>
          <w:color w:val="auto"/>
          <w:sz w:val="21"/>
          <w:szCs w:val="21"/>
          <w:highlight w:val="none"/>
        </w:rPr>
        <w:t>采购</w:t>
      </w:r>
      <w:r>
        <w:rPr>
          <w:rFonts w:hAnsi="宋体" w:cs="Arial"/>
          <w:bCs/>
          <w:color w:val="auto"/>
          <w:sz w:val="21"/>
          <w:szCs w:val="21"/>
          <w:highlight w:val="none"/>
        </w:rPr>
        <w:t>范围内全部工作内容的价格表现，</w:t>
      </w:r>
      <w:r>
        <w:rPr>
          <w:rFonts w:hint="eastAsia" w:hAnsi="宋体" w:cs="宋体"/>
          <w:color w:val="auto"/>
          <w:sz w:val="21"/>
          <w:szCs w:val="21"/>
          <w:highlight w:val="none"/>
        </w:rPr>
        <w:t>包括但不仅限于所有人员工资、</w:t>
      </w:r>
      <w:r>
        <w:rPr>
          <w:rFonts w:hint="eastAsia" w:hAnsi="宋体" w:cs="宋体"/>
          <w:bCs/>
          <w:color w:val="auto"/>
          <w:sz w:val="21"/>
          <w:szCs w:val="21"/>
          <w:highlight w:val="none"/>
        </w:rPr>
        <w:t>人身意外保险、</w:t>
      </w:r>
      <w:r>
        <w:rPr>
          <w:rFonts w:hint="eastAsia" w:hAnsi="宋体" w:cs="宋体"/>
          <w:color w:val="auto"/>
          <w:sz w:val="21"/>
          <w:szCs w:val="21"/>
          <w:highlight w:val="none"/>
        </w:rPr>
        <w:t>服装、办公用品、利润、税金、管理费、采购代理服务费等一切为完成本项目所需的全部费用。</w:t>
      </w:r>
      <w:r>
        <w:rPr>
          <w:rFonts w:hint="eastAsia" w:hAnsi="宋体" w:cs="Arial"/>
          <w:bCs/>
          <w:color w:val="auto"/>
          <w:sz w:val="21"/>
          <w:szCs w:val="21"/>
          <w:highlight w:val="none"/>
        </w:rPr>
        <w:t>供应商</w:t>
      </w:r>
      <w:r>
        <w:rPr>
          <w:rFonts w:hAnsi="宋体" w:cs="Arial"/>
          <w:bCs/>
          <w:color w:val="auto"/>
          <w:sz w:val="21"/>
          <w:szCs w:val="21"/>
          <w:highlight w:val="none"/>
        </w:rPr>
        <w:t>须充分考虑实际服务内容和需求，针对自身实际情况，核算所需的成本及合理的利润，自行报价</w:t>
      </w:r>
      <w:r>
        <w:rPr>
          <w:rFonts w:hint="eastAsia" w:hAnsi="宋体" w:cs="Arial"/>
          <w:bCs/>
          <w:color w:val="auto"/>
          <w:sz w:val="21"/>
          <w:szCs w:val="21"/>
          <w:highlight w:val="none"/>
        </w:rPr>
        <w:t>，</w:t>
      </w:r>
      <w:r>
        <w:rPr>
          <w:rFonts w:hAnsi="宋体" w:cs="Arial"/>
          <w:bCs/>
          <w:color w:val="auto"/>
          <w:sz w:val="21"/>
          <w:szCs w:val="21"/>
          <w:highlight w:val="none"/>
        </w:rPr>
        <w:t>结算时由供应商开具正式</w:t>
      </w:r>
      <w:r>
        <w:rPr>
          <w:rFonts w:hint="eastAsia" w:hAnsi="宋体" w:cs="宋体"/>
          <w:color w:val="auto"/>
          <w:sz w:val="21"/>
          <w:szCs w:val="21"/>
          <w:highlight w:val="none"/>
        </w:rPr>
        <w:t>增值税专用发票。</w:t>
      </w:r>
    </w:p>
    <w:p w14:paraId="14A36B2D">
      <w:pPr>
        <w:autoSpaceDE/>
        <w:autoSpaceDN/>
        <w:snapToGrid w:val="0"/>
        <w:spacing w:line="500" w:lineRule="exact"/>
        <w:ind w:firstLine="420" w:firstLineChars="200"/>
        <w:rPr>
          <w:rFonts w:hint="eastAsia" w:hAnsi="宋体" w:eastAsia="宋体" w:cs="宋体"/>
          <w:bCs/>
          <w:color w:val="000000"/>
          <w:sz w:val="21"/>
          <w:szCs w:val="21"/>
          <w:highlight w:val="none"/>
        </w:rPr>
      </w:pPr>
      <w:r>
        <w:rPr>
          <w:rFonts w:hint="eastAsia" w:hAnsi="宋体" w:eastAsia="宋体" w:cs="宋体"/>
          <w:bCs/>
          <w:color w:val="000000"/>
          <w:sz w:val="21"/>
          <w:szCs w:val="21"/>
          <w:highlight w:val="none"/>
          <w:lang w:val="en-US" w:eastAsia="zh-CN"/>
        </w:rPr>
        <w:t>4.供应商</w:t>
      </w:r>
      <w:r>
        <w:rPr>
          <w:rFonts w:hint="eastAsia" w:hAnsi="宋体" w:eastAsia="宋体" w:cs="宋体"/>
          <w:bCs/>
          <w:color w:val="000000"/>
          <w:sz w:val="21"/>
          <w:szCs w:val="21"/>
          <w:highlight w:val="none"/>
        </w:rPr>
        <w:t>不得进行影响服务质量或者诚信履约的恶意报价。</w:t>
      </w:r>
      <w:r>
        <w:rPr>
          <w:rFonts w:hint="eastAsia" w:hAnsi="宋体" w:eastAsia="宋体" w:cs="宋体"/>
          <w:bCs/>
          <w:color w:val="000000"/>
          <w:sz w:val="21"/>
          <w:szCs w:val="21"/>
          <w:highlight w:val="none"/>
          <w:lang w:val="en-US" w:eastAsia="zh-CN"/>
        </w:rPr>
        <w:t>供应商</w:t>
      </w:r>
      <w:r>
        <w:rPr>
          <w:rFonts w:hint="eastAsia" w:hAnsi="宋体" w:eastAsia="宋体" w:cs="宋体"/>
          <w:bCs/>
          <w:color w:val="000000"/>
          <w:sz w:val="21"/>
          <w:szCs w:val="21"/>
          <w:highlight w:val="none"/>
        </w:rPr>
        <w:t>在项目评审前准备好报价核算、报价明细、报价说明等材料，以备评审专家核查</w:t>
      </w:r>
      <w:r>
        <w:rPr>
          <w:rFonts w:hint="eastAsia" w:hAnsi="宋体" w:eastAsia="宋体" w:cs="宋体"/>
          <w:bCs/>
          <w:color w:val="000000"/>
          <w:sz w:val="21"/>
          <w:szCs w:val="21"/>
          <w:highlight w:val="none"/>
          <w:u w:val="single"/>
        </w:rPr>
        <w:t>。本项目约定，投标人报价</w:t>
      </w:r>
      <w:r>
        <w:rPr>
          <w:rFonts w:hint="eastAsia" w:hAnsi="宋体" w:eastAsia="宋体" w:cs="宋体"/>
          <w:bCs/>
          <w:color w:val="000000"/>
          <w:sz w:val="21"/>
          <w:szCs w:val="21"/>
          <w:highlight w:val="none"/>
          <w:u w:val="single"/>
          <w:lang w:eastAsia="zh-CN"/>
        </w:rPr>
        <w:t>（</w:t>
      </w:r>
      <w:r>
        <w:rPr>
          <w:rFonts w:hint="eastAsia" w:hAnsi="宋体" w:eastAsia="宋体" w:cs="宋体"/>
          <w:bCs/>
          <w:color w:val="000000"/>
          <w:sz w:val="21"/>
          <w:szCs w:val="21"/>
          <w:highlight w:val="none"/>
          <w:u w:val="single"/>
          <w:lang w:val="en-US" w:eastAsia="zh-CN"/>
        </w:rPr>
        <w:t>折扣</w:t>
      </w:r>
      <w:r>
        <w:rPr>
          <w:rFonts w:hint="eastAsia" w:hAnsi="宋体" w:eastAsia="宋体" w:cs="宋体"/>
          <w:bCs/>
          <w:color w:val="000000"/>
          <w:sz w:val="21"/>
          <w:szCs w:val="21"/>
          <w:highlight w:val="none"/>
          <w:u w:val="single"/>
          <w:lang w:eastAsia="zh-CN"/>
        </w:rPr>
        <w:t>）</w:t>
      </w:r>
      <w:r>
        <w:rPr>
          <w:rFonts w:hint="eastAsia" w:hAnsi="宋体" w:eastAsia="宋体" w:cs="宋体"/>
          <w:bCs/>
          <w:color w:val="000000"/>
          <w:sz w:val="21"/>
          <w:szCs w:val="21"/>
          <w:highlight w:val="none"/>
          <w:u w:val="single"/>
        </w:rPr>
        <w:t>低于50%的，应当在报价文件中详细阐述不影响服务质量或者诚信履约的具体原因</w:t>
      </w:r>
      <w:r>
        <w:rPr>
          <w:rFonts w:hint="eastAsia" w:hAnsi="宋体" w:eastAsia="宋体" w:cs="宋体"/>
          <w:bCs/>
          <w:color w:val="000000"/>
          <w:sz w:val="21"/>
          <w:szCs w:val="21"/>
          <w:highlight w:val="none"/>
        </w:rPr>
        <w:t>。</w:t>
      </w:r>
    </w:p>
    <w:p w14:paraId="43984484">
      <w:pPr>
        <w:autoSpaceDE/>
        <w:autoSpaceDN/>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.首次磋商报价</w:t>
      </w:r>
    </w:p>
    <w:p w14:paraId="698CC5D7">
      <w:pPr>
        <w:autoSpaceDE/>
        <w:autoSpaceDN/>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color w:val="auto"/>
          <w:sz w:val="21"/>
          <w:szCs w:val="21"/>
          <w:highlight w:val="none"/>
        </w:rPr>
        <w:t>供应商在报价文件中应就本项目的服务费进行首次磋商报价</w:t>
      </w:r>
      <w:r>
        <w:rPr>
          <w:rFonts w:hint="eastAsia" w:ascii="宋体" w:hAnsi="宋体" w:eastAsia="宋体" w:cs="宋体"/>
          <w:bCs/>
          <w:color w:val="auto"/>
          <w:sz w:val="21"/>
          <w:szCs w:val="21"/>
          <w:highlight w:val="none"/>
        </w:rPr>
        <w:t>。供</w:t>
      </w:r>
      <w:r>
        <w:rPr>
          <w:rFonts w:hint="eastAsia" w:ascii="宋体" w:hAnsi="宋体" w:eastAsia="宋体" w:cs="宋体"/>
          <w:color w:val="auto"/>
          <w:sz w:val="21"/>
          <w:szCs w:val="21"/>
          <w:highlight w:val="none"/>
        </w:rPr>
        <w:t>应商应结合自身综合实力、市场行情、本项目具体特点和技术要求进行首次磋商报价。</w:t>
      </w:r>
    </w:p>
    <w:p w14:paraId="6E49C301">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（2）磋商响应文件只允许有一个首次磋商报价。</w:t>
      </w:r>
    </w:p>
    <w:p w14:paraId="200C9752">
      <w:pPr>
        <w:snapToGrid w:val="0"/>
        <w:spacing w:line="500" w:lineRule="exact"/>
        <w:ind w:firstLine="422" w:firstLineChars="200"/>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.最终磋商报价</w:t>
      </w:r>
    </w:p>
    <w:p w14:paraId="7B77E523">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在磋商谈判过程中，磋商小组可与供应商进行多轮谈判、磋商；供应商应按磋商小组要求</w:t>
      </w:r>
      <w:r>
        <w:rPr>
          <w:rFonts w:hint="eastAsia" w:ascii="宋体" w:hAnsi="宋体" w:eastAsia="宋体" w:cs="宋体"/>
          <w:color w:val="auto"/>
          <w:sz w:val="21"/>
          <w:szCs w:val="21"/>
          <w:highlight w:val="none"/>
          <w:shd w:val="clear" w:color="auto" w:fill="FFFFFF"/>
        </w:rPr>
        <w:t>在规定时间内进行最终</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shd w:val="clear" w:color="auto" w:fill="FFFFFF"/>
        </w:rPr>
        <w:t>报价</w:t>
      </w:r>
      <w:r>
        <w:rPr>
          <w:rFonts w:hint="eastAsia" w:ascii="宋体" w:hAnsi="宋体" w:eastAsia="宋体" w:cs="宋体"/>
          <w:color w:val="auto"/>
          <w:sz w:val="21"/>
          <w:szCs w:val="21"/>
          <w:highlight w:val="none"/>
        </w:rPr>
        <w:t>，被认可并接受的最终磋商报价是履行合同的服务结算价</w:t>
      </w:r>
      <w:r>
        <w:rPr>
          <w:rFonts w:hint="eastAsia" w:ascii="宋体" w:hAnsi="宋体" w:eastAsia="宋体" w:cs="宋体"/>
          <w:color w:val="auto"/>
          <w:sz w:val="21"/>
          <w:szCs w:val="21"/>
          <w:highlight w:val="none"/>
          <w:lang w:val="en-US" w:eastAsia="zh-CN"/>
        </w:rPr>
        <w:t>格</w:t>
      </w:r>
      <w:r>
        <w:rPr>
          <w:rFonts w:hint="eastAsia" w:ascii="宋体" w:hAnsi="宋体" w:eastAsia="宋体" w:cs="宋体"/>
          <w:color w:val="auto"/>
          <w:sz w:val="21"/>
          <w:szCs w:val="21"/>
          <w:highlight w:val="none"/>
        </w:rPr>
        <w:t>。</w:t>
      </w:r>
    </w:p>
    <w:p w14:paraId="5B4FB65E">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（四）磋商响应文件的有效期</w:t>
      </w:r>
    </w:p>
    <w:p w14:paraId="0002187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★1.自磋商响应文件递交截止日起90天磋商响应文件应保持有效。有效期不足的磋商响应文件将被拒绝。</w:t>
      </w:r>
    </w:p>
    <w:p w14:paraId="64DC15D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可与供应商协商延长磋商响应文件的有效期，这种要求和答复均以书面形式进行。</w:t>
      </w:r>
    </w:p>
    <w:p w14:paraId="342D013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3.响应供应商可拒绝接受延期要求。同意延长有效期的供应商不能以此为由修改磋商响应文件。 </w:t>
      </w:r>
    </w:p>
    <w:p w14:paraId="61E9D9E1">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4.成交供应商的磋商响应文件自磋商之日起至合同履行完毕止均应保持有效。</w:t>
      </w:r>
    </w:p>
    <w:p w14:paraId="1A50BA85">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（五）磋商响应文件的签署和份数</w:t>
      </w:r>
    </w:p>
    <w:p w14:paraId="09442C5E">
      <w:pPr>
        <w:widowControl/>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highlight w:val="none"/>
        </w:rPr>
        <w:t>电子</w:t>
      </w:r>
      <w:r>
        <w:rPr>
          <w:rFonts w:hint="eastAsia" w:ascii="宋体" w:hAnsi="宋体" w:eastAsia="宋体" w:cs="宋体"/>
          <w:color w:val="auto"/>
          <w:sz w:val="21"/>
          <w:szCs w:val="21"/>
          <w:highlight w:val="none"/>
        </w:rPr>
        <w:t>磋商响应文件（投标文件）</w:t>
      </w:r>
      <w:r>
        <w:rPr>
          <w:rFonts w:hint="eastAsia" w:ascii="宋体" w:hAnsi="宋体" w:eastAsia="宋体" w:cs="宋体"/>
          <w:color w:val="auto"/>
          <w:sz w:val="21"/>
          <w:highlight w:val="none"/>
        </w:rPr>
        <w:t>部分：</w:t>
      </w:r>
    </w:p>
    <w:p w14:paraId="2736FD1E">
      <w:pPr>
        <w:widowControl/>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供应商应根据“政采云供应商项目采购</w:t>
      </w:r>
      <w:r>
        <w:rPr>
          <w:rFonts w:hint="eastAsia" w:hAnsi="宋体" w:cs="宋体"/>
          <w:color w:val="auto"/>
          <w:sz w:val="21"/>
          <w:highlight w:val="none"/>
          <w:lang w:eastAsia="zh-CN"/>
        </w:rPr>
        <w:t>－</w:t>
      </w:r>
      <w:r>
        <w:rPr>
          <w:rFonts w:hint="eastAsia" w:ascii="宋体" w:hAnsi="宋体" w:eastAsia="宋体" w:cs="宋体"/>
          <w:color w:val="auto"/>
          <w:sz w:val="21"/>
          <w:highlight w:val="none"/>
        </w:rPr>
        <w:t>电子交易操作指南”及本采购文件规定的格式和顺序编制电子投标文件并进行关联定位。</w:t>
      </w:r>
    </w:p>
    <w:p w14:paraId="3151C91F">
      <w:pPr>
        <w:widowControl/>
        <w:autoSpaceDE/>
        <w:autoSpaceDN/>
        <w:adjustRightInd/>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szCs w:val="21"/>
          <w:highlight w:val="none"/>
        </w:rPr>
        <w:t>磋商响应文件</w:t>
      </w:r>
      <w:r>
        <w:rPr>
          <w:rFonts w:hint="eastAsia" w:ascii="宋体" w:hAnsi="宋体" w:eastAsia="宋体" w:cs="宋体"/>
          <w:color w:val="auto"/>
          <w:sz w:val="21"/>
          <w:highlight w:val="none"/>
        </w:rPr>
        <w:t>的盖章：</w:t>
      </w:r>
      <w:r>
        <w:rPr>
          <w:rFonts w:hint="eastAsia" w:ascii="宋体" w:hAnsi="宋体" w:eastAsia="宋体" w:cs="宋体"/>
          <w:color w:val="auto"/>
          <w:sz w:val="21"/>
          <w:szCs w:val="21"/>
          <w:highlight w:val="none"/>
        </w:rPr>
        <w:t>磋商响应文件</w:t>
      </w:r>
      <w:r>
        <w:rPr>
          <w:rFonts w:hint="eastAsia" w:ascii="宋体" w:hAnsi="宋体" w:eastAsia="宋体" w:cs="宋体"/>
          <w:color w:val="auto"/>
          <w:sz w:val="21"/>
          <w:highlight w:val="none"/>
        </w:rPr>
        <w:t>中所涉及的加盖公章均可采用CA电子签章，或</w:t>
      </w:r>
      <w:r>
        <w:rPr>
          <w:rFonts w:hint="eastAsia" w:ascii="宋体" w:hAnsi="宋体" w:eastAsia="宋体" w:cs="宋体"/>
          <w:color w:val="auto"/>
          <w:sz w:val="21"/>
          <w:highlight w:val="none"/>
          <w:lang w:val="en-US" w:eastAsia="zh-CN"/>
        </w:rPr>
        <w:t>响应供应商</w:t>
      </w:r>
      <w:r>
        <w:rPr>
          <w:rFonts w:hint="eastAsia" w:ascii="宋体" w:hAnsi="宋体" w:eastAsia="宋体" w:cs="宋体"/>
          <w:color w:val="auto"/>
          <w:sz w:val="21"/>
          <w:highlight w:val="none"/>
        </w:rPr>
        <w:t>可以线下盖章后扫描上传。</w:t>
      </w:r>
    </w:p>
    <w:p w14:paraId="264C91B1">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highlight w:val="none"/>
        </w:rPr>
        <w:t>3.法定代表人或其授权代表签字或盖章：本</w:t>
      </w:r>
      <w:r>
        <w:rPr>
          <w:rFonts w:hint="eastAsia" w:ascii="宋体" w:hAnsi="宋体" w:eastAsia="宋体" w:cs="宋体"/>
          <w:color w:val="auto"/>
          <w:sz w:val="21"/>
          <w:highlight w:val="none"/>
          <w:lang w:val="en-US" w:eastAsia="zh-CN"/>
        </w:rPr>
        <w:t>磋商采购</w:t>
      </w:r>
      <w:r>
        <w:rPr>
          <w:rFonts w:hint="eastAsia" w:ascii="宋体" w:hAnsi="宋体" w:eastAsia="宋体" w:cs="宋体"/>
          <w:color w:val="auto"/>
          <w:sz w:val="21"/>
          <w:highlight w:val="none"/>
        </w:rPr>
        <w:t>文件所涉及的法定代表人或其授权代表签字或盖章的内容，投标单位可采用法定代表人电子签章，也可以线下签字或盖章后扫描上传。</w:t>
      </w:r>
    </w:p>
    <w:p w14:paraId="2F21F32D">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（六）磋商响应文件（投标文件）的包装、递交、修改和撤回</w:t>
      </w:r>
    </w:p>
    <w:p w14:paraId="40E7140F">
      <w:pPr>
        <w:widowControl/>
        <w:autoSpaceDE/>
        <w:autoSpaceDN/>
        <w:adjustRightInd/>
        <w:snapToGrid w:val="0"/>
        <w:spacing w:line="460" w:lineRule="exact"/>
        <w:ind w:firstLine="42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1.供应商应当在投标截止时间前在“政采云”（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
          <w:bCs/>
          <w:color w:val="auto"/>
          <w:sz w:val="21"/>
          <w:szCs w:val="21"/>
          <w:highlight w:val="none"/>
        </w:rPr>
        <w:t>）上自行上传加密的电子投标文件。</w:t>
      </w:r>
    </w:p>
    <w:p w14:paraId="7EDB9289">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供应商未在“政采云”（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color w:val="auto"/>
          <w:sz w:val="21"/>
          <w:szCs w:val="21"/>
          <w:highlight w:val="none"/>
        </w:rPr>
        <w:t>）上自行上传加密的电子投标文件的，投标无效。</w:t>
      </w:r>
    </w:p>
    <w:p w14:paraId="4B68E77D">
      <w:pPr>
        <w:autoSpaceDE/>
        <w:autoSpaceDN/>
        <w:adjustRightIn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C5D42F2">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4.截止开标时间，政采云（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14:paraId="31F92BE9">
      <w:pPr>
        <w:autoSpaceDE/>
        <w:autoSpaceDN/>
        <w:adjustRightInd/>
        <w:spacing w:line="500" w:lineRule="exact"/>
        <w:ind w:firstLine="211" w:firstLineChars="1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（七）磋商响应文件无效的情形</w:t>
      </w:r>
    </w:p>
    <w:p w14:paraId="65FDA491">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实质上没有响应磋商采购文件要求的磋商响应文件将被视为无效。响应供应商不得通过修正或</w:t>
      </w:r>
      <w:r>
        <w:rPr>
          <w:rFonts w:hint="eastAsia" w:hAnsi="宋体" w:cs="宋体"/>
          <w:color w:val="auto"/>
          <w:sz w:val="21"/>
          <w:szCs w:val="21"/>
          <w:highlight w:val="none"/>
          <w:lang w:eastAsia="zh-CN"/>
        </w:rPr>
        <w:t>撤销</w:t>
      </w:r>
      <w:r>
        <w:rPr>
          <w:rFonts w:hint="eastAsia" w:ascii="宋体" w:hAnsi="宋体" w:eastAsia="宋体" w:cs="宋体"/>
          <w:color w:val="auto"/>
          <w:sz w:val="21"/>
          <w:szCs w:val="21"/>
          <w:highlight w:val="none"/>
        </w:rPr>
        <w:t>不合要求的偏离或保留从而使其磋商响应文件成为实质上响应</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采购文件要求的，应认定其为无效。响应供应商修改、补正磋商响应文件后，不影响磋商小组对其磋商响应文件所</w:t>
      </w:r>
      <w:r>
        <w:rPr>
          <w:rFonts w:hint="eastAsia" w:hAnsi="宋体" w:cs="宋体"/>
          <w:color w:val="auto"/>
          <w:sz w:val="21"/>
          <w:szCs w:val="21"/>
          <w:highlight w:val="none"/>
          <w:lang w:eastAsia="zh-CN"/>
        </w:rPr>
        <w:t>做</w:t>
      </w:r>
      <w:r>
        <w:rPr>
          <w:rFonts w:hint="eastAsia" w:ascii="宋体" w:hAnsi="宋体" w:eastAsia="宋体" w:cs="宋体"/>
          <w:color w:val="auto"/>
          <w:sz w:val="21"/>
          <w:szCs w:val="21"/>
          <w:highlight w:val="none"/>
        </w:rPr>
        <w:t>的评价和评分结果。</w:t>
      </w:r>
    </w:p>
    <w:p w14:paraId="6E2AABB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1.在符合性审查和商务评审时，如发现下列情形之一的，磋商响应文件将被视为无效：</w:t>
      </w:r>
    </w:p>
    <w:p w14:paraId="46BE7EFC">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（1）资格证明文件不全的，或者不符合磋商采购文件标明的资格要求的；</w:t>
      </w:r>
    </w:p>
    <w:p w14:paraId="1A66DE3D">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（2）磋商响应文件无法定代表人（或单位负责人）或其授权委托人签字,或未提供法定代表人授权委托书或者填写项目不齐全的；</w:t>
      </w:r>
    </w:p>
    <w:p w14:paraId="7BEDCFBB">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（3）授权代表人未能出具身份证明或与法定代表人（或单位负责人）授权委托人身份不符的；</w:t>
      </w:r>
    </w:p>
    <w:p w14:paraId="3580EFBB">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（4）磋商响应文件格式不规范、项目不齐全或者内容虚假的；</w:t>
      </w:r>
    </w:p>
    <w:p w14:paraId="15242CFE">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（5）磋商响应文件的实质性内容未使用中文表述、意思表述不明确、前后矛盾或者使用计量单位不符合磋商采购文件要求的（经磋商小组认定并允许其当场更正的笔误除外）；</w:t>
      </w:r>
    </w:p>
    <w:p w14:paraId="3AEC2ECD">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（6）磋商响应文件有效期、服务期、付款方式不符合磋商采购文件中规定的实质性要求的；</w:t>
      </w:r>
    </w:p>
    <w:p w14:paraId="6293061D">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（7）未实质性响应磋商采购文件要求或者磋商响应文件有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不能接受的附加条件的。</w:t>
      </w:r>
    </w:p>
    <w:p w14:paraId="424FA5D6">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2.在技术评审时，如发现下列情形之一的，磋商响应文件将被视为无效：</w:t>
      </w:r>
    </w:p>
    <w:p w14:paraId="3473AC0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（1）不符合法律、法规和磋商采购文件中规定的其他实质性要求的（磋商小组一致认定）的；</w:t>
      </w:r>
    </w:p>
    <w:p w14:paraId="2BCA82F6">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（2）明显不符合采购文件要求的服务要求、服务质量标准，或者与采购文件中标“★”的服务要求发生实质性偏离且未经磋商小组及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代表确认的；</w:t>
      </w:r>
    </w:p>
    <w:p w14:paraId="14FCE1C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（3）技术方案不明确，存在一个或一个以上备选（替代）方案的；</w:t>
      </w:r>
    </w:p>
    <w:p w14:paraId="21238EF2">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（4）与其他参加本次磋商的响应供应商的磋商响应文件（技术文件）的文字表述内容相同连续20行以上或者差错相同2处以上的。</w:t>
      </w:r>
    </w:p>
    <w:p w14:paraId="3E62192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（5）提供不真实材料的；</w:t>
      </w:r>
    </w:p>
    <w:p w14:paraId="6656A986">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（6）法律、法规、规章等规定的其他情形。</w:t>
      </w:r>
    </w:p>
    <w:p w14:paraId="22E3097D">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3.在报价评审时，如发现下列情形之一的，磋商响应文件将被视为无效：</w:t>
      </w:r>
    </w:p>
    <w:p w14:paraId="7732E84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（1）未采用人民币报价或者未按照磋商采购文件标明的报价方式报价的；</w:t>
      </w:r>
    </w:p>
    <w:p w14:paraId="75330DB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（2）报价超出</w:t>
      </w:r>
      <w:r>
        <w:rPr>
          <w:rFonts w:hint="eastAsia" w:ascii="宋体" w:hAnsi="宋体" w:eastAsia="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不能支付的；</w:t>
      </w:r>
    </w:p>
    <w:p w14:paraId="581F9B3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（3）报价明显低于其他通过符合性审查供应商的报价，供应商不能证明其报价合理性的，磋商小组将其作为无效报价处理的。</w:t>
      </w:r>
    </w:p>
    <w:p w14:paraId="7A8767AB">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4.有下列情形之一的，视为投标人串通投标，其投标无效：</w:t>
      </w:r>
    </w:p>
    <w:p w14:paraId="06416859">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（1）不同投标人的投标文件由同一单位或者个人编制（同一IP地址上传投标、响应文件）；</w:t>
      </w:r>
    </w:p>
    <w:p w14:paraId="4D174022">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（2）不同投标人委托同一单位或者个人办理投标事宜；</w:t>
      </w:r>
    </w:p>
    <w:p w14:paraId="1EFBE68C">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（3）不同投标人的投标文件载明的项目管理成员或者联系人员为同一人；</w:t>
      </w:r>
    </w:p>
    <w:p w14:paraId="28E56CD7">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（4）不同投标人的投标文件异常一致或者投标报价呈规律性差异；</w:t>
      </w:r>
    </w:p>
    <w:p w14:paraId="44DE0FE6">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（5）不同投标人的投标文件相互混装；</w:t>
      </w:r>
    </w:p>
    <w:p w14:paraId="41E054BF">
      <w:pPr>
        <w:autoSpaceDE/>
        <w:autoSpaceDN/>
        <w:adjustRightInd w:val="0"/>
        <w:snapToGrid w:val="0"/>
        <w:spacing w:line="500" w:lineRule="exact"/>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（6）不同投标人的投标保证金从同一单位或者个人的账户转出。</w:t>
      </w:r>
    </w:p>
    <w:p w14:paraId="33C344A4">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hAnsi="Times New Roman" w:eastAsia="宋体" w:cs="宋体"/>
          <w:color w:val="auto"/>
          <w:sz w:val="21"/>
          <w:szCs w:val="21"/>
          <w:highlight w:val="none"/>
        </w:rPr>
        <w:t>（7）供应商的MA</w:t>
      </w:r>
      <w:r>
        <w:rPr>
          <w:rFonts w:hint="eastAsia" w:ascii="宋体" w:eastAsia="宋体" w:cs="宋体"/>
          <w:color w:val="auto"/>
          <w:sz w:val="21"/>
          <w:szCs w:val="21"/>
          <w:highlight w:val="none"/>
        </w:rPr>
        <w:t>C地址或硬盘序列号等硬件信息相同；</w:t>
      </w:r>
    </w:p>
    <w:p w14:paraId="51CEB649">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w:t>
      </w:r>
      <w:r>
        <w:rPr>
          <w:rFonts w:hint="eastAsia" w:cs="宋体"/>
          <w:color w:val="auto"/>
          <w:sz w:val="21"/>
          <w:szCs w:val="21"/>
          <w:highlight w:val="none"/>
          <w:lang w:val="en-US" w:eastAsia="zh-CN"/>
        </w:rPr>
        <w:t>8</w:t>
      </w:r>
      <w:r>
        <w:rPr>
          <w:rFonts w:hint="eastAsia" w:ascii="宋体" w:eastAsia="宋体" w:cs="宋体"/>
          <w:color w:val="auto"/>
          <w:sz w:val="21"/>
          <w:szCs w:val="21"/>
          <w:highlight w:val="none"/>
        </w:rPr>
        <w:t>）供应商的项目管理成员或者联系人员为同一人；</w:t>
      </w:r>
    </w:p>
    <w:p w14:paraId="304FB2B1">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w:t>
      </w:r>
      <w:r>
        <w:rPr>
          <w:rFonts w:hint="eastAsia" w:cs="宋体"/>
          <w:color w:val="auto"/>
          <w:sz w:val="21"/>
          <w:szCs w:val="21"/>
          <w:highlight w:val="none"/>
          <w:lang w:val="en-US" w:eastAsia="zh-CN"/>
        </w:rPr>
        <w:t>9</w:t>
      </w:r>
      <w:r>
        <w:rPr>
          <w:rFonts w:hint="eastAsia" w:ascii="宋体" w:eastAsia="宋体" w:cs="宋体"/>
          <w:color w:val="auto"/>
          <w:sz w:val="21"/>
          <w:szCs w:val="21"/>
          <w:highlight w:val="none"/>
        </w:rPr>
        <w:t>）对大量技术参数响应负偏离、不提供证明材料或者不积极响应采购文件要求，以促成合格供应商符合法定数量；</w:t>
      </w:r>
    </w:p>
    <w:p w14:paraId="06AB8511">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eastAsia="宋体" w:cs="宋体"/>
          <w:color w:val="auto"/>
          <w:sz w:val="21"/>
          <w:szCs w:val="21"/>
          <w:highlight w:val="none"/>
        </w:rPr>
        <w:t>）事先约定由某一特定供应商中标、成交；</w:t>
      </w:r>
    </w:p>
    <w:p w14:paraId="2E2491C3">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w:t>
      </w:r>
      <w:r>
        <w:rPr>
          <w:rFonts w:hint="eastAsia" w:cs="宋体"/>
          <w:color w:val="auto"/>
          <w:sz w:val="21"/>
          <w:szCs w:val="21"/>
          <w:highlight w:val="none"/>
          <w:lang w:val="en-US" w:eastAsia="zh-CN"/>
        </w:rPr>
        <w:t>1</w:t>
      </w:r>
      <w:r>
        <w:rPr>
          <w:rFonts w:hint="eastAsia" w:ascii="宋体" w:eastAsia="宋体" w:cs="宋体"/>
          <w:color w:val="auto"/>
          <w:sz w:val="21"/>
          <w:szCs w:val="21"/>
          <w:highlight w:val="none"/>
        </w:rPr>
        <w:t>）成立多家公司围标串标；</w:t>
      </w:r>
    </w:p>
    <w:p w14:paraId="6DD2143D">
      <w:pPr>
        <w:autoSpaceDE/>
        <w:autoSpaceDN/>
        <w:adjustRightInd w:val="0"/>
        <w:snapToGrid w:val="0"/>
        <w:spacing w:line="5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（1</w:t>
      </w:r>
      <w:r>
        <w:rPr>
          <w:rFonts w:hint="eastAsia" w:cs="宋体"/>
          <w:color w:val="auto"/>
          <w:sz w:val="21"/>
          <w:szCs w:val="21"/>
          <w:highlight w:val="none"/>
          <w:lang w:val="en-US" w:eastAsia="zh-CN"/>
        </w:rPr>
        <w:t>2</w:t>
      </w:r>
      <w:r>
        <w:rPr>
          <w:rFonts w:hint="eastAsia" w:ascii="宋体" w:eastAsia="宋体" w:cs="宋体"/>
          <w:color w:val="auto"/>
          <w:sz w:val="21"/>
          <w:szCs w:val="21"/>
          <w:highlight w:val="none"/>
        </w:rPr>
        <w:t>）其他围标串标行为。</w:t>
      </w:r>
    </w:p>
    <w:p w14:paraId="7FEECF6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.被拒绝的磋商响应文件为无效磋商响应文件。</w:t>
      </w:r>
    </w:p>
    <w:p w14:paraId="68A8CB18">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四、磋商流程</w:t>
      </w:r>
    </w:p>
    <w:p w14:paraId="7317C22D">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（一）磋商准备</w:t>
      </w:r>
    </w:p>
    <w:p w14:paraId="410D9BD2">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在规定的时间和地点举行磋商会议，响应供应商的法定代表人（或单位负责人）或其授权代表应参加磋商会议并签到。响应供应商的法定代表人（或单位负责人）或其授权代表未按时签到的，视同放弃磋商活动的监督权利、认可磋商结果。</w:t>
      </w:r>
    </w:p>
    <w:p w14:paraId="3718FEA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（二）磋商程序</w:t>
      </w:r>
    </w:p>
    <w:p w14:paraId="25B3D301">
      <w:pPr>
        <w:autoSpaceDE/>
        <w:autoSpaceDN/>
        <w:adjustRightInd/>
        <w:spacing w:line="50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1.磋商会议由采购代理机构主持，主持人宣布磋商会议开始；</w:t>
      </w:r>
    </w:p>
    <w:p w14:paraId="121625BF">
      <w:pPr>
        <w:autoSpaceDE/>
        <w:autoSpaceDN/>
        <w:adjustRightInd/>
        <w:spacing w:line="50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2.在开标后投标供应商</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“政采云”平台，用“项目采购-开标评标”功能进行解密（磋商响应文件）投标文件。若投标供应商在规定时间内无法解密或解密失败的，视为投标文件撤回。</w:t>
      </w:r>
    </w:p>
    <w:p w14:paraId="0EE372C4">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ascii="宋体" w:hAnsi="宋体" w:eastAsia="宋体" w:cs="宋体"/>
          <w:bCs/>
          <w:color w:val="auto"/>
          <w:sz w:val="21"/>
          <w:szCs w:val="21"/>
          <w:highlight w:val="none"/>
        </w:rPr>
        <w:t>商务技术文件和报价文件的评审。</w:t>
      </w:r>
    </w:p>
    <w:p w14:paraId="2A4418EE">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14:paraId="4DEC480F">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商务技术文件评分结束后，然后在线开启报价文件，进行价格磋商，要求供应商提交最后报价。</w:t>
      </w:r>
    </w:p>
    <w:p w14:paraId="46D0DD09">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6.商务技术文件评审结果在线公布后，在线开启最后报价，并由评标委员会进行报价评审。</w:t>
      </w:r>
    </w:p>
    <w:p w14:paraId="022F8DA2">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 综合评审结果在线公布各供应商得分汇总，并在线提交（宣布）成交候选人。</w:t>
      </w:r>
    </w:p>
    <w:p w14:paraId="1E9FA362">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 评审结束后，代理机构宣布开标结束，并公布采购结果。</w:t>
      </w:r>
    </w:p>
    <w:p w14:paraId="306B88EC">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注：政采云公司如对电子化开标及评审程序有调整的，按调整后的程序操作。</w:t>
      </w:r>
    </w:p>
    <w:p w14:paraId="60293146">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五、磋商规则</w:t>
      </w:r>
    </w:p>
    <w:p w14:paraId="475C978D">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（一）组建磋商小组</w:t>
      </w:r>
    </w:p>
    <w:p w14:paraId="74399E2A">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和采购代理机构将根据本项目的特点依法组建磋商小组，磋商小组由磋商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和有关技术、经济等方面三名或以上单数的专家组成，其中技术、经济等方面的专家不少于成员总数的三分之二。专家统一在政府采购专家管理系统（政采云）的专家库中随机抽取。</w:t>
      </w:r>
    </w:p>
    <w:p w14:paraId="51F55508">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（二）磋商的方式</w:t>
      </w:r>
    </w:p>
    <w:p w14:paraId="25B51568">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本项目采用不公开方式磋商，磋商的依据为磋商采购文件和磋商响应文件。</w:t>
      </w:r>
    </w:p>
    <w:p w14:paraId="72FE02EB">
      <w:pPr>
        <w:pStyle w:val="66"/>
        <w:adjustRightInd w:val="0"/>
        <w:snapToGrid w:val="0"/>
        <w:spacing w:before="0" w:line="500" w:lineRule="exact"/>
        <w:ind w:firstLine="42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（三）磋商响应文件鉴定</w:t>
      </w:r>
    </w:p>
    <w:p w14:paraId="1691EED8">
      <w:pPr>
        <w:pStyle w:val="66"/>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1.在磋商前，磋商小组对每份</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进行符合性等方面的预审，如</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被确认为无效，采购代理机构将及时通知该供应商。</w:t>
      </w:r>
    </w:p>
    <w:p w14:paraId="2F9BBC68">
      <w:pPr>
        <w:pStyle w:val="66"/>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2.就本条款而言，实质上响应要求的</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，应该与文件的规定主要要求、条件、条款和规范相符，无显著差异或保留。</w:t>
      </w:r>
    </w:p>
    <w:p w14:paraId="6E296CAB">
      <w:pPr>
        <w:pStyle w:val="66"/>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实质上不响应磋商采购文件的要求，不允许通过修正或</w:t>
      </w:r>
      <w:r>
        <w:rPr>
          <w:rFonts w:hint="eastAsia" w:ascii="宋体" w:hAnsi="宋体" w:cs="宋体"/>
          <w:color w:val="auto"/>
          <w:sz w:val="21"/>
          <w:szCs w:val="21"/>
          <w:highlight w:val="none"/>
          <w:lang w:eastAsia="zh-CN"/>
        </w:rPr>
        <w:t>撤销</w:t>
      </w:r>
      <w:r>
        <w:rPr>
          <w:rFonts w:hint="eastAsia" w:ascii="宋体" w:hAnsi="宋体" w:eastAsia="宋体" w:cs="宋体"/>
          <w:color w:val="auto"/>
          <w:sz w:val="21"/>
          <w:szCs w:val="21"/>
          <w:highlight w:val="none"/>
        </w:rPr>
        <w:t>不符合要求的差异或保留，使之成为具有响应性。</w:t>
      </w:r>
    </w:p>
    <w:p w14:paraId="60EAB34B">
      <w:pPr>
        <w:pStyle w:val="66"/>
        <w:adjustRightInd w:val="0"/>
        <w:snapToGrid w:val="0"/>
        <w:spacing w:before="0" w:line="4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4.磋商响应文件中开标（报价）一览表内容与磋商响应文件中相应内容不一致的，以开标（报价）一览表为准；</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的大写金额和小写金额不一致的，以大写金额为准；总价金额与按单价汇总金额不一致的，以单价金额计算结果为准；单价金额小数点或者百分比有明显错位的，以开标（报价）一览表的总价为准，并修改单价；对不同文字文本</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的解释发生异议的，以中文文本为准。同时出现两种以上不一致的，按照前款规定的顺序修正。修正后的报价经响应供应商确认后产生约束力，供应商不确认的，其磋商报价无效。</w:t>
      </w:r>
    </w:p>
    <w:p w14:paraId="794D83B9">
      <w:pPr>
        <w:pStyle w:val="25"/>
        <w:snapToGrid w:val="0"/>
        <w:spacing w:line="50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（四）磋商原则</w:t>
      </w:r>
    </w:p>
    <w:p w14:paraId="3771B29C">
      <w:pPr>
        <w:pStyle w:val="25"/>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1.竞争优选。</w:t>
      </w:r>
    </w:p>
    <w:p w14:paraId="1354B22C">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2.坚持公开、公平、公正、科学合理的原则。</w:t>
      </w:r>
    </w:p>
    <w:p w14:paraId="59629C1A">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3.价格合理，方案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产品先进可行。</w:t>
      </w:r>
    </w:p>
    <w:p w14:paraId="0474E8B9">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4.反对不正当竞争。</w:t>
      </w:r>
    </w:p>
    <w:p w14:paraId="2DCF7F5C">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5.磋商小组将遵循评审原则的前提下，对供应商提供的</w:t>
      </w:r>
      <w:r>
        <w:rPr>
          <w:rFonts w:hint="eastAsia" w:ascii="宋体" w:hAnsi="宋体" w:eastAsia="宋体" w:cs="宋体"/>
          <w:color w:val="auto"/>
          <w:sz w:val="21"/>
          <w:szCs w:val="21"/>
          <w:highlight w:val="none"/>
        </w:rPr>
        <w:t>货物及</w:t>
      </w:r>
      <w:r>
        <w:rPr>
          <w:rFonts w:hint="eastAsia" w:ascii="宋体" w:hAnsi="宋体" w:eastAsia="宋体" w:cs="宋体"/>
          <w:color w:val="auto"/>
          <w:sz w:val="21"/>
          <w:szCs w:val="21"/>
          <w:highlight w:val="none"/>
          <w:lang w:val="zh-CN"/>
        </w:rPr>
        <w:t>服务、磋商价格、履约能力等进行分析。</w:t>
      </w:r>
    </w:p>
    <w:p w14:paraId="1EDF84CC">
      <w:pPr>
        <w:pStyle w:val="25"/>
        <w:snapToGrid w:val="0"/>
        <w:spacing w:line="500" w:lineRule="exact"/>
        <w:ind w:firstLine="420" w:firstLineChars="200"/>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6.客观、公正对待所有供应商，对所有磋商评价，均采用相同的程序和标准。</w:t>
      </w:r>
    </w:p>
    <w:p w14:paraId="4500E9A6">
      <w:pPr>
        <w:pStyle w:val="25"/>
        <w:snapToGrid w:val="0"/>
        <w:spacing w:line="500" w:lineRule="exact"/>
        <w:ind w:firstLine="420" w:firstLineChars="200"/>
        <w:rPr>
          <w:rFonts w:hint="eastAsia" w:ascii="宋体" w:hAnsi="宋体" w:eastAsia="宋体" w:cs="宋体"/>
          <w:color w:val="auto"/>
          <w:sz w:val="21"/>
          <w:highlight w:val="none"/>
          <w:lang w:val="zh-CN"/>
        </w:rPr>
      </w:pPr>
      <w:bookmarkStart w:id="156" w:name="_Toc12327"/>
      <w:bookmarkStart w:id="157" w:name="_Toc31509"/>
      <w:r>
        <w:rPr>
          <w:rFonts w:hint="eastAsia" w:ascii="宋体" w:hAnsi="宋体" w:eastAsia="宋体" w:cs="宋体"/>
          <w:color w:val="auto"/>
          <w:sz w:val="21"/>
          <w:highlight w:val="none"/>
          <w:lang w:val="zh-CN"/>
        </w:rPr>
        <w:t>7.在磋商响应期间，供应商不得向磋商小组成员询问磋商情况，不得进行旨在影响磋商结果的活动，否则将废除其磋商资格。</w:t>
      </w:r>
      <w:bookmarkEnd w:id="156"/>
      <w:bookmarkEnd w:id="157"/>
    </w:p>
    <w:p w14:paraId="7EE7467E">
      <w:pPr>
        <w:pStyle w:val="25"/>
        <w:snapToGrid w:val="0"/>
        <w:spacing w:line="500" w:lineRule="exact"/>
        <w:ind w:firstLine="420" w:firstLineChars="200"/>
        <w:rPr>
          <w:rFonts w:hint="eastAsia" w:ascii="宋体" w:hAnsi="宋体" w:eastAsia="宋体" w:cs="宋体"/>
          <w:color w:val="auto"/>
          <w:sz w:val="21"/>
          <w:highlight w:val="none"/>
          <w:lang w:val="zh-CN"/>
        </w:rPr>
      </w:pPr>
      <w:bookmarkStart w:id="158" w:name="_Toc3525"/>
      <w:bookmarkStart w:id="159" w:name="_Toc22482"/>
      <w:r>
        <w:rPr>
          <w:rFonts w:hint="eastAsia" w:ascii="宋体" w:hAnsi="宋体" w:eastAsia="宋体" w:cs="宋体"/>
          <w:color w:val="auto"/>
          <w:sz w:val="21"/>
          <w:highlight w:val="none"/>
          <w:lang w:val="zh-CN"/>
        </w:rPr>
        <w:t>8.在磋商过程中，磋商小组成员不得与供应商私下交换意见，在竞争性磋商工作结束后，凡与磋商情况有接触的人不得将磋商情况扩散出磋商小组成员之外。</w:t>
      </w:r>
      <w:bookmarkEnd w:id="158"/>
      <w:bookmarkEnd w:id="159"/>
    </w:p>
    <w:p w14:paraId="3FDB20DB">
      <w:pPr>
        <w:pStyle w:val="25"/>
        <w:snapToGrid w:val="0"/>
        <w:spacing w:line="500" w:lineRule="exact"/>
        <w:ind w:firstLine="420" w:firstLineChars="200"/>
        <w:rPr>
          <w:rFonts w:hint="eastAsia" w:ascii="宋体" w:hAnsi="宋体" w:eastAsia="宋体" w:cs="宋体"/>
          <w:color w:val="auto"/>
          <w:sz w:val="21"/>
          <w:highlight w:val="none"/>
          <w:lang w:val="zh-CN"/>
        </w:rPr>
      </w:pPr>
      <w:bookmarkStart w:id="160" w:name="_Toc12142"/>
      <w:bookmarkStart w:id="161" w:name="_Toc16282"/>
      <w:r>
        <w:rPr>
          <w:rFonts w:hint="eastAsia" w:ascii="宋体" w:hAnsi="宋体" w:eastAsia="宋体" w:cs="宋体"/>
          <w:color w:val="auto"/>
          <w:sz w:val="21"/>
          <w:highlight w:val="none"/>
          <w:lang w:val="zh-CN"/>
        </w:rPr>
        <w:t>9.采购人不向未成交人解释未成交原因，不退还磋商响应文件。</w:t>
      </w:r>
      <w:bookmarkEnd w:id="160"/>
      <w:bookmarkEnd w:id="161"/>
    </w:p>
    <w:p w14:paraId="1F947B01">
      <w:pPr>
        <w:pStyle w:val="25"/>
        <w:snapToGrid w:val="0"/>
        <w:spacing w:line="500" w:lineRule="exact"/>
        <w:ind w:firstLine="422" w:firstLineChars="200"/>
        <w:rPr>
          <w:rFonts w:hint="eastAsia" w:ascii="宋体" w:hAnsi="宋体" w:eastAsia="宋体" w:cs="宋体"/>
          <w:b/>
          <w:color w:val="auto"/>
          <w:sz w:val="21"/>
          <w:highlight w:val="none"/>
          <w:lang w:val="zh-CN"/>
        </w:rPr>
      </w:pPr>
      <w:bookmarkStart w:id="162" w:name="_Toc998"/>
      <w:r>
        <w:rPr>
          <w:rFonts w:hint="eastAsia" w:ascii="宋体" w:hAnsi="宋体" w:eastAsia="宋体" w:cs="宋体"/>
          <w:b/>
          <w:color w:val="auto"/>
          <w:sz w:val="21"/>
          <w:highlight w:val="none"/>
        </w:rPr>
        <w:t>（五）</w:t>
      </w:r>
      <w:r>
        <w:rPr>
          <w:rFonts w:hint="eastAsia" w:ascii="宋体" w:hAnsi="宋体" w:eastAsia="宋体" w:cs="宋体"/>
          <w:b/>
          <w:color w:val="auto"/>
          <w:sz w:val="21"/>
          <w:highlight w:val="none"/>
          <w:lang w:val="zh-CN"/>
        </w:rPr>
        <w:t>磋商程序</w:t>
      </w:r>
      <w:bookmarkEnd w:id="162"/>
    </w:p>
    <w:p w14:paraId="6F1FC37C">
      <w:pPr>
        <w:tabs>
          <w:tab w:val="left" w:pos="0"/>
        </w:tabs>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1.根据公开、公平、公正、诚信科学的原则，组织竞争性磋商采购。</w:t>
      </w:r>
    </w:p>
    <w:p w14:paraId="23E852B4">
      <w:pPr>
        <w:tabs>
          <w:tab w:val="left" w:pos="0"/>
        </w:tabs>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2.具体工作流程：</w:t>
      </w:r>
    </w:p>
    <w:p w14:paraId="36FEFF00">
      <w:pPr>
        <w:tabs>
          <w:tab w:val="left" w:pos="0"/>
        </w:tabs>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（1）磋商小组所有成员应当集中与单一供应商分别进行磋商，并给予所有参加磋商的供应商平等的磋商机会。</w:t>
      </w:r>
    </w:p>
    <w:p w14:paraId="5FA845A4">
      <w:pPr>
        <w:tabs>
          <w:tab w:val="left" w:pos="0"/>
        </w:tabs>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（2）在磋商过程中，磋商小组可以根据磋商采购文件和磋商情况实质性变动采购需求中的技术、服务要求以及合同草案条款。实质性变动的内容，须经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代表确认。</w:t>
      </w:r>
    </w:p>
    <w:p w14:paraId="73D59724">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（3）磋商采购文件作出的实质性变动是磋商采购文件的有效组成部分，磋商小组应当及时以书面形式同时通知所有参加磋商的供应商。</w:t>
      </w:r>
    </w:p>
    <w:p w14:paraId="7A13C4B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（4）供应商应当按照磋商采购文件的变动情况和磋商小组的要求重新提交响应文件，并由其法定代表人或授权代表签字或者加盖公章。由授权代表签字的，应当附法定代表人授权书。</w:t>
      </w:r>
    </w:p>
    <w:p w14:paraId="634D052E">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（六）最后报价</w:t>
      </w:r>
    </w:p>
    <w:p w14:paraId="1D5BE86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1.磋商结束后，磋商小组应当要求所有实质性响应的供应商在规定时间内提交最后报价。</w:t>
      </w:r>
    </w:p>
    <w:p w14:paraId="79EB3DF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2.最后报价是磋商响应文件的有效组成部分。</w:t>
      </w:r>
    </w:p>
    <w:p w14:paraId="7FA6046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3.已提交磋商响应文件的供应商，在提交最后报价之前，若因磋商文件实质性变动导致供应商无法满足采购需求的，允许供应商退出磋商。</w:t>
      </w:r>
    </w:p>
    <w:p w14:paraId="10A740F9">
      <w:pPr>
        <w:pStyle w:val="25"/>
        <w:snapToGrid w:val="0"/>
        <w:spacing w:line="5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4.资信商务技术文件评审结果在线公布后，采购代理机构将在线开启最后报价。</w:t>
      </w:r>
    </w:p>
    <w:p w14:paraId="06410676">
      <w:pPr>
        <w:tabs>
          <w:tab w:val="left" w:pos="0"/>
        </w:tabs>
        <w:spacing w:line="500" w:lineRule="exact"/>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（七） 磋商办法。</w:t>
      </w:r>
      <w:r>
        <w:rPr>
          <w:rFonts w:hint="eastAsia" w:ascii="宋体" w:hAnsi="宋体" w:eastAsia="宋体" w:cs="宋体"/>
          <w:color w:val="auto"/>
          <w:sz w:val="21"/>
          <w:szCs w:val="21"/>
          <w:highlight w:val="none"/>
        </w:rPr>
        <w:t>具体磋商内容及评分标准等详见《第四部分：磋商办法及评分标准》。</w:t>
      </w:r>
    </w:p>
    <w:p w14:paraId="1A594498">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（八）磋商过程的监控</w:t>
      </w:r>
    </w:p>
    <w:p w14:paraId="26EC0530">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本项目磋商过程实行全程录音、录像监控，响应供应商在磋商过程中所进行的试图影响磋商结果的不公正活动，可能导致其磋商采购活动被拒绝。</w:t>
      </w:r>
    </w:p>
    <w:p w14:paraId="22D41D20">
      <w:pPr>
        <w:autoSpaceDE/>
        <w:autoSpaceDN/>
        <w:adjustRightIn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（九）中止电子交易活动的情形</w:t>
      </w:r>
    </w:p>
    <w:p w14:paraId="7008D046">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磋商过程中出现以下情形，导致电子交易平台无法正常运行，或者无法保证电子交易的公平、公正和安全时，中止电子交易活动：</w:t>
      </w:r>
    </w:p>
    <w:p w14:paraId="51D41508">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45E0DBE0">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5985632C">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5AC44AF9">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146EA7FB">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03FFAF66">
      <w:pPr>
        <w:autoSpaceDE/>
        <w:autoSpaceDN/>
        <w:adjustRightInd/>
        <w:spacing w:line="5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24F109E4">
      <w:pPr>
        <w:autoSpaceDE/>
        <w:autoSpaceDN/>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六．确定成交人</w:t>
      </w:r>
    </w:p>
    <w:p w14:paraId="3342F8EB">
      <w:pPr>
        <w:snapToGrid w:val="0"/>
        <w:spacing w:line="460" w:lineRule="exact"/>
        <w:ind w:firstLine="417"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将根据磋商采购文件和有关规定，履行评审工作职责，以《磋商办法及评分标准》为标准，全面衡量各供应商对磋商文件的响应情况。对实质上响应磋商文件的供应商，以打分的方法，排出推荐成交的供应商的先后顺序，并按顺序提出授标建议。评审结果报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同意，最终确定成交人。</w:t>
      </w:r>
    </w:p>
    <w:p w14:paraId="30C0741B">
      <w:pPr>
        <w:snapToGrid w:val="0"/>
        <w:spacing w:line="46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应当根据磋商小组推荐的顺序确定成交人，不得在磋商小组推荐的成交候选人以外确定成交人。</w:t>
      </w:r>
    </w:p>
    <w:p w14:paraId="6A29BC48">
      <w:pPr>
        <w:autoSpaceDE/>
        <w:autoSpaceDN/>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3.采购代理机构在磋商结束后2个工作日内将磋商报告交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w:t>
      </w:r>
    </w:p>
    <w:p w14:paraId="3A9E7BEB">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4.响应供应商对磋商结果无异议的，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应在收到磋商报告后5个工作日内对磋商结果进行确认。如有响应供应商对磋商结果提出质疑的，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可在质疑处理完毕后确定成交供应商。</w:t>
      </w:r>
    </w:p>
    <w:p w14:paraId="364CF3E9">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5.磋商结果公示期：1个工作日。</w:t>
      </w:r>
    </w:p>
    <w:p w14:paraId="785EAF25">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6.磋商结果公示的同时采购代理机构以书面形式发出《成交通知书》。</w:t>
      </w:r>
    </w:p>
    <w:p w14:paraId="14A97057">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bookmarkStart w:id="163" w:name="_Toc25299"/>
      <w:r>
        <w:rPr>
          <w:rFonts w:hint="eastAsia" w:ascii="宋体" w:hAnsi="宋体" w:eastAsia="宋体" w:cs="宋体"/>
          <w:b/>
          <w:color w:val="auto"/>
          <w:sz w:val="21"/>
          <w:szCs w:val="21"/>
          <w:highlight w:val="none"/>
        </w:rPr>
        <w:t>七、合同授予</w:t>
      </w:r>
      <w:bookmarkEnd w:id="163"/>
    </w:p>
    <w:p w14:paraId="5D67EB99">
      <w:pPr>
        <w:pStyle w:val="3"/>
        <w:adjustRightInd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1.合同的签订</w:t>
      </w:r>
    </w:p>
    <w:p w14:paraId="110D67D6">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1.1除不可抗力等特殊情况外，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原则上应当在成交通知书发出之日起20日内，与成交人按照采购文件确定的事项签订政府采购合同，并在签订之日起2个工作日内将政府采购合同在浙江政府采购网上公告。</w:t>
      </w:r>
    </w:p>
    <w:p w14:paraId="2928B073">
      <w:pPr>
        <w:pStyle w:val="66"/>
        <w:adjustRightInd w:val="0"/>
        <w:snapToGrid w:val="0"/>
        <w:spacing w:before="0" w:line="50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1735D8CD">
      <w:pPr>
        <w:pStyle w:val="66"/>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1.3如签订合同并生效后，供应商无故拒绝或延期，除按照合同条款处理外，列入不良行为记录一次，并给予通报。</w:t>
      </w:r>
    </w:p>
    <w:p w14:paraId="089022CD">
      <w:pPr>
        <w:pStyle w:val="66"/>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1.4成交人拒绝与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可以按照评审报告推荐的中标或者成交候选人名单排序，确定下一候选人为成交人，也可以重新开展政府采购活动。</w:t>
      </w:r>
    </w:p>
    <w:p w14:paraId="42861217">
      <w:pPr>
        <w:pStyle w:val="66"/>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1.5采购合同由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与成交人根据采购文件、磋商响应文件等内容通过政府采购电子交易平台在线签订，自动备案。</w:t>
      </w:r>
    </w:p>
    <w:p w14:paraId="03DBB4DC">
      <w:pPr>
        <w:pStyle w:val="66"/>
        <w:adjustRightInd w:val="0"/>
        <w:snapToGrid w:val="0"/>
        <w:spacing w:before="0" w:line="500" w:lineRule="exact"/>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14:paraId="2FEDD028">
      <w:pPr>
        <w:pStyle w:val="3"/>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2.预付款</w:t>
      </w:r>
    </w:p>
    <w:p w14:paraId="76CFDA8F">
      <w:pPr>
        <w:tabs>
          <w:tab w:val="left" w:pos="0"/>
        </w:tabs>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可不适用前述规定。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根据项目特点、供应商诚信等因素，可以要求供应商提交银行、保险公司等金融机构出具的预付款保函或其他担保措施。政府采购预付款应在</w:t>
      </w:r>
      <w:r>
        <w:rPr>
          <w:rFonts w:hint="eastAsia" w:ascii="宋体" w:hAnsi="宋体" w:eastAsia="宋体" w:cs="宋体"/>
          <w:color w:val="auto"/>
          <w:sz w:val="21"/>
          <w:szCs w:val="21"/>
          <w:highlight w:val="none"/>
          <w:u w:val="single"/>
        </w:rPr>
        <w:t>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14:paraId="6F98D75D">
      <w:pPr>
        <w:tabs>
          <w:tab w:val="left" w:pos="0"/>
        </w:tabs>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rPr>
        <w:t>合同签订生效且成交人正式接管服务工作后7个工作日内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支付成交人合同金额的</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0%作为预付款，但在签订合同时，</w:t>
      </w:r>
      <w:r>
        <w:rPr>
          <w:rFonts w:hint="eastAsia" w:ascii="宋体" w:hAnsi="宋体" w:eastAsia="宋体" w:cs="宋体"/>
          <w:bCs/>
          <w:color w:val="auto"/>
          <w:sz w:val="21"/>
          <w:szCs w:val="21"/>
          <w:highlight w:val="none"/>
        </w:rPr>
        <w:t>成交人</w:t>
      </w:r>
      <w:r>
        <w:rPr>
          <w:rFonts w:hint="eastAsia" w:ascii="宋体" w:hAnsi="宋体" w:eastAsia="宋体" w:cs="宋体"/>
          <w:color w:val="auto"/>
          <w:sz w:val="21"/>
          <w:szCs w:val="21"/>
          <w:highlight w:val="none"/>
        </w:rPr>
        <w:t>明确表示无需预付款或者主动要求降低预付款比例的，可降低预付款比例，且须在合同签订前与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沟通确定，并提供无需预付款或者降低预付款比例的承诺，双方就此条款可对合同中的支付方式进行调整。</w:t>
      </w:r>
    </w:p>
    <w:p w14:paraId="5E96CA41">
      <w:pPr>
        <w:pStyle w:val="3"/>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3.资金支付</w:t>
      </w:r>
    </w:p>
    <w:p w14:paraId="2CD3E377">
      <w:pPr>
        <w:pStyle w:val="3"/>
        <w:adjustRightInd w:val="0"/>
        <w:snapToGrid w:val="0"/>
        <w:spacing w:line="5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应当及时</w:t>
      </w:r>
      <w:r>
        <w:rPr>
          <w:rFonts w:hint="eastAsia" w:ascii="宋体" w:hAnsi="宋体" w:eastAsia="宋体" w:cs="宋体"/>
          <w:color w:val="auto"/>
          <w:sz w:val="21"/>
          <w:szCs w:val="21"/>
          <w:highlight w:val="none"/>
        </w:rPr>
        <w:t>组织项目验收，</w:t>
      </w:r>
      <w:r>
        <w:rPr>
          <w:rFonts w:hint="eastAsia" w:ascii="宋体" w:hAnsi="宋体" w:eastAsia="宋体" w:cs="宋体"/>
          <w:b/>
          <w:bCs/>
          <w:color w:val="auto"/>
          <w:sz w:val="21"/>
          <w:szCs w:val="21"/>
          <w:highlight w:val="none"/>
        </w:rPr>
        <w:t>不得以政府部门审计作为支付供应商款项的条件。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对于满足合同约定支付条件的，</w:t>
      </w:r>
      <w:r>
        <w:rPr>
          <w:rFonts w:hint="eastAsia" w:ascii="宋体" w:hAnsi="宋体" w:eastAsia="宋体" w:cs="宋体"/>
          <w:b/>
          <w:bCs/>
          <w:color w:val="auto"/>
          <w:sz w:val="21"/>
          <w:szCs w:val="21"/>
          <w:highlight w:val="none"/>
        </w:rPr>
        <w:t>自收到发票后7个工作日内</w:t>
      </w:r>
      <w:r>
        <w:rPr>
          <w:rFonts w:hint="eastAsia" w:ascii="宋体" w:hAnsi="宋体" w:eastAsia="宋体" w:cs="宋体"/>
          <w:color w:val="auto"/>
          <w:sz w:val="21"/>
          <w:szCs w:val="21"/>
          <w:highlight w:val="none"/>
        </w:rPr>
        <w:t>将资金支付到合同约定的供应商账户。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不得以机构变动、人员更替、政策调整、单位放假、履行内部付款流程，或者在合同未作约定的情况下以等待竣工验收批复、决算审计等为由迟延付款。迟延支付中小企业款项的，供应商可要求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支付逾期利息。</w:t>
      </w:r>
    </w:p>
    <w:p w14:paraId="4DAEEAF4">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bookmarkStart w:id="164" w:name="_Toc97649962"/>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目</w:t>
      </w:r>
      <w:r>
        <w:rPr>
          <w:rFonts w:hint="eastAsia" w:ascii="宋体" w:hAnsi="宋体" w:eastAsia="宋体" w:cs="宋体"/>
          <w:color w:val="auto"/>
          <w:sz w:val="21"/>
          <w:szCs w:val="21"/>
          <w:highlight w:val="none"/>
        </w:rPr>
        <w:t>的资金支付按本磋商采购文件“第二</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 xml:space="preserve"> 采购需求”之“</w:t>
      </w:r>
      <w:r>
        <w:rPr>
          <w:rFonts w:hint="eastAsia" w:hAnsi="宋体" w:cs="宋体"/>
          <w:color w:val="auto"/>
          <w:sz w:val="21"/>
          <w:szCs w:val="21"/>
          <w:highlight w:val="none"/>
          <w:lang w:val="en-US" w:eastAsia="zh-CN"/>
        </w:rPr>
        <w:t>四</w:t>
      </w:r>
      <w:r>
        <w:rPr>
          <w:rFonts w:hint="eastAsia" w:ascii="宋体" w:hAnsi="宋体" w:eastAsia="宋体" w:cs="宋体"/>
          <w:color w:val="auto"/>
          <w:sz w:val="21"/>
          <w:szCs w:val="21"/>
          <w:highlight w:val="none"/>
        </w:rPr>
        <w:t>、付款方式”执行并在合同中进行约定。</w:t>
      </w:r>
    </w:p>
    <w:p w14:paraId="5B3A9FA4">
      <w:pPr>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八、项目验收</w:t>
      </w:r>
      <w:bookmarkEnd w:id="164"/>
    </w:p>
    <w:p w14:paraId="69CE6EB2">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5E27A1">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可以邀请参加本项目的其他供应商或者第三方机构参与验收。参与验收的供应商或者第三方机构的意见作为验收书的参考资料一并存档。</w:t>
      </w:r>
    </w:p>
    <w:p w14:paraId="5B283154">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3.严格按照采购合同开展履约验收。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681F51">
      <w:pPr>
        <w:autoSpaceDE/>
        <w:autoSpaceDN/>
        <w:snapToGrid w:val="0"/>
        <w:spacing w:line="5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原则上应当在</w:t>
      </w:r>
      <w:r>
        <w:rPr>
          <w:rFonts w:hint="eastAsia" w:ascii="宋体" w:hAnsi="宋体" w:eastAsia="宋体" w:cs="宋体"/>
          <w:b/>
          <w:bCs/>
          <w:color w:val="auto"/>
          <w:sz w:val="21"/>
          <w:szCs w:val="21"/>
          <w:highlight w:val="none"/>
        </w:rPr>
        <w:t>履约验收之日起2个工作日内</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rPr>
        <w:t>履约验收结果在浙江政府采购网上公告。</w:t>
      </w:r>
    </w:p>
    <w:p w14:paraId="1BFA0C62">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5.验收合格的项目，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将根据采购合同的约定及时向供应商支付采购资金、退还履约保证金。</w:t>
      </w:r>
    </w:p>
    <w:p w14:paraId="15CD3A84">
      <w:pPr>
        <w:autoSpaceDE/>
        <w:autoSpaceDN/>
        <w:adjustRightInd/>
        <w:spacing w:line="500" w:lineRule="exact"/>
        <w:ind w:firstLine="420" w:firstLineChars="200"/>
        <w:jc w:val="both"/>
        <w:textAlignment w:val="auto"/>
        <w:rPr>
          <w:rFonts w:hint="eastAsia" w:ascii="宋体" w:hAnsi="宋体" w:eastAsia="宋体" w:cs="宋体"/>
          <w:b/>
          <w:color w:val="auto"/>
          <w:sz w:val="24"/>
          <w:szCs w:val="24"/>
          <w:highlight w:val="none"/>
        </w:rPr>
      </w:pPr>
      <w:bookmarkStart w:id="165" w:name="_Toc20376"/>
      <w:r>
        <w:rPr>
          <w:rFonts w:hint="eastAsia" w:ascii="宋体" w:hAnsi="宋体" w:eastAsia="宋体" w:cs="宋体"/>
          <w:color w:val="auto"/>
          <w:sz w:val="21"/>
          <w:szCs w:val="21"/>
          <w:highlight w:val="none"/>
        </w:rPr>
        <w:t>验收不合格的项目，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应当及时报告本级财政部门。</w:t>
      </w:r>
      <w:bookmarkEnd w:id="165"/>
    </w:p>
    <w:p w14:paraId="2F3487BE">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九、电子投标特别提醒</w:t>
      </w:r>
    </w:p>
    <w:p w14:paraId="212D0FA0">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1.请所有供应商在政采云系统准时参加线上开标活动,并且要求法定代表人或授权委托人全程在线。</w:t>
      </w:r>
    </w:p>
    <w:p w14:paraId="5732CD85">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2.投标截止时间后，代理机构将线上开启解密，供应商需及时用CA锁在线解密，解密时间一般为半小时（解密时限由财政部门设置），逾期解密，供应商自行承担风险。</w:t>
      </w:r>
    </w:p>
    <w:p w14:paraId="5DB82F62">
      <w:pPr>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3.解密响应文件的CA锁必须跟制作响应文件的CA锁为同一个，否则将导致解密失败。</w:t>
      </w:r>
    </w:p>
    <w:p w14:paraId="64525C8C">
      <w:pPr>
        <w:snapToGrid w:val="0"/>
        <w:spacing w:line="500" w:lineRule="exact"/>
        <w:ind w:firstLine="420"/>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4.请务必确保</w:t>
      </w:r>
      <w:r>
        <w:rPr>
          <w:rFonts w:hint="eastAsia" w:ascii="宋体" w:hAnsi="宋体" w:eastAsia="宋体" w:cs="宋体"/>
          <w:color w:val="auto"/>
          <w:sz w:val="21"/>
          <w:highlight w:val="none"/>
        </w:rPr>
        <w:t>响应文件</w:t>
      </w:r>
      <w:r>
        <w:rPr>
          <w:rFonts w:hint="eastAsia" w:ascii="宋体" w:hAnsi="宋体" w:eastAsia="宋体" w:cs="宋体"/>
          <w:bCs/>
          <w:color w:val="auto"/>
          <w:sz w:val="21"/>
          <w:szCs w:val="21"/>
          <w:highlight w:val="none"/>
        </w:rPr>
        <w:t>制作客户端为最新版本，旧版本可能导致</w:t>
      </w:r>
      <w:r>
        <w:rPr>
          <w:rFonts w:hint="eastAsia" w:ascii="宋体" w:hAnsi="宋体" w:eastAsia="宋体" w:cs="宋体"/>
          <w:color w:val="auto"/>
          <w:sz w:val="21"/>
          <w:highlight w:val="none"/>
        </w:rPr>
        <w:t>响应</w:t>
      </w:r>
      <w:r>
        <w:rPr>
          <w:rFonts w:hint="eastAsia" w:ascii="宋体" w:hAnsi="宋体" w:eastAsia="宋体" w:cs="宋体"/>
          <w:bCs/>
          <w:color w:val="auto"/>
          <w:sz w:val="21"/>
          <w:szCs w:val="21"/>
          <w:highlight w:val="none"/>
        </w:rPr>
        <w:t>文件解密失</w:t>
      </w:r>
      <w:r>
        <w:rPr>
          <w:rFonts w:hint="eastAsia" w:ascii="宋体" w:hAnsi="宋体" w:eastAsia="宋体" w:cs="宋体"/>
          <w:bCs/>
          <w:color w:val="auto"/>
          <w:sz w:val="21"/>
          <w:szCs w:val="22"/>
          <w:highlight w:val="none"/>
        </w:rPr>
        <w:t>败。</w:t>
      </w:r>
    </w:p>
    <w:p w14:paraId="4BF96EBC">
      <w:pPr>
        <w:widowControl w:val="0"/>
        <w:autoSpaceDE/>
        <w:autoSpaceDN/>
        <w:adjustRightInd/>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p>
    <w:bookmarkEnd w:id="146"/>
    <w:bookmarkEnd w:id="147"/>
    <w:bookmarkEnd w:id="148"/>
    <w:p w14:paraId="3FE78CB6">
      <w:pPr>
        <w:pStyle w:val="4"/>
        <w:spacing w:line="480" w:lineRule="exact"/>
        <w:jc w:val="center"/>
        <w:rPr>
          <w:rFonts w:hint="eastAsia" w:ascii="宋体" w:hAnsi="宋体" w:eastAsia="宋体" w:cs="宋体"/>
          <w:color w:val="auto"/>
          <w:sz w:val="30"/>
          <w:szCs w:val="30"/>
          <w:highlight w:val="none"/>
        </w:rPr>
      </w:pPr>
      <w:bookmarkStart w:id="166" w:name="_Toc25151"/>
      <w:bookmarkStart w:id="167" w:name="_Toc2991"/>
      <w:bookmarkStart w:id="168" w:name="_Toc10461"/>
      <w:bookmarkStart w:id="169" w:name="_Toc8056"/>
      <w:bookmarkStart w:id="170" w:name="_Toc18347"/>
      <w:bookmarkStart w:id="171" w:name="_Toc30406"/>
      <w:bookmarkStart w:id="172" w:name="_Toc14625"/>
      <w:bookmarkStart w:id="173" w:name="_Toc26810"/>
      <w:bookmarkStart w:id="174" w:name="_Toc9899"/>
      <w:bookmarkStart w:id="175" w:name="_Toc783"/>
      <w:bookmarkStart w:id="176" w:name="_Toc20688"/>
      <w:bookmarkStart w:id="177" w:name="_Toc26659"/>
      <w:bookmarkStart w:id="178" w:name="_Toc27937"/>
      <w:bookmarkStart w:id="179" w:name="_Toc29330"/>
      <w:bookmarkStart w:id="180" w:name="_Toc354841320"/>
      <w:bookmarkStart w:id="181" w:name="_Toc26369"/>
      <w:bookmarkStart w:id="182" w:name="_Toc7454"/>
      <w:bookmarkStart w:id="183" w:name="_Toc12051"/>
      <w:bookmarkStart w:id="184" w:name="_Toc237193456"/>
      <w:bookmarkStart w:id="185" w:name="_Toc296074345"/>
      <w:bookmarkStart w:id="186" w:name="_Toc237340112"/>
      <w:bookmarkStart w:id="187" w:name="_Toc265065988"/>
      <w:bookmarkStart w:id="188" w:name="_Toc237189785"/>
      <w:bookmarkStart w:id="189" w:name="_Toc237413918"/>
      <w:bookmarkStart w:id="190" w:name="_Toc256977544"/>
      <w:bookmarkStart w:id="191" w:name="_Toc295737634"/>
      <w:bookmarkStart w:id="192" w:name="_Toc237414013"/>
      <w:bookmarkStart w:id="193" w:name="_Toc295910882"/>
      <w:bookmarkStart w:id="194" w:name="_Toc264211076"/>
      <w:r>
        <w:rPr>
          <w:rFonts w:hint="eastAsia" w:ascii="宋体" w:hAnsi="宋体" w:eastAsia="宋体" w:cs="宋体"/>
          <w:color w:val="auto"/>
          <w:sz w:val="30"/>
          <w:szCs w:val="30"/>
          <w:highlight w:val="none"/>
        </w:rPr>
        <w:t>第四部分  磋商办法及评分标准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53DD7D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为公正、公平、科学地选择成交供应商，按照《中华人民共和国政府采购法》等有关法律法规的规定，并结合本项目的实际，制定本办法。</w:t>
      </w:r>
    </w:p>
    <w:p w14:paraId="13F880E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本办法适用本项目的磋商。</w:t>
      </w:r>
    </w:p>
    <w:p w14:paraId="772B4D50">
      <w:pPr>
        <w:pStyle w:val="43"/>
        <w:adjustRightInd w:val="0"/>
        <w:snapToGrid w:val="0"/>
        <w:spacing w:before="0" w:beforeAutospacing="0" w:after="0" w:afterAutospacing="0"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一、评审纪律和要求</w:t>
      </w:r>
    </w:p>
    <w:p w14:paraId="2BDBEDB3">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1.评审专家必须公平、公正评审，遵纪守法，客观、廉洁地履行职责。</w:t>
      </w:r>
    </w:p>
    <w:p w14:paraId="3893A5ED">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2.评审专家在评审开始前，应关闭并上交随身携带的各种通信工具。</w:t>
      </w:r>
    </w:p>
    <w:p w14:paraId="2AFA78B2">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3.评审专家在评审过程中，未经许可不得中途离开评审现场，不得迟到早退。</w:t>
      </w:r>
    </w:p>
    <w:p w14:paraId="1CEAA34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4.评审专家和工作人员不得透露评审过程中的讨论情况和评审结果。</w:t>
      </w:r>
    </w:p>
    <w:p w14:paraId="39A0FBDA">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时，评审专家须按招标文件规定的程序、条件和标准，对供应商竞争性谈判响应文件的合规性、完整性和有效性进行审查、比较和评估，其中对供应商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招标文件要求相偏离的，应对其偏离情形进行必要的核实，并在工作底稿中予以说明；如属于实质性偏离或符合无效竞争性谈判响应文件的，可询问供应商，并允许供应商进行陈述申辩，但不允许其对偏离条款进行补充、修正或撤回</w:t>
      </w:r>
      <w:r>
        <w:rPr>
          <w:rFonts w:hint="eastAsia" w:ascii="宋体" w:hAnsi="宋体" w:eastAsia="宋体" w:cs="宋体"/>
          <w:color w:val="auto"/>
          <w:sz w:val="21"/>
          <w:szCs w:val="21"/>
          <w:highlight w:val="none"/>
        </w:rPr>
        <w:t>。</w:t>
      </w:r>
    </w:p>
    <w:p w14:paraId="1D9C3C1A">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、采购代理机构不得向评审委员会的评审专家</w:t>
      </w:r>
      <w:r>
        <w:rPr>
          <w:rFonts w:hint="eastAsia" w:hAnsi="宋体" w:cs="宋体"/>
          <w:color w:val="auto"/>
          <w:sz w:val="21"/>
          <w:szCs w:val="21"/>
          <w:highlight w:val="none"/>
          <w:lang w:eastAsia="zh-CN"/>
        </w:rPr>
        <w:t>做</w:t>
      </w:r>
      <w:r>
        <w:rPr>
          <w:rFonts w:hint="eastAsia" w:ascii="宋体" w:hAnsi="宋体" w:eastAsia="宋体" w:cs="宋体"/>
          <w:color w:val="auto"/>
          <w:sz w:val="21"/>
          <w:szCs w:val="21"/>
          <w:highlight w:val="none"/>
        </w:rPr>
        <w:t>倾向性、误导性的解释或者说明。</w:t>
      </w:r>
    </w:p>
    <w:p w14:paraId="27E954F7">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14:paraId="51468706">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8.评审专家在评审过程中不得将自己的观点强加给其他评审专家，评审专家应自主发表见解，对评审意见承担个人责任。</w:t>
      </w:r>
    </w:p>
    <w:p w14:paraId="081AFDB7">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
          <w:bCs/>
          <w:color w:val="auto"/>
          <w:sz w:val="21"/>
          <w:szCs w:val="21"/>
          <w:highlight w:val="none"/>
        </w:rPr>
        <w:t>评审结束后，评审委员会应向采购代理机构提交项目评审报告。评审报告是</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确定成交人的合法依据，评审委员会应当如实、客观地反映评审情况，按招标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r>
        <w:rPr>
          <w:rFonts w:hint="eastAsia" w:ascii="宋体" w:hAnsi="宋体" w:eastAsia="宋体" w:cs="宋体"/>
          <w:color w:val="auto"/>
          <w:sz w:val="21"/>
          <w:szCs w:val="21"/>
          <w:highlight w:val="none"/>
        </w:rPr>
        <w:t>。</w:t>
      </w:r>
    </w:p>
    <w:p w14:paraId="5153CEE2">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37405D33">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11.评审专家应当遵守评审工作纪律，不得泄露评审文件、评审情况和评审中获悉的商业秘密。</w:t>
      </w:r>
    </w:p>
    <w:p w14:paraId="3D3BD23C">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评审委员会在评审过程中发现供应商有行贿、提供虚假材料或者串通等违法行为的，应当及时向财政部门报告。</w:t>
      </w:r>
    </w:p>
    <w:p w14:paraId="19BF7299">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12.招标文件内容违反国家有关强制性规定的，评审委员会应当停止评审并向采购代理机构说明情况。</w:t>
      </w:r>
    </w:p>
    <w:p w14:paraId="4A02F86E">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13.评审专家应当配合采购代理机构答复供应商提出的质疑。</w:t>
      </w:r>
    </w:p>
    <w:p w14:paraId="079B2E46">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14.评审专家应当配合财政部门的投诉处理工作。</w:t>
      </w:r>
    </w:p>
    <w:p w14:paraId="0BE528C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15.评审专家有如下行为之一的，责令改正，给予警告，可以并处一千元以下的罚款：</w:t>
      </w:r>
    </w:p>
    <w:p w14:paraId="64DC9D9C">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①明知应当回避而未主动回避的；</w:t>
      </w:r>
    </w:p>
    <w:p w14:paraId="3A3E2FE0">
      <w:pPr>
        <w:autoSpaceDE/>
        <w:autoSpaceDN/>
        <w:snapToGrid w:val="0"/>
        <w:spacing w:line="500" w:lineRule="exact"/>
        <w:ind w:firstLine="376"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pacing w:val="-11"/>
          <w:sz w:val="21"/>
          <w:szCs w:val="21"/>
          <w:highlight w:val="none"/>
        </w:rPr>
        <w:t>②在得知自己为评审专家身份后至评审结束前时段内私下接触供应商的</w:t>
      </w:r>
      <w:r>
        <w:rPr>
          <w:rFonts w:hint="eastAsia" w:ascii="宋体" w:hAnsi="宋体" w:eastAsia="宋体" w:cs="宋体"/>
          <w:color w:val="auto"/>
          <w:sz w:val="21"/>
          <w:szCs w:val="21"/>
          <w:highlight w:val="none"/>
        </w:rPr>
        <w:t>；</w:t>
      </w:r>
    </w:p>
    <w:p w14:paraId="527CF9D7">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③在评审过程中擅离职守，影响评审程序正常进行的；</w:t>
      </w:r>
    </w:p>
    <w:p w14:paraId="75940B75">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④在评审过程有明显不合理或者不正当倾向性的；</w:t>
      </w:r>
    </w:p>
    <w:p w14:paraId="45FDA73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⑤未按招标文件规定的评审方法和标准进行评审的。</w:t>
      </w:r>
    </w:p>
    <w:p w14:paraId="6E69FFC0">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⑥上述①至⑤行为影响中标结果的，中标结果无效。</w:t>
      </w:r>
    </w:p>
    <w:p w14:paraId="0ED7A2A5">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AF84C5">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政府采购评审专家与供应商存在利害关系未回避的，处2万元以上5万元以下的罚款，禁止其参加政府采购评审活动。</w:t>
      </w:r>
    </w:p>
    <w:p w14:paraId="1E95B623">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政府采购评审专家收受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、采购代理机构、供应商贿赂或者获取其他不正当利益，构成犯罪的，依法追究刑事责任；尚不构成犯罪的，处2万元以上5万元以下的罚款，禁止其参加政府采购评审活动。</w:t>
      </w:r>
    </w:p>
    <w:p w14:paraId="60877175">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政府采购评审专家有上述违法行为的，其评审意见无效，不得获取评审费；有违法所得的，没收违法所得；给他人造成损失的，依法承担民事责任。</w:t>
      </w:r>
    </w:p>
    <w:p w14:paraId="44AC597C">
      <w:pPr>
        <w:pStyle w:val="43"/>
        <w:adjustRightInd w:val="0"/>
        <w:snapToGrid w:val="0"/>
        <w:spacing w:before="0" w:beforeAutospacing="0" w:after="0" w:afterAutospacing="0"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二、评标定标时对政府采购政策的落实要求</w:t>
      </w:r>
    </w:p>
    <w:p w14:paraId="7B61C53C">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1.采购项目需要落实的政府采购政策</w:t>
      </w:r>
    </w:p>
    <w:p w14:paraId="72F7D205">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本项目原则上采购本国生产的货物、工程和服务，不允许采购进口产品。除非</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、采购机构不会对其加以限制，仍将按照公平竞争原则实施采购）。</w:t>
      </w:r>
    </w:p>
    <w:p w14:paraId="5F18E7BB">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支持绿色发展</w:t>
      </w:r>
    </w:p>
    <w:p w14:paraId="6868F40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拟采购的产品属于品目清单范围的，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拟采购的产品属于政府强制采购的节能产品品目清单范围的，供应商未按采购文件要求提供国家确定的认证机构出具的、处于有效期之内的节能产品认证证书的，投标无效。</w:t>
      </w:r>
    </w:p>
    <w:p w14:paraId="257D5D37">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E8E29B">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1.3支持中小企业发展</w:t>
      </w:r>
    </w:p>
    <w:p w14:paraId="757021E2">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084698DC">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13DBB8F4">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1.3.2在政府采购活动中，供应商提供的货物、工程或者服务符合下列情形的，享受中小企业扶持政策：</w:t>
      </w:r>
    </w:p>
    <w:p w14:paraId="32636A0F">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1.3.2.1在货物采购项目中，货物由中小企业制造，即货物由中小企业生产且使用该中小企业商号或者注册商标；</w:t>
      </w:r>
    </w:p>
    <w:p w14:paraId="2BE6CBB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1.3.2.2在工程采购项目中，工程由中小企业承建，即工程施工单位为中小企业；</w:t>
      </w:r>
    </w:p>
    <w:p w14:paraId="122B0270">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1.3.2.3在服务采购项目中，服务由中小企业承接，即提供服务的人员为中小企业依照《中华人民共和国劳动合同法》订立劳动合同的从业人员。</w:t>
      </w:r>
    </w:p>
    <w:p w14:paraId="193A050A">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14:paraId="6950FF7D">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326A643">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8FF7E87">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1.3.4符合《关于促进残疾人就业政府采购政策的通知》（财库〔2017〕141号）规定的条件并提供《残疾人福利性单位声明函》的残疾人福利性单位视同小型、微型企业；</w:t>
      </w:r>
    </w:p>
    <w:p w14:paraId="76462616">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AA9E35">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E8B8409">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1.3.7中小企业享受扶持政策获得政府采购合同的，小微企业不得将合同分包给大中型企业，中型企业不得将合同分包给大型企业。</w:t>
      </w:r>
    </w:p>
    <w:p w14:paraId="55597BB6">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1.4支持创新发展</w:t>
      </w:r>
    </w:p>
    <w:p w14:paraId="67FA00D1">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优先采购被认定为首台套产品和“制造精品”的自主创新产品。</w:t>
      </w:r>
    </w:p>
    <w:p w14:paraId="2F525FC6">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color w:val="auto"/>
          <w:sz w:val="21"/>
          <w:szCs w:val="21"/>
          <w:highlight w:val="none"/>
        </w:rPr>
        <w:t>。</w:t>
      </w:r>
    </w:p>
    <w:p w14:paraId="231395FC">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bookmarkStart w:id="195" w:name="_Toc15807"/>
      <w:r>
        <w:rPr>
          <w:rFonts w:hint="eastAsia" w:ascii="宋体" w:hAnsi="宋体" w:eastAsia="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ascii="宋体" w:hAnsi="宋体" w:eastAsia="宋体" w:cs="宋体"/>
          <w:color w:val="auto"/>
          <w:sz w:val="21"/>
          <w:szCs w:val="21"/>
          <w:highlight w:val="none"/>
          <w:lang w:eastAsia="zh-CN"/>
        </w:rPr>
        <w:t>可登录</w:t>
      </w:r>
      <w:r>
        <w:rPr>
          <w:rFonts w:hint="eastAsia" w:ascii="宋体" w:hAnsi="宋体" w:eastAsia="宋体" w:cs="宋体"/>
          <w:color w:val="auto"/>
          <w:sz w:val="21"/>
          <w:szCs w:val="21"/>
          <w:highlight w:val="none"/>
        </w:rPr>
        <w:t>浙江政府采购(</w:t>
      </w:r>
      <w:r>
        <w:rPr>
          <w:rFonts w:hint="eastAsia" w:ascii="宋体" w:hAnsi="宋体" w:eastAsia="宋体" w:cs="宋体"/>
          <w:bCs/>
          <w:color w:val="auto"/>
          <w:sz w:val="21"/>
          <w:szCs w:val="21"/>
          <w:highlight w:val="none"/>
        </w:rPr>
        <w:t>https://zfcg. czt.zj. gov.cn/</w:t>
      </w:r>
      <w:r>
        <w:rPr>
          <w:rFonts w:hint="eastAsia" w:ascii="宋体" w:hAnsi="宋体" w:eastAsia="宋体" w:cs="宋体"/>
          <w:color w:val="auto"/>
          <w:sz w:val="21"/>
          <w:szCs w:val="21"/>
          <w:highlight w:val="none"/>
        </w:rPr>
        <w:t xml:space="preserve">)的中小企业信用融资栏目了解相关信息。 </w:t>
      </w:r>
      <w:r>
        <w:rPr>
          <w:rFonts w:hint="eastAsia" w:ascii="宋体" w:hAnsi="宋体" w:eastAsia="宋体" w:cs="宋体"/>
          <w:bCs/>
          <w:color w:val="auto"/>
          <w:sz w:val="21"/>
          <w:szCs w:val="21"/>
          <w:highlight w:val="none"/>
        </w:rPr>
        <w:t>供应商可以通过浙江政府采购网(https://zfcg. czt.zj. gov.cn/)首页的“政采云金融服务”模块进入申请，还可以通过政府采购云平台(https://www.zcygov.cn/)首页的“金融服务”模块进入申请。</w:t>
      </w:r>
      <w:bookmarkEnd w:id="195"/>
    </w:p>
    <w:p w14:paraId="69166789">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196" w:name="_Toc3994"/>
      <w:r>
        <w:rPr>
          <w:rFonts w:hint="eastAsia" w:ascii="宋体" w:hAnsi="宋体" w:eastAsia="宋体" w:cs="宋体"/>
          <w:b/>
          <w:color w:val="auto"/>
          <w:sz w:val="21"/>
          <w:szCs w:val="21"/>
          <w:highlight w:val="none"/>
        </w:rPr>
        <w:t>三、磋商内容及标准</w:t>
      </w:r>
      <w:bookmarkEnd w:id="196"/>
    </w:p>
    <w:p w14:paraId="142DD868">
      <w:pPr>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1.本次磋商采用综合评分法</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总分为100分，</w:t>
      </w:r>
      <w:r>
        <w:rPr>
          <w:rFonts w:hint="eastAsia" w:ascii="宋体" w:hAnsi="宋体" w:eastAsia="宋体" w:cs="宋体"/>
          <w:b/>
          <w:bCs/>
          <w:color w:val="auto"/>
          <w:sz w:val="21"/>
          <w:szCs w:val="21"/>
          <w:highlight w:val="none"/>
          <w:lang w:val="en-US" w:eastAsia="zh-CN"/>
        </w:rPr>
        <w:t>由</w:t>
      </w:r>
      <w:r>
        <w:rPr>
          <w:rFonts w:hint="eastAsia" w:ascii="宋体" w:hAnsi="宋体" w:eastAsia="宋体" w:cs="宋体"/>
          <w:b/>
          <w:bCs/>
          <w:color w:val="auto"/>
          <w:sz w:val="21"/>
          <w:szCs w:val="21"/>
          <w:highlight w:val="none"/>
        </w:rPr>
        <w:t>价格分（磋商报价得分）</w:t>
      </w:r>
      <w:r>
        <w:rPr>
          <w:rFonts w:hint="eastAsia"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分、技术商务分</w:t>
      </w:r>
      <w:r>
        <w:rPr>
          <w:rFonts w:hint="eastAsia"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分二部分</w:t>
      </w:r>
      <w:r>
        <w:rPr>
          <w:rFonts w:hint="eastAsia" w:ascii="宋体" w:hAnsi="宋体" w:eastAsia="宋体" w:cs="宋体"/>
          <w:b/>
          <w:bCs/>
          <w:color w:val="auto"/>
          <w:sz w:val="21"/>
          <w:szCs w:val="21"/>
          <w:highlight w:val="none"/>
          <w:lang w:val="en-US" w:eastAsia="zh-CN"/>
        </w:rPr>
        <w:t>组成</w:t>
      </w:r>
      <w:r>
        <w:rPr>
          <w:rFonts w:hint="eastAsia" w:ascii="宋体" w:hAnsi="宋体" w:eastAsia="宋体" w:cs="宋体"/>
          <w:color w:val="auto"/>
          <w:sz w:val="21"/>
          <w:szCs w:val="21"/>
          <w:highlight w:val="none"/>
        </w:rPr>
        <w:t>。合格响应供应商的磋商得分为各项目汇总得分，成交候选资格按磋商汇总得分由高到低顺序排列；汇总得分相同的，按价格分由高到低顺序排列。排名第一的响应供应商为成交候选人，排名第二的响应供应商为候补成交候选人……其他响应供应商成交候选资格</w:t>
      </w:r>
      <w:r>
        <w:rPr>
          <w:rFonts w:hint="eastAsia" w:hAnsi="宋体" w:cs="宋体"/>
          <w:color w:val="auto"/>
          <w:sz w:val="21"/>
          <w:szCs w:val="21"/>
          <w:highlight w:val="none"/>
          <w:lang w:eastAsia="zh-CN"/>
        </w:rPr>
        <w:t>以此类推</w:t>
      </w:r>
      <w:r>
        <w:rPr>
          <w:rFonts w:hint="eastAsia" w:ascii="宋体" w:hAnsi="宋体" w:eastAsia="宋体" w:cs="宋体"/>
          <w:color w:val="auto"/>
          <w:sz w:val="21"/>
          <w:szCs w:val="21"/>
          <w:highlight w:val="none"/>
        </w:rPr>
        <w:t>。评分过程中采用四舍五入法，并保留小数2位。</w:t>
      </w:r>
    </w:p>
    <w:p w14:paraId="50C1C8E7">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响应供应商磋商综合得分=价格分+技术商务分</w:t>
      </w:r>
    </w:p>
    <w:p w14:paraId="2A24CF73">
      <w:pPr>
        <w:autoSpaceDE/>
        <w:autoSpaceDN/>
        <w:adjustRightInd/>
        <w:spacing w:line="4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2.价格分:</w:t>
      </w:r>
      <w:r>
        <w:rPr>
          <w:rFonts w:hint="eastAsia" w:ascii="宋体" w:hAnsi="宋体" w:eastAsia="宋体" w:cs="宋体"/>
          <w:color w:val="auto"/>
          <w:sz w:val="21"/>
          <w:szCs w:val="21"/>
          <w:highlight w:val="none"/>
        </w:rPr>
        <w:t>价格分采用低价优先法计算，即：以满足招标文件要求且最终磋商报价最低价者</w:t>
      </w:r>
      <w:r>
        <w:rPr>
          <w:rFonts w:hint="eastAsia" w:ascii="宋体" w:hAnsi="宋体" w:eastAsia="宋体" w:cs="宋体"/>
          <w:color w:val="auto"/>
          <w:sz w:val="21"/>
          <w:szCs w:val="21"/>
          <w:highlight w:val="none"/>
          <w:lang w:val="en-US" w:eastAsia="zh-CN"/>
        </w:rPr>
        <w:t>的报价</w:t>
      </w:r>
      <w:r>
        <w:rPr>
          <w:rFonts w:hint="eastAsia" w:ascii="宋体" w:hAnsi="宋体" w:eastAsia="宋体" w:cs="宋体"/>
          <w:color w:val="auto"/>
          <w:sz w:val="21"/>
          <w:szCs w:val="21"/>
          <w:highlight w:val="none"/>
        </w:rPr>
        <w:t>定为磋商基准价，其价格分为满分。其他合格响应供应商的价格分统一按照下列公式计算：</w:t>
      </w:r>
    </w:p>
    <w:p w14:paraId="7A46710E">
      <w:pPr>
        <w:autoSpaceDE/>
        <w:autoSpaceDN/>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其他合格响应供应商的价格分=（磋商基准价/供应商的最终磋商报价）×</w:t>
      </w:r>
      <w:r>
        <w:rPr>
          <w:rFonts w:hint="eastAsia" w:hAnsi="宋体" w:cs="宋体"/>
          <w:b/>
          <w:color w:val="auto"/>
          <w:sz w:val="21"/>
          <w:szCs w:val="21"/>
          <w:highlight w:val="none"/>
          <w:lang w:val="en-US" w:eastAsia="zh-CN"/>
        </w:rPr>
        <w:t>15</w:t>
      </w:r>
      <w:r>
        <w:rPr>
          <w:rFonts w:hint="eastAsia" w:ascii="宋体" w:hAnsi="宋体" w:eastAsia="宋体" w:cs="宋体"/>
          <w:b/>
          <w:color w:val="auto"/>
          <w:sz w:val="21"/>
          <w:szCs w:val="21"/>
          <w:highlight w:val="none"/>
        </w:rPr>
        <w:t xml:space="preserve">%×100 </w:t>
      </w:r>
    </w:p>
    <w:p w14:paraId="1A64AD4A">
      <w:pPr>
        <w:autoSpaceDE/>
        <w:autoSpaceDN/>
        <w:snapToGrid w:val="0"/>
        <w:spacing w:line="500" w:lineRule="exact"/>
        <w:ind w:firstLine="422" w:firstLineChars="200"/>
        <w:rPr>
          <w:rFonts w:hint="eastAsia" w:hAnsi="宋体" w:cs="宋体"/>
          <w:b/>
          <w:bCs/>
          <w:sz w:val="21"/>
          <w:szCs w:val="21"/>
        </w:rPr>
      </w:pPr>
      <w:r>
        <w:rPr>
          <w:rFonts w:hint="eastAsia" w:hAnsi="宋体" w:cs="宋体"/>
          <w:b/>
          <w:bCs/>
          <w:sz w:val="21"/>
          <w:szCs w:val="21"/>
        </w:rPr>
        <w:t>价格评审过程中，评标委员会（即“磋商小组”）认为供应商的报价明显低于其他通过符合性审查投标人的报价且报价低于项目预算50%时，有可能影响产品（或服务、工程）质量或者不能诚信履约的，应当要求其在评标现场合理的时间内提供书面说明，以详细阐述不影响产品（或服务、工程）质量或者诚信履约的具体原因，必要时提交相关证明材料；供应商不能证明其报价合理性的，评标委员会应当将其作为无效投标处理。在有效投标人数满足法定人数的前提下，评标委员会依次确定满足采购文件要求且最终磋商报价最低的有效磋商报价为磋商基准价。</w:t>
      </w:r>
    </w:p>
    <w:p w14:paraId="0F7F03B1">
      <w:pPr>
        <w:autoSpaceDE/>
        <w:autoSpaceDN/>
        <w:adjustRightInd/>
        <w:spacing w:line="500" w:lineRule="exact"/>
        <w:ind w:firstLine="422" w:firstLineChars="200"/>
        <w:jc w:val="both"/>
        <w:rPr>
          <w:rFonts w:hint="eastAsia" w:hAnsi="宋体" w:cs="宋体"/>
          <w:b/>
          <w:sz w:val="21"/>
          <w:szCs w:val="21"/>
        </w:rPr>
      </w:pPr>
      <w:r>
        <w:rPr>
          <w:rFonts w:hint="eastAsia" w:hAnsi="宋体" w:cs="宋体"/>
          <w:b/>
          <w:sz w:val="21"/>
          <w:szCs w:val="21"/>
          <w:lang w:val="en-US" w:eastAsia="zh-CN"/>
        </w:rPr>
        <w:t>3</w:t>
      </w:r>
      <w:r>
        <w:rPr>
          <w:rFonts w:hint="eastAsia" w:hAnsi="宋体" w:cs="宋体"/>
          <w:b/>
          <w:sz w:val="21"/>
          <w:szCs w:val="21"/>
        </w:rPr>
        <w:t>.供应商的磋商报价超过采购人设定的上限价（人民币</w:t>
      </w:r>
      <w:r>
        <w:rPr>
          <w:rFonts w:hint="eastAsia" w:hAnsi="宋体" w:cs="宋体"/>
          <w:b/>
          <w:sz w:val="21"/>
          <w:szCs w:val="21"/>
          <w:lang w:val="en-US" w:eastAsia="zh-CN"/>
        </w:rPr>
        <w:t>84</w:t>
      </w:r>
      <w:r>
        <w:rPr>
          <w:rFonts w:hint="eastAsia" w:hAnsi="宋体" w:cs="宋体"/>
          <w:b/>
          <w:sz w:val="21"/>
          <w:szCs w:val="21"/>
        </w:rPr>
        <w:t>万元）的，按投标无效处理。</w:t>
      </w:r>
    </w:p>
    <w:p w14:paraId="4E9F46E2">
      <w:pPr>
        <w:pStyle w:val="2"/>
        <w:adjustRightInd w:val="0"/>
        <w:snapToGrid w:val="0"/>
        <w:spacing w:after="0" w:line="500" w:lineRule="exact"/>
        <w:ind w:left="0" w:leftChars="0" w:firstLine="422" w:firstLineChars="200"/>
        <w:rPr>
          <w:rFonts w:hint="eastAsia" w:ascii="宋体" w:hAnsi="宋体" w:eastAsia="宋体" w:cs="宋体"/>
          <w:b/>
          <w:color w:val="auto"/>
          <w:highlight w:val="none"/>
        </w:rPr>
      </w:pPr>
      <w:r>
        <w:rPr>
          <w:rFonts w:hint="eastAsia" w:ascii="宋体" w:hAnsi="宋体" w:cs="宋体"/>
          <w:b/>
          <w:color w:val="auto"/>
          <w:highlight w:val="none"/>
          <w:lang w:val="en-US" w:eastAsia="zh-CN"/>
        </w:rPr>
        <w:t>4</w:t>
      </w:r>
      <w:r>
        <w:rPr>
          <w:rFonts w:hint="eastAsia" w:ascii="宋体" w:hAnsi="宋体" w:eastAsia="宋体" w:cs="宋体"/>
          <w:b/>
          <w:color w:val="auto"/>
          <w:highlight w:val="none"/>
        </w:rPr>
        <w:t>.技术商务分评分标准(</w:t>
      </w:r>
      <w:r>
        <w:rPr>
          <w:rFonts w:hint="eastAsia" w:ascii="宋体" w:hAnsi="宋体" w:cs="宋体"/>
          <w:b/>
          <w:color w:val="auto"/>
          <w:highlight w:val="none"/>
          <w:lang w:val="en-US" w:eastAsia="zh-CN"/>
        </w:rPr>
        <w:t>85</w:t>
      </w:r>
      <w:r>
        <w:rPr>
          <w:rFonts w:hint="eastAsia" w:ascii="宋体" w:hAnsi="宋体" w:eastAsia="宋体" w:cs="宋体"/>
          <w:b/>
          <w:color w:val="auto"/>
          <w:highlight w:val="none"/>
        </w:rPr>
        <w:t>分)</w:t>
      </w:r>
    </w:p>
    <w:tbl>
      <w:tblPr>
        <w:tblStyle w:val="46"/>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80"/>
        <w:gridCol w:w="6922"/>
        <w:gridCol w:w="849"/>
      </w:tblGrid>
      <w:tr w14:paraId="6B7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Align w:val="center"/>
          </w:tcPr>
          <w:p w14:paraId="4E0153F8">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59" w:type="pct"/>
            <w:vAlign w:val="center"/>
          </w:tcPr>
          <w:p w14:paraId="228AD4A7">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3564" w:type="pct"/>
            <w:vAlign w:val="center"/>
          </w:tcPr>
          <w:p w14:paraId="648CDBC5">
            <w:pPr>
              <w:pStyle w:val="38"/>
              <w:keepNext w:val="0"/>
              <w:keepLines w:val="0"/>
              <w:widowControl/>
              <w:suppressLineNumbers w:val="0"/>
              <w:spacing w:before="0" w:beforeAutospacing="0" w:after="0" w:afterAutospacing="0" w:line="460" w:lineRule="exact"/>
              <w:ind w:left="0" w:right="0" w:firstLine="5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437" w:type="pct"/>
            <w:vAlign w:val="center"/>
          </w:tcPr>
          <w:p w14:paraId="7002332E">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分值</w:t>
            </w:r>
            <w:r>
              <w:rPr>
                <w:rFonts w:hint="eastAsia" w:hAnsi="宋体" w:cs="宋体"/>
                <w:b/>
                <w:color w:val="auto"/>
                <w:sz w:val="21"/>
                <w:szCs w:val="21"/>
                <w:highlight w:val="none"/>
                <w:lang w:eastAsia="zh-CN"/>
              </w:rPr>
              <w:t>（分）</w:t>
            </w:r>
          </w:p>
        </w:tc>
      </w:tr>
      <w:tr w14:paraId="69D3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338" w:type="pct"/>
            <w:vAlign w:val="center"/>
          </w:tcPr>
          <w:p w14:paraId="12906735">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59" w:type="pct"/>
            <w:vAlign w:val="center"/>
          </w:tcPr>
          <w:p w14:paraId="63167958">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供应商资信</w:t>
            </w:r>
          </w:p>
        </w:tc>
        <w:tc>
          <w:tcPr>
            <w:tcW w:w="3564" w:type="pct"/>
            <w:vAlign w:val="center"/>
          </w:tcPr>
          <w:p w14:paraId="38A6F800">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供应商具有有效期内的质量管理体系认证得1分。</w:t>
            </w:r>
          </w:p>
          <w:p w14:paraId="56269547">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供应商具有有效期内的环境管理体系认证得1分。</w:t>
            </w:r>
          </w:p>
          <w:p w14:paraId="5B1275E2">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供应商具有有效期内的职业健康安全管理体系认证得1分。</w:t>
            </w:r>
          </w:p>
          <w:p w14:paraId="61868519">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（以上提供有效期内证书复印件）</w:t>
            </w:r>
          </w:p>
        </w:tc>
        <w:tc>
          <w:tcPr>
            <w:tcW w:w="437" w:type="pct"/>
            <w:vAlign w:val="center"/>
          </w:tcPr>
          <w:p w14:paraId="29062F36">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70CD2CC5">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eastAsia="zh-CN"/>
              </w:rPr>
            </w:pPr>
          </w:p>
        </w:tc>
      </w:tr>
      <w:tr w14:paraId="6572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Align w:val="center"/>
          </w:tcPr>
          <w:p w14:paraId="4AA499E9">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59" w:type="pct"/>
            <w:vAlign w:val="center"/>
          </w:tcPr>
          <w:p w14:paraId="1FBEB4FC">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3564" w:type="pct"/>
            <w:vAlign w:val="center"/>
          </w:tcPr>
          <w:p w14:paraId="6371DD6E">
            <w:pPr>
              <w:keepNext w:val="0"/>
              <w:keepLines w:val="0"/>
              <w:suppressLineNumbers w:val="0"/>
              <w:spacing w:before="0" w:beforeAutospacing="0" w:after="0" w:afterAutospacing="0" w:line="46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r>
              <w:rPr>
                <w:rFonts w:hint="eastAsia" w:hAnsi="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年1月1日至今，供应商具有同类业绩的，每个业绩得0.5分，最多得1分。</w:t>
            </w:r>
            <w:r>
              <w:rPr>
                <w:rFonts w:hint="eastAsia" w:ascii="宋体" w:hAnsi="宋体" w:eastAsia="宋体" w:cs="宋体"/>
                <w:color w:val="auto"/>
                <w:sz w:val="21"/>
                <w:szCs w:val="21"/>
                <w:highlight w:val="none"/>
              </w:rPr>
              <w:t>（提供合同复印件；是否同类项目业绩以评审专家按合同实际内容判定为准）</w:t>
            </w:r>
          </w:p>
        </w:tc>
        <w:tc>
          <w:tcPr>
            <w:tcW w:w="437" w:type="pct"/>
            <w:vAlign w:val="center"/>
          </w:tcPr>
          <w:p w14:paraId="10D694AF">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AD7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38" w:type="pct"/>
            <w:vAlign w:val="center"/>
          </w:tcPr>
          <w:p w14:paraId="69EE2D48">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59" w:type="pct"/>
            <w:vAlign w:val="center"/>
          </w:tcPr>
          <w:p w14:paraId="5FB988E5">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w:t>
            </w:r>
          </w:p>
        </w:tc>
        <w:tc>
          <w:tcPr>
            <w:tcW w:w="3564" w:type="pct"/>
            <w:vAlign w:val="center"/>
          </w:tcPr>
          <w:p w14:paraId="1E0CB7FC">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项目团队成员具有一级人力资源管理师或者一级劳动关系协调</w:t>
            </w:r>
            <w:r>
              <w:rPr>
                <w:rFonts w:hint="eastAsia" w:ascii="宋体" w:hAnsi="宋体" w:eastAsia="宋体" w:cs="宋体"/>
                <w:color w:val="auto"/>
                <w:sz w:val="21"/>
                <w:szCs w:val="21"/>
                <w:highlight w:val="none"/>
                <w:lang w:eastAsia="zh-CN"/>
              </w:rPr>
              <w:t>员</w:t>
            </w:r>
            <w:r>
              <w:rPr>
                <w:rFonts w:hint="eastAsia" w:ascii="宋体" w:hAnsi="宋体" w:eastAsia="宋体" w:cs="宋体"/>
                <w:color w:val="auto"/>
                <w:sz w:val="21"/>
                <w:szCs w:val="21"/>
                <w:highlight w:val="none"/>
              </w:rPr>
              <w:t>的，每提供一名人员得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级人力资源管理师或者</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级劳动关系协调</w:t>
            </w:r>
            <w:r>
              <w:rPr>
                <w:rFonts w:hint="eastAsia" w:ascii="宋体" w:hAnsi="宋体" w:eastAsia="宋体" w:cs="宋体"/>
                <w:color w:val="auto"/>
                <w:sz w:val="21"/>
                <w:szCs w:val="21"/>
                <w:highlight w:val="none"/>
                <w:lang w:eastAsia="zh-CN"/>
              </w:rPr>
              <w:t>员</w:t>
            </w:r>
            <w:r>
              <w:rPr>
                <w:rFonts w:hint="eastAsia" w:ascii="宋体" w:hAnsi="宋体" w:eastAsia="宋体" w:cs="宋体"/>
                <w:color w:val="auto"/>
                <w:sz w:val="21"/>
                <w:szCs w:val="21"/>
                <w:highlight w:val="none"/>
              </w:rPr>
              <w:t>的，每提供一名人员得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级人力资源管理师或者</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级劳动关系协调</w:t>
            </w:r>
            <w:r>
              <w:rPr>
                <w:rFonts w:hint="eastAsia" w:ascii="宋体" w:hAnsi="宋体" w:eastAsia="宋体" w:cs="宋体"/>
                <w:color w:val="auto"/>
                <w:sz w:val="21"/>
                <w:szCs w:val="21"/>
                <w:highlight w:val="none"/>
                <w:lang w:eastAsia="zh-CN"/>
              </w:rPr>
              <w:t>员</w:t>
            </w:r>
            <w:r>
              <w:rPr>
                <w:rFonts w:hint="eastAsia" w:ascii="宋体" w:hAnsi="宋体" w:eastAsia="宋体" w:cs="宋体"/>
                <w:color w:val="auto"/>
                <w:sz w:val="21"/>
                <w:szCs w:val="21"/>
                <w:highlight w:val="none"/>
              </w:rPr>
              <w:t>的，每提供一名人员得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文件中须提供人员的执业资格证书、</w:t>
            </w:r>
            <w:r>
              <w:rPr>
                <w:rFonts w:hint="eastAsia" w:ascii="宋体" w:hAnsi="宋体" w:eastAsia="宋体" w:cs="宋体"/>
                <w:color w:val="auto"/>
                <w:sz w:val="21"/>
                <w:szCs w:val="21"/>
                <w:highlight w:val="none"/>
                <w:lang w:val="en-US" w:eastAsia="zh-CN"/>
              </w:rPr>
              <w:t>开标截止前</w:t>
            </w:r>
            <w:r>
              <w:rPr>
                <w:rFonts w:hint="eastAsia" w:ascii="宋体" w:hAnsi="宋体" w:eastAsia="宋体" w:cs="宋体"/>
                <w:color w:val="auto"/>
                <w:sz w:val="21"/>
                <w:szCs w:val="21"/>
                <w:highlight w:val="none"/>
              </w:rPr>
              <w:t>近三个月中任意一个月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为其缴纳社保证明</w:t>
            </w:r>
            <w:r>
              <w:rPr>
                <w:rFonts w:hint="eastAsia" w:ascii="宋体" w:hAnsi="宋体" w:eastAsia="宋体" w:cs="宋体"/>
                <w:color w:val="auto"/>
                <w:sz w:val="21"/>
                <w:szCs w:val="21"/>
                <w:highlight w:val="none"/>
                <w:lang w:eastAsia="zh-CN"/>
              </w:rPr>
              <w:t>）。</w:t>
            </w:r>
          </w:p>
        </w:tc>
        <w:tc>
          <w:tcPr>
            <w:tcW w:w="437" w:type="pct"/>
            <w:vAlign w:val="center"/>
          </w:tcPr>
          <w:p w14:paraId="04B77C39">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0A10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restart"/>
            <w:vAlign w:val="center"/>
          </w:tcPr>
          <w:p w14:paraId="5F54F74E">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p w14:paraId="25498388">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restart"/>
            <w:vAlign w:val="center"/>
          </w:tcPr>
          <w:p w14:paraId="60CB7BBE">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1E3E09A8">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6FC8147E">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针对本项目的整体服务方案情况，是否</w:t>
            </w:r>
            <w:r>
              <w:rPr>
                <w:rFonts w:hint="eastAsia" w:ascii="宋体" w:hAnsi="宋体" w:eastAsia="宋体" w:cs="宋体"/>
                <w:color w:val="auto"/>
                <w:sz w:val="21"/>
                <w:szCs w:val="21"/>
                <w:highlight w:val="none"/>
                <w:lang w:val="en-US" w:eastAsia="zh-CN"/>
              </w:rPr>
              <w:t>具体明确</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进行评分，本项最高分</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分，有不合理或欠缺的每处扣1分。</w:t>
            </w:r>
          </w:p>
        </w:tc>
        <w:tc>
          <w:tcPr>
            <w:tcW w:w="437" w:type="pct"/>
            <w:vAlign w:val="center"/>
          </w:tcPr>
          <w:p w14:paraId="2967B83F">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r>
      <w:tr w14:paraId="680F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432C6A72">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618A9AF8">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41691D60">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根据项目管理服务组织机构设置（附组织机构图）（0-2分），</w:t>
            </w:r>
          </w:p>
          <w:p w14:paraId="1668E412">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运作流程（附运作流程图）（0-2分），激励机制（0-2分），财务保障机制（0-2分），监督机制（0-2分）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有欠缺或缺漏或不合理的每处扣1分，扣完为止。</w:t>
            </w:r>
          </w:p>
        </w:tc>
        <w:tc>
          <w:tcPr>
            <w:tcW w:w="437" w:type="pct"/>
            <w:vAlign w:val="center"/>
          </w:tcPr>
          <w:p w14:paraId="2F338E91">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2F31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238DB16F">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232A4BCC">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42082A8C">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质量保证措施：供应商</w:t>
            </w:r>
            <w:r>
              <w:rPr>
                <w:rFonts w:hint="eastAsia" w:ascii="宋体" w:hAnsi="宋体" w:eastAsia="宋体" w:cs="宋体"/>
                <w:bCs/>
                <w:color w:val="auto"/>
                <w:sz w:val="21"/>
                <w:szCs w:val="21"/>
                <w:highlight w:val="none"/>
              </w:rPr>
              <w:t>确保</w:t>
            </w:r>
            <w:r>
              <w:rPr>
                <w:rFonts w:hint="eastAsia" w:ascii="宋体" w:hAnsi="宋体" w:eastAsia="宋体" w:cs="宋体"/>
                <w:color w:val="auto"/>
                <w:sz w:val="21"/>
                <w:szCs w:val="21"/>
                <w:highlight w:val="none"/>
              </w:rPr>
              <w:t>本项目</w:t>
            </w:r>
            <w:r>
              <w:rPr>
                <w:rFonts w:hint="eastAsia" w:ascii="宋体" w:hAnsi="宋体" w:eastAsia="宋体" w:cs="宋体"/>
                <w:bCs/>
                <w:color w:val="auto"/>
                <w:sz w:val="21"/>
                <w:szCs w:val="21"/>
                <w:highlight w:val="none"/>
              </w:rPr>
              <w:t>各项任务保质保量按时完成的具体措施</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分，有欠缺或缺漏或不合理的每处扣1分，扣完为止。</w:t>
            </w:r>
          </w:p>
        </w:tc>
        <w:tc>
          <w:tcPr>
            <w:tcW w:w="437" w:type="pct"/>
            <w:vAlign w:val="center"/>
          </w:tcPr>
          <w:p w14:paraId="681B2D3E">
            <w:pPr>
              <w:pStyle w:val="38"/>
              <w:keepNext w:val="0"/>
              <w:keepLines w:val="0"/>
              <w:widowControl/>
              <w:suppressLineNumbers w:val="0"/>
              <w:spacing w:before="0" w:beforeAutospacing="0" w:after="0" w:afterAutospacing="0" w:line="46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r>
      <w:tr w14:paraId="4BC7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5EEA1068">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1D32A88E">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2BA4360A">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针对本项目的工资福利发放、社会保险费、公积金、个税等代扣代缴，处理工伤、职业病、意外事故等响应及深化方案，本项最高得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有欠缺或缺漏或不合理的每处扣1分，扣完为止。</w:t>
            </w:r>
          </w:p>
        </w:tc>
        <w:tc>
          <w:tcPr>
            <w:tcW w:w="437" w:type="pct"/>
            <w:vAlign w:val="center"/>
          </w:tcPr>
          <w:p w14:paraId="6FCC360C">
            <w:pPr>
              <w:pStyle w:val="38"/>
              <w:keepNext w:val="0"/>
              <w:keepLines w:val="0"/>
              <w:widowControl/>
              <w:suppressLineNumbers w:val="0"/>
              <w:spacing w:before="0" w:beforeAutospacing="0" w:after="0" w:afterAutospacing="0" w:line="46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r>
      <w:tr w14:paraId="2EC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4072F39A">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20E27508">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03ECAAB0">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人事档案的建立与管理：根据按标准化、电脑化建立档案管理流程，将系统收集的员工档案资料等各类资料进行整理、分类、编目进入储存，以备检查使用的能力</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分，有欠缺或缺漏或不合理的每处扣1分，扣完为止。</w:t>
            </w:r>
          </w:p>
        </w:tc>
        <w:tc>
          <w:tcPr>
            <w:tcW w:w="437" w:type="pct"/>
            <w:vAlign w:val="center"/>
          </w:tcPr>
          <w:p w14:paraId="6ED6F5F3">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14:paraId="3B94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0CFE2589">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7ADB3642">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1FABA4B8">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针对本项目的处理劳动争议、纠纷、仲裁、诉讼事宜及人事法律、法规、政策咨询</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深化方案，本项最高得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分。有欠缺或缺漏或不合理的每处扣1分，扣完为止。</w:t>
            </w:r>
          </w:p>
        </w:tc>
        <w:tc>
          <w:tcPr>
            <w:tcW w:w="437" w:type="pct"/>
            <w:vAlign w:val="center"/>
          </w:tcPr>
          <w:p w14:paraId="7CA8C4D1">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35EE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01A98B5B">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3ACB6120">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22875983">
            <w:pPr>
              <w:keepNext w:val="0"/>
              <w:keepLines w:val="0"/>
              <w:widowControl/>
              <w:suppressLineNumbers w:val="0"/>
              <w:tabs>
                <w:tab w:val="left" w:pos="0"/>
                <w:tab w:val="left" w:pos="1604"/>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常见问题分析及因应：供应商对本项目服务过程中可能出现的常见问题进行分析，并提出相应的应对措施。本项最高得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分，有欠缺或缺漏或不合理的每处扣1分，扣完为止。</w:t>
            </w:r>
          </w:p>
        </w:tc>
        <w:tc>
          <w:tcPr>
            <w:tcW w:w="437" w:type="pct"/>
            <w:vAlign w:val="center"/>
          </w:tcPr>
          <w:p w14:paraId="09D6D2A9">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727F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62A6C6BE">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3CB4CC9F">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6F96A142">
            <w:pPr>
              <w:keepNext w:val="0"/>
              <w:keepLines w:val="0"/>
              <w:widowControl/>
              <w:suppressLineNumbers w:val="0"/>
              <w:tabs>
                <w:tab w:val="left" w:pos="0"/>
                <w:tab w:val="left" w:pos="1604"/>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rPr>
            </w:pPr>
            <w:r>
              <w:rPr>
                <w:rStyle w:val="129"/>
                <w:rFonts w:hint="eastAsia" w:ascii="宋体" w:hAnsi="宋体" w:eastAsia="宋体" w:cs="宋体"/>
                <w:color w:val="auto"/>
                <w:sz w:val="21"/>
                <w:szCs w:val="21"/>
                <w:highlight w:val="none"/>
                <w:lang w:val="en-US" w:eastAsia="zh-CN" w:bidi="ar"/>
              </w:rPr>
              <w:t>人才储备库：</w:t>
            </w:r>
            <w:r>
              <w:rPr>
                <w:rFonts w:hint="eastAsia" w:ascii="宋体" w:hAnsi="宋体" w:eastAsia="宋体" w:cs="宋体"/>
                <w:i w:val="0"/>
                <w:color w:val="auto"/>
                <w:kern w:val="0"/>
                <w:sz w:val="21"/>
                <w:szCs w:val="21"/>
                <w:highlight w:val="none"/>
                <w:u w:val="none"/>
                <w:lang w:val="en-US" w:eastAsia="zh-CN" w:bidi="ar"/>
              </w:rPr>
              <w:t>供应商</w:t>
            </w:r>
            <w:r>
              <w:rPr>
                <w:rStyle w:val="129"/>
                <w:rFonts w:hint="eastAsia" w:ascii="宋体" w:hAnsi="宋体" w:eastAsia="宋体" w:cs="宋体"/>
                <w:color w:val="auto"/>
                <w:sz w:val="21"/>
                <w:szCs w:val="21"/>
                <w:highlight w:val="none"/>
                <w:lang w:val="en-US" w:eastAsia="zh-CN" w:bidi="ar"/>
              </w:rPr>
              <w:t>建有一定规模的人才储备库，拥有较强的人力资源获取能力，能够满足服务人员的临时调拨等客户需求。本项最高得5分，</w:t>
            </w:r>
            <w:r>
              <w:rPr>
                <w:rFonts w:hint="eastAsia" w:ascii="宋体" w:hAnsi="宋体" w:eastAsia="宋体" w:cs="宋体"/>
                <w:color w:val="auto"/>
                <w:sz w:val="21"/>
                <w:szCs w:val="21"/>
                <w:highlight w:val="none"/>
              </w:rPr>
              <w:t>有欠缺或缺漏或不合理的每处扣1分，扣完为止。</w:t>
            </w:r>
          </w:p>
        </w:tc>
        <w:tc>
          <w:tcPr>
            <w:tcW w:w="437" w:type="pct"/>
            <w:vAlign w:val="center"/>
          </w:tcPr>
          <w:p w14:paraId="037FB99E">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64E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38" w:type="pct"/>
            <w:vMerge w:val="continue"/>
            <w:vAlign w:val="center"/>
          </w:tcPr>
          <w:p w14:paraId="49DD8115">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4603C9B0">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3E070F5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供应商建立健全人员学习、培训、工作监督检查和考核奖惩等服务管理制度。最高得</w:t>
            </w:r>
            <w:r>
              <w:rPr>
                <w:rStyle w:val="132"/>
                <w:rFonts w:hint="eastAsia" w:ascii="宋体" w:hAnsi="宋体" w:eastAsia="宋体" w:cs="宋体"/>
                <w:b w:val="0"/>
                <w:bCs/>
                <w:color w:val="auto"/>
                <w:sz w:val="21"/>
                <w:szCs w:val="21"/>
                <w:highlight w:val="none"/>
                <w:lang w:val="en-US" w:eastAsia="zh-CN" w:bidi="ar"/>
              </w:rPr>
              <w:t>5分，</w:t>
            </w:r>
            <w:r>
              <w:rPr>
                <w:rFonts w:hint="eastAsia" w:ascii="宋体" w:hAnsi="宋体" w:eastAsia="宋体" w:cs="宋体"/>
                <w:color w:val="auto"/>
                <w:sz w:val="21"/>
                <w:szCs w:val="21"/>
                <w:highlight w:val="none"/>
              </w:rPr>
              <w:t>有欠缺或缺漏或不合理的每处扣1分，扣完为止。</w:t>
            </w:r>
          </w:p>
        </w:tc>
        <w:tc>
          <w:tcPr>
            <w:tcW w:w="437" w:type="pct"/>
            <w:vAlign w:val="center"/>
          </w:tcPr>
          <w:p w14:paraId="7C95E987">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380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8" w:type="pct"/>
            <w:vMerge w:val="continue"/>
            <w:vAlign w:val="center"/>
          </w:tcPr>
          <w:p w14:paraId="6A532276">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p>
        </w:tc>
        <w:tc>
          <w:tcPr>
            <w:tcW w:w="659" w:type="pct"/>
            <w:vMerge w:val="continue"/>
            <w:vAlign w:val="center"/>
          </w:tcPr>
          <w:p w14:paraId="5D19FC93">
            <w:pPr>
              <w:keepNext w:val="0"/>
              <w:keepLines w:val="0"/>
              <w:widowControl/>
              <w:suppressLineNumbers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3564" w:type="pct"/>
            <w:vAlign w:val="center"/>
          </w:tcPr>
          <w:p w14:paraId="552B8E52">
            <w:pPr>
              <w:keepNext w:val="0"/>
              <w:keepLines w:val="0"/>
              <w:widowControl/>
              <w:suppressLineNumbers w:val="0"/>
              <w:tabs>
                <w:tab w:val="left" w:pos="0"/>
              </w:tabs>
              <w:autoSpaceDE/>
              <w:autoSpaceDN/>
              <w:adjustRightInd/>
              <w:spacing w:before="0" w:beforeAutospacing="0" w:after="0" w:afterAutospacing="0" w:line="460" w:lineRule="exact"/>
              <w:ind w:left="0" w:right="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应急措施方案：根据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对突发事件（自然灾害、事故灾难和社会安全事件）时制定的应急预案及可采取的相应措施情况，</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应急预案保障有效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、措施合理</w:t>
            </w:r>
            <w:r>
              <w:rPr>
                <w:rFonts w:hint="eastAsia" w:ascii="宋体" w:hAnsi="宋体" w:eastAsia="宋体" w:cs="宋体"/>
                <w:color w:val="auto"/>
                <w:sz w:val="21"/>
                <w:szCs w:val="21"/>
                <w:highlight w:val="none"/>
                <w:lang w:val="en-US" w:eastAsia="zh-CN"/>
              </w:rPr>
              <w:t>性等进行评分，</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有欠缺或缺漏或不合理的每处扣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437" w:type="pct"/>
            <w:vAlign w:val="center"/>
          </w:tcPr>
          <w:p w14:paraId="2A807DEE">
            <w:pPr>
              <w:pStyle w:val="38"/>
              <w:keepNext w:val="0"/>
              <w:keepLines w:val="0"/>
              <w:widowControl/>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456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8" w:type="pct"/>
            <w:vAlign w:val="center"/>
          </w:tcPr>
          <w:p w14:paraId="700261AE">
            <w:pPr>
              <w:pStyle w:val="38"/>
              <w:keepNext w:val="0"/>
              <w:keepLines w:val="0"/>
              <w:widowControl/>
              <w:suppressLineNumbers w:val="0"/>
              <w:spacing w:before="0" w:beforeAutospacing="0" w:after="0" w:afterAutospacing="0" w:line="460" w:lineRule="exact"/>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59" w:type="pct"/>
            <w:vAlign w:val="center"/>
          </w:tcPr>
          <w:p w14:paraId="4C720840">
            <w:pPr>
              <w:keepNext w:val="0"/>
              <w:keepLines w:val="0"/>
              <w:suppressLineNumbers w:val="0"/>
              <w:snapToGrid w:val="0"/>
              <w:spacing w:before="0" w:beforeAutospacing="0" w:after="0" w:afterAutospacing="0" w:line="460" w:lineRule="exact"/>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政策分</w:t>
            </w:r>
          </w:p>
        </w:tc>
        <w:tc>
          <w:tcPr>
            <w:tcW w:w="3564" w:type="pct"/>
            <w:vAlign w:val="center"/>
          </w:tcPr>
          <w:p w14:paraId="5FD0D2E7">
            <w:pPr>
              <w:keepNext w:val="0"/>
              <w:keepLines w:val="0"/>
              <w:suppressLineNumbers w:val="0"/>
              <w:snapToGrid w:val="0"/>
              <w:spacing w:before="0" w:beforeAutospacing="0" w:after="0" w:afterAutospacing="0" w:line="460" w:lineRule="exact"/>
              <w:ind w:left="0" w:right="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供应商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437" w:type="pct"/>
            <w:vAlign w:val="center"/>
          </w:tcPr>
          <w:p w14:paraId="4C595102">
            <w:pPr>
              <w:keepNext w:val="0"/>
              <w:keepLines w:val="0"/>
              <w:suppressLineNumbers w:val="0"/>
              <w:snapToGrid w:val="0"/>
              <w:spacing w:before="0" w:beforeAutospacing="0" w:after="0" w:afterAutospacing="0" w:line="460" w:lineRule="exact"/>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2</w:t>
            </w:r>
          </w:p>
        </w:tc>
      </w:tr>
      <w:tr w14:paraId="6335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562" w:type="pct"/>
            <w:gridSpan w:val="3"/>
            <w:vAlign w:val="center"/>
          </w:tcPr>
          <w:p w14:paraId="01A1898B">
            <w:pPr>
              <w:keepNext w:val="0"/>
              <w:keepLines w:val="0"/>
              <w:widowControl/>
              <w:suppressLineNumbers w:val="0"/>
              <w:kinsoku w:val="0"/>
              <w:autoSpaceDE/>
              <w:autoSpaceDN/>
              <w:adjustRightInd/>
              <w:spacing w:before="0" w:beforeAutospacing="0" w:after="0" w:afterAutospacing="0" w:line="4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合计</w:t>
            </w:r>
          </w:p>
        </w:tc>
        <w:tc>
          <w:tcPr>
            <w:tcW w:w="437" w:type="pct"/>
            <w:vAlign w:val="center"/>
          </w:tcPr>
          <w:p w14:paraId="175C0BB8">
            <w:pPr>
              <w:keepNext w:val="0"/>
              <w:keepLines w:val="0"/>
              <w:widowControl/>
              <w:suppressLineNumbers w:val="0"/>
              <w:kinsoku w:val="0"/>
              <w:autoSpaceDE/>
              <w:autoSpaceDN/>
              <w:adjustRightInd/>
              <w:spacing w:before="0" w:beforeAutospacing="0" w:after="0" w:afterAutospacing="0" w:line="460" w:lineRule="exact"/>
              <w:ind w:left="0" w:right="0"/>
              <w:jc w:val="center"/>
              <w:rPr>
                <w:rFonts w:hint="default" w:ascii="宋体" w:hAnsi="宋体" w:eastAsia="宋体" w:cs="宋体"/>
                <w:snapToGrid w:val="0"/>
                <w:color w:val="auto"/>
                <w:sz w:val="21"/>
                <w:szCs w:val="21"/>
                <w:highlight w:val="none"/>
                <w:lang w:val="en-US" w:eastAsia="zh-CN"/>
              </w:rPr>
            </w:pPr>
            <w:r>
              <w:rPr>
                <w:rFonts w:hint="eastAsia" w:hAnsi="宋体" w:cs="宋体"/>
                <w:snapToGrid w:val="0"/>
                <w:color w:val="auto"/>
                <w:sz w:val="21"/>
                <w:szCs w:val="21"/>
                <w:highlight w:val="none"/>
                <w:lang w:val="en-US" w:eastAsia="zh-CN"/>
              </w:rPr>
              <w:t>85</w:t>
            </w:r>
          </w:p>
        </w:tc>
      </w:tr>
    </w:tbl>
    <w:p w14:paraId="04CA3D57">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四、技术商务分的计算</w:t>
      </w:r>
    </w:p>
    <w:p w14:paraId="33A6D3AA">
      <w:pPr>
        <w:autoSpaceDE/>
        <w:autoSpaceDN/>
        <w:adjustRightIn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技术商务分按照磋商小组评判专家成员的独立评分结果汇总数后的算术平均分计算，计算公式：技术商务分=（磋商小组所有成员评分合计数）/（磋商小组组成人员数）。</w:t>
      </w:r>
    </w:p>
    <w:p w14:paraId="68DE2516">
      <w:pPr>
        <w:autoSpaceDE/>
        <w:autoSpaceDN/>
        <w:adjustRightIn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五、成交原则</w:t>
      </w:r>
    </w:p>
    <w:p w14:paraId="3C3D24C6">
      <w:pPr>
        <w:tabs>
          <w:tab w:val="left" w:pos="0"/>
        </w:tabs>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1.严格按照采购文件规定“综合评分法，得分最高者成交”的原则确定成交供应商，法律法规和国家政策另有规定的从其规定。</w:t>
      </w:r>
    </w:p>
    <w:p w14:paraId="3CF34512">
      <w:pPr>
        <w:tabs>
          <w:tab w:val="left" w:pos="0"/>
        </w:tabs>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2.经成交结果公示期满无异议，成交候选供应商即成为成交供应商。</w:t>
      </w:r>
    </w:p>
    <w:p w14:paraId="3A20C324">
      <w:pPr>
        <w:autoSpaceDE/>
        <w:autoSpaceDN/>
        <w:adjustRightIn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六、保密及其它注意事项</w:t>
      </w:r>
    </w:p>
    <w:p w14:paraId="4D748721">
      <w:pPr>
        <w:autoSpaceDE/>
        <w:autoSpaceDN/>
        <w:adjustRightInd/>
        <w:spacing w:line="44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1.评审是磋商过程中的重要环节，评审工作在磋商小组成员内独立进行。磋商小组将遵照评分原则，公正、公平、客观地对待所有供应商。</w:t>
      </w:r>
    </w:p>
    <w:p w14:paraId="52C69A29">
      <w:pPr>
        <w:tabs>
          <w:tab w:val="left" w:pos="0"/>
        </w:tabs>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2.在磋商期间，供应商不得向磋商小组询问评分情况，不得进行旨在影响磋商评审结果的活动。</w:t>
      </w:r>
    </w:p>
    <w:p w14:paraId="4D8244AF">
      <w:pPr>
        <w:tabs>
          <w:tab w:val="left" w:pos="0"/>
        </w:tabs>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3.为保证确定成交人的公正性，在磋商评审过程中，磋商小组成员不得与供应商私下交换意见。在磋商工作结束后与磋商评审工作有接触的任何人，不得将评分情况外泄。</w:t>
      </w:r>
    </w:p>
    <w:p w14:paraId="6AE167EC">
      <w:pPr>
        <w:rPr>
          <w:rFonts w:hint="eastAsia" w:ascii="宋体" w:hAnsi="宋体" w:eastAsia="宋体" w:cs="宋体"/>
          <w:color w:val="auto"/>
          <w:highlight w:val="none"/>
        </w:rPr>
      </w:pPr>
      <w:bookmarkStart w:id="197" w:name="_Toc19020"/>
      <w:r>
        <w:rPr>
          <w:rFonts w:hint="eastAsia" w:ascii="宋体" w:hAnsi="宋体" w:eastAsia="宋体" w:cs="宋体"/>
          <w:color w:val="auto"/>
          <w:highlight w:val="none"/>
        </w:rPr>
        <w:br w:type="page"/>
      </w:r>
    </w:p>
    <w:p w14:paraId="0F05C9CC">
      <w:pPr>
        <w:pStyle w:val="4"/>
        <w:spacing w:beforeLines="50" w:afterLines="50" w:line="360" w:lineRule="auto"/>
        <w:jc w:val="center"/>
        <w:rPr>
          <w:rFonts w:hint="eastAsia" w:ascii="宋体" w:hAnsi="宋体" w:eastAsia="宋体" w:cs="宋体"/>
          <w:color w:val="auto"/>
          <w:sz w:val="32"/>
          <w:szCs w:val="32"/>
          <w:highlight w:val="none"/>
        </w:rPr>
      </w:pPr>
      <w:bookmarkStart w:id="198" w:name="_Toc15977"/>
      <w:bookmarkStart w:id="199" w:name="_Toc14202"/>
      <w:bookmarkStart w:id="200" w:name="_Toc17416"/>
      <w:bookmarkStart w:id="201" w:name="_Toc727"/>
      <w:bookmarkStart w:id="202" w:name="_Toc29131"/>
      <w:bookmarkStart w:id="203" w:name="_Toc18801"/>
      <w:bookmarkStart w:id="204" w:name="_Toc1110"/>
      <w:bookmarkStart w:id="205" w:name="_Toc31064"/>
      <w:bookmarkStart w:id="206" w:name="_Toc8633"/>
      <w:bookmarkStart w:id="207" w:name="_Toc19876"/>
      <w:bookmarkStart w:id="208" w:name="_Toc29758"/>
      <w:bookmarkStart w:id="209" w:name="_Toc7308"/>
      <w:bookmarkStart w:id="210" w:name="_Toc20673"/>
      <w:bookmarkStart w:id="211" w:name="_Toc22859"/>
      <w:bookmarkStart w:id="212" w:name="_Toc15255"/>
      <w:bookmarkStart w:id="213" w:name="_Toc23104"/>
      <w:r>
        <w:rPr>
          <w:rFonts w:hint="eastAsia" w:ascii="宋体" w:hAnsi="宋体" w:eastAsia="宋体" w:cs="宋体"/>
          <w:color w:val="auto"/>
          <w:sz w:val="32"/>
          <w:szCs w:val="32"/>
          <w:highlight w:val="none"/>
        </w:rPr>
        <w:t>第五部分  合同主要条款</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bookmarkEnd w:id="184"/>
    <w:bookmarkEnd w:id="185"/>
    <w:bookmarkEnd w:id="186"/>
    <w:bookmarkEnd w:id="187"/>
    <w:bookmarkEnd w:id="188"/>
    <w:bookmarkEnd w:id="189"/>
    <w:bookmarkEnd w:id="190"/>
    <w:bookmarkEnd w:id="191"/>
    <w:bookmarkEnd w:id="192"/>
    <w:bookmarkEnd w:id="193"/>
    <w:bookmarkEnd w:id="194"/>
    <w:p w14:paraId="10F76A61">
      <w:pPr>
        <w:spacing w:line="460" w:lineRule="exact"/>
        <w:ind w:firstLine="420" w:firstLineChars="200"/>
        <w:jc w:val="both"/>
        <w:rPr>
          <w:rFonts w:hint="eastAsia" w:ascii="宋体" w:hAnsi="宋体" w:eastAsia="宋体" w:cs="宋体"/>
          <w:color w:val="auto"/>
          <w:sz w:val="21"/>
          <w:szCs w:val="21"/>
          <w:highlight w:val="none"/>
        </w:rPr>
      </w:pPr>
      <w:bookmarkStart w:id="214" w:name="_Toc265065989"/>
      <w:bookmarkStart w:id="215" w:name="_Toc237193457"/>
      <w:bookmarkStart w:id="216" w:name="_Toc237413919"/>
      <w:bookmarkStart w:id="217" w:name="_Toc256977545"/>
      <w:bookmarkStart w:id="218" w:name="_Toc237176512"/>
      <w:bookmarkStart w:id="219" w:name="_Toc296074346"/>
      <w:bookmarkStart w:id="220" w:name="_Toc264211077"/>
      <w:bookmarkStart w:id="221" w:name="_Toc184785934"/>
      <w:bookmarkStart w:id="222" w:name="_Toc237182505"/>
      <w:bookmarkStart w:id="223" w:name="_Toc499294825"/>
      <w:bookmarkStart w:id="224" w:name="_Toc237189786"/>
      <w:bookmarkStart w:id="225" w:name="_Toc295737635"/>
      <w:bookmarkStart w:id="226" w:name="_Toc237414014"/>
      <w:bookmarkStart w:id="227" w:name="_Toc217289136"/>
      <w:bookmarkStart w:id="228" w:name="_Toc295910883"/>
      <w:bookmarkStart w:id="229" w:name="_Toc237340113"/>
      <w:r>
        <w:rPr>
          <w:rFonts w:hint="eastAsia" w:ascii="宋体" w:hAnsi="宋体" w:eastAsia="宋体" w:cs="宋体"/>
          <w:color w:val="auto"/>
          <w:sz w:val="21"/>
          <w:szCs w:val="21"/>
          <w:highlight w:val="none"/>
        </w:rPr>
        <w:t xml:space="preserve">                                </w:t>
      </w:r>
    </w:p>
    <w:p w14:paraId="09F953AB">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 </w:t>
      </w:r>
    </w:p>
    <w:p w14:paraId="537BB26B">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乙方（供应商）： </w:t>
      </w:r>
    </w:p>
    <w:p w14:paraId="7E87D0C4">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hAnsi="宋体" w:cs="宋体"/>
          <w:color w:val="auto"/>
          <w:sz w:val="21"/>
          <w:szCs w:val="21"/>
          <w:highlight w:val="none"/>
          <w:lang w:eastAsia="zh-CN"/>
        </w:rPr>
        <w:t>）</w:t>
      </w:r>
      <w:r>
        <w:rPr>
          <w:rFonts w:hint="eastAsia" w:ascii="宋体" w:hAnsi="宋体" w:eastAsia="宋体" w:cs="宋体"/>
          <w:color w:val="auto"/>
          <w:kern w:val="2"/>
          <w:sz w:val="21"/>
          <w:highlight w:val="none"/>
        </w:rPr>
        <w:t>竞争性磋商采购</w:t>
      </w:r>
      <w:r>
        <w:rPr>
          <w:rFonts w:hint="eastAsia" w:ascii="宋体" w:hAnsi="宋体" w:eastAsia="宋体" w:cs="宋体"/>
          <w:color w:val="auto"/>
          <w:sz w:val="21"/>
          <w:szCs w:val="21"/>
          <w:highlight w:val="none"/>
        </w:rPr>
        <w:t>的结果，签署本合同。</w:t>
      </w:r>
    </w:p>
    <w:p w14:paraId="2E031956">
      <w:pPr>
        <w:autoSpaceDE/>
        <w:adjustRightInd/>
        <w:spacing w:line="500" w:lineRule="exact"/>
        <w:ind w:firstLine="422" w:firstLineChars="200"/>
        <w:contextualSpacing/>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下列文件为本合同不可分割部分：</w:t>
      </w:r>
    </w:p>
    <w:p w14:paraId="1CCE1F86">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416F5749">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2.乙方的磋商响应文件。</w:t>
      </w:r>
    </w:p>
    <w:p w14:paraId="2C1CD40E">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3.甲方的磋商采购文件。</w:t>
      </w:r>
    </w:p>
    <w:p w14:paraId="09CA2652">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4.乙方在磋商过程中所作的其它承诺、声明、书面澄清等。</w:t>
      </w:r>
    </w:p>
    <w:p w14:paraId="5574624F">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二、工作内容</w:t>
      </w:r>
    </w:p>
    <w:p w14:paraId="13367E5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1.由本项目</w:t>
      </w:r>
      <w:r>
        <w:rPr>
          <w:rFonts w:hint="eastAsia" w:hAnsi="宋体" w:cs="宋体"/>
          <w:bCs/>
          <w:color w:val="auto"/>
          <w:sz w:val="21"/>
          <w:szCs w:val="21"/>
          <w:highlight w:val="none"/>
          <w:lang w:val="en-US" w:eastAsia="zh-CN"/>
        </w:rPr>
        <w:t>乙方</w:t>
      </w:r>
      <w:r>
        <w:rPr>
          <w:rFonts w:hint="eastAsia" w:hAnsi="宋体" w:cs="宋体"/>
          <w:bCs/>
          <w:color w:val="auto"/>
          <w:sz w:val="21"/>
          <w:szCs w:val="21"/>
          <w:highlight w:val="none"/>
        </w:rPr>
        <w:t>派遣不少于12人（具体以</w:t>
      </w:r>
      <w:r>
        <w:rPr>
          <w:rFonts w:hint="eastAsia" w:hAnsi="宋体" w:cs="宋体"/>
          <w:bCs/>
          <w:color w:val="auto"/>
          <w:sz w:val="21"/>
          <w:szCs w:val="21"/>
          <w:highlight w:val="none"/>
          <w:lang w:val="en-US" w:eastAsia="zh-CN"/>
        </w:rPr>
        <w:t>甲方</w:t>
      </w:r>
      <w:r>
        <w:rPr>
          <w:rFonts w:hint="eastAsia" w:hAnsi="宋体" w:cs="宋体"/>
          <w:bCs/>
          <w:color w:val="auto"/>
          <w:sz w:val="21"/>
          <w:szCs w:val="21"/>
          <w:highlight w:val="none"/>
        </w:rPr>
        <w:t>实际通知要求为准）入驻承担诉源治理人民调解辅助工作，工作内容包括但不限于：</w:t>
      </w:r>
    </w:p>
    <w:p w14:paraId="6D782E73">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1）办理调解前准备过程中的事务性工作，如对接婺城区人民法院司法辅助集约保障中心流转的案件材料、采集汇总基本案情、核实当事人和代理人的身份信息、核对完善当事人送达地址确认书、引导当事人注册使用“人民法院在线服务”小程序、安排调解时间和场所等。</w:t>
      </w:r>
    </w:p>
    <w:p w14:paraId="7CAFD9C9">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（2）诉前调解宣传引导，释明调解与判决的区别及优势，积极引导当事人诉前调解。</w:t>
      </w:r>
    </w:p>
    <w:p w14:paraId="11358C4A">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（3）接收当事人提供的所有材料，并移交人民调解员。</w:t>
      </w:r>
    </w:p>
    <w:p w14:paraId="54DFA817">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（4）担任案件调解过程中调解笔录、调解协议等文书的记录、核对工作。</w:t>
      </w:r>
    </w:p>
    <w:p w14:paraId="734CD1F5">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（5）根据人民调解员的要求，将调解完毕的案件材料流转给指导法官。</w:t>
      </w:r>
    </w:p>
    <w:p w14:paraId="434CCBEE">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（6）与指导法官沟通联系，跟踪调解完毕案件的进展，对调解成功的案件，及时接收司法确认裁定书；对调解失败的案件，了解、记录法院后续裁判结果。</w:t>
      </w:r>
    </w:p>
    <w:p w14:paraId="6EB67F0F">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（7）整理、装订、归档案卷材料。</w:t>
      </w:r>
    </w:p>
    <w:p w14:paraId="66C31597">
      <w:pPr>
        <w:pStyle w:val="2"/>
        <w:spacing w:after="0" w:line="500" w:lineRule="exact"/>
        <w:ind w:left="0" w:leftChars="0" w:firstLineChars="200"/>
        <w:rPr>
          <w:rFonts w:ascii="宋体" w:hAnsi="宋体"/>
          <w:color w:val="auto"/>
          <w:highlight w:val="none"/>
        </w:rPr>
      </w:pPr>
      <w:r>
        <w:rPr>
          <w:rFonts w:hint="eastAsia" w:ascii="宋体" w:hAnsi="宋体"/>
          <w:color w:val="auto"/>
          <w:highlight w:val="none"/>
        </w:rPr>
        <w:t>（8）完成人民调解员交办的其他事务性工作。</w:t>
      </w:r>
    </w:p>
    <w:p w14:paraId="10C279F3">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2.岗位要求：大专</w:t>
      </w:r>
      <w:r>
        <w:rPr>
          <w:rFonts w:hint="eastAsia" w:hAnsi="宋体" w:cs="宋体"/>
          <w:bCs/>
          <w:color w:val="auto"/>
          <w:sz w:val="21"/>
          <w:szCs w:val="21"/>
          <w:highlight w:val="none"/>
          <w:lang w:val="en-US" w:eastAsia="zh-CN"/>
        </w:rPr>
        <w:t>及</w:t>
      </w:r>
      <w:r>
        <w:rPr>
          <w:rFonts w:hint="eastAsia" w:hAnsi="宋体" w:cs="宋体"/>
          <w:bCs/>
          <w:color w:val="auto"/>
          <w:sz w:val="21"/>
          <w:szCs w:val="21"/>
          <w:highlight w:val="none"/>
        </w:rPr>
        <w:t>以上学历，年龄</w:t>
      </w:r>
      <w:r>
        <w:rPr>
          <w:rFonts w:hint="eastAsia" w:hAnsi="宋体" w:cs="宋体"/>
          <w:bCs/>
          <w:color w:val="auto"/>
          <w:sz w:val="21"/>
          <w:szCs w:val="21"/>
          <w:highlight w:val="none"/>
          <w:lang w:val="en-US" w:eastAsia="zh-CN"/>
        </w:rPr>
        <w:t>25周岁至</w:t>
      </w:r>
      <w:r>
        <w:rPr>
          <w:rFonts w:hint="eastAsia" w:hAnsi="宋体" w:cs="宋体"/>
          <w:bCs/>
          <w:color w:val="auto"/>
          <w:sz w:val="21"/>
          <w:szCs w:val="21"/>
          <w:highlight w:val="none"/>
        </w:rPr>
        <w:t>35周岁，无违法犯罪记录。</w:t>
      </w:r>
    </w:p>
    <w:p w14:paraId="18EA3A8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3.人员数量：不少于12人，具体以甲方实际通知要求为准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如项目实施过程中有人员调整需求时，乙方应及时安排新的工作人员提供服务</w:t>
      </w:r>
      <w:r>
        <w:rPr>
          <w:rFonts w:hint="eastAsia" w:hAnsi="宋体" w:cs="宋体"/>
          <w:bCs/>
          <w:color w:val="auto"/>
          <w:sz w:val="21"/>
          <w:szCs w:val="21"/>
          <w:highlight w:val="none"/>
        </w:rPr>
        <w:t>。</w:t>
      </w:r>
    </w:p>
    <w:p w14:paraId="608BCCFE">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4.工作时间要求：实行8小时工作制，每周双休</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休息日安排人员值班。如因工作需要，服从</w:t>
      </w:r>
      <w:r>
        <w:rPr>
          <w:rFonts w:hint="eastAsia" w:hAnsi="宋体" w:cs="宋体"/>
          <w:bCs/>
          <w:color w:val="auto"/>
          <w:sz w:val="21"/>
          <w:szCs w:val="21"/>
          <w:highlight w:val="none"/>
          <w:lang w:val="en-US" w:eastAsia="zh-CN"/>
        </w:rPr>
        <w:t>甲方要求开展工作</w:t>
      </w:r>
      <w:r>
        <w:rPr>
          <w:rFonts w:hint="eastAsia" w:hAnsi="宋体" w:cs="宋体"/>
          <w:bCs/>
          <w:color w:val="auto"/>
          <w:sz w:val="21"/>
          <w:szCs w:val="21"/>
          <w:highlight w:val="none"/>
        </w:rPr>
        <w:t>。</w:t>
      </w:r>
    </w:p>
    <w:p w14:paraId="0946F9D2">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5.乙方应加强对作业人员的安全教育，严格遵守安全生产有关操作章程及甲方内部规章制度，不得违规和冒险操作。若发生安全生产事故，由乙方承担全部责任和经济赔偿，与甲方无关。</w:t>
      </w:r>
    </w:p>
    <w:p w14:paraId="49A74BA9">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6.驻场书记员须自觉接受甲方的安全教育</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并签署保密条例</w:t>
      </w:r>
      <w:r>
        <w:rPr>
          <w:rFonts w:hint="eastAsia" w:hAnsi="宋体" w:cs="宋体"/>
          <w:bCs/>
          <w:color w:val="auto"/>
          <w:sz w:val="21"/>
          <w:szCs w:val="21"/>
          <w:highlight w:val="none"/>
        </w:rPr>
        <w:t>。</w:t>
      </w:r>
    </w:p>
    <w:p w14:paraId="7F166613">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7.人员要求：乙方根据甲方需求合理配备服务人员。</w:t>
      </w:r>
      <w:r>
        <w:rPr>
          <w:rFonts w:hint="eastAsia" w:hAnsi="宋体" w:cs="宋体"/>
          <w:bCs/>
          <w:color w:val="auto"/>
          <w:sz w:val="21"/>
          <w:szCs w:val="21"/>
          <w:highlight w:val="none"/>
          <w:lang w:val="en-US" w:eastAsia="zh-CN"/>
        </w:rPr>
        <w:t>乙方</w:t>
      </w:r>
      <w:r>
        <w:rPr>
          <w:rFonts w:hint="eastAsia" w:hAnsi="宋体" w:cs="宋体"/>
          <w:bCs/>
          <w:color w:val="auto"/>
          <w:sz w:val="21"/>
          <w:szCs w:val="21"/>
          <w:highlight w:val="none"/>
        </w:rPr>
        <w:t>派遣的服务人员应牢固树立宗旨意识、沟通意识、合作意识，坚持“便民、利民、为民”理念，强化服务意识和责任担当，配合各单位形成工作合力，确保各项任务保质保量按时完成。</w:t>
      </w:r>
      <w:r>
        <w:rPr>
          <w:rFonts w:hint="eastAsia" w:hAnsi="宋体" w:cs="宋体"/>
          <w:bCs/>
          <w:color w:val="auto"/>
          <w:sz w:val="21"/>
          <w:szCs w:val="21"/>
          <w:highlight w:val="none"/>
          <w:lang w:val="en-US" w:eastAsia="zh-CN"/>
        </w:rPr>
        <w:t>乙方</w:t>
      </w:r>
      <w:r>
        <w:rPr>
          <w:rFonts w:hint="eastAsia" w:hAnsi="宋体" w:cs="宋体"/>
          <w:bCs/>
          <w:color w:val="auto"/>
          <w:sz w:val="21"/>
          <w:szCs w:val="21"/>
          <w:highlight w:val="none"/>
        </w:rPr>
        <w:t>应保证所录用人员身体健康、无传染性疾病、无刑事违法或处分犯罪记录、书记员言行规范，文明礼貌。具体人员要求按</w:t>
      </w:r>
      <w:r>
        <w:rPr>
          <w:rFonts w:hint="eastAsia" w:hAnsi="宋体" w:cs="宋体"/>
          <w:bCs/>
          <w:color w:val="auto"/>
          <w:sz w:val="21"/>
          <w:szCs w:val="21"/>
          <w:highlight w:val="none"/>
          <w:lang w:val="en-US" w:eastAsia="zh-CN"/>
        </w:rPr>
        <w:t>甲方</w:t>
      </w:r>
      <w:r>
        <w:rPr>
          <w:rFonts w:hint="eastAsia" w:hAnsi="宋体" w:cs="宋体"/>
          <w:bCs/>
          <w:color w:val="auto"/>
          <w:sz w:val="21"/>
          <w:szCs w:val="21"/>
          <w:highlight w:val="none"/>
        </w:rPr>
        <w:t>实际需求配备。</w:t>
      </w:r>
    </w:p>
    <w:p w14:paraId="0DF91738">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8.乙方须按《劳动合同法》和政府</w:t>
      </w:r>
      <w:r>
        <w:rPr>
          <w:rFonts w:hint="eastAsia" w:hAnsi="宋体" w:cs="宋体"/>
          <w:bCs/>
          <w:color w:val="auto"/>
          <w:sz w:val="21"/>
          <w:szCs w:val="21"/>
          <w:highlight w:val="none"/>
          <w:lang w:eastAsia="zh-CN"/>
        </w:rPr>
        <w:t>有关</w:t>
      </w:r>
      <w:r>
        <w:rPr>
          <w:rFonts w:hint="eastAsia" w:hAnsi="宋体" w:cs="宋体"/>
          <w:bCs/>
          <w:color w:val="auto"/>
          <w:sz w:val="21"/>
          <w:szCs w:val="21"/>
          <w:highlight w:val="none"/>
        </w:rPr>
        <w:t>部门规定为全体服务人员</w:t>
      </w:r>
      <w:r>
        <w:rPr>
          <w:rFonts w:hint="eastAsia" w:hAnsi="宋体" w:cs="宋体"/>
          <w:bCs/>
          <w:color w:val="auto"/>
          <w:sz w:val="21"/>
          <w:szCs w:val="21"/>
          <w:highlight w:val="none"/>
          <w:lang w:eastAsia="zh-CN"/>
        </w:rPr>
        <w:t>缴纳</w:t>
      </w:r>
      <w:r>
        <w:rPr>
          <w:rFonts w:hint="eastAsia" w:hAnsi="宋体" w:cs="宋体"/>
          <w:bCs/>
          <w:color w:val="auto"/>
          <w:sz w:val="21"/>
          <w:szCs w:val="21"/>
          <w:highlight w:val="none"/>
        </w:rPr>
        <w:t>所有相关的社会保险及其他相关费用。</w:t>
      </w:r>
    </w:p>
    <w:p w14:paraId="34B599E7">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9.乙方应制定具体的质量保证措施及质量保证和相关服务承诺。乙方所有的工作除应按内部流程实施外，还应接受甲方或第三方的随时检查。如因质量未达到目标，甲方有权要求其整改，同时乙方应承担责任和经济赔偿。</w:t>
      </w:r>
    </w:p>
    <w:p w14:paraId="72A33E30">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 </w:t>
      </w:r>
      <w:r>
        <w:rPr>
          <w:rFonts w:hint="eastAsia" w:hAnsi="宋体" w:cs="宋体"/>
          <w:b/>
          <w:color w:val="auto"/>
          <w:sz w:val="21"/>
          <w:szCs w:val="21"/>
          <w:highlight w:val="none"/>
        </w:rPr>
        <w:t>三、其他要求</w:t>
      </w:r>
    </w:p>
    <w:p w14:paraId="2ED6EE0A">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知识产权：甲乙双方均应保护对方的知识产权，未经对方同意，任何一方均不得对对方的资料及文件擅自修改、复制、向第三人转让或用于合同项目外的项目。如发生以上情况，泄密方承担一切由此引起的后果并承担赔偿责任。</w:t>
      </w:r>
    </w:p>
    <w:p w14:paraId="72379F24">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2.资料档案及保密要求：按照国家有关法规，甲乙双方应分别为对方在磋商响应文件和磋商采购文件中</w:t>
      </w:r>
      <w:r>
        <w:rPr>
          <w:rFonts w:hint="eastAsia" w:hAnsi="宋体" w:cs="宋体"/>
          <w:bCs/>
          <w:color w:val="auto"/>
          <w:sz w:val="21"/>
          <w:szCs w:val="21"/>
          <w:highlight w:val="none"/>
          <w:lang w:eastAsia="zh-CN"/>
        </w:rPr>
        <w:t>涉及</w:t>
      </w:r>
      <w:r>
        <w:rPr>
          <w:rFonts w:hint="eastAsia" w:hAnsi="宋体" w:cs="宋体"/>
          <w:bCs/>
          <w:color w:val="auto"/>
          <w:sz w:val="21"/>
          <w:szCs w:val="21"/>
          <w:highlight w:val="none"/>
        </w:rPr>
        <w:t>商业和技术等秘密保密，违者应对由此产生的后果承担相应的责任。与本项目有关的资料及数据成果中涉及国家秘密的内容，均要求按照《国家保密法》及相关法律法规执行。</w:t>
      </w:r>
    </w:p>
    <w:p w14:paraId="40575CFF">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3.乙方应当遵守相关保密法律、法规，确保甲方及其他第三方的信息安全。</w:t>
      </w:r>
    </w:p>
    <w:p w14:paraId="2DDF2B71">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4.验收标准：根据国家现行技术标准，按磋商采购文件、合同规定的验收评定标准、中心的内部管理规定等规范，以及服务对象或人民群众的满意度等，由</w:t>
      </w:r>
      <w:r>
        <w:rPr>
          <w:rFonts w:hint="eastAsia" w:hAnsi="宋体" w:cs="宋体"/>
          <w:bCs/>
          <w:color w:val="auto"/>
          <w:sz w:val="21"/>
          <w:szCs w:val="21"/>
          <w:highlight w:val="none"/>
          <w:lang w:val="en-US" w:eastAsia="zh-CN"/>
        </w:rPr>
        <w:t>甲方</w:t>
      </w:r>
      <w:r>
        <w:rPr>
          <w:rFonts w:hint="eastAsia" w:hAnsi="宋体" w:cs="宋体"/>
          <w:bCs/>
          <w:color w:val="auto"/>
          <w:sz w:val="21"/>
          <w:szCs w:val="21"/>
          <w:highlight w:val="none"/>
        </w:rPr>
        <w:t>组织验收。</w:t>
      </w:r>
    </w:p>
    <w:p w14:paraId="78C342A8">
      <w:pPr>
        <w:pStyle w:val="25"/>
        <w:snapToGrid w:val="0"/>
        <w:spacing w:line="500" w:lineRule="exact"/>
        <w:ind w:firstLine="420" w:firstLineChars="200"/>
        <w:rPr>
          <w:rFonts w:hAnsi="宋体" w:cs="宋体"/>
          <w:bCs/>
          <w:color w:val="auto"/>
          <w:sz w:val="21"/>
          <w:highlight w:val="none"/>
        </w:rPr>
      </w:pPr>
      <w:r>
        <w:rPr>
          <w:rFonts w:hint="eastAsia" w:hAnsi="宋体" w:cs="宋体"/>
          <w:bCs/>
          <w:color w:val="auto"/>
          <w:sz w:val="21"/>
          <w:highlight w:val="none"/>
        </w:rPr>
        <w:t>5.其他服务承诺：在合同执行期间，如服务计划书中的承诺标准低于国家新颁布的技术标准及要求时，则乙方应该按照新颁布的标准执行。以上为本项目最低服务要求，乙方必须满足，在此基础上乙方可提供其他更多的服务承诺，并提供详细的服务计划书。</w:t>
      </w:r>
    </w:p>
    <w:p w14:paraId="7F4F336D">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四、合同金额</w:t>
      </w:r>
    </w:p>
    <w:p w14:paraId="20BE0E3B">
      <w:pPr>
        <w:pStyle w:val="25"/>
        <w:snapToGrid w:val="0"/>
        <w:spacing w:line="500" w:lineRule="exact"/>
        <w:ind w:firstLine="420" w:firstLineChars="200"/>
        <w:rPr>
          <w:rFonts w:hint="eastAsia" w:hAnsi="宋体" w:eastAsia="宋体" w:cs="宋体"/>
          <w:color w:val="auto"/>
          <w:sz w:val="21"/>
          <w:highlight w:val="none"/>
          <w:lang w:val="en-US" w:eastAsia="zh-CN"/>
        </w:rPr>
      </w:pPr>
      <w:r>
        <w:rPr>
          <w:rFonts w:hint="eastAsia" w:hAnsi="宋体" w:cs="宋体"/>
          <w:color w:val="auto"/>
          <w:sz w:val="21"/>
          <w:highlight w:val="none"/>
        </w:rPr>
        <w:t>本项目合同</w:t>
      </w:r>
      <w:r>
        <w:rPr>
          <w:rFonts w:hint="eastAsia" w:hAnsi="宋体" w:cs="宋体"/>
          <w:color w:val="auto"/>
          <w:sz w:val="21"/>
          <w:highlight w:val="none"/>
          <w:lang w:val="en-US" w:eastAsia="zh-CN"/>
        </w:rPr>
        <w:t>总</w:t>
      </w:r>
      <w:r>
        <w:rPr>
          <w:rFonts w:hint="eastAsia" w:hAnsi="宋体" w:cs="宋体"/>
          <w:color w:val="auto"/>
          <w:sz w:val="21"/>
          <w:highlight w:val="none"/>
        </w:rPr>
        <w:t>金额为（大写）：人民币___________________元（￥________元）。</w:t>
      </w:r>
    </w:p>
    <w:p w14:paraId="7E5932AF">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五、技术资料</w:t>
      </w:r>
    </w:p>
    <w:p w14:paraId="57246F4F">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1.乙方应按竞争性谈判采购文件规定的时间向甲方提供有关技术资料。</w:t>
      </w:r>
    </w:p>
    <w:p w14:paraId="4E64520F">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2.没有甲方事先书面同意，乙方不得将由甲方提供的有关合同或任何合同条文、规格、计划、图纸、信息或资料提供</w:t>
      </w:r>
      <w:r>
        <w:rPr>
          <w:rFonts w:hint="eastAsia" w:hAnsi="宋体" w:cs="宋体"/>
          <w:color w:val="auto"/>
          <w:sz w:val="21"/>
          <w:highlight w:val="none"/>
          <w:lang w:eastAsia="zh-CN"/>
        </w:rPr>
        <w:t>给予</w:t>
      </w:r>
      <w:r>
        <w:rPr>
          <w:rFonts w:hint="eastAsia" w:hAnsi="宋体" w:cs="宋体"/>
          <w:color w:val="auto"/>
          <w:sz w:val="21"/>
          <w:highlight w:val="none"/>
        </w:rPr>
        <w:t>履行本合同无关的任何其他人。即使向履行本合同有关的人员提供，也应注意保密并限于履行合同的必需范围。</w:t>
      </w:r>
    </w:p>
    <w:p w14:paraId="1D99A742">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六、知识产权</w:t>
      </w:r>
    </w:p>
    <w:p w14:paraId="74B62ECD">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乙方应保证提供服务过程中不会侵犯任何第三方的知识产权。</w:t>
      </w:r>
    </w:p>
    <w:p w14:paraId="54F92257">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七、转包或分包</w:t>
      </w:r>
    </w:p>
    <w:p w14:paraId="30EDB169">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1.本合同范围的服务，应由乙方直接供应，不得转让他人供应；</w:t>
      </w:r>
    </w:p>
    <w:p w14:paraId="7F5581DC">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2.除非得到甲方的书面同意，乙方不得将本合同范围的服务全部或部分分包给他人供应；</w:t>
      </w:r>
    </w:p>
    <w:p w14:paraId="35D3CF3B">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3.如有转让和未经甲方同意的分包行为，甲方有权解除合同，并追究乙方的违约责任。</w:t>
      </w:r>
    </w:p>
    <w:p w14:paraId="56C3B3A2">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八、合同履行时间、履行方式及履行地点</w:t>
      </w:r>
    </w:p>
    <w:p w14:paraId="7308D795">
      <w:pPr>
        <w:pStyle w:val="25"/>
        <w:snapToGrid w:val="0"/>
        <w:spacing w:line="500" w:lineRule="exact"/>
        <w:ind w:firstLine="420" w:firstLineChars="200"/>
        <w:rPr>
          <w:rFonts w:hint="eastAsia" w:ascii="宋体" w:hAnsi="宋体" w:eastAsia="宋体" w:cs="宋体"/>
          <w:color w:val="auto"/>
          <w:sz w:val="21"/>
          <w:highlight w:val="none"/>
        </w:rPr>
      </w:pPr>
      <w:r>
        <w:rPr>
          <w:rFonts w:hint="eastAsia" w:hAnsi="宋体" w:cs="宋体"/>
          <w:color w:val="auto"/>
          <w:sz w:val="21"/>
          <w:highlight w:val="none"/>
        </w:rPr>
        <w:t xml:space="preserve">1.履行时间： </w:t>
      </w:r>
      <w:r>
        <w:rPr>
          <w:rFonts w:hint="eastAsia" w:ascii="宋体" w:hAnsi="宋体" w:eastAsia="宋体" w:cs="宋体"/>
          <w:color w:val="auto"/>
          <w:sz w:val="21"/>
          <w:highlight w:val="none"/>
        </w:rPr>
        <w:t>自合同签订之日起</w:t>
      </w:r>
      <w:r>
        <w:rPr>
          <w:rFonts w:hint="eastAsia" w:hAnsi="宋体" w:cs="宋体"/>
          <w:color w:val="auto"/>
          <w:sz w:val="21"/>
          <w:highlight w:val="none"/>
          <w:lang w:eastAsia="zh-CN"/>
        </w:rPr>
        <w:t>2025年12月31日</w:t>
      </w:r>
      <w:r>
        <w:rPr>
          <w:rFonts w:hint="eastAsia" w:ascii="宋体" w:hAnsi="宋体" w:eastAsia="宋体" w:cs="宋体"/>
          <w:color w:val="auto"/>
          <w:sz w:val="21"/>
          <w:highlight w:val="none"/>
        </w:rPr>
        <w:t>止</w:t>
      </w:r>
      <w:r>
        <w:rPr>
          <w:rFonts w:hint="eastAsia" w:ascii="宋体" w:hAnsi="宋体" w:eastAsia="宋体" w:cs="宋体"/>
          <w:color w:val="auto"/>
          <w:sz w:val="21"/>
          <w:highlight w:val="none"/>
          <w:lang w:eastAsia="zh-CN"/>
        </w:rPr>
        <w:t>。</w:t>
      </w:r>
    </w:p>
    <w:p w14:paraId="3FE0BD0D">
      <w:pPr>
        <w:pStyle w:val="25"/>
        <w:snapToGrid w:val="0"/>
        <w:spacing w:line="500" w:lineRule="exact"/>
        <w:ind w:firstLine="420" w:firstLineChars="200"/>
        <w:rPr>
          <w:rFonts w:hint="default" w:hAnsi="宋体" w:eastAsia="宋体" w:cs="宋体"/>
          <w:color w:val="auto"/>
          <w:sz w:val="21"/>
          <w:highlight w:val="none"/>
          <w:lang w:val="en-US" w:eastAsia="zh-CN"/>
        </w:rPr>
      </w:pPr>
      <w:r>
        <w:rPr>
          <w:rFonts w:hint="eastAsia" w:hAnsi="宋体" w:cs="宋体"/>
          <w:color w:val="auto"/>
          <w:sz w:val="21"/>
          <w:highlight w:val="none"/>
        </w:rPr>
        <w:t xml:space="preserve">2.履行方式： </w:t>
      </w:r>
      <w:r>
        <w:rPr>
          <w:rFonts w:hint="eastAsia" w:hAnsi="宋体" w:cs="宋体"/>
          <w:color w:val="auto"/>
          <w:sz w:val="21"/>
          <w:highlight w:val="none"/>
          <w:lang w:val="en-US" w:eastAsia="zh-CN"/>
        </w:rPr>
        <w:t>由乙方提供合同约定的所有服务。</w:t>
      </w:r>
    </w:p>
    <w:p w14:paraId="234737E9">
      <w:pPr>
        <w:pStyle w:val="25"/>
        <w:snapToGrid w:val="0"/>
        <w:spacing w:line="500" w:lineRule="exact"/>
        <w:ind w:firstLine="420" w:firstLineChars="200"/>
        <w:rPr>
          <w:rFonts w:hint="default" w:hAnsi="宋体" w:eastAsia="宋体" w:cs="宋体"/>
          <w:color w:val="auto"/>
          <w:sz w:val="21"/>
          <w:highlight w:val="none"/>
          <w:lang w:val="en-US" w:eastAsia="zh-CN"/>
        </w:rPr>
      </w:pPr>
      <w:r>
        <w:rPr>
          <w:rFonts w:hint="eastAsia" w:hAnsi="宋体" w:cs="宋体"/>
          <w:color w:val="auto"/>
          <w:sz w:val="21"/>
          <w:highlight w:val="none"/>
        </w:rPr>
        <w:t xml:space="preserve">3.履行地点： </w:t>
      </w:r>
      <w:r>
        <w:rPr>
          <w:rFonts w:hint="eastAsia" w:hAnsi="宋体" w:cs="宋体"/>
          <w:color w:val="auto"/>
          <w:sz w:val="21"/>
          <w:highlight w:val="none"/>
          <w:lang w:val="en-US" w:eastAsia="zh-CN"/>
        </w:rPr>
        <w:t>金华市婺城区</w:t>
      </w:r>
    </w:p>
    <w:p w14:paraId="479E6FD4">
      <w:pPr>
        <w:pStyle w:val="25"/>
        <w:snapToGrid w:val="0"/>
        <w:spacing w:line="500" w:lineRule="exact"/>
        <w:ind w:firstLine="422" w:firstLineChars="200"/>
        <w:rPr>
          <w:rFonts w:hint="eastAsia" w:hAnsi="宋体" w:cs="宋体"/>
          <w:b/>
          <w:bCs/>
          <w:color w:val="auto"/>
          <w:sz w:val="21"/>
          <w:highlight w:val="none"/>
        </w:rPr>
      </w:pPr>
      <w:r>
        <w:rPr>
          <w:rFonts w:hint="eastAsia" w:hAnsi="宋体" w:cs="宋体"/>
          <w:b/>
          <w:bCs/>
          <w:color w:val="auto"/>
          <w:sz w:val="21"/>
          <w:highlight w:val="none"/>
        </w:rPr>
        <w:t>九、款项支付</w:t>
      </w:r>
    </w:p>
    <w:p w14:paraId="1615D79A">
      <w:pPr>
        <w:pStyle w:val="25"/>
        <w:snapToGrid w:val="0"/>
        <w:spacing w:line="500" w:lineRule="exact"/>
        <w:ind w:firstLine="420" w:firstLineChars="200"/>
        <w:rPr>
          <w:color w:val="auto"/>
          <w:highlight w:val="none"/>
        </w:rPr>
      </w:pPr>
      <w:r>
        <w:rPr>
          <w:rFonts w:hint="eastAsia" w:hAnsi="宋体" w:cs="宋体"/>
          <w:color w:val="auto"/>
          <w:sz w:val="21"/>
          <w:szCs w:val="21"/>
          <w:highlight w:val="none"/>
        </w:rPr>
        <w:t>1.合同签订生效且</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正式接管服务工作后7个工作日内，</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支付</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合同款的50%</w:t>
      </w:r>
      <w:r>
        <w:rPr>
          <w:rStyle w:val="146"/>
          <w:rFonts w:hint="eastAsia" w:hAnsi="宋体" w:cs="宋体"/>
          <w:color w:val="auto"/>
          <w:sz w:val="21"/>
          <w:szCs w:val="21"/>
          <w:highlight w:val="none"/>
        </w:rPr>
        <w:t>，</w:t>
      </w:r>
    </w:p>
    <w:p w14:paraId="2A0A4F9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于</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年10月份向</w:t>
      </w:r>
      <w:r>
        <w:rPr>
          <w:rFonts w:hint="eastAsia" w:hAnsi="宋体" w:cs="宋体"/>
          <w:color w:val="auto"/>
          <w:sz w:val="21"/>
          <w:szCs w:val="21"/>
          <w:highlight w:val="none"/>
          <w:lang w:val="en-US" w:eastAsia="zh-CN"/>
        </w:rPr>
        <w:t>乙方提供服务人员的考核情况，全部考核合格及以上的甲方</w:t>
      </w:r>
      <w:r>
        <w:rPr>
          <w:rFonts w:hint="eastAsia" w:hAnsi="宋体" w:cs="宋体"/>
          <w:color w:val="auto"/>
          <w:sz w:val="21"/>
          <w:szCs w:val="21"/>
          <w:highlight w:val="none"/>
        </w:rPr>
        <w:t>支付</w:t>
      </w:r>
      <w:r>
        <w:rPr>
          <w:rFonts w:hint="eastAsia" w:hAnsi="宋体" w:cs="宋体"/>
          <w:color w:val="auto"/>
          <w:sz w:val="21"/>
          <w:szCs w:val="21"/>
          <w:highlight w:val="none"/>
          <w:lang w:val="en-US" w:eastAsia="zh-CN"/>
        </w:rPr>
        <w:t>2025年度</w:t>
      </w:r>
      <w:r>
        <w:rPr>
          <w:rFonts w:hint="eastAsia" w:hAnsi="宋体" w:cs="宋体"/>
          <w:color w:val="auto"/>
          <w:sz w:val="21"/>
          <w:szCs w:val="21"/>
          <w:highlight w:val="none"/>
        </w:rPr>
        <w:t>合同金额剩余款</w:t>
      </w:r>
      <w:r>
        <w:rPr>
          <w:rFonts w:hint="eastAsia" w:hAnsi="宋体" w:cs="宋体"/>
          <w:color w:val="auto"/>
          <w:sz w:val="21"/>
          <w:szCs w:val="21"/>
          <w:highlight w:val="none"/>
          <w:lang w:eastAsia="zh-CN"/>
        </w:rPr>
        <w:t>。</w:t>
      </w:r>
      <w:r>
        <w:rPr>
          <w:rFonts w:hint="eastAsia" w:hAnsi="宋体" w:cs="宋体"/>
          <w:color w:val="auto"/>
          <w:sz w:val="21"/>
          <w:szCs w:val="21"/>
          <w:highlight w:val="none"/>
          <w:lang w:val="zh-CN"/>
        </w:rPr>
        <w:t>服务期内，如有考核扣款（</w:t>
      </w:r>
      <w:r>
        <w:rPr>
          <w:rFonts w:hint="eastAsia" w:hAnsi="宋体" w:cs="宋体"/>
          <w:color w:val="auto"/>
          <w:sz w:val="21"/>
          <w:szCs w:val="21"/>
          <w:highlight w:val="none"/>
          <w:lang w:val="en-US" w:eastAsia="zh-CN"/>
        </w:rPr>
        <w:t>指根据考核情况，考核不合格的服务人员应扣除的考核奖</w:t>
      </w:r>
      <w:r>
        <w:rPr>
          <w:rFonts w:hint="eastAsia" w:hAnsi="宋体" w:cs="宋体"/>
          <w:color w:val="auto"/>
          <w:sz w:val="21"/>
          <w:szCs w:val="21"/>
          <w:highlight w:val="none"/>
          <w:lang w:val="zh-CN"/>
        </w:rPr>
        <w:t>），由</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从应付未付合同款中扣付；不足扣付的，则由</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缴付。</w:t>
      </w:r>
    </w:p>
    <w:p w14:paraId="4734EB4A">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十、税费</w:t>
      </w:r>
    </w:p>
    <w:p w14:paraId="5482EB77">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本合同执行中相关的一切税费均由乙方负担。</w:t>
      </w:r>
    </w:p>
    <w:p w14:paraId="09C2A278">
      <w:pPr>
        <w:pStyle w:val="25"/>
        <w:snapToGrid w:val="0"/>
        <w:spacing w:line="500" w:lineRule="exact"/>
        <w:ind w:firstLine="422" w:firstLineChars="200"/>
        <w:rPr>
          <w:rFonts w:hAnsi="宋体" w:cs="宋体"/>
          <w:color w:val="auto"/>
          <w:sz w:val="21"/>
          <w:highlight w:val="none"/>
        </w:rPr>
      </w:pPr>
      <w:r>
        <w:rPr>
          <w:rFonts w:hint="eastAsia" w:hAnsi="宋体" w:cs="宋体"/>
          <w:b/>
          <w:bCs/>
          <w:color w:val="auto"/>
          <w:sz w:val="21"/>
          <w:highlight w:val="none"/>
        </w:rPr>
        <w:t>十一、质量保证及后续服务</w:t>
      </w:r>
    </w:p>
    <w:p w14:paraId="10E3859F">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1.乙方应按竞争性谈判采购文件规定向甲方提供服务。</w:t>
      </w:r>
    </w:p>
    <w:p w14:paraId="36F18E57">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2.乙方提供的服务发生质量问题，乙方应负责免费提供后续服务。对达不到要求者，根据实际情况，经双方协商，可按以下办法处理：</w:t>
      </w:r>
    </w:p>
    <w:p w14:paraId="114D1DB3">
      <w:pPr>
        <w:pStyle w:val="25"/>
        <w:snapToGrid w:val="0"/>
        <w:spacing w:line="500" w:lineRule="exact"/>
        <w:ind w:firstLine="420"/>
        <w:rPr>
          <w:rFonts w:hAnsi="宋体" w:cs="宋体"/>
          <w:color w:val="auto"/>
          <w:sz w:val="21"/>
          <w:highlight w:val="none"/>
        </w:rPr>
      </w:pPr>
      <w:r>
        <w:rPr>
          <w:rFonts w:hint="eastAsia" w:hAnsi="宋体" w:cs="宋体"/>
          <w:color w:val="auto"/>
          <w:sz w:val="21"/>
          <w:highlight w:val="none"/>
        </w:rPr>
        <w:t>⑴重做：由乙方承担所发生的全部费用。</w:t>
      </w:r>
    </w:p>
    <w:p w14:paraId="48DC2AEC">
      <w:pPr>
        <w:pStyle w:val="25"/>
        <w:snapToGrid w:val="0"/>
        <w:spacing w:line="500" w:lineRule="exact"/>
        <w:ind w:firstLine="420"/>
        <w:rPr>
          <w:rFonts w:hAnsi="宋体" w:cs="宋体"/>
          <w:color w:val="auto"/>
          <w:sz w:val="21"/>
          <w:highlight w:val="none"/>
        </w:rPr>
      </w:pPr>
      <w:r>
        <w:rPr>
          <w:rFonts w:hint="eastAsia" w:hAnsi="宋体" w:cs="宋体"/>
          <w:color w:val="auto"/>
          <w:sz w:val="21"/>
          <w:highlight w:val="none"/>
        </w:rPr>
        <w:t>⑵贬值处理：由甲乙双方合议定价。</w:t>
      </w:r>
    </w:p>
    <w:p w14:paraId="49F6E27A">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⑶解除合同。</w:t>
      </w:r>
    </w:p>
    <w:p w14:paraId="3689C89C">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3.如在使用过程中发生问题，乙方在接到甲方通知后在</w:t>
      </w:r>
      <w:r>
        <w:rPr>
          <w:rFonts w:hint="eastAsia" w:hAnsi="宋体" w:cs="宋体"/>
          <w:color w:val="auto"/>
          <w:sz w:val="21"/>
          <w:highlight w:val="none"/>
          <w:u w:val="single"/>
        </w:rPr>
        <w:t xml:space="preserve">    </w:t>
      </w:r>
      <w:r>
        <w:rPr>
          <w:rFonts w:hint="eastAsia" w:hAnsi="宋体" w:cs="宋体"/>
          <w:color w:val="auto"/>
          <w:sz w:val="21"/>
          <w:highlight w:val="none"/>
        </w:rPr>
        <w:t>小时内到达甲方现场。</w:t>
      </w:r>
    </w:p>
    <w:p w14:paraId="4A68B087">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4.在服务质量保证期内，乙方应对出现的质量及安全问题负责处理解决并承担一切费用。</w:t>
      </w:r>
    </w:p>
    <w:p w14:paraId="222D9032">
      <w:pPr>
        <w:pStyle w:val="25"/>
        <w:snapToGrid w:val="0"/>
        <w:spacing w:line="500" w:lineRule="exact"/>
        <w:ind w:firstLine="422" w:firstLineChars="200"/>
        <w:rPr>
          <w:rFonts w:hAnsi="宋体" w:cs="宋体"/>
          <w:color w:val="auto"/>
          <w:sz w:val="21"/>
          <w:highlight w:val="none"/>
        </w:rPr>
      </w:pPr>
      <w:r>
        <w:rPr>
          <w:rFonts w:hint="eastAsia" w:hAnsi="宋体" w:cs="宋体"/>
          <w:b/>
          <w:bCs/>
          <w:color w:val="auto"/>
          <w:sz w:val="21"/>
          <w:highlight w:val="none"/>
        </w:rPr>
        <w:t>十二、违约责任</w:t>
      </w:r>
    </w:p>
    <w:p w14:paraId="3A4A1CB7">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1.乙方未能如期提供服务的，每日向甲方支付合同款项的千分之六作为违约金。</w:t>
      </w:r>
    </w:p>
    <w:p w14:paraId="41977678">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2.乙方超过约定日期10个工作日仍不能提供服务的，甲方可解除本合同。</w:t>
      </w:r>
    </w:p>
    <w:p w14:paraId="4D96C705">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 xml:space="preserve">3.乙方因未能如期提供服务或因其他违约行为导致甲方解除合同的，乙方应向甲方支付合同总值5%的违约金，如造成甲方损失超过违约金的，超出部分由乙方继续承担赔偿责任。 </w:t>
      </w:r>
    </w:p>
    <w:p w14:paraId="0FE01712">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十三、不可抗力事件处理</w:t>
      </w:r>
    </w:p>
    <w:p w14:paraId="29DA7FA7">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5BC293D4">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31F3176B">
      <w:pPr>
        <w:pStyle w:val="25"/>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3.不可抗力事件延续120天以上，双方应通过友好协商，确定是否继续履行合同。</w:t>
      </w:r>
    </w:p>
    <w:p w14:paraId="290A733A">
      <w:pPr>
        <w:pStyle w:val="25"/>
        <w:snapToGrid w:val="0"/>
        <w:spacing w:line="500" w:lineRule="exact"/>
        <w:ind w:firstLine="422" w:firstLineChars="200"/>
        <w:rPr>
          <w:rFonts w:hAnsi="宋体" w:cs="宋体"/>
          <w:b/>
          <w:bCs/>
          <w:color w:val="auto"/>
          <w:sz w:val="21"/>
          <w:highlight w:val="none"/>
        </w:rPr>
      </w:pPr>
      <w:r>
        <w:rPr>
          <w:rFonts w:hint="eastAsia" w:hAnsi="宋体" w:cs="宋体"/>
          <w:b/>
          <w:bCs/>
          <w:color w:val="auto"/>
          <w:sz w:val="21"/>
          <w:highlight w:val="none"/>
        </w:rPr>
        <w:t>十四、争议解决</w:t>
      </w:r>
    </w:p>
    <w:p w14:paraId="2F26DAF3">
      <w:pPr>
        <w:pStyle w:val="25"/>
        <w:snapToGrid w:val="0"/>
        <w:spacing w:line="500" w:lineRule="exact"/>
        <w:ind w:firstLine="420" w:firstLineChars="200"/>
        <w:rPr>
          <w:rFonts w:hAnsi="宋体" w:cs="宋体"/>
          <w:b/>
          <w:bCs/>
          <w:color w:val="auto"/>
          <w:sz w:val="21"/>
          <w:highlight w:val="none"/>
        </w:rPr>
      </w:pPr>
      <w:r>
        <w:rPr>
          <w:rFonts w:hint="eastAsia" w:hAnsi="宋体" w:cs="宋体"/>
          <w:color w:val="auto"/>
          <w:sz w:val="21"/>
          <w:highlight w:val="none"/>
        </w:rPr>
        <w:t>双方在执行合同中所发生的一切争议，应通过协商解决。如协商不成，可向甲方所在地法院起诉。</w:t>
      </w:r>
    </w:p>
    <w:p w14:paraId="11CF1156">
      <w:pPr>
        <w:autoSpaceDE/>
        <w:adjustRightInd/>
        <w:spacing w:line="500" w:lineRule="exact"/>
        <w:ind w:firstLine="422" w:firstLineChars="200"/>
        <w:contextualSpacing/>
        <w:jc w:val="both"/>
        <w:rPr>
          <w:rFonts w:hAnsi="宋体" w:cs="宋体"/>
          <w:b/>
          <w:color w:val="auto"/>
          <w:sz w:val="21"/>
          <w:szCs w:val="21"/>
          <w:highlight w:val="none"/>
        </w:rPr>
      </w:pPr>
      <w:r>
        <w:rPr>
          <w:rFonts w:hint="eastAsia" w:hAnsi="宋体" w:cs="宋体"/>
          <w:b/>
          <w:color w:val="auto"/>
          <w:sz w:val="21"/>
          <w:szCs w:val="21"/>
          <w:highlight w:val="none"/>
        </w:rPr>
        <w:t>十五、合同生效及其它</w:t>
      </w:r>
    </w:p>
    <w:p w14:paraId="25F25ED2">
      <w:pPr>
        <w:autoSpaceDE/>
        <w:autoSpaceDN/>
        <w:adjustRightInd/>
        <w:spacing w:line="44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1.本合同经甲乙双方加盖公章后生效。合同内容如遇国家法律、法规及政策另有规定的，从其规定。</w:t>
      </w:r>
    </w:p>
    <w:p w14:paraId="4E024D4B">
      <w:pPr>
        <w:autoSpaceDE/>
        <w:autoSpaceDN/>
        <w:adjustRightInd/>
        <w:spacing w:line="500" w:lineRule="exact"/>
        <w:ind w:firstLine="420" w:firstLineChars="200"/>
        <w:contextualSpacing/>
        <w:jc w:val="both"/>
        <w:textAlignment w:val="auto"/>
        <w:rPr>
          <w:rFonts w:hAnsi="宋体" w:cs="宋体"/>
          <w:color w:val="auto"/>
          <w:sz w:val="21"/>
          <w:szCs w:val="21"/>
          <w:highlight w:val="none"/>
        </w:rPr>
      </w:pPr>
      <w:r>
        <w:rPr>
          <w:rFonts w:hint="eastAsia" w:hAnsi="宋体" w:cs="宋体"/>
          <w:color w:val="auto"/>
          <w:sz w:val="21"/>
          <w:szCs w:val="21"/>
          <w:highlight w:val="none"/>
        </w:rPr>
        <w:t>2.本合同未尽事宜，遵照《民法典》等有关法律条文执行。</w:t>
      </w:r>
    </w:p>
    <w:p w14:paraId="48C3A407">
      <w:pPr>
        <w:autoSpaceDE/>
        <w:autoSpaceDN/>
        <w:adjustRightInd/>
        <w:spacing w:line="500" w:lineRule="exact"/>
        <w:ind w:firstLine="420" w:firstLineChars="200"/>
        <w:contextualSpacing/>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3.本合同正本一式陆份，具有同等法律效力，甲乙双方各执二份；采购代理机构二份（备案及资料归集）</w:t>
      </w:r>
      <w:r>
        <w:rPr>
          <w:rFonts w:hint="eastAsia" w:ascii="宋体" w:hAnsi="宋体" w:eastAsia="宋体" w:cs="宋体"/>
          <w:color w:val="auto"/>
          <w:sz w:val="21"/>
          <w:szCs w:val="21"/>
          <w:highlight w:val="none"/>
        </w:rPr>
        <w:t>。</w:t>
      </w:r>
    </w:p>
    <w:tbl>
      <w:tblPr>
        <w:tblStyle w:val="4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14:paraId="608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14:paraId="687F07BB">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甲方单位名称（章）：</w:t>
            </w:r>
          </w:p>
          <w:p w14:paraId="44860BF4">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单位地址：</w:t>
            </w:r>
          </w:p>
          <w:p w14:paraId="40B1C740">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p w14:paraId="5D561C0C">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p>
          <w:p w14:paraId="0477826A">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p>
          <w:p w14:paraId="1360D733">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p w14:paraId="474D7766">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 号：</w:t>
            </w:r>
          </w:p>
          <w:p w14:paraId="369EF876">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3407" w:type="dxa"/>
            <w:tcBorders>
              <w:top w:val="single" w:color="auto" w:sz="4" w:space="0"/>
              <w:left w:val="single" w:color="auto" w:sz="4" w:space="0"/>
              <w:right w:val="single" w:color="auto" w:sz="4" w:space="0"/>
            </w:tcBorders>
          </w:tcPr>
          <w:p w14:paraId="3BDB9A2D">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乙方单位名称（章）：</w:t>
            </w:r>
          </w:p>
          <w:p w14:paraId="612E5743">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单位地址：</w:t>
            </w:r>
          </w:p>
          <w:p w14:paraId="45503A6D">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p w14:paraId="507BFD09">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p>
          <w:p w14:paraId="57A585AC">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p>
          <w:p w14:paraId="01AC538D">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p w14:paraId="4C034C3E">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 号：</w:t>
            </w:r>
          </w:p>
          <w:p w14:paraId="186784BA">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2723" w:type="dxa"/>
            <w:tcBorders>
              <w:top w:val="single" w:color="auto" w:sz="4" w:space="0"/>
              <w:left w:val="single" w:color="auto" w:sz="4" w:space="0"/>
              <w:right w:val="single" w:color="auto" w:sz="4" w:space="0"/>
            </w:tcBorders>
          </w:tcPr>
          <w:p w14:paraId="2C8D0472">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采购代理机构意见：</w:t>
            </w:r>
          </w:p>
          <w:p w14:paraId="363EB688">
            <w:pPr>
              <w:keepNext w:val="0"/>
              <w:keepLines w:val="0"/>
              <w:suppressLineNumbers w:val="0"/>
              <w:spacing w:before="0" w:beforeAutospacing="0" w:after="0" w:afterAutospacing="0" w:line="460" w:lineRule="exact"/>
              <w:ind w:left="0" w:right="-170" w:rightChars="-50"/>
              <w:rPr>
                <w:rFonts w:hint="eastAsia" w:ascii="宋体" w:hAnsi="宋体" w:eastAsia="宋体" w:cs="宋体"/>
                <w:bCs/>
                <w:color w:val="auto"/>
                <w:sz w:val="21"/>
                <w:szCs w:val="21"/>
                <w:highlight w:val="none"/>
              </w:rPr>
            </w:pPr>
          </w:p>
          <w:p w14:paraId="76B5E355">
            <w:pPr>
              <w:keepNext w:val="0"/>
              <w:keepLines w:val="0"/>
              <w:suppressLineNumbers w:val="0"/>
              <w:spacing w:before="0" w:beforeAutospacing="0" w:after="0" w:afterAutospacing="0" w:line="460" w:lineRule="exact"/>
              <w:ind w:left="0" w:right="0" w:firstLine="1260" w:firstLineChars="6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  月  日</w:t>
            </w:r>
          </w:p>
        </w:tc>
      </w:tr>
    </w:tbl>
    <w:p w14:paraId="59DC8AAB">
      <w:pPr>
        <w:pStyle w:val="20"/>
        <w:ind w:firstLine="211"/>
        <w:rPr>
          <w:rFonts w:hint="eastAsia" w:ascii="宋体" w:hAnsi="宋体" w:eastAsia="宋体" w:cs="宋体"/>
          <w:color w:val="auto"/>
          <w:highlight w:val="none"/>
        </w:rPr>
      </w:pPr>
      <w:r>
        <w:rPr>
          <w:rFonts w:hint="eastAsia" w:ascii="宋体" w:hAnsi="宋体" w:eastAsia="宋体" w:cs="宋体"/>
          <w:b/>
          <w:color w:val="auto"/>
          <w:sz w:val="21"/>
          <w:szCs w:val="21"/>
          <w:highlight w:val="none"/>
        </w:rPr>
        <w:t>注：此合同样本仅作参考，</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、供应商可根据采购项目的实际情况进行修改。</w:t>
      </w:r>
    </w:p>
    <w:p w14:paraId="64FF3F32">
      <w:pPr>
        <w:widowControl/>
        <w:autoSpaceDE/>
        <w:autoSpaceDN/>
        <w:adjustRightInd/>
        <w:textAlignment w:val="auto"/>
        <w:rPr>
          <w:rFonts w:hint="eastAsia" w:ascii="宋体" w:hAnsi="宋体" w:eastAsia="宋体" w:cs="宋体"/>
          <w:color w:val="auto"/>
          <w:sz w:val="28"/>
          <w:highlight w:val="none"/>
        </w:rPr>
      </w:pPr>
      <w:r>
        <w:rPr>
          <w:rFonts w:hint="eastAsia" w:ascii="宋体" w:hAnsi="宋体" w:eastAsia="宋体" w:cs="宋体"/>
          <w:color w:val="auto"/>
          <w:highlight w:val="none"/>
        </w:rPr>
        <w:br w:type="page"/>
      </w:r>
    </w:p>
    <w:p w14:paraId="6CBD0792">
      <w:pPr>
        <w:pStyle w:val="20"/>
        <w:ind w:firstLine="280"/>
        <w:rPr>
          <w:rFonts w:hint="eastAsia" w:ascii="宋体" w:hAnsi="宋体" w:eastAsia="宋体" w:cs="宋体"/>
          <w:color w:val="auto"/>
          <w:highlight w:val="none"/>
        </w:rPr>
      </w:pPr>
    </w:p>
    <w:p w14:paraId="4BB2ADC6">
      <w:pPr>
        <w:pStyle w:val="4"/>
        <w:spacing w:beforeLines="50" w:afterLines="50" w:line="360" w:lineRule="auto"/>
        <w:jc w:val="center"/>
        <w:rPr>
          <w:rFonts w:hint="eastAsia" w:ascii="宋体" w:hAnsi="宋体" w:eastAsia="宋体" w:cs="宋体"/>
          <w:color w:val="auto"/>
          <w:sz w:val="32"/>
          <w:szCs w:val="32"/>
          <w:highlight w:val="none"/>
        </w:rPr>
      </w:pPr>
      <w:bookmarkStart w:id="230" w:name="_Toc23780"/>
      <w:bookmarkStart w:id="231" w:name="_Toc19293"/>
      <w:bookmarkStart w:id="232" w:name="_Toc25076"/>
      <w:bookmarkStart w:id="233" w:name="_Toc23493"/>
      <w:bookmarkStart w:id="234" w:name="_Toc4589"/>
      <w:bookmarkStart w:id="235" w:name="_Toc11156"/>
      <w:bookmarkStart w:id="236" w:name="_Toc11831"/>
      <w:bookmarkStart w:id="237" w:name="_Toc10347"/>
      <w:bookmarkStart w:id="238" w:name="_Toc23611"/>
      <w:bookmarkStart w:id="239" w:name="_Toc102"/>
      <w:bookmarkStart w:id="240" w:name="_Toc14760"/>
      <w:bookmarkStart w:id="241" w:name="_Toc28934"/>
      <w:bookmarkStart w:id="242" w:name="_Toc17696"/>
      <w:bookmarkStart w:id="243" w:name="_Toc29780"/>
      <w:bookmarkStart w:id="244" w:name="_Toc11190"/>
      <w:bookmarkStart w:id="245" w:name="_Toc6719"/>
      <w:bookmarkStart w:id="246" w:name="_Toc20888"/>
      <w:r>
        <w:rPr>
          <w:rFonts w:hint="eastAsia" w:ascii="宋体" w:hAnsi="宋体" w:eastAsia="宋体" w:cs="宋体"/>
          <w:color w:val="auto"/>
          <w:sz w:val="32"/>
          <w:szCs w:val="32"/>
          <w:highlight w:val="none"/>
        </w:rPr>
        <w:t>第六部分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eastAsia="宋体" w:cs="宋体"/>
          <w:color w:val="auto"/>
          <w:sz w:val="32"/>
          <w:szCs w:val="32"/>
          <w:highlight w:val="none"/>
        </w:rPr>
        <w:t xml:space="preserve">  应递交的响应文件格式范例</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AFE1ECE">
      <w:pPr>
        <w:snapToGrid w:val="0"/>
        <w:spacing w:beforeLines="50" w:after="50"/>
        <w:rPr>
          <w:rFonts w:hint="eastAsia" w:ascii="宋体" w:hAnsi="宋体" w:eastAsia="宋体" w:cs="宋体"/>
          <w:color w:val="auto"/>
          <w:sz w:val="21"/>
          <w:szCs w:val="21"/>
          <w:highlight w:val="none"/>
        </w:rPr>
      </w:pPr>
      <w:bookmarkStart w:id="247" w:name="_Toc265065990"/>
      <w:bookmarkStart w:id="248" w:name="_Toc184785935"/>
      <w:bookmarkStart w:id="249" w:name="_Toc374366051"/>
      <w:bookmarkStart w:id="250" w:name="_Toc237176513"/>
      <w:bookmarkStart w:id="251" w:name="_Toc237414015"/>
      <w:bookmarkStart w:id="252" w:name="_Toc237413920"/>
      <w:bookmarkStart w:id="253" w:name="_Toc256977546"/>
      <w:bookmarkStart w:id="254" w:name="_Toc264211078"/>
      <w:bookmarkStart w:id="255" w:name="_Toc499294826"/>
      <w:bookmarkStart w:id="256" w:name="_Toc237189787"/>
      <w:bookmarkStart w:id="257" w:name="_Toc296074347"/>
      <w:bookmarkStart w:id="258" w:name="_Toc217289137"/>
      <w:bookmarkStart w:id="259" w:name="_Toc237182506"/>
      <w:bookmarkStart w:id="260" w:name="_Toc237193458"/>
      <w:bookmarkStart w:id="261" w:name="_Toc295910884"/>
      <w:bookmarkStart w:id="262" w:name="_Toc295737636"/>
      <w:bookmarkStart w:id="263" w:name="_Toc237340114"/>
    </w:p>
    <w:p w14:paraId="5F8BEAF0">
      <w:pPr>
        <w:snapToGrid w:val="0"/>
        <w:spacing w:beforeLines="50" w:after="50"/>
        <w:jc w:val="center"/>
        <w:rPr>
          <w:rFonts w:hint="eastAsia" w:ascii="宋体" w:hAnsi="宋体" w:eastAsia="宋体" w:cs="宋体"/>
          <w:color w:val="auto"/>
          <w:sz w:val="21"/>
          <w:szCs w:val="21"/>
          <w:highlight w:val="none"/>
        </w:rPr>
      </w:pPr>
    </w:p>
    <w:p w14:paraId="6468AA34">
      <w:pPr>
        <w:snapToGrid w:val="0"/>
        <w:spacing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竞争性磋商响应文件</w:t>
      </w:r>
    </w:p>
    <w:p w14:paraId="0B2C9893">
      <w:pPr>
        <w:snapToGrid w:val="0"/>
        <w:spacing w:beforeLines="50" w:after="50"/>
        <w:rPr>
          <w:rFonts w:hint="eastAsia" w:ascii="宋体" w:hAnsi="宋体" w:eastAsia="宋体" w:cs="宋体"/>
          <w:color w:val="auto"/>
          <w:sz w:val="30"/>
          <w:szCs w:val="30"/>
          <w:highlight w:val="none"/>
        </w:rPr>
      </w:pPr>
    </w:p>
    <w:p w14:paraId="70D898B3">
      <w:pPr>
        <w:snapToGrid w:val="0"/>
        <w:spacing w:beforeLines="50" w:after="50"/>
        <w:ind w:left="1676" w:leftChars="14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3481171">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3138EBF">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磋商响应文件名称：资格文件、商务技术文件或报价文件</w:t>
      </w:r>
    </w:p>
    <w:p w14:paraId="405B46E8">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w:t>
      </w:r>
    </w:p>
    <w:p w14:paraId="26A500CC">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响应供应商地址：</w:t>
      </w:r>
    </w:p>
    <w:p w14:paraId="772820DA">
      <w:pPr>
        <w:snapToGrid w:val="0"/>
        <w:spacing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58BF21A">
      <w:pPr>
        <w:snapToGrid w:val="0"/>
        <w:spacing w:beforeLines="50" w:after="50"/>
        <w:ind w:firstLine="480" w:firstLineChars="200"/>
        <w:rPr>
          <w:rFonts w:hint="eastAsia" w:ascii="宋体" w:hAnsi="宋体" w:eastAsia="宋体" w:cs="宋体"/>
          <w:color w:val="auto"/>
          <w:sz w:val="24"/>
          <w:szCs w:val="24"/>
          <w:highlight w:val="none"/>
        </w:rPr>
      </w:pPr>
    </w:p>
    <w:p w14:paraId="6085C0F3">
      <w:pPr>
        <w:snapToGrid w:val="0"/>
        <w:spacing w:beforeLines="50" w:after="50"/>
        <w:ind w:firstLine="2160" w:firstLineChars="900"/>
        <w:rPr>
          <w:rFonts w:hint="eastAsia" w:ascii="宋体" w:hAnsi="宋体" w:eastAsia="宋体" w:cs="宋体"/>
          <w:color w:val="auto"/>
          <w:sz w:val="24"/>
          <w:szCs w:val="24"/>
          <w:highlight w:val="none"/>
        </w:rPr>
      </w:pPr>
    </w:p>
    <w:p w14:paraId="5A50E3AB">
      <w:pPr>
        <w:snapToGrid w:val="0"/>
        <w:spacing w:beforeLines="50" w:after="50"/>
        <w:ind w:firstLine="2160" w:firstLineChars="900"/>
        <w:rPr>
          <w:rFonts w:hint="eastAsia" w:ascii="宋体" w:hAnsi="宋体" w:eastAsia="宋体" w:cs="宋体"/>
          <w:color w:val="auto"/>
          <w:sz w:val="24"/>
          <w:szCs w:val="24"/>
          <w:highlight w:val="none"/>
        </w:rPr>
      </w:pPr>
    </w:p>
    <w:p w14:paraId="2DD63581">
      <w:pPr>
        <w:snapToGrid w:val="0"/>
        <w:spacing w:beforeLines="50" w:after="50"/>
        <w:ind w:firstLine="2160" w:firstLineChars="900"/>
        <w:rPr>
          <w:rFonts w:hint="eastAsia" w:ascii="宋体" w:hAnsi="宋体" w:eastAsia="宋体" w:cs="宋体"/>
          <w:color w:val="auto"/>
          <w:sz w:val="24"/>
          <w:szCs w:val="24"/>
          <w:highlight w:val="none"/>
        </w:rPr>
      </w:pPr>
    </w:p>
    <w:p w14:paraId="5F0C3E6D">
      <w:pPr>
        <w:snapToGrid w:val="0"/>
        <w:spacing w:beforeLines="50" w:after="50"/>
        <w:ind w:firstLine="2160" w:firstLineChars="900"/>
        <w:rPr>
          <w:rFonts w:hint="eastAsia" w:ascii="宋体" w:hAnsi="宋体" w:eastAsia="宋体" w:cs="宋体"/>
          <w:color w:val="auto"/>
          <w:sz w:val="24"/>
          <w:szCs w:val="24"/>
          <w:highlight w:val="none"/>
        </w:rPr>
      </w:pPr>
    </w:p>
    <w:p w14:paraId="574E6DE9">
      <w:pPr>
        <w:snapToGrid w:val="0"/>
        <w:spacing w:before="50" w:after="50"/>
        <w:rPr>
          <w:rFonts w:hint="eastAsia" w:ascii="宋体" w:hAnsi="宋体" w:eastAsia="宋体" w:cs="宋体"/>
          <w:b/>
          <w:color w:val="auto"/>
          <w:sz w:val="22"/>
          <w:szCs w:val="21"/>
          <w:highlight w:val="none"/>
        </w:rPr>
      </w:pPr>
    </w:p>
    <w:p w14:paraId="06E89427">
      <w:pPr>
        <w:snapToGrid w:val="0"/>
        <w:spacing w:before="50" w:after="50"/>
        <w:ind w:left="720"/>
        <w:rPr>
          <w:rFonts w:hint="eastAsia" w:ascii="宋体" w:hAnsi="宋体" w:eastAsia="宋体" w:cs="宋体"/>
          <w:b/>
          <w:color w:val="auto"/>
          <w:sz w:val="22"/>
          <w:szCs w:val="21"/>
          <w:highlight w:val="none"/>
        </w:rPr>
      </w:pPr>
      <w:r>
        <w:rPr>
          <w:rFonts w:hint="eastAsia" w:ascii="宋体" w:hAnsi="宋体" w:eastAsia="宋体" w:cs="宋体"/>
          <w:b/>
          <w:color w:val="auto"/>
          <w:sz w:val="22"/>
          <w:szCs w:val="21"/>
          <w:highlight w:val="none"/>
        </w:rPr>
        <w:br w:type="page"/>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41E04154">
      <w:pPr>
        <w:snapToGrid w:val="0"/>
        <w:spacing w:line="460" w:lineRule="atLeast"/>
        <w:ind w:firstLine="422" w:firstLineChars="200"/>
        <w:textAlignment w:val="bottom"/>
        <w:rPr>
          <w:rFonts w:hint="eastAsia" w:ascii="宋体" w:hAnsi="宋体" w:eastAsia="宋体" w:cs="宋体"/>
          <w:color w:val="auto"/>
          <w:highlight w:val="none"/>
        </w:rPr>
      </w:pPr>
      <w:r>
        <w:rPr>
          <w:rFonts w:hint="eastAsia" w:ascii="宋体" w:hAnsi="宋体" w:eastAsia="宋体" w:cs="宋体"/>
          <w:b/>
          <w:color w:val="auto"/>
          <w:sz w:val="21"/>
          <w:szCs w:val="21"/>
          <w:highlight w:val="none"/>
        </w:rPr>
        <w:t>（一）资格文件部分</w:t>
      </w:r>
    </w:p>
    <w:p w14:paraId="0A8F46B5">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有效期内的营业执照副本扫描件或复印件；</w:t>
      </w:r>
    </w:p>
    <w:p w14:paraId="39C041CA">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法定代表人身份证明、法定代表人授权委托书（格式见附件，如法定代表人本人参加的，则仅</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提供法定代表人身份证明及法定代表人身份证复印件）；</w:t>
      </w:r>
    </w:p>
    <w:p w14:paraId="33E4592C">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（3）符合参加政府采购活动应当具备的一般条件的承诺函（格式见附件）；</w:t>
      </w:r>
    </w:p>
    <w:p w14:paraId="647E44B3">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（4）落实政府采购政策需满足的资格要求（格式见附件）；</w:t>
      </w:r>
    </w:p>
    <w:p w14:paraId="4E650EFB">
      <w:pPr>
        <w:rPr>
          <w:rFonts w:hint="eastAsia" w:ascii="宋体" w:hAnsi="宋体" w:eastAsia="宋体" w:cs="宋体"/>
          <w:b/>
          <w:color w:val="auto"/>
          <w:sz w:val="24"/>
          <w:szCs w:val="24"/>
          <w:highlight w:val="none"/>
        </w:rPr>
      </w:pPr>
    </w:p>
    <w:p w14:paraId="6218B44B">
      <w:pPr>
        <w:pStyle w:val="2"/>
        <w:ind w:left="680"/>
        <w:rPr>
          <w:rFonts w:hint="eastAsia" w:ascii="宋体" w:hAnsi="宋体" w:eastAsia="宋体" w:cs="宋体"/>
          <w:b/>
          <w:color w:val="auto"/>
          <w:sz w:val="24"/>
          <w:szCs w:val="24"/>
          <w:highlight w:val="none"/>
        </w:rPr>
      </w:pPr>
    </w:p>
    <w:p w14:paraId="12C20E97">
      <w:pPr>
        <w:pStyle w:val="62"/>
        <w:rPr>
          <w:rFonts w:hint="eastAsia" w:ascii="宋体" w:hAnsi="宋体" w:eastAsia="宋体" w:cs="宋体"/>
          <w:color w:val="auto"/>
          <w:sz w:val="24"/>
          <w:szCs w:val="24"/>
          <w:highlight w:val="none"/>
        </w:rPr>
      </w:pPr>
    </w:p>
    <w:p w14:paraId="585AA4A3">
      <w:pPr>
        <w:rPr>
          <w:rFonts w:hint="eastAsia" w:ascii="宋体" w:hAnsi="宋体" w:eastAsia="宋体" w:cs="宋体"/>
          <w:b/>
          <w:color w:val="auto"/>
          <w:sz w:val="24"/>
          <w:szCs w:val="24"/>
          <w:highlight w:val="none"/>
        </w:rPr>
      </w:pPr>
    </w:p>
    <w:p w14:paraId="60570B2E">
      <w:pPr>
        <w:pStyle w:val="2"/>
        <w:ind w:left="680"/>
        <w:rPr>
          <w:rFonts w:hint="eastAsia" w:ascii="宋体" w:hAnsi="宋体" w:eastAsia="宋体" w:cs="宋体"/>
          <w:b/>
          <w:color w:val="auto"/>
          <w:sz w:val="24"/>
          <w:szCs w:val="24"/>
          <w:highlight w:val="none"/>
        </w:rPr>
      </w:pPr>
    </w:p>
    <w:p w14:paraId="084C4721">
      <w:pPr>
        <w:pStyle w:val="62"/>
        <w:rPr>
          <w:rFonts w:hint="eastAsia" w:ascii="宋体" w:hAnsi="宋体" w:eastAsia="宋体" w:cs="宋体"/>
          <w:color w:val="auto"/>
          <w:sz w:val="24"/>
          <w:szCs w:val="24"/>
          <w:highlight w:val="none"/>
        </w:rPr>
      </w:pPr>
    </w:p>
    <w:p w14:paraId="3355B4C5">
      <w:pPr>
        <w:rPr>
          <w:rFonts w:hint="eastAsia" w:ascii="宋体" w:hAnsi="宋体" w:eastAsia="宋体" w:cs="宋体"/>
          <w:b/>
          <w:color w:val="auto"/>
          <w:sz w:val="24"/>
          <w:szCs w:val="24"/>
          <w:highlight w:val="none"/>
        </w:rPr>
      </w:pPr>
    </w:p>
    <w:p w14:paraId="3D5092CE">
      <w:pPr>
        <w:pStyle w:val="2"/>
        <w:ind w:left="680"/>
        <w:rPr>
          <w:rFonts w:hint="eastAsia" w:ascii="宋体" w:hAnsi="宋体" w:eastAsia="宋体" w:cs="宋体"/>
          <w:b/>
          <w:color w:val="auto"/>
          <w:sz w:val="24"/>
          <w:szCs w:val="24"/>
          <w:highlight w:val="none"/>
        </w:rPr>
      </w:pPr>
    </w:p>
    <w:p w14:paraId="3374DAE7">
      <w:pPr>
        <w:pStyle w:val="62"/>
        <w:rPr>
          <w:rFonts w:hint="eastAsia" w:ascii="宋体" w:hAnsi="宋体" w:eastAsia="宋体" w:cs="宋体"/>
          <w:color w:val="auto"/>
          <w:sz w:val="24"/>
          <w:szCs w:val="24"/>
          <w:highlight w:val="none"/>
        </w:rPr>
      </w:pPr>
    </w:p>
    <w:p w14:paraId="689DA003">
      <w:pPr>
        <w:rPr>
          <w:rFonts w:hint="eastAsia" w:ascii="宋体" w:hAnsi="宋体" w:eastAsia="宋体" w:cs="宋体"/>
          <w:b/>
          <w:color w:val="auto"/>
          <w:sz w:val="24"/>
          <w:szCs w:val="24"/>
          <w:highlight w:val="none"/>
        </w:rPr>
      </w:pPr>
    </w:p>
    <w:p w14:paraId="78DF9B2A">
      <w:pPr>
        <w:pStyle w:val="2"/>
        <w:ind w:left="680"/>
        <w:rPr>
          <w:rFonts w:hint="eastAsia" w:ascii="宋体" w:hAnsi="宋体" w:eastAsia="宋体" w:cs="宋体"/>
          <w:b/>
          <w:color w:val="auto"/>
          <w:sz w:val="24"/>
          <w:szCs w:val="24"/>
          <w:highlight w:val="none"/>
        </w:rPr>
      </w:pPr>
    </w:p>
    <w:p w14:paraId="5D849D70">
      <w:pPr>
        <w:pStyle w:val="62"/>
        <w:rPr>
          <w:rFonts w:hint="eastAsia" w:ascii="宋体" w:hAnsi="宋体" w:eastAsia="宋体" w:cs="宋体"/>
          <w:color w:val="auto"/>
          <w:sz w:val="24"/>
          <w:szCs w:val="24"/>
          <w:highlight w:val="none"/>
        </w:rPr>
      </w:pPr>
    </w:p>
    <w:p w14:paraId="05F16435">
      <w:pPr>
        <w:rPr>
          <w:rFonts w:hint="eastAsia" w:ascii="宋体" w:hAnsi="宋体" w:eastAsia="宋体" w:cs="宋体"/>
          <w:color w:val="auto"/>
          <w:sz w:val="24"/>
          <w:szCs w:val="24"/>
          <w:highlight w:val="none"/>
        </w:rPr>
      </w:pPr>
    </w:p>
    <w:p w14:paraId="4B656A35">
      <w:pPr>
        <w:pStyle w:val="2"/>
        <w:ind w:left="680"/>
        <w:rPr>
          <w:rFonts w:hint="eastAsia" w:ascii="宋体" w:hAnsi="宋体" w:eastAsia="宋体" w:cs="宋体"/>
          <w:color w:val="auto"/>
          <w:sz w:val="24"/>
          <w:szCs w:val="24"/>
          <w:highlight w:val="none"/>
        </w:rPr>
      </w:pPr>
    </w:p>
    <w:p w14:paraId="57A6C860">
      <w:pPr>
        <w:rPr>
          <w:rFonts w:hint="eastAsia" w:ascii="宋体" w:hAnsi="宋体" w:eastAsia="宋体" w:cs="宋体"/>
          <w:color w:val="auto"/>
          <w:sz w:val="24"/>
          <w:szCs w:val="24"/>
          <w:highlight w:val="none"/>
        </w:rPr>
      </w:pPr>
    </w:p>
    <w:p w14:paraId="5B457943">
      <w:pPr>
        <w:pStyle w:val="2"/>
        <w:ind w:left="680"/>
        <w:rPr>
          <w:rFonts w:hint="eastAsia" w:ascii="宋体" w:hAnsi="宋体" w:eastAsia="宋体" w:cs="宋体"/>
          <w:color w:val="auto"/>
          <w:sz w:val="24"/>
          <w:szCs w:val="24"/>
          <w:highlight w:val="none"/>
        </w:rPr>
      </w:pPr>
    </w:p>
    <w:p w14:paraId="1075D155">
      <w:pPr>
        <w:rPr>
          <w:rFonts w:hint="eastAsia" w:ascii="宋体" w:hAnsi="宋体" w:eastAsia="宋体" w:cs="宋体"/>
          <w:color w:val="auto"/>
          <w:sz w:val="24"/>
          <w:szCs w:val="24"/>
          <w:highlight w:val="none"/>
        </w:rPr>
      </w:pPr>
    </w:p>
    <w:p w14:paraId="1C9F0510">
      <w:pPr>
        <w:pStyle w:val="2"/>
        <w:ind w:left="680"/>
        <w:rPr>
          <w:rFonts w:hint="eastAsia" w:ascii="宋体" w:hAnsi="宋体" w:eastAsia="宋体" w:cs="宋体"/>
          <w:color w:val="auto"/>
          <w:sz w:val="24"/>
          <w:szCs w:val="24"/>
          <w:highlight w:val="none"/>
        </w:rPr>
      </w:pPr>
    </w:p>
    <w:p w14:paraId="5570BCB0">
      <w:pPr>
        <w:rPr>
          <w:rFonts w:hint="eastAsia" w:ascii="宋体" w:hAnsi="宋体" w:eastAsia="宋体" w:cs="宋体"/>
          <w:color w:val="auto"/>
          <w:sz w:val="24"/>
          <w:szCs w:val="24"/>
          <w:highlight w:val="none"/>
        </w:rPr>
      </w:pPr>
    </w:p>
    <w:p w14:paraId="6D43E331">
      <w:pPr>
        <w:pStyle w:val="2"/>
        <w:ind w:left="680"/>
        <w:rPr>
          <w:rFonts w:hint="eastAsia" w:ascii="宋体" w:hAnsi="宋体" w:eastAsia="宋体" w:cs="宋体"/>
          <w:color w:val="auto"/>
          <w:sz w:val="24"/>
          <w:szCs w:val="24"/>
          <w:highlight w:val="none"/>
        </w:rPr>
      </w:pPr>
    </w:p>
    <w:p w14:paraId="33CB0F3F">
      <w:pPr>
        <w:rPr>
          <w:rFonts w:hint="eastAsia" w:ascii="宋体" w:hAnsi="宋体" w:eastAsia="宋体" w:cs="宋体"/>
          <w:color w:val="auto"/>
          <w:sz w:val="24"/>
          <w:szCs w:val="24"/>
          <w:highlight w:val="none"/>
        </w:rPr>
      </w:pPr>
    </w:p>
    <w:p w14:paraId="536B90FB">
      <w:pPr>
        <w:pStyle w:val="2"/>
        <w:ind w:left="680"/>
        <w:rPr>
          <w:rFonts w:hint="eastAsia" w:ascii="宋体" w:hAnsi="宋体" w:eastAsia="宋体" w:cs="宋体"/>
          <w:color w:val="auto"/>
          <w:sz w:val="24"/>
          <w:szCs w:val="24"/>
          <w:highlight w:val="none"/>
        </w:rPr>
      </w:pPr>
    </w:p>
    <w:p w14:paraId="15493582">
      <w:pPr>
        <w:rPr>
          <w:rFonts w:hint="eastAsia" w:ascii="宋体" w:hAnsi="宋体" w:eastAsia="宋体" w:cs="宋体"/>
          <w:color w:val="auto"/>
          <w:sz w:val="24"/>
          <w:szCs w:val="24"/>
          <w:highlight w:val="none"/>
        </w:rPr>
      </w:pPr>
    </w:p>
    <w:p w14:paraId="20E9DDCE">
      <w:pPr>
        <w:pStyle w:val="2"/>
        <w:ind w:left="680"/>
        <w:rPr>
          <w:rFonts w:hint="eastAsia" w:ascii="宋体" w:hAnsi="宋体" w:eastAsia="宋体" w:cs="宋体"/>
          <w:color w:val="auto"/>
          <w:sz w:val="24"/>
          <w:szCs w:val="24"/>
          <w:highlight w:val="none"/>
        </w:rPr>
      </w:pPr>
    </w:p>
    <w:p w14:paraId="6A91EE24">
      <w:pPr>
        <w:rPr>
          <w:rFonts w:hint="eastAsia" w:ascii="宋体" w:hAnsi="宋体" w:eastAsia="宋体" w:cs="宋体"/>
          <w:color w:val="auto"/>
          <w:sz w:val="24"/>
          <w:szCs w:val="24"/>
          <w:highlight w:val="none"/>
        </w:rPr>
      </w:pPr>
    </w:p>
    <w:p w14:paraId="65DB3EB8">
      <w:pPr>
        <w:pStyle w:val="19"/>
        <w:rPr>
          <w:rFonts w:hint="eastAsia" w:ascii="宋体" w:hAnsi="宋体" w:eastAsia="宋体" w:cs="宋体"/>
          <w:color w:val="auto"/>
          <w:highlight w:val="none"/>
        </w:rPr>
      </w:pPr>
    </w:p>
    <w:p w14:paraId="23789FA7">
      <w:pPr>
        <w:pStyle w:val="2"/>
        <w:ind w:left="680"/>
        <w:rPr>
          <w:rFonts w:hint="eastAsia" w:ascii="宋体" w:hAnsi="宋体" w:eastAsia="宋体" w:cs="宋体"/>
          <w:color w:val="auto"/>
          <w:highlight w:val="none"/>
        </w:rPr>
      </w:pPr>
    </w:p>
    <w:p w14:paraId="6FFF4ACA">
      <w:pPr>
        <w:keepNext/>
        <w:keepLines/>
        <w:outlineLvl w:val="9"/>
        <w:rPr>
          <w:rFonts w:hint="eastAsia" w:ascii="宋体" w:hAnsi="宋体" w:eastAsia="宋体" w:cs="宋体"/>
          <w:bCs w:val="0"/>
          <w:color w:val="auto"/>
          <w:sz w:val="24"/>
          <w:szCs w:val="24"/>
          <w:highlight w:val="none"/>
        </w:rPr>
      </w:pPr>
      <w:bookmarkStart w:id="264" w:name="_Toc31016"/>
      <w:r>
        <w:rPr>
          <w:rFonts w:hint="eastAsia" w:ascii="宋体" w:hAnsi="宋体" w:eastAsia="宋体" w:cs="宋体"/>
          <w:bCs w:val="0"/>
          <w:color w:val="auto"/>
          <w:sz w:val="24"/>
          <w:szCs w:val="24"/>
          <w:highlight w:val="none"/>
          <w:lang w:eastAsia="zh-CN"/>
        </w:rPr>
        <w:t>1</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有效期内的营业执照副本扫描件或复印件；</w:t>
      </w:r>
      <w:bookmarkEnd w:id="264"/>
    </w:p>
    <w:p w14:paraId="3E6A49AB">
      <w:pPr>
        <w:spacing w:line="500" w:lineRule="exact"/>
        <w:ind w:firstLine="480"/>
        <w:jc w:val="center"/>
        <w:rPr>
          <w:rFonts w:hint="eastAsia" w:ascii="宋体" w:hAnsi="宋体" w:eastAsia="宋体" w:cs="宋体"/>
          <w:b/>
          <w:color w:val="auto"/>
          <w:sz w:val="24"/>
          <w:szCs w:val="24"/>
          <w:highlight w:val="none"/>
        </w:rPr>
      </w:pPr>
    </w:p>
    <w:p w14:paraId="2C55E853">
      <w:pPr>
        <w:spacing w:line="500" w:lineRule="exact"/>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color w:val="auto"/>
          <w:sz w:val="24"/>
          <w:szCs w:val="24"/>
          <w:highlight w:val="none"/>
        </w:rPr>
        <w:t>法定代表人身份证明、法定代表人授权委托书</w:t>
      </w:r>
    </w:p>
    <w:p w14:paraId="04752527">
      <w:pPr>
        <w:rPr>
          <w:rFonts w:hint="eastAsia" w:ascii="宋体" w:hAnsi="宋体" w:eastAsia="宋体" w:cs="宋体"/>
          <w:color w:val="auto"/>
          <w:sz w:val="24"/>
          <w:szCs w:val="24"/>
          <w:highlight w:val="none"/>
        </w:rPr>
      </w:pPr>
    </w:p>
    <w:p w14:paraId="6B7955AA">
      <w:pPr>
        <w:spacing w:line="300" w:lineRule="auto"/>
        <w:jc w:val="center"/>
        <w:rPr>
          <w:rFonts w:hint="eastAsia" w:ascii="宋体" w:hAnsi="宋体" w:eastAsia="宋体" w:cs="宋体"/>
          <w:b/>
          <w:bCs/>
          <w:color w:val="auto"/>
          <w:sz w:val="24"/>
          <w:szCs w:val="24"/>
          <w:highlight w:val="none"/>
        </w:rPr>
      </w:pPr>
      <w:bookmarkStart w:id="265" w:name="_Toc374366059"/>
      <w:r>
        <w:rPr>
          <w:rFonts w:hint="eastAsia" w:ascii="宋体" w:hAnsi="宋体" w:eastAsia="宋体" w:cs="宋体"/>
          <w:b/>
          <w:bCs/>
          <w:color w:val="auto"/>
          <w:sz w:val="24"/>
          <w:szCs w:val="24"/>
          <w:highlight w:val="none"/>
        </w:rPr>
        <w:t>法定代表人资格证明书</w:t>
      </w:r>
    </w:p>
    <w:p w14:paraId="3E9B73A8">
      <w:pPr>
        <w:jc w:val="center"/>
        <w:rPr>
          <w:rFonts w:hint="eastAsia" w:ascii="宋体" w:hAnsi="宋体" w:eastAsia="宋体" w:cs="宋体"/>
          <w:color w:val="auto"/>
          <w:sz w:val="24"/>
          <w:szCs w:val="24"/>
          <w:highlight w:val="none"/>
        </w:rPr>
      </w:pPr>
    </w:p>
    <w:p w14:paraId="156FBBE6">
      <w:pPr>
        <w:spacing w:line="360" w:lineRule="auto"/>
        <w:textAlignment w:val="auto"/>
        <w:rPr>
          <w:rFonts w:hint="eastAsia" w:ascii="宋体" w:hAnsi="宋体" w:eastAsia="宋体" w:cs="宋体"/>
          <w:color w:val="auto"/>
          <w:sz w:val="24"/>
          <w:szCs w:val="24"/>
          <w:highlight w:val="none"/>
        </w:rPr>
      </w:pPr>
    </w:p>
    <w:p w14:paraId="4C0E1CFD">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5274A1C9">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66D82FFB">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7AFCF19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2E9A3B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F8EDC4B">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w:t>
      </w: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val="en-US" w:eastAsia="zh-CN"/>
        </w:rPr>
        <w:t>的名称</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6B66236C">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3466BD">
      <w:pPr>
        <w:spacing w:line="360" w:lineRule="auto"/>
        <w:ind w:firstLine="5280" w:firstLineChars="2200"/>
        <w:textAlignment w:val="auto"/>
        <w:rPr>
          <w:rFonts w:hint="eastAsia" w:ascii="宋体" w:hAnsi="宋体" w:eastAsia="宋体" w:cs="宋体"/>
          <w:color w:val="auto"/>
          <w:sz w:val="24"/>
          <w:szCs w:val="24"/>
          <w:highlight w:val="none"/>
        </w:rPr>
      </w:pPr>
    </w:p>
    <w:p w14:paraId="72A5E6DD">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法定代表人身份证（正反面）复印件粘贴处：</w:t>
      </w:r>
    </w:p>
    <w:p w14:paraId="7059EBD0">
      <w:pPr>
        <w:spacing w:line="360" w:lineRule="auto"/>
        <w:ind w:firstLine="5280" w:firstLineChars="2200"/>
        <w:textAlignment w:val="auto"/>
        <w:rPr>
          <w:rFonts w:hint="eastAsia" w:ascii="宋体" w:hAnsi="宋体" w:eastAsia="宋体" w:cs="宋体"/>
          <w:color w:val="auto"/>
          <w:sz w:val="24"/>
          <w:szCs w:val="24"/>
          <w:highlight w:val="none"/>
        </w:rPr>
      </w:pPr>
    </w:p>
    <w:p w14:paraId="750FCD61">
      <w:pPr>
        <w:spacing w:line="360" w:lineRule="auto"/>
        <w:ind w:firstLine="5280" w:firstLineChars="2200"/>
        <w:textAlignment w:val="auto"/>
        <w:rPr>
          <w:rFonts w:hint="eastAsia" w:ascii="宋体" w:hAnsi="宋体" w:eastAsia="宋体" w:cs="宋体"/>
          <w:color w:val="auto"/>
          <w:sz w:val="24"/>
          <w:szCs w:val="24"/>
          <w:highlight w:val="none"/>
        </w:rPr>
      </w:pPr>
    </w:p>
    <w:p w14:paraId="6278CE57">
      <w:pPr>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xml:space="preserve"> (单位公章)</w:t>
      </w:r>
    </w:p>
    <w:p w14:paraId="70805505">
      <w:pPr>
        <w:spacing w:line="360" w:lineRule="auto"/>
        <w:ind w:firstLine="1440" w:firstLineChars="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5A99878D">
      <w:pPr>
        <w:rPr>
          <w:rFonts w:hint="eastAsia" w:ascii="宋体" w:hAnsi="宋体" w:eastAsia="宋体" w:cs="宋体"/>
          <w:color w:val="auto"/>
          <w:highlight w:val="none"/>
        </w:rPr>
      </w:pPr>
    </w:p>
    <w:p w14:paraId="50952EC3">
      <w:pPr>
        <w:snapToGrid w:val="0"/>
        <w:spacing w:before="50" w:after="50"/>
        <w:jc w:val="center"/>
        <w:rPr>
          <w:rFonts w:hint="eastAsia" w:ascii="宋体" w:hAnsi="宋体" w:eastAsia="宋体" w:cs="宋体"/>
          <w:b/>
          <w:color w:val="auto"/>
          <w:sz w:val="28"/>
          <w:highlight w:val="none"/>
        </w:rPr>
      </w:pPr>
    </w:p>
    <w:p w14:paraId="373A13A9">
      <w:pPr>
        <w:snapToGrid w:val="0"/>
        <w:spacing w:before="50" w:after="5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00213D2">
      <w:pPr>
        <w:snapToGrid w:val="0"/>
        <w:spacing w:before="50" w:after="50"/>
        <w:jc w:val="center"/>
        <w:rPr>
          <w:rFonts w:hint="eastAsia" w:ascii="宋体" w:hAnsi="宋体" w:eastAsia="宋体" w:cs="宋体"/>
          <w:b/>
          <w:color w:val="auto"/>
          <w:sz w:val="28"/>
          <w:highlight w:val="none"/>
        </w:rPr>
      </w:pPr>
    </w:p>
    <w:p w14:paraId="567AC635">
      <w:pPr>
        <w:snapToGrid w:val="0"/>
        <w:spacing w:before="50" w:after="50"/>
        <w:jc w:val="center"/>
        <w:rPr>
          <w:rFonts w:hint="eastAsia" w:ascii="宋体" w:hAnsi="宋体" w:eastAsia="宋体" w:cs="宋体"/>
          <w:b/>
          <w:color w:val="auto"/>
          <w:sz w:val="28"/>
          <w:highlight w:val="none"/>
        </w:rPr>
      </w:pPr>
      <w:bookmarkStart w:id="266" w:name="_Toc16007"/>
      <w:r>
        <w:rPr>
          <w:rFonts w:hint="eastAsia" w:ascii="宋体" w:hAnsi="宋体" w:eastAsia="宋体" w:cs="宋体"/>
          <w:b/>
          <w:color w:val="auto"/>
          <w:sz w:val="28"/>
          <w:highlight w:val="none"/>
        </w:rPr>
        <w:t>法定代表人授权委托书</w:t>
      </w:r>
      <w:bookmarkEnd w:id="266"/>
    </w:p>
    <w:p w14:paraId="172DAD6E">
      <w:pPr>
        <w:spacing w:line="360" w:lineRule="auto"/>
        <w:rPr>
          <w:rFonts w:hint="eastAsia" w:ascii="宋体" w:hAnsi="宋体" w:eastAsia="宋体" w:cs="宋体"/>
          <w:color w:val="auto"/>
          <w:sz w:val="24"/>
          <w:szCs w:val="24"/>
          <w:highlight w:val="none"/>
        </w:rPr>
      </w:pPr>
    </w:p>
    <w:p w14:paraId="45F17F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3114790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法定代表人（或单位负责人）------------------------授----------------（全权代表姓名）为全权代表，参加贵公司组织的-----------------------采购活动，全权处理采购活动中的一切事宜。</w:t>
      </w:r>
    </w:p>
    <w:p w14:paraId="14CE5AC3">
      <w:pPr>
        <w:spacing w:line="400" w:lineRule="exact"/>
        <w:rPr>
          <w:rFonts w:hint="eastAsia" w:ascii="宋体" w:hAnsi="宋体" w:eastAsia="宋体" w:cs="宋体"/>
          <w:color w:val="auto"/>
          <w:sz w:val="24"/>
          <w:szCs w:val="24"/>
          <w:highlight w:val="none"/>
        </w:rPr>
      </w:pPr>
    </w:p>
    <w:p w14:paraId="0DBD5C7E">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4E0C900">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姓名____________职务_______身份证号码_________________ </w:t>
      </w:r>
    </w:p>
    <w:p w14:paraId="2079FCA9">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详细通讯地址________________________邮政编码__________________ </w:t>
      </w:r>
    </w:p>
    <w:p w14:paraId="127481BD">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电话__________________传真_____________________ </w:t>
      </w:r>
    </w:p>
    <w:p w14:paraId="3867AF66">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手机__________________电子邮箱_________________</w:t>
      </w:r>
    </w:p>
    <w:p w14:paraId="4486B200">
      <w:pPr>
        <w:autoSpaceDE/>
        <w:autoSpaceDN/>
        <w:adjustRightInd/>
        <w:spacing w:line="500" w:lineRule="exact"/>
        <w:jc w:val="both"/>
        <w:textAlignment w:val="auto"/>
        <w:rPr>
          <w:rFonts w:hint="eastAsia" w:ascii="宋体" w:hAnsi="宋体" w:eastAsia="宋体" w:cs="宋体"/>
          <w:color w:val="auto"/>
          <w:sz w:val="24"/>
          <w:szCs w:val="24"/>
          <w:highlight w:val="none"/>
        </w:rPr>
      </w:pPr>
    </w:p>
    <w:p w14:paraId="0EB864A0">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法定代表人（或单位负责人）身份证（正反面）复印件粘贴处：</w:t>
      </w:r>
    </w:p>
    <w:p w14:paraId="7C8B5562">
      <w:pPr>
        <w:autoSpaceDE/>
        <w:autoSpaceDN/>
        <w:adjustRightInd/>
        <w:spacing w:line="500" w:lineRule="exact"/>
        <w:jc w:val="both"/>
        <w:textAlignment w:val="auto"/>
        <w:rPr>
          <w:rFonts w:hint="eastAsia" w:ascii="宋体" w:hAnsi="宋体" w:eastAsia="宋体" w:cs="宋体"/>
          <w:color w:val="auto"/>
          <w:sz w:val="24"/>
          <w:szCs w:val="24"/>
          <w:highlight w:val="none"/>
        </w:rPr>
      </w:pPr>
    </w:p>
    <w:p w14:paraId="23CDDDEA">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授权代表身份证（正反面）复印件粘贴处：</w:t>
      </w:r>
    </w:p>
    <w:p w14:paraId="3ADCC789">
      <w:pPr>
        <w:autoSpaceDE/>
        <w:autoSpaceDN/>
        <w:adjustRightInd/>
        <w:spacing w:line="500" w:lineRule="exact"/>
        <w:jc w:val="both"/>
        <w:textAlignment w:val="auto"/>
        <w:rPr>
          <w:rFonts w:hint="eastAsia" w:ascii="宋体" w:hAnsi="宋体" w:eastAsia="宋体" w:cs="宋体"/>
          <w:b/>
          <w:bCs/>
          <w:color w:val="auto"/>
          <w:sz w:val="24"/>
          <w:szCs w:val="24"/>
          <w:highlight w:val="none"/>
        </w:rPr>
      </w:pPr>
    </w:p>
    <w:p w14:paraId="76384060">
      <w:pPr>
        <w:autoSpaceDE/>
        <w:autoSpaceDN/>
        <w:adjustRightInd/>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（公章）：     </w:t>
      </w:r>
    </w:p>
    <w:p w14:paraId="05DCD63E">
      <w:pPr>
        <w:autoSpaceDE/>
        <w:autoSpaceDN/>
        <w:adjustRightInd/>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法定代表人（或单位负责人）签字（或盖章）： </w:t>
      </w:r>
    </w:p>
    <w:p w14:paraId="051DF585">
      <w:pPr>
        <w:autoSpaceDE/>
        <w:autoSpaceDN/>
        <w:adjustRightInd/>
        <w:spacing w:line="500" w:lineRule="exact"/>
        <w:ind w:firstLine="3840" w:firstLineChars="16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被授权人（全权代表）签字（或盖章）：</w:t>
      </w:r>
    </w:p>
    <w:p w14:paraId="58B4DFFC">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日期：____年____月____日</w:t>
      </w:r>
    </w:p>
    <w:p w14:paraId="412B5F0F">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p>
    <w:p w14:paraId="5343F489">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p>
    <w:p w14:paraId="5C10D701">
      <w:pPr>
        <w:pStyle w:val="2"/>
        <w:ind w:left="680"/>
        <w:rPr>
          <w:rFonts w:hint="eastAsia" w:ascii="宋体" w:hAnsi="宋体" w:eastAsia="宋体" w:cs="宋体"/>
          <w:color w:val="auto"/>
          <w:sz w:val="24"/>
          <w:szCs w:val="24"/>
          <w:highlight w:val="none"/>
        </w:rPr>
      </w:pPr>
    </w:p>
    <w:p w14:paraId="6EB74901">
      <w:pPr>
        <w:rPr>
          <w:rFonts w:hint="eastAsia" w:ascii="宋体" w:hAnsi="宋体" w:eastAsia="宋体" w:cs="宋体"/>
          <w:color w:val="auto"/>
          <w:highlight w:val="none"/>
        </w:rPr>
      </w:pPr>
    </w:p>
    <w:p w14:paraId="437BC7EB">
      <w:pPr>
        <w:pStyle w:val="2"/>
        <w:ind w:left="680"/>
        <w:rPr>
          <w:rFonts w:hint="eastAsia" w:ascii="宋体" w:hAnsi="宋体" w:eastAsia="宋体" w:cs="宋体"/>
          <w:color w:val="auto"/>
          <w:highlight w:val="none"/>
        </w:rPr>
      </w:pPr>
    </w:p>
    <w:p w14:paraId="6A20D00A">
      <w:pPr>
        <w:rPr>
          <w:rFonts w:hint="eastAsia" w:ascii="宋体" w:hAnsi="宋体" w:eastAsia="宋体" w:cs="宋体"/>
          <w:color w:val="auto"/>
          <w:highlight w:val="none"/>
        </w:rPr>
      </w:pPr>
    </w:p>
    <w:p w14:paraId="2A17C025">
      <w:pPr>
        <w:pStyle w:val="62"/>
        <w:rPr>
          <w:rFonts w:hint="eastAsia" w:ascii="宋体" w:hAnsi="宋体" w:eastAsia="宋体" w:cs="宋体"/>
          <w:color w:val="auto"/>
          <w:highlight w:val="none"/>
        </w:rPr>
      </w:pPr>
    </w:p>
    <w:p w14:paraId="51494E4F">
      <w:pPr>
        <w:snapToGrid w:val="0"/>
        <w:spacing w:line="360" w:lineRule="auto"/>
        <w:ind w:right="480"/>
        <w:jc w:val="center"/>
        <w:rPr>
          <w:rFonts w:hint="eastAsia" w:ascii="宋体" w:hAnsi="宋体" w:eastAsia="宋体" w:cs="宋体"/>
          <w:b/>
          <w:color w:val="auto"/>
          <w:sz w:val="24"/>
          <w:szCs w:val="22"/>
          <w:highlight w:val="none"/>
        </w:rPr>
      </w:pPr>
    </w:p>
    <w:p w14:paraId="7634A82F">
      <w:pPr>
        <w:snapToGrid w:val="0"/>
        <w:spacing w:line="360" w:lineRule="auto"/>
        <w:ind w:right="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2"/>
          <w:highlight w:val="none"/>
        </w:rPr>
        <w:t>3.符合参加政府采购活动应当具备的一般条件的承诺函</w:t>
      </w:r>
    </w:p>
    <w:p w14:paraId="2E40F605">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）、（采购代理机构）：</w:t>
      </w:r>
    </w:p>
    <w:p w14:paraId="12B1489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我方参与（项目名称）【招标编号：（采购编号）】政府采购活动，郑重承诺：</w:t>
      </w:r>
    </w:p>
    <w:p w14:paraId="77F5092A">
      <w:pPr>
        <w:snapToGrid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59E62EE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77B7561">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A0611D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8E2572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91EAB6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AA887D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7A2D2DA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81FBD0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7CA1D25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341B372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6E2A28F3">
      <w:pPr>
        <w:snapToGrid w:val="0"/>
        <w:spacing w:line="50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zh-CN"/>
        </w:rPr>
        <w:t>：</w:t>
      </w:r>
    </w:p>
    <w:p w14:paraId="2C81D3CF">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4D018E0D">
      <w:pPr>
        <w:ind w:firstLine="630" w:firstLineChars="300"/>
        <w:rPr>
          <w:rFonts w:hint="eastAsia" w:ascii="宋体" w:hAnsi="宋体" w:eastAsia="宋体" w:cs="宋体"/>
          <w:color w:val="auto"/>
          <w:sz w:val="21"/>
          <w:szCs w:val="21"/>
          <w:highlight w:val="none"/>
        </w:rPr>
      </w:pPr>
    </w:p>
    <w:p w14:paraId="512ED303">
      <w:pPr>
        <w:pStyle w:val="2"/>
        <w:ind w:left="680"/>
        <w:rPr>
          <w:rFonts w:hint="eastAsia" w:ascii="宋体" w:hAnsi="宋体" w:eastAsia="宋体" w:cs="宋体"/>
          <w:color w:val="auto"/>
          <w:highlight w:val="none"/>
        </w:rPr>
      </w:pPr>
    </w:p>
    <w:p w14:paraId="25B616A0">
      <w:pPr>
        <w:snapToGrid w:val="0"/>
        <w:spacing w:before="50" w:after="50"/>
        <w:ind w:right="-1323" w:rightChars="-389"/>
        <w:rPr>
          <w:rFonts w:hint="eastAsia" w:ascii="宋体" w:hAnsi="宋体" w:eastAsia="宋体" w:cs="宋体"/>
          <w:color w:val="auto"/>
          <w:sz w:val="21"/>
          <w:szCs w:val="21"/>
          <w:highlight w:val="none"/>
        </w:rPr>
      </w:pPr>
    </w:p>
    <w:p w14:paraId="1CB907E3">
      <w:pPr>
        <w:pStyle w:val="2"/>
        <w:ind w:left="680"/>
        <w:rPr>
          <w:rFonts w:hint="eastAsia" w:ascii="宋体" w:hAnsi="宋体" w:eastAsia="宋体" w:cs="宋体"/>
          <w:color w:val="auto"/>
          <w:highlight w:val="none"/>
        </w:rPr>
      </w:pPr>
    </w:p>
    <w:p w14:paraId="428AF987">
      <w:pPr>
        <w:pStyle w:val="62"/>
        <w:rPr>
          <w:rFonts w:hint="eastAsia" w:ascii="宋体" w:hAnsi="宋体" w:eastAsia="宋体" w:cs="宋体"/>
          <w:color w:val="auto"/>
          <w:highlight w:val="none"/>
        </w:rPr>
      </w:pPr>
    </w:p>
    <w:p w14:paraId="0936B0CF">
      <w:pPr>
        <w:rPr>
          <w:rFonts w:hint="eastAsia" w:ascii="宋体" w:hAnsi="宋体" w:eastAsia="宋体" w:cs="宋体"/>
          <w:color w:val="auto"/>
          <w:highlight w:val="none"/>
        </w:rPr>
      </w:pPr>
    </w:p>
    <w:p w14:paraId="2C878819">
      <w:pPr>
        <w:pStyle w:val="19"/>
        <w:rPr>
          <w:rFonts w:hint="eastAsia" w:ascii="宋体" w:hAnsi="宋体" w:eastAsia="宋体" w:cs="宋体"/>
          <w:color w:val="auto"/>
          <w:highlight w:val="none"/>
        </w:rPr>
      </w:pPr>
    </w:p>
    <w:p w14:paraId="61D76C1C">
      <w:pPr>
        <w:pStyle w:val="20"/>
        <w:ind w:firstLine="280"/>
        <w:rPr>
          <w:rFonts w:hint="eastAsia" w:ascii="宋体" w:hAnsi="宋体" w:eastAsia="宋体" w:cs="宋体"/>
          <w:color w:val="auto"/>
          <w:highlight w:val="none"/>
        </w:rPr>
      </w:pPr>
    </w:p>
    <w:p w14:paraId="4899BE94">
      <w:pPr>
        <w:snapToGrid w:val="0"/>
        <w:spacing w:line="500" w:lineRule="exact"/>
        <w:ind w:right="48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4.落实政府采购政策需满足的资格要求</w:t>
      </w:r>
    </w:p>
    <w:p w14:paraId="38D2AD31">
      <w:pPr>
        <w:spacing w:line="500" w:lineRule="exact"/>
        <w:rPr>
          <w:rFonts w:hint="eastAsia" w:ascii="宋体" w:hAnsi="宋体" w:eastAsia="宋体" w:cs="宋体"/>
          <w:b/>
          <w:color w:val="auto"/>
          <w:sz w:val="24"/>
          <w:highlight w:val="none"/>
        </w:rPr>
      </w:pPr>
      <w:r>
        <w:rPr>
          <w:rFonts w:hint="eastAsia" w:ascii="宋体" w:hAnsi="宋体" w:eastAsia="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ascii="宋体" w:hAnsi="宋体" w:eastAsia="宋体" w:cs="宋体"/>
          <w:color w:val="auto"/>
          <w:sz w:val="21"/>
          <w:szCs w:val="21"/>
          <w:highlight w:val="none"/>
        </w:rPr>
        <w:t>。</w:t>
      </w:r>
    </w:p>
    <w:p w14:paraId="2565517A">
      <w:pPr>
        <w:spacing w:line="500" w:lineRule="exact"/>
        <w:jc w:val="center"/>
        <w:outlineLvl w:val="4"/>
        <w:rPr>
          <w:rFonts w:hint="eastAsia" w:hAnsi="宋体" w:cs="宋体"/>
          <w:sz w:val="24"/>
          <w:szCs w:val="24"/>
          <w:lang w:bidi="ar"/>
        </w:rPr>
      </w:pPr>
      <w:r>
        <w:rPr>
          <w:rFonts w:hint="eastAsia" w:hAnsi="宋体" w:cs="宋体"/>
          <w:sz w:val="21"/>
          <w:szCs w:val="21"/>
        </w:rPr>
        <w:t xml:space="preserve"> </w:t>
      </w:r>
      <w:r>
        <w:rPr>
          <w:rFonts w:hint="eastAsia" w:hAnsi="宋体" w:cs="宋体"/>
          <w:sz w:val="24"/>
          <w:szCs w:val="24"/>
          <w:lang w:bidi="ar"/>
        </w:rPr>
        <w:t>（1）中小企业声明函（</w:t>
      </w:r>
      <w:r>
        <w:rPr>
          <w:rFonts w:hint="eastAsia" w:hAnsi="宋体" w:cs="宋体"/>
          <w:sz w:val="21"/>
          <w:szCs w:val="21"/>
        </w:rPr>
        <w:t>工程、服务</w:t>
      </w:r>
      <w:r>
        <w:rPr>
          <w:rFonts w:hint="eastAsia" w:hAnsi="宋体" w:cs="宋体"/>
          <w:sz w:val="24"/>
          <w:szCs w:val="24"/>
          <w:lang w:bidi="ar"/>
        </w:rPr>
        <w:t>）</w:t>
      </w:r>
    </w:p>
    <w:p w14:paraId="1357F639">
      <w:pPr>
        <w:pStyle w:val="2"/>
        <w:spacing w:after="0" w:line="500" w:lineRule="exact"/>
        <w:ind w:left="0" w:leftChars="0" w:firstLineChars="200"/>
        <w:rPr>
          <w:rFonts w:hint="eastAsia" w:hAnsi="宋体" w:cs="宋体"/>
          <w:sz w:val="21"/>
          <w:szCs w:val="21"/>
        </w:rPr>
      </w:pPr>
      <w:r>
        <w:rPr>
          <w:rFonts w:hint="eastAsia" w:hAnsi="宋体" w:cs="宋体"/>
          <w:sz w:val="21"/>
          <w:szCs w:val="21"/>
        </w:rPr>
        <w:t>本公司（联合体）郑重声明，根据《政府采购促进中小企业发展管理办法》（财库﹝2020﹞46 号）的规定，本公司（联合体）参加</w:t>
      </w:r>
      <w:r>
        <w:rPr>
          <w:rFonts w:hint="eastAsia" w:hAnsi="宋体" w:cs="宋体"/>
          <w:sz w:val="21"/>
          <w:szCs w:val="21"/>
          <w:u w:val="single"/>
        </w:rPr>
        <w:t xml:space="preserve">             （采购单位）</w:t>
      </w:r>
      <w:r>
        <w:rPr>
          <w:rFonts w:hint="eastAsia" w:hAnsi="宋体" w:cs="宋体"/>
          <w:sz w:val="21"/>
          <w:szCs w:val="21"/>
        </w:rPr>
        <w:t>的</w:t>
      </w:r>
      <w:r>
        <w:rPr>
          <w:rFonts w:hint="eastAsia" w:hAnsi="宋体" w:cs="宋体"/>
          <w:sz w:val="21"/>
          <w:szCs w:val="21"/>
          <w:u w:val="single"/>
        </w:rPr>
        <w:t xml:space="preserve">             项目</w:t>
      </w:r>
      <w:r>
        <w:rPr>
          <w:rFonts w:hint="eastAsia" w:hAnsi="宋体" w:cs="宋体"/>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tbl>
      <w:tblPr>
        <w:tblStyle w:val="46"/>
        <w:tblW w:w="0" w:type="auto"/>
        <w:jc w:val="center"/>
        <w:tblLayout w:type="fixed"/>
        <w:tblCellMar>
          <w:top w:w="0" w:type="dxa"/>
          <w:left w:w="108" w:type="dxa"/>
          <w:bottom w:w="0" w:type="dxa"/>
          <w:right w:w="108" w:type="dxa"/>
        </w:tblCellMar>
      </w:tblPr>
      <w:tblGrid>
        <w:gridCol w:w="620"/>
        <w:gridCol w:w="1411"/>
        <w:gridCol w:w="1411"/>
        <w:gridCol w:w="1147"/>
        <w:gridCol w:w="1091"/>
        <w:gridCol w:w="1103"/>
        <w:gridCol w:w="1093"/>
        <w:gridCol w:w="1966"/>
      </w:tblGrid>
      <w:tr w14:paraId="758C04F9">
        <w:tblPrEx>
          <w:tblCellMar>
            <w:top w:w="0" w:type="dxa"/>
            <w:left w:w="108" w:type="dxa"/>
            <w:bottom w:w="0" w:type="dxa"/>
            <w:right w:w="108" w:type="dxa"/>
          </w:tblCellMar>
        </w:tblPrEx>
        <w:trPr>
          <w:trHeight w:val="1360"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1B21F8F0">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r>
              <w:rPr>
                <w:rFonts w:hint="eastAsia" w:hAnsi="宋体" w:cs="宋体"/>
                <w:sz w:val="20"/>
                <w:szCs w:val="20"/>
                <w:lang w:bidi="ar"/>
              </w:rPr>
              <w:t>序号</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D173EB3">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r>
              <w:rPr>
                <w:rFonts w:hint="eastAsia" w:hAnsi="宋体" w:cs="宋体"/>
                <w:sz w:val="20"/>
                <w:szCs w:val="20"/>
                <w:lang w:bidi="ar"/>
              </w:rPr>
              <w:t>标的名称</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6B1EF9D">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r>
              <w:rPr>
                <w:rFonts w:hint="eastAsia" w:hAnsi="宋体" w:cs="宋体"/>
                <w:sz w:val="20"/>
                <w:szCs w:val="20"/>
                <w:lang w:bidi="ar"/>
              </w:rPr>
              <w:t>采购文件中明确的所属行业</w:t>
            </w:r>
          </w:p>
        </w:tc>
        <w:tc>
          <w:tcPr>
            <w:tcW w:w="582" w:type="pct"/>
            <w:tcBorders>
              <w:top w:val="single" w:color="000000" w:sz="4" w:space="0"/>
              <w:left w:val="single" w:color="000000" w:sz="4" w:space="0"/>
              <w:bottom w:val="single" w:color="000000" w:sz="4" w:space="0"/>
              <w:right w:val="single" w:color="auto" w:sz="4" w:space="0"/>
            </w:tcBorders>
            <w:noWrap w:val="0"/>
            <w:vAlign w:val="center"/>
          </w:tcPr>
          <w:p w14:paraId="50B322DC">
            <w:pPr>
              <w:keepNext w:val="0"/>
              <w:keepLines w:val="0"/>
              <w:widowControl/>
              <w:suppressLineNumbers w:val="0"/>
              <w:snapToGrid w:val="0"/>
              <w:spacing w:before="0" w:beforeAutospacing="0" w:after="0" w:afterAutospacing="0"/>
              <w:ind w:left="0" w:right="0"/>
              <w:jc w:val="center"/>
              <w:textAlignment w:val="center"/>
              <w:rPr>
                <w:rFonts w:hint="default" w:hAnsi="宋体" w:cs="宋体"/>
                <w:sz w:val="20"/>
                <w:szCs w:val="20"/>
              </w:rPr>
            </w:pPr>
            <w:r>
              <w:rPr>
                <w:rFonts w:hint="eastAsia" w:hAnsi="宋体" w:cs="宋体"/>
                <w:sz w:val="21"/>
                <w:szCs w:val="21"/>
              </w:rPr>
              <w:t>承建（承接）企业为</w:t>
            </w:r>
          </w:p>
        </w:tc>
        <w:tc>
          <w:tcPr>
            <w:tcW w:w="554" w:type="pct"/>
            <w:tcBorders>
              <w:top w:val="single" w:color="000000" w:sz="4" w:space="0"/>
              <w:left w:val="single" w:color="auto" w:sz="4" w:space="0"/>
              <w:right w:val="single" w:color="auto" w:sz="4" w:space="0"/>
            </w:tcBorders>
            <w:noWrap w:val="0"/>
            <w:vAlign w:val="center"/>
          </w:tcPr>
          <w:p w14:paraId="63F4932D">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lang w:bidi="ar"/>
              </w:rPr>
            </w:pPr>
            <w:r>
              <w:rPr>
                <w:rFonts w:hint="eastAsia" w:hAnsi="宋体" w:cs="宋体"/>
                <w:sz w:val="20"/>
                <w:szCs w:val="20"/>
                <w:lang w:bidi="ar"/>
              </w:rPr>
              <w:t>从业人员</w:t>
            </w:r>
          </w:p>
          <w:p w14:paraId="40AC0117">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rPr>
            </w:pPr>
            <w:r>
              <w:rPr>
                <w:rFonts w:hint="eastAsia" w:hAnsi="宋体" w:cs="宋体"/>
                <w:sz w:val="20"/>
                <w:szCs w:val="20"/>
                <w:lang w:bidi="ar"/>
              </w:rPr>
              <w:t>（人）</w:t>
            </w:r>
          </w:p>
        </w:tc>
        <w:tc>
          <w:tcPr>
            <w:tcW w:w="560" w:type="pct"/>
            <w:tcBorders>
              <w:top w:val="single" w:color="000000" w:sz="4" w:space="0"/>
              <w:left w:val="single" w:color="auto" w:sz="4" w:space="0"/>
              <w:right w:val="single" w:color="auto" w:sz="4" w:space="0"/>
            </w:tcBorders>
            <w:noWrap w:val="0"/>
            <w:vAlign w:val="center"/>
          </w:tcPr>
          <w:p w14:paraId="21905CA3">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lang w:bidi="ar"/>
              </w:rPr>
            </w:pPr>
            <w:r>
              <w:rPr>
                <w:rFonts w:hint="eastAsia" w:hAnsi="宋体" w:cs="宋体"/>
                <w:sz w:val="20"/>
                <w:szCs w:val="20"/>
                <w:lang w:bidi="ar"/>
              </w:rPr>
              <w:t>营业收入</w:t>
            </w:r>
          </w:p>
          <w:p w14:paraId="1919403D">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rPr>
            </w:pPr>
            <w:r>
              <w:rPr>
                <w:rFonts w:hint="eastAsia" w:hAnsi="宋体" w:cs="宋体"/>
                <w:sz w:val="20"/>
                <w:szCs w:val="20"/>
                <w:lang w:bidi="ar"/>
              </w:rPr>
              <w:t>（万元）</w:t>
            </w:r>
          </w:p>
        </w:tc>
        <w:tc>
          <w:tcPr>
            <w:tcW w:w="555" w:type="pct"/>
            <w:tcBorders>
              <w:top w:val="single" w:color="000000" w:sz="4" w:space="0"/>
              <w:left w:val="single" w:color="auto" w:sz="4" w:space="0"/>
              <w:right w:val="single" w:color="auto" w:sz="4" w:space="0"/>
            </w:tcBorders>
            <w:noWrap w:val="0"/>
            <w:vAlign w:val="center"/>
          </w:tcPr>
          <w:p w14:paraId="08DCF6CF">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lang w:bidi="ar"/>
              </w:rPr>
            </w:pPr>
            <w:r>
              <w:rPr>
                <w:rFonts w:hint="eastAsia" w:hAnsi="宋体" w:cs="宋体"/>
                <w:sz w:val="20"/>
                <w:szCs w:val="20"/>
                <w:lang w:bidi="ar"/>
              </w:rPr>
              <w:t>资产总额</w:t>
            </w:r>
          </w:p>
          <w:p w14:paraId="19E33539">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rPr>
            </w:pPr>
            <w:r>
              <w:rPr>
                <w:rFonts w:hint="eastAsia" w:hAnsi="宋体" w:cs="宋体"/>
                <w:sz w:val="20"/>
                <w:szCs w:val="20"/>
                <w:lang w:bidi="ar"/>
              </w:rPr>
              <w:t>（万元）</w:t>
            </w:r>
          </w:p>
        </w:tc>
        <w:tc>
          <w:tcPr>
            <w:tcW w:w="998" w:type="pct"/>
            <w:tcBorders>
              <w:top w:val="single" w:color="000000" w:sz="4" w:space="0"/>
              <w:left w:val="single" w:color="auto" w:sz="4" w:space="0"/>
              <w:right w:val="single" w:color="000000" w:sz="4" w:space="0"/>
            </w:tcBorders>
            <w:noWrap w:val="0"/>
            <w:vAlign w:val="center"/>
          </w:tcPr>
          <w:p w14:paraId="56936AA6">
            <w:pPr>
              <w:keepNext w:val="0"/>
              <w:keepLines w:val="0"/>
              <w:widowControl/>
              <w:suppressLineNumbers w:val="0"/>
              <w:snapToGrid w:val="0"/>
              <w:spacing w:before="0" w:beforeAutospacing="0" w:after="0" w:afterAutospacing="0"/>
              <w:ind w:left="0" w:right="0"/>
              <w:jc w:val="center"/>
              <w:textAlignment w:val="center"/>
              <w:rPr>
                <w:rFonts w:hint="eastAsia" w:hAnsi="宋体" w:cs="宋体"/>
                <w:sz w:val="20"/>
                <w:szCs w:val="20"/>
              </w:rPr>
            </w:pPr>
            <w:r>
              <w:rPr>
                <w:rFonts w:hint="eastAsia" w:hAnsi="宋体" w:cs="宋体"/>
                <w:sz w:val="20"/>
                <w:szCs w:val="20"/>
                <w:lang w:bidi="ar"/>
              </w:rPr>
              <w:t>所属企业类型（填写：中型企业（或）小型企业（或）微型企业）</w:t>
            </w:r>
          </w:p>
        </w:tc>
      </w:tr>
      <w:tr w14:paraId="0CC5B2BF">
        <w:tblPrEx>
          <w:tblCellMar>
            <w:top w:w="0" w:type="dxa"/>
            <w:left w:w="108" w:type="dxa"/>
            <w:bottom w:w="0" w:type="dxa"/>
            <w:right w:w="108" w:type="dxa"/>
          </w:tblCellMar>
        </w:tblPrEx>
        <w:trPr>
          <w:trHeight w:val="624"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0CD3EB4D">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r>
              <w:rPr>
                <w:rFonts w:hint="eastAsia" w:hAnsi="宋体" w:cs="宋体"/>
                <w:sz w:val="20"/>
                <w:szCs w:val="20"/>
                <w:lang w:bidi="ar"/>
              </w:rPr>
              <w:t>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300088F0">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D9B8C13">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p>
        </w:tc>
        <w:tc>
          <w:tcPr>
            <w:tcW w:w="582" w:type="pct"/>
            <w:tcBorders>
              <w:top w:val="single" w:color="000000" w:sz="4" w:space="0"/>
              <w:left w:val="single" w:color="000000" w:sz="4" w:space="0"/>
              <w:bottom w:val="single" w:color="000000" w:sz="4" w:space="0"/>
              <w:right w:val="single" w:color="000000" w:sz="4" w:space="0"/>
            </w:tcBorders>
            <w:noWrap w:val="0"/>
            <w:vAlign w:val="center"/>
          </w:tcPr>
          <w:p w14:paraId="16171D4C">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73EF497">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264B1D81">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082FA5B">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14:paraId="3E524D98">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r>
      <w:tr w14:paraId="2D533844">
        <w:tblPrEx>
          <w:tblCellMar>
            <w:top w:w="0" w:type="dxa"/>
            <w:left w:w="108" w:type="dxa"/>
            <w:bottom w:w="0" w:type="dxa"/>
            <w:right w:w="108" w:type="dxa"/>
          </w:tblCellMar>
        </w:tblPrEx>
        <w:trPr>
          <w:trHeight w:val="646"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40A217">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r>
              <w:rPr>
                <w:rFonts w:hint="eastAsia" w:hAnsi="宋体" w:cs="宋体"/>
                <w:sz w:val="20"/>
                <w:szCs w:val="20"/>
              </w:rPr>
              <w:t>2</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4A93C90">
            <w:pPr>
              <w:keepNext w:val="0"/>
              <w:keepLines w:val="0"/>
              <w:widowControl/>
              <w:suppressLineNumbers w:val="0"/>
              <w:snapToGrid w:val="0"/>
              <w:spacing w:before="0" w:beforeAutospacing="0" w:after="0" w:afterAutospacing="0" w:line="460" w:lineRule="exact"/>
              <w:ind w:left="0" w:right="0"/>
              <w:jc w:val="center"/>
              <w:textAlignment w:val="center"/>
              <w:rPr>
                <w:rFonts w:hint="eastAsia" w:hAnsi="宋体" w:cs="宋体"/>
                <w:sz w:val="20"/>
                <w:szCs w:val="20"/>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A8AA7">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82" w:type="pct"/>
            <w:tcBorders>
              <w:top w:val="single" w:color="000000" w:sz="4" w:space="0"/>
              <w:left w:val="single" w:color="000000" w:sz="4" w:space="0"/>
              <w:bottom w:val="single" w:color="000000" w:sz="4" w:space="0"/>
              <w:right w:val="single" w:color="000000" w:sz="4" w:space="0"/>
            </w:tcBorders>
            <w:noWrap w:val="0"/>
            <w:vAlign w:val="center"/>
          </w:tcPr>
          <w:p w14:paraId="6384709E">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1BB6DBC">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18B18B8">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EFA0B47">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14:paraId="1B1802BC">
            <w:pPr>
              <w:keepNext w:val="0"/>
              <w:keepLines w:val="0"/>
              <w:suppressLineNumbers w:val="0"/>
              <w:snapToGrid w:val="0"/>
              <w:spacing w:before="0" w:beforeAutospacing="0" w:after="0" w:afterAutospacing="0" w:line="460" w:lineRule="exact"/>
              <w:ind w:left="0" w:right="0"/>
              <w:rPr>
                <w:rFonts w:hint="eastAsia" w:hAnsi="宋体" w:cs="宋体"/>
                <w:sz w:val="20"/>
                <w:szCs w:val="20"/>
              </w:rPr>
            </w:pPr>
          </w:p>
        </w:tc>
      </w:tr>
    </w:tbl>
    <w:p w14:paraId="0E3DE308">
      <w:pPr>
        <w:pStyle w:val="2"/>
        <w:spacing w:after="0" w:line="500" w:lineRule="exact"/>
        <w:ind w:left="0" w:leftChars="0"/>
        <w:rPr>
          <w:rFonts w:hint="eastAsia" w:hAnsi="宋体" w:cs="宋体"/>
          <w:sz w:val="21"/>
          <w:szCs w:val="21"/>
        </w:rPr>
      </w:pPr>
      <w:r>
        <w:rPr>
          <w:rFonts w:hint="eastAsia" w:hAnsi="宋体" w:cs="宋体"/>
          <w:sz w:val="21"/>
          <w:szCs w:val="21"/>
        </w:rPr>
        <w:t xml:space="preserve">以上企业，不属于大企业的分支机构，不存在控股股东为大企业的情形，也不存在与大企业的负责人为同一人的情形。 </w:t>
      </w:r>
    </w:p>
    <w:p w14:paraId="102ACD05">
      <w:pPr>
        <w:pStyle w:val="2"/>
        <w:spacing w:after="0" w:line="500" w:lineRule="exact"/>
        <w:ind w:left="0" w:leftChars="0"/>
        <w:rPr>
          <w:rFonts w:hint="eastAsia" w:hAnsi="宋体" w:cs="宋体"/>
          <w:sz w:val="21"/>
          <w:szCs w:val="21"/>
        </w:rPr>
      </w:pPr>
      <w:r>
        <w:rPr>
          <w:rFonts w:hint="eastAsia" w:hAnsi="宋体" w:cs="宋体"/>
          <w:sz w:val="21"/>
          <w:szCs w:val="21"/>
        </w:rPr>
        <w:t xml:space="preserve">本企业对上述声明内容的真实性负责。如有虚假，将依法承担相应责任。 </w:t>
      </w:r>
    </w:p>
    <w:p w14:paraId="74E4D093">
      <w:pPr>
        <w:pStyle w:val="2"/>
        <w:spacing w:line="500" w:lineRule="exact"/>
        <w:ind w:left="0" w:leftChars="0"/>
        <w:rPr>
          <w:rFonts w:hint="eastAsia" w:hAnsi="宋体" w:cs="宋体"/>
          <w:sz w:val="21"/>
          <w:szCs w:val="21"/>
        </w:rPr>
      </w:pPr>
    </w:p>
    <w:p w14:paraId="76839C6A">
      <w:pPr>
        <w:pStyle w:val="2"/>
        <w:spacing w:line="500" w:lineRule="exact"/>
        <w:ind w:left="0" w:leftChars="0"/>
        <w:rPr>
          <w:rFonts w:hint="eastAsia" w:hAnsi="宋体" w:cs="宋体"/>
          <w:sz w:val="21"/>
          <w:szCs w:val="21"/>
        </w:rPr>
      </w:pPr>
      <w:r>
        <w:rPr>
          <w:rFonts w:hint="eastAsia" w:hAnsi="宋体" w:cs="宋体"/>
          <w:sz w:val="21"/>
          <w:szCs w:val="21"/>
        </w:rPr>
        <w:t xml:space="preserve">企业名称（盖章）： </w:t>
      </w:r>
    </w:p>
    <w:p w14:paraId="6CEF43C3">
      <w:pPr>
        <w:pStyle w:val="2"/>
        <w:spacing w:line="500" w:lineRule="exact"/>
        <w:ind w:left="0" w:leftChars="0"/>
        <w:rPr>
          <w:rFonts w:hint="eastAsia" w:hAnsi="宋体" w:cs="宋体"/>
          <w:sz w:val="21"/>
          <w:szCs w:val="21"/>
        </w:rPr>
      </w:pPr>
      <w:r>
        <w:rPr>
          <w:rFonts w:hint="eastAsia" w:hAnsi="宋体" w:cs="宋体"/>
          <w:sz w:val="21"/>
          <w:szCs w:val="21"/>
        </w:rPr>
        <w:t xml:space="preserve">日 期： </w:t>
      </w:r>
    </w:p>
    <w:p w14:paraId="626753E3">
      <w:pPr>
        <w:snapToGrid w:val="0"/>
        <w:spacing w:line="460" w:lineRule="exact"/>
        <w:rPr>
          <w:rFonts w:hint="eastAsia" w:hAnsi="宋体" w:cs="宋体"/>
          <w:kern w:val="2"/>
          <w:sz w:val="21"/>
          <w:szCs w:val="21"/>
        </w:rPr>
      </w:pPr>
      <w:r>
        <w:rPr>
          <w:rFonts w:hint="eastAsia" w:hAnsi="宋体" w:cs="宋体"/>
          <w:b/>
          <w:kern w:val="2"/>
          <w:sz w:val="21"/>
          <w:szCs w:val="21"/>
        </w:rPr>
        <w:t>填报说明：</w:t>
      </w:r>
      <w:r>
        <w:rPr>
          <w:rFonts w:hint="eastAsia" w:hAnsi="宋体" w:cs="宋体"/>
          <w:kern w:val="2"/>
          <w:sz w:val="21"/>
          <w:szCs w:val="21"/>
        </w:rPr>
        <w:t>①本声明函中“从业人员”、“营业收入”、“资产总额”填报上一年度数据，无上一年度数据的新成立企业可不填报。</w:t>
      </w:r>
    </w:p>
    <w:p w14:paraId="3D000223">
      <w:pPr>
        <w:snapToGrid w:val="0"/>
        <w:spacing w:line="460" w:lineRule="exact"/>
        <w:ind w:firstLine="420" w:firstLineChars="200"/>
        <w:rPr>
          <w:rFonts w:hint="eastAsia" w:hAnsi="宋体" w:cs="宋体"/>
          <w:sz w:val="21"/>
          <w:szCs w:val="21"/>
        </w:rPr>
      </w:pPr>
      <w:r>
        <w:rPr>
          <w:rFonts w:hint="eastAsia" w:hAnsi="宋体" w:cs="宋体"/>
          <w:kern w:val="2"/>
          <w:sz w:val="21"/>
          <w:szCs w:val="21"/>
        </w:rPr>
        <w:t>②本项目采购标的对应的中小企业划分标准所属行业为《中小企业划型标准规定》（工信部联企业〔2011〕300号）中的“</w:t>
      </w:r>
      <w:r>
        <w:rPr>
          <w:rFonts w:hint="eastAsia" w:hAnsi="宋体" w:cs="宋体"/>
          <w:sz w:val="21"/>
          <w:szCs w:val="21"/>
          <w:u w:val="single"/>
        </w:rPr>
        <w:t>其他未列明行业---科学研究和技术服务业</w:t>
      </w:r>
      <w:r>
        <w:rPr>
          <w:rFonts w:hint="eastAsia" w:hAnsi="宋体" w:cs="宋体"/>
          <w:kern w:val="2"/>
          <w:sz w:val="21"/>
          <w:szCs w:val="21"/>
        </w:rPr>
        <w:t>”</w:t>
      </w:r>
      <w:r>
        <w:rPr>
          <w:rFonts w:hint="eastAsia" w:hAnsi="宋体" w:cs="宋体"/>
          <w:sz w:val="21"/>
          <w:szCs w:val="21"/>
        </w:rPr>
        <w:t>，划型标准对应表如下：</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87"/>
        <w:gridCol w:w="1900"/>
        <w:gridCol w:w="1925"/>
        <w:gridCol w:w="1761"/>
      </w:tblGrid>
      <w:tr w14:paraId="3AF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430B3EA7">
            <w:pPr>
              <w:keepNext w:val="0"/>
              <w:keepLines w:val="0"/>
              <w:suppressLineNumbers w:val="0"/>
              <w:spacing w:before="0" w:beforeAutospacing="0" w:after="0" w:afterAutospacing="0"/>
              <w:ind w:left="0" w:right="0"/>
              <w:jc w:val="center"/>
              <w:rPr>
                <w:rFonts w:hint="default" w:ascii="Times New Roman"/>
                <w:sz w:val="24"/>
                <w:szCs w:val="32"/>
              </w:rPr>
            </w:pPr>
            <w:r>
              <w:rPr>
                <w:rFonts w:hint="default" w:ascii="Times New Roman"/>
                <w:b/>
                <w:bCs/>
                <w:sz w:val="28"/>
                <w:szCs w:val="36"/>
              </w:rPr>
              <w:t>大、中、小、微企业划型标准对照表</w:t>
            </w:r>
          </w:p>
          <w:p w14:paraId="48C806B7">
            <w:pPr>
              <w:keepNext w:val="0"/>
              <w:keepLines w:val="0"/>
              <w:suppressLineNumbers w:val="0"/>
              <w:spacing w:before="0" w:beforeAutospacing="0" w:after="0" w:afterAutospacing="0"/>
              <w:ind w:left="0" w:right="0"/>
              <w:jc w:val="center"/>
              <w:rPr>
                <w:rFonts w:hint="default" w:ascii="Times New Roman"/>
                <w:sz w:val="22"/>
                <w:szCs w:val="28"/>
              </w:rPr>
            </w:pPr>
            <w:r>
              <w:rPr>
                <w:rFonts w:hint="default" w:ascii="Times New Roman"/>
                <w:sz w:val="24"/>
                <w:szCs w:val="32"/>
              </w:rPr>
              <w:t>所属行业：其他未列明行业</w:t>
            </w:r>
            <w:r>
              <w:rPr>
                <w:rFonts w:hint="eastAsia" w:hAnsi="宋体" w:cs="宋体"/>
                <w:color w:val="auto"/>
                <w:sz w:val="21"/>
                <w:szCs w:val="21"/>
                <w:highlight w:val="none"/>
                <w:lang w:eastAsia="zh-CN"/>
              </w:rPr>
              <w:t>—</w:t>
            </w:r>
            <w:r>
              <w:rPr>
                <w:rFonts w:hint="eastAsia" w:ascii="Times New Roman"/>
                <w:sz w:val="24"/>
                <w:szCs w:val="32"/>
                <w:lang w:eastAsia="zh-CN"/>
              </w:rPr>
              <w:t>—社会工作</w:t>
            </w:r>
          </w:p>
        </w:tc>
      </w:tr>
      <w:tr w14:paraId="0E0D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noWrap w:val="0"/>
            <w:vAlign w:val="center"/>
          </w:tcPr>
          <w:p w14:paraId="424DA6F1">
            <w:pPr>
              <w:keepNext w:val="0"/>
              <w:keepLines w:val="0"/>
              <w:suppressLineNumbers w:val="0"/>
              <w:spacing w:before="0" w:beforeAutospacing="0" w:after="0" w:afterAutospacing="0"/>
              <w:ind w:left="0" w:right="0"/>
              <w:jc w:val="center"/>
              <w:rPr>
                <w:rFonts w:hint="default" w:ascii="Times New Roman"/>
                <w:sz w:val="24"/>
                <w:szCs w:val="24"/>
              </w:rPr>
            </w:pPr>
            <w:r>
              <w:rPr>
                <w:rFonts w:hint="default" w:ascii="Times New Roman"/>
                <w:sz w:val="24"/>
                <w:szCs w:val="24"/>
              </w:rPr>
              <w:t>序号</w:t>
            </w:r>
          </w:p>
        </w:tc>
        <w:tc>
          <w:tcPr>
            <w:tcW w:w="1787" w:type="dxa"/>
            <w:noWrap w:val="0"/>
            <w:vAlign w:val="center"/>
          </w:tcPr>
          <w:p w14:paraId="59A16456">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lang w:bidi="ar"/>
              </w:rPr>
            </w:pPr>
            <w:r>
              <w:rPr>
                <w:rFonts w:hint="default" w:ascii="Times New Roman"/>
                <w:sz w:val="24"/>
                <w:szCs w:val="24"/>
                <w:lang w:bidi="ar"/>
              </w:rPr>
              <w:t>从业人员X</w:t>
            </w:r>
          </w:p>
          <w:p w14:paraId="166C2EC5">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rPr>
            </w:pPr>
            <w:r>
              <w:rPr>
                <w:rFonts w:hint="default" w:ascii="Times New Roman"/>
                <w:sz w:val="24"/>
                <w:szCs w:val="24"/>
                <w:lang w:bidi="ar"/>
              </w:rPr>
              <w:t>（人）</w:t>
            </w:r>
          </w:p>
        </w:tc>
        <w:tc>
          <w:tcPr>
            <w:tcW w:w="1900" w:type="dxa"/>
            <w:noWrap w:val="0"/>
            <w:vAlign w:val="center"/>
          </w:tcPr>
          <w:p w14:paraId="3BC6606E">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lang w:bidi="ar"/>
              </w:rPr>
            </w:pPr>
            <w:r>
              <w:rPr>
                <w:rFonts w:hint="default" w:ascii="Times New Roman"/>
                <w:sz w:val="24"/>
                <w:szCs w:val="24"/>
                <w:lang w:bidi="ar"/>
              </w:rPr>
              <w:t>营业收入Y</w:t>
            </w:r>
          </w:p>
          <w:p w14:paraId="3C631036">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rPr>
            </w:pPr>
            <w:r>
              <w:rPr>
                <w:rFonts w:hint="default" w:ascii="Times New Roman"/>
                <w:sz w:val="24"/>
                <w:szCs w:val="24"/>
                <w:lang w:bidi="ar"/>
              </w:rPr>
              <w:t>（万元）</w:t>
            </w:r>
          </w:p>
        </w:tc>
        <w:tc>
          <w:tcPr>
            <w:tcW w:w="1925" w:type="dxa"/>
            <w:noWrap w:val="0"/>
            <w:vAlign w:val="center"/>
          </w:tcPr>
          <w:p w14:paraId="19B38DDA">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lang w:bidi="ar"/>
              </w:rPr>
            </w:pPr>
            <w:r>
              <w:rPr>
                <w:rFonts w:hint="default" w:ascii="Times New Roman"/>
                <w:sz w:val="24"/>
                <w:szCs w:val="24"/>
                <w:lang w:bidi="ar"/>
              </w:rPr>
              <w:t>资产总额Z</w:t>
            </w:r>
          </w:p>
          <w:p w14:paraId="276095AC">
            <w:pPr>
              <w:keepNext w:val="0"/>
              <w:keepLines w:val="0"/>
              <w:widowControl/>
              <w:suppressLineNumbers w:val="0"/>
              <w:snapToGrid w:val="0"/>
              <w:spacing w:before="0" w:beforeAutospacing="0" w:after="0" w:afterAutospacing="0" w:line="460" w:lineRule="exact"/>
              <w:ind w:left="0" w:right="0"/>
              <w:jc w:val="center"/>
              <w:textAlignment w:val="center"/>
              <w:rPr>
                <w:rFonts w:hint="default" w:ascii="Times New Roman"/>
                <w:sz w:val="24"/>
                <w:szCs w:val="24"/>
              </w:rPr>
            </w:pPr>
            <w:r>
              <w:rPr>
                <w:rFonts w:hint="default" w:ascii="Times New Roman"/>
                <w:sz w:val="24"/>
                <w:szCs w:val="24"/>
                <w:lang w:bidi="ar"/>
              </w:rPr>
              <w:t>（万元）</w:t>
            </w:r>
          </w:p>
        </w:tc>
        <w:tc>
          <w:tcPr>
            <w:tcW w:w="1761" w:type="dxa"/>
            <w:noWrap w:val="0"/>
            <w:vAlign w:val="center"/>
          </w:tcPr>
          <w:p w14:paraId="1DAE3729">
            <w:pPr>
              <w:keepNext w:val="0"/>
              <w:keepLines w:val="0"/>
              <w:suppressLineNumbers w:val="0"/>
              <w:spacing w:before="0" w:beforeAutospacing="0" w:after="0" w:afterAutospacing="0"/>
              <w:ind w:left="0" w:right="0"/>
              <w:jc w:val="center"/>
              <w:rPr>
                <w:rFonts w:hint="default" w:ascii="Times New Roman"/>
                <w:sz w:val="24"/>
                <w:szCs w:val="24"/>
              </w:rPr>
            </w:pPr>
            <w:r>
              <w:rPr>
                <w:rFonts w:hint="default" w:ascii="Times New Roman"/>
                <w:sz w:val="24"/>
                <w:szCs w:val="24"/>
              </w:rPr>
              <w:t>对应企业类型</w:t>
            </w:r>
          </w:p>
        </w:tc>
      </w:tr>
      <w:tr w14:paraId="7295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noWrap w:val="0"/>
            <w:vAlign w:val="center"/>
          </w:tcPr>
          <w:p w14:paraId="6FEF3FD7">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1</w:t>
            </w:r>
          </w:p>
        </w:tc>
        <w:tc>
          <w:tcPr>
            <w:tcW w:w="1787" w:type="dxa"/>
            <w:noWrap w:val="0"/>
            <w:vAlign w:val="center"/>
          </w:tcPr>
          <w:p w14:paraId="324E4254">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eastAsia" w:ascii="Times New Roman"/>
                <w:color w:val="000000"/>
                <w:sz w:val="22"/>
                <w:szCs w:val="28"/>
              </w:rPr>
              <w:t xml:space="preserve">X </w:t>
            </w:r>
            <w:r>
              <w:rPr>
                <w:rFonts w:hint="default" w:ascii="Times New Roman"/>
                <w:color w:val="000000"/>
                <w:sz w:val="22"/>
                <w:szCs w:val="28"/>
              </w:rPr>
              <w:t>＜</w:t>
            </w:r>
            <w:r>
              <w:rPr>
                <w:rFonts w:hint="eastAsia" w:ascii="Times New Roman"/>
                <w:color w:val="000000"/>
                <w:sz w:val="22"/>
                <w:szCs w:val="28"/>
              </w:rPr>
              <w:t>1</w:t>
            </w:r>
            <w:r>
              <w:rPr>
                <w:rFonts w:hint="default" w:ascii="Times New Roman"/>
                <w:color w:val="000000"/>
                <w:sz w:val="22"/>
                <w:szCs w:val="28"/>
              </w:rPr>
              <w:t>0</w:t>
            </w:r>
          </w:p>
        </w:tc>
        <w:tc>
          <w:tcPr>
            <w:tcW w:w="1900" w:type="dxa"/>
            <w:noWrap w:val="0"/>
            <w:vAlign w:val="center"/>
          </w:tcPr>
          <w:p w14:paraId="5743841A">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925" w:type="dxa"/>
            <w:noWrap w:val="0"/>
            <w:vAlign w:val="center"/>
          </w:tcPr>
          <w:p w14:paraId="542A9BBD">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761" w:type="dxa"/>
            <w:noWrap w:val="0"/>
            <w:vAlign w:val="center"/>
          </w:tcPr>
          <w:p w14:paraId="38C73723">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微型</w:t>
            </w:r>
          </w:p>
        </w:tc>
      </w:tr>
      <w:tr w14:paraId="4240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noWrap w:val="0"/>
            <w:vAlign w:val="center"/>
          </w:tcPr>
          <w:p w14:paraId="4330978E">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2</w:t>
            </w:r>
          </w:p>
        </w:tc>
        <w:tc>
          <w:tcPr>
            <w:tcW w:w="1787" w:type="dxa"/>
            <w:noWrap w:val="0"/>
            <w:vAlign w:val="center"/>
          </w:tcPr>
          <w:p w14:paraId="6602EC0D">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eastAsia" w:ascii="Times New Roman"/>
                <w:color w:val="000000"/>
                <w:sz w:val="22"/>
                <w:szCs w:val="28"/>
              </w:rPr>
              <w:t>1</w:t>
            </w:r>
            <w:r>
              <w:rPr>
                <w:rFonts w:hint="default" w:ascii="Times New Roman"/>
                <w:color w:val="000000"/>
                <w:sz w:val="22"/>
                <w:szCs w:val="28"/>
              </w:rPr>
              <w:t>0≤</w:t>
            </w:r>
            <w:r>
              <w:rPr>
                <w:rFonts w:hint="eastAsia" w:ascii="Times New Roman"/>
                <w:color w:val="000000"/>
                <w:sz w:val="22"/>
                <w:szCs w:val="28"/>
              </w:rPr>
              <w:t xml:space="preserve"> X </w:t>
            </w:r>
            <w:r>
              <w:rPr>
                <w:rFonts w:hint="default" w:ascii="Times New Roman"/>
                <w:color w:val="000000"/>
                <w:sz w:val="22"/>
                <w:szCs w:val="28"/>
              </w:rPr>
              <w:t>＜</w:t>
            </w:r>
            <w:r>
              <w:rPr>
                <w:rFonts w:hint="eastAsia" w:ascii="Times New Roman"/>
                <w:color w:val="000000"/>
                <w:sz w:val="22"/>
                <w:szCs w:val="28"/>
              </w:rPr>
              <w:t>1</w:t>
            </w:r>
            <w:r>
              <w:rPr>
                <w:rFonts w:hint="default" w:ascii="Times New Roman"/>
                <w:color w:val="000000"/>
                <w:sz w:val="22"/>
                <w:szCs w:val="28"/>
              </w:rPr>
              <w:t>00</w:t>
            </w:r>
          </w:p>
        </w:tc>
        <w:tc>
          <w:tcPr>
            <w:tcW w:w="1900" w:type="dxa"/>
            <w:noWrap w:val="0"/>
            <w:vAlign w:val="center"/>
          </w:tcPr>
          <w:p w14:paraId="52BC4D41">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925" w:type="dxa"/>
            <w:noWrap w:val="0"/>
            <w:vAlign w:val="center"/>
          </w:tcPr>
          <w:p w14:paraId="618F8352">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761" w:type="dxa"/>
            <w:noWrap w:val="0"/>
            <w:vAlign w:val="center"/>
          </w:tcPr>
          <w:p w14:paraId="0E23D287">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小型</w:t>
            </w:r>
          </w:p>
        </w:tc>
      </w:tr>
      <w:tr w14:paraId="3AA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noWrap w:val="0"/>
            <w:vAlign w:val="center"/>
          </w:tcPr>
          <w:p w14:paraId="6BD8C034">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3</w:t>
            </w:r>
          </w:p>
        </w:tc>
        <w:tc>
          <w:tcPr>
            <w:tcW w:w="1787" w:type="dxa"/>
            <w:noWrap w:val="0"/>
            <w:vAlign w:val="center"/>
          </w:tcPr>
          <w:p w14:paraId="1E46B38A">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eastAsia" w:ascii="Times New Roman"/>
                <w:color w:val="000000"/>
                <w:sz w:val="22"/>
                <w:szCs w:val="28"/>
              </w:rPr>
              <w:t>1</w:t>
            </w:r>
            <w:r>
              <w:rPr>
                <w:rFonts w:hint="default" w:ascii="Times New Roman"/>
                <w:color w:val="000000"/>
                <w:sz w:val="22"/>
                <w:szCs w:val="28"/>
              </w:rPr>
              <w:t>00≤</w:t>
            </w:r>
            <w:r>
              <w:rPr>
                <w:rFonts w:hint="eastAsia" w:ascii="Times New Roman"/>
                <w:color w:val="000000"/>
                <w:sz w:val="22"/>
                <w:szCs w:val="28"/>
              </w:rPr>
              <w:t xml:space="preserve"> X </w:t>
            </w:r>
            <w:r>
              <w:rPr>
                <w:rFonts w:hint="default" w:ascii="Times New Roman"/>
                <w:color w:val="000000"/>
                <w:sz w:val="22"/>
                <w:szCs w:val="28"/>
              </w:rPr>
              <w:t>＜</w:t>
            </w:r>
            <w:r>
              <w:rPr>
                <w:rFonts w:hint="eastAsia" w:ascii="Times New Roman"/>
                <w:color w:val="000000"/>
                <w:sz w:val="22"/>
                <w:szCs w:val="28"/>
              </w:rPr>
              <w:t>300</w:t>
            </w:r>
          </w:p>
        </w:tc>
        <w:tc>
          <w:tcPr>
            <w:tcW w:w="1900" w:type="dxa"/>
            <w:noWrap w:val="0"/>
            <w:vAlign w:val="center"/>
          </w:tcPr>
          <w:p w14:paraId="485711DE">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925" w:type="dxa"/>
            <w:noWrap w:val="0"/>
            <w:vAlign w:val="center"/>
          </w:tcPr>
          <w:p w14:paraId="0E86CF96">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761" w:type="dxa"/>
            <w:noWrap w:val="0"/>
            <w:vAlign w:val="center"/>
          </w:tcPr>
          <w:p w14:paraId="1B5A682E">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中型</w:t>
            </w:r>
          </w:p>
        </w:tc>
      </w:tr>
      <w:tr w14:paraId="0C5F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noWrap w:val="0"/>
            <w:vAlign w:val="center"/>
          </w:tcPr>
          <w:p w14:paraId="27474590">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4</w:t>
            </w:r>
          </w:p>
        </w:tc>
        <w:tc>
          <w:tcPr>
            <w:tcW w:w="1787" w:type="dxa"/>
            <w:noWrap w:val="0"/>
            <w:vAlign w:val="center"/>
          </w:tcPr>
          <w:p w14:paraId="2E072109">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eastAsia" w:ascii="Times New Roman"/>
                <w:color w:val="000000"/>
                <w:sz w:val="22"/>
                <w:szCs w:val="28"/>
              </w:rPr>
              <w:t xml:space="preserve">X </w:t>
            </w:r>
            <w:r>
              <w:rPr>
                <w:rFonts w:hint="default" w:ascii="Times New Roman"/>
                <w:color w:val="000000"/>
                <w:sz w:val="22"/>
                <w:szCs w:val="28"/>
              </w:rPr>
              <w:t>≥</w:t>
            </w:r>
            <w:r>
              <w:rPr>
                <w:rFonts w:hint="eastAsia" w:ascii="Times New Roman"/>
                <w:color w:val="000000"/>
                <w:sz w:val="22"/>
                <w:szCs w:val="28"/>
              </w:rPr>
              <w:t>300</w:t>
            </w:r>
          </w:p>
        </w:tc>
        <w:tc>
          <w:tcPr>
            <w:tcW w:w="1900" w:type="dxa"/>
            <w:noWrap w:val="0"/>
            <w:vAlign w:val="center"/>
          </w:tcPr>
          <w:p w14:paraId="5D3DB4E3">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925" w:type="dxa"/>
            <w:noWrap w:val="0"/>
            <w:vAlign w:val="center"/>
          </w:tcPr>
          <w:p w14:paraId="6629A1FB">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不限</w:t>
            </w:r>
          </w:p>
        </w:tc>
        <w:tc>
          <w:tcPr>
            <w:tcW w:w="1761" w:type="dxa"/>
            <w:noWrap w:val="0"/>
            <w:vAlign w:val="center"/>
          </w:tcPr>
          <w:p w14:paraId="30F1BE55">
            <w:pPr>
              <w:keepNext w:val="0"/>
              <w:keepLines w:val="0"/>
              <w:suppressLineNumbers w:val="0"/>
              <w:spacing w:before="0" w:beforeAutospacing="0" w:after="0" w:afterAutospacing="0"/>
              <w:ind w:left="0" w:right="0"/>
              <w:jc w:val="center"/>
              <w:rPr>
                <w:rFonts w:hint="default" w:ascii="Times New Roman"/>
                <w:color w:val="000000"/>
                <w:sz w:val="22"/>
                <w:szCs w:val="28"/>
              </w:rPr>
            </w:pPr>
            <w:r>
              <w:rPr>
                <w:rFonts w:hint="default" w:ascii="Times New Roman"/>
                <w:color w:val="000000"/>
                <w:sz w:val="22"/>
                <w:szCs w:val="28"/>
              </w:rPr>
              <w:t>大型</w:t>
            </w:r>
          </w:p>
        </w:tc>
      </w:tr>
      <w:tr w14:paraId="4693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2926934B">
            <w:pPr>
              <w:keepNext w:val="0"/>
              <w:keepLines w:val="0"/>
              <w:suppressLineNumbers w:val="0"/>
              <w:spacing w:before="0" w:beforeAutospacing="0" w:after="0" w:afterAutospacing="0"/>
              <w:ind w:left="0" w:right="0"/>
              <w:jc w:val="both"/>
              <w:rPr>
                <w:rFonts w:hint="default" w:ascii="Times New Roman"/>
                <w:color w:val="000000"/>
                <w:sz w:val="22"/>
                <w:szCs w:val="28"/>
              </w:rPr>
            </w:pPr>
            <w:r>
              <w:rPr>
                <w:rFonts w:hint="default" w:ascii="Times New Roman"/>
                <w:color w:val="000000"/>
                <w:sz w:val="22"/>
                <w:szCs w:val="28"/>
              </w:rPr>
              <w:t>其他未列明行业。从业人员300人以下的为中小微型企业</w:t>
            </w:r>
            <w:r>
              <w:rPr>
                <w:rFonts w:hint="eastAsia" w:ascii="Times New Roman"/>
                <w:color w:val="000000"/>
                <w:sz w:val="22"/>
                <w:szCs w:val="28"/>
              </w:rPr>
              <w:t>。</w:t>
            </w:r>
          </w:p>
          <w:p w14:paraId="4651C4F7">
            <w:pPr>
              <w:keepNext w:val="0"/>
              <w:keepLines w:val="0"/>
              <w:suppressLineNumbers w:val="0"/>
              <w:spacing w:before="0" w:beforeAutospacing="0" w:after="0" w:afterAutospacing="0"/>
              <w:ind w:left="0" w:right="0" w:firstLine="1100" w:firstLineChars="500"/>
              <w:jc w:val="both"/>
              <w:rPr>
                <w:rFonts w:hint="default" w:ascii="Times New Roman"/>
                <w:color w:val="000000"/>
                <w:sz w:val="22"/>
                <w:szCs w:val="28"/>
              </w:rPr>
            </w:pPr>
            <w:r>
              <w:rPr>
                <w:rFonts w:hint="default" w:ascii="Times New Roman"/>
                <w:color w:val="000000"/>
                <w:sz w:val="22"/>
                <w:szCs w:val="28"/>
              </w:rPr>
              <w:t>其中，从业人员100人及以上的为中型企业；</w:t>
            </w:r>
          </w:p>
          <w:p w14:paraId="34184375">
            <w:pPr>
              <w:keepNext w:val="0"/>
              <w:keepLines w:val="0"/>
              <w:suppressLineNumbers w:val="0"/>
              <w:spacing w:before="0" w:beforeAutospacing="0" w:after="0" w:afterAutospacing="0"/>
              <w:ind w:left="0" w:right="0" w:firstLine="1760" w:firstLineChars="800"/>
              <w:jc w:val="both"/>
              <w:rPr>
                <w:rFonts w:hint="default" w:ascii="Times New Roman"/>
                <w:color w:val="000000"/>
                <w:sz w:val="22"/>
                <w:szCs w:val="28"/>
              </w:rPr>
            </w:pPr>
            <w:r>
              <w:rPr>
                <w:rFonts w:hint="default" w:ascii="Times New Roman"/>
                <w:color w:val="000000"/>
                <w:sz w:val="22"/>
                <w:szCs w:val="28"/>
              </w:rPr>
              <w:t>从业人员10人及以上的为小型企业；</w:t>
            </w:r>
          </w:p>
          <w:p w14:paraId="23B2FD48">
            <w:pPr>
              <w:keepNext w:val="0"/>
              <w:keepLines w:val="0"/>
              <w:suppressLineNumbers w:val="0"/>
              <w:spacing w:before="0" w:beforeAutospacing="0" w:after="0" w:afterAutospacing="0"/>
              <w:ind w:left="0" w:right="0" w:firstLine="1760" w:firstLineChars="800"/>
              <w:jc w:val="both"/>
              <w:rPr>
                <w:rFonts w:hint="default" w:ascii="Times New Roman"/>
                <w:color w:val="000000"/>
                <w:sz w:val="22"/>
                <w:szCs w:val="28"/>
              </w:rPr>
            </w:pPr>
            <w:r>
              <w:rPr>
                <w:rFonts w:hint="default" w:ascii="Times New Roman"/>
                <w:color w:val="000000"/>
                <w:sz w:val="22"/>
                <w:szCs w:val="28"/>
              </w:rPr>
              <w:t>从业人员10人以下的为微型企业。</w:t>
            </w:r>
          </w:p>
        </w:tc>
      </w:tr>
    </w:tbl>
    <w:p w14:paraId="2835190A">
      <w:pPr>
        <w:pStyle w:val="2"/>
        <w:spacing w:after="0" w:line="500" w:lineRule="exact"/>
        <w:ind w:left="0" w:leftChars="0" w:firstLine="630" w:firstLineChars="300"/>
        <w:rPr>
          <w:rFonts w:hint="eastAsia" w:hAnsi="宋体" w:cs="宋体"/>
          <w:sz w:val="21"/>
          <w:szCs w:val="21"/>
        </w:rPr>
      </w:pPr>
      <w:r>
        <w:rPr>
          <w:rFonts w:hint="eastAsia" w:hAnsi="宋体" w:cs="宋体"/>
          <w:sz w:val="21"/>
          <w:szCs w:val="21"/>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69358CBA">
      <w:pPr>
        <w:spacing w:line="500" w:lineRule="exact"/>
        <w:jc w:val="center"/>
        <w:rPr>
          <w:rFonts w:hint="eastAsia" w:hAnsi="宋体" w:cs="宋体"/>
          <w:sz w:val="21"/>
          <w:szCs w:val="21"/>
        </w:rPr>
      </w:pPr>
    </w:p>
    <w:p w14:paraId="181D3156">
      <w:pPr>
        <w:spacing w:line="500" w:lineRule="exact"/>
        <w:jc w:val="center"/>
        <w:rPr>
          <w:rFonts w:hint="eastAsia" w:hAnsi="宋体" w:cs="宋体"/>
          <w:sz w:val="21"/>
          <w:szCs w:val="21"/>
        </w:rPr>
      </w:pPr>
      <w:r>
        <w:rPr>
          <w:rFonts w:hint="eastAsia" w:hAnsi="宋体" w:cs="宋体"/>
          <w:sz w:val="21"/>
          <w:szCs w:val="21"/>
        </w:rPr>
        <w:t>（2）残疾人福利性单位声明函</w:t>
      </w:r>
    </w:p>
    <w:p w14:paraId="068C227F">
      <w:pPr>
        <w:pStyle w:val="124"/>
        <w:spacing w:line="500" w:lineRule="exact"/>
        <w:ind w:firstLine="420" w:firstLineChars="200"/>
        <w:rPr>
          <w:rFonts w:ascii="宋体" w:hAnsi="宋体" w:eastAsia="宋体" w:cs="宋体"/>
          <w:szCs w:val="21"/>
        </w:rPr>
      </w:pPr>
      <w:r>
        <w:rPr>
          <w:rFonts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DC5B6A">
      <w:pPr>
        <w:pStyle w:val="124"/>
        <w:spacing w:line="500" w:lineRule="exact"/>
        <w:ind w:firstLine="600"/>
        <w:rPr>
          <w:rFonts w:ascii="宋体" w:hAnsi="宋体" w:eastAsia="宋体" w:cs="宋体"/>
          <w:szCs w:val="21"/>
        </w:rPr>
      </w:pPr>
      <w:r>
        <w:rPr>
          <w:rFonts w:ascii="宋体" w:hAnsi="宋体" w:eastAsia="宋体" w:cs="宋体"/>
          <w:szCs w:val="21"/>
        </w:rPr>
        <w:t>本单位对上述声明的真实性负责。如有虚假，将依法承担相应责任。</w:t>
      </w:r>
    </w:p>
    <w:p w14:paraId="39247010">
      <w:pPr>
        <w:pStyle w:val="124"/>
        <w:spacing w:line="500" w:lineRule="exact"/>
        <w:rPr>
          <w:rFonts w:ascii="宋体" w:hAnsi="宋体" w:eastAsia="宋体" w:cs="宋体"/>
          <w:spacing w:val="6"/>
          <w:szCs w:val="21"/>
        </w:rPr>
      </w:pPr>
    </w:p>
    <w:p w14:paraId="740EDB7C">
      <w:pPr>
        <w:pStyle w:val="124"/>
        <w:spacing w:line="500" w:lineRule="exact"/>
        <w:ind w:firstLine="600"/>
        <w:jc w:val="center"/>
        <w:rPr>
          <w:rFonts w:ascii="宋体" w:hAnsi="宋体" w:eastAsia="宋体" w:cs="宋体"/>
          <w:szCs w:val="21"/>
        </w:rPr>
      </w:pPr>
      <w:r>
        <w:rPr>
          <w:rFonts w:ascii="宋体" w:hAnsi="宋体" w:eastAsia="宋体" w:cs="宋体"/>
          <w:spacing w:val="6"/>
          <w:szCs w:val="21"/>
        </w:rPr>
        <w:t xml:space="preserve">               </w:t>
      </w:r>
      <w:r>
        <w:rPr>
          <w:rFonts w:ascii="宋体" w:hAnsi="宋体" w:eastAsia="宋体" w:cs="宋体"/>
          <w:szCs w:val="21"/>
        </w:rPr>
        <w:t>单位名称（盖章）：</w:t>
      </w:r>
    </w:p>
    <w:p w14:paraId="47069588">
      <w:pPr>
        <w:pStyle w:val="124"/>
        <w:spacing w:line="500" w:lineRule="exact"/>
        <w:ind w:firstLine="600"/>
        <w:jc w:val="center"/>
        <w:rPr>
          <w:rFonts w:ascii="宋体" w:hAnsi="宋体" w:eastAsia="宋体" w:cs="宋体"/>
          <w:szCs w:val="21"/>
        </w:rPr>
      </w:pPr>
      <w:r>
        <w:rPr>
          <w:rFonts w:ascii="宋体" w:hAnsi="宋体" w:eastAsia="宋体" w:cs="宋体"/>
          <w:szCs w:val="21"/>
        </w:rPr>
        <w:t xml:space="preserve">       日  期：</w:t>
      </w:r>
    </w:p>
    <w:p w14:paraId="2FE919B3">
      <w:pPr>
        <w:pStyle w:val="124"/>
        <w:spacing w:line="500" w:lineRule="exact"/>
        <w:ind w:firstLine="600"/>
        <w:jc w:val="center"/>
        <w:rPr>
          <w:rFonts w:ascii="宋体" w:hAnsi="宋体" w:eastAsia="宋体" w:cs="宋体"/>
          <w:szCs w:val="21"/>
        </w:rPr>
      </w:pPr>
    </w:p>
    <w:p w14:paraId="77C46BC4">
      <w:pPr>
        <w:spacing w:line="500" w:lineRule="exact"/>
        <w:jc w:val="center"/>
        <w:rPr>
          <w:rFonts w:hint="eastAsia" w:hAnsi="宋体" w:cs="宋体"/>
          <w:sz w:val="21"/>
          <w:szCs w:val="21"/>
        </w:rPr>
      </w:pPr>
      <w:r>
        <w:rPr>
          <w:rFonts w:hint="eastAsia" w:hAnsi="宋体" w:cs="宋体"/>
          <w:sz w:val="21"/>
          <w:szCs w:val="21"/>
        </w:rPr>
        <w:t>（3）监狱企业证明文件</w:t>
      </w:r>
    </w:p>
    <w:p w14:paraId="7D5283FF">
      <w:pPr>
        <w:pStyle w:val="124"/>
        <w:spacing w:line="500" w:lineRule="exact"/>
        <w:ind w:firstLine="420" w:firstLineChars="200"/>
        <w:rPr>
          <w:rFonts w:ascii="宋体" w:hAnsi="宋体" w:eastAsia="宋体" w:cs="宋体"/>
          <w:szCs w:val="21"/>
        </w:rPr>
      </w:pPr>
      <w:r>
        <w:rPr>
          <w:rFonts w:ascii="宋体" w:hAnsi="宋体" w:eastAsia="宋体" w:cs="宋体"/>
          <w:szCs w:val="21"/>
        </w:rPr>
        <w:t>监狱企业参加政府采购活动时，应当提供由省级以上监狱管理局、戒毒管理局（含新疆生产建设兵团）出具的属于监狱企业的证明文件。</w:t>
      </w:r>
    </w:p>
    <w:p w14:paraId="65F1032A">
      <w:pPr>
        <w:widowControl/>
        <w:spacing w:line="500" w:lineRule="exact"/>
        <w:ind w:firstLine="422" w:firstLineChars="200"/>
        <w:jc w:val="center"/>
        <w:rPr>
          <w:rFonts w:hint="eastAsia" w:hAnsi="宋体" w:cs="宋体"/>
          <w:b/>
          <w:sz w:val="21"/>
          <w:szCs w:val="21"/>
        </w:rPr>
      </w:pPr>
      <w:r>
        <w:rPr>
          <w:rFonts w:hint="eastAsia" w:hAnsi="宋体" w:cs="宋体"/>
          <w:b/>
          <w:sz w:val="21"/>
          <w:szCs w:val="21"/>
        </w:rPr>
        <w:t>4.本项目的特定资格要求</w:t>
      </w:r>
    </w:p>
    <w:p w14:paraId="6E736583">
      <w:pPr>
        <w:spacing w:line="500" w:lineRule="exact"/>
        <w:ind w:firstLine="420" w:firstLineChars="200"/>
        <w:jc w:val="center"/>
        <w:rPr>
          <w:rFonts w:hint="eastAsia" w:hAnsi="宋体" w:cs="宋体"/>
          <w:sz w:val="21"/>
          <w:szCs w:val="21"/>
        </w:rPr>
      </w:pPr>
      <w:r>
        <w:rPr>
          <w:rFonts w:hint="eastAsia" w:hAnsi="宋体" w:cs="宋体"/>
          <w:sz w:val="21"/>
          <w:szCs w:val="21"/>
        </w:rPr>
        <w:t>（根据招标公告本项目的特定资格要求提供相应的材料）</w:t>
      </w:r>
    </w:p>
    <w:p w14:paraId="093CAF31">
      <w:pPr>
        <w:pStyle w:val="2"/>
        <w:autoSpaceDE w:val="0"/>
        <w:autoSpaceDN w:val="0"/>
        <w:adjustRightInd w:val="0"/>
        <w:snapToGrid w:val="0"/>
        <w:spacing w:after="0" w:line="500" w:lineRule="exact"/>
        <w:ind w:left="680" w:firstLine="440"/>
        <w:textAlignment w:val="baseline"/>
        <w:rPr>
          <w:rFonts w:hint="eastAsia" w:ascii="宋体" w:hAnsi="宋体" w:eastAsia="宋体" w:cs="宋体"/>
          <w:color w:val="auto"/>
          <w:sz w:val="24"/>
          <w:szCs w:val="24"/>
          <w:highlight w:val="none"/>
        </w:rPr>
      </w:pPr>
    </w:p>
    <w:p w14:paraId="329EAC69">
      <w:pPr>
        <w:snapToGrid w:val="0"/>
        <w:spacing w:line="500" w:lineRule="exact"/>
        <w:ind w:firstLine="241" w:firstLineChars="100"/>
        <w:rPr>
          <w:rFonts w:hint="eastAsia" w:ascii="宋体" w:hAnsi="宋体" w:eastAsia="宋体" w:cs="宋体"/>
          <w:b/>
          <w:bCs/>
          <w:color w:val="auto"/>
          <w:sz w:val="24"/>
          <w:szCs w:val="24"/>
          <w:highlight w:val="none"/>
        </w:rPr>
      </w:pPr>
    </w:p>
    <w:p w14:paraId="28843E89">
      <w:pPr>
        <w:pStyle w:val="19"/>
        <w:rPr>
          <w:rFonts w:hint="eastAsia" w:ascii="宋体" w:hAnsi="宋体" w:eastAsia="宋体" w:cs="宋体"/>
          <w:color w:val="auto"/>
          <w:highlight w:val="none"/>
        </w:rPr>
      </w:pPr>
    </w:p>
    <w:p w14:paraId="6FF27D84">
      <w:pPr>
        <w:pStyle w:val="19"/>
        <w:rPr>
          <w:rFonts w:hint="eastAsia" w:ascii="宋体" w:hAnsi="宋体" w:eastAsia="宋体" w:cs="宋体"/>
          <w:color w:val="auto"/>
          <w:highlight w:val="none"/>
        </w:rPr>
      </w:pPr>
    </w:p>
    <w:p w14:paraId="46EBBE80">
      <w:pPr>
        <w:widowControl/>
        <w:snapToGrid w:val="0"/>
        <w:spacing w:before="120" w:after="50"/>
        <w:rPr>
          <w:rFonts w:hint="eastAsia" w:ascii="宋体" w:hAnsi="宋体" w:eastAsia="宋体" w:cs="宋体"/>
          <w:b/>
          <w:color w:val="auto"/>
          <w:sz w:val="24"/>
          <w:highlight w:val="none"/>
        </w:rPr>
      </w:pPr>
      <w:bookmarkStart w:id="267" w:name="_Toc15336_WPSOffice_Level1"/>
      <w:bookmarkStart w:id="268" w:name="_Toc5760_WPSOffice_Level1"/>
      <w:bookmarkStart w:id="269" w:name="_Toc637_WPSOffice_Level1"/>
    </w:p>
    <w:p w14:paraId="36D14383">
      <w:pPr>
        <w:widowControl/>
        <w:snapToGrid w:val="0"/>
        <w:spacing w:before="12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（二）商务技术文件（参考格式）</w:t>
      </w:r>
    </w:p>
    <w:p w14:paraId="76519AC5">
      <w:pPr>
        <w:pStyle w:val="100"/>
        <w:snapToGrid w:val="0"/>
        <w:spacing w:line="460" w:lineRule="exact"/>
        <w:ind w:left="420" w:firstLine="0" w:firstLineChars="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（1）响应供应商技术商务标自评得分汇总表；（格式内容参照技术商务评分表，格式见附件）；</w:t>
      </w:r>
    </w:p>
    <w:p w14:paraId="41CA61CF">
      <w:pPr>
        <w:pStyle w:val="100"/>
        <w:snapToGrid w:val="0"/>
        <w:spacing w:line="460" w:lineRule="exact"/>
        <w:ind w:left="420" w:firstLine="0" w:firstLineChars="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响应供应商情况表；（格式见附件）</w:t>
      </w:r>
    </w:p>
    <w:p w14:paraId="6AB1913C">
      <w:pPr>
        <w:snapToGrid w:val="0"/>
        <w:spacing w:line="500" w:lineRule="exact"/>
        <w:ind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）服务条款对比表；（格式见附件）</w:t>
      </w:r>
    </w:p>
    <w:p w14:paraId="5B1881B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）拟投入本项目的服务团队人员表；（格式见附件）</w:t>
      </w:r>
    </w:p>
    <w:p w14:paraId="5DE0BF3C">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）商务条款偏离表；（格式见附件）</w:t>
      </w:r>
    </w:p>
    <w:p w14:paraId="6ED90F78">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）响应供应商</w:t>
      </w:r>
      <w:r>
        <w:rPr>
          <w:rFonts w:hint="eastAsia" w:hAnsi="宋体" w:cs="宋体"/>
          <w:color w:val="auto"/>
          <w:sz w:val="21"/>
          <w:szCs w:val="21"/>
          <w:highlight w:val="none"/>
          <w:lang w:eastAsia="zh-CN"/>
        </w:rPr>
        <w:t>202</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年1月1日</w:t>
      </w:r>
      <w:r>
        <w:rPr>
          <w:rFonts w:hint="eastAsia" w:ascii="宋体" w:hAnsi="宋体" w:eastAsia="宋体" w:cs="宋体"/>
          <w:color w:val="auto"/>
          <w:sz w:val="21"/>
          <w:szCs w:val="21"/>
          <w:highlight w:val="none"/>
        </w:rPr>
        <w:t>以来至今同类项目服务业绩（提供合同复印件加盖单位公章）格式见附件）；</w:t>
      </w:r>
    </w:p>
    <w:p w14:paraId="5F818B66">
      <w:pPr>
        <w:autoSpaceDE/>
        <w:autoSpaceDN/>
        <w:adjustRightInd/>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针对本项目的详细服务方案（格式自拟）；</w:t>
      </w:r>
    </w:p>
    <w:p w14:paraId="0C709C57">
      <w:pPr>
        <w:snapToGrid w:val="0"/>
        <w:spacing w:line="500" w:lineRule="exact"/>
        <w:ind w:firstLine="420" w:firstLineChars="20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）评分规则中涉及的所需提供的资料；</w:t>
      </w:r>
    </w:p>
    <w:p w14:paraId="005505CD">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）磋商响应供应商需要说明的其他文件和说明（格式自拟）。</w:t>
      </w:r>
    </w:p>
    <w:p w14:paraId="202C1AE4">
      <w:pPr>
        <w:autoSpaceDE/>
        <w:autoSpaceDN/>
        <w:adjustRightInd/>
        <w:spacing w:line="50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（★商务技术文件中不能出现报价信息）</w:t>
      </w:r>
    </w:p>
    <w:p w14:paraId="3CAA5FF5">
      <w:pPr>
        <w:pStyle w:val="25"/>
        <w:snapToGrid w:val="0"/>
        <w:jc w:val="center"/>
        <w:rPr>
          <w:rFonts w:hint="eastAsia" w:ascii="宋体" w:hAnsi="宋体" w:eastAsia="宋体" w:cs="宋体"/>
          <w:b/>
          <w:color w:val="auto"/>
          <w:sz w:val="28"/>
          <w:szCs w:val="20"/>
          <w:highlight w:val="none"/>
        </w:rPr>
      </w:pPr>
    </w:p>
    <w:p w14:paraId="1A362738">
      <w:pPr>
        <w:widowControl/>
        <w:autoSpaceDE/>
        <w:autoSpaceDN/>
        <w:adjustRightInd/>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657DAE6">
      <w:pPr>
        <w:snapToGrid w:val="0"/>
        <w:spacing w:before="5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1.供应商商务技术文件自评得分汇总表（格式参照技术商务评分表，需标注对应页码）</w:t>
      </w:r>
    </w:p>
    <w:tbl>
      <w:tblPr>
        <w:tblStyle w:val="46"/>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04CA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292D46D7">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5" w:type="dxa"/>
            <w:vAlign w:val="center"/>
          </w:tcPr>
          <w:p w14:paraId="179B6664">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90" w:type="dxa"/>
            <w:vAlign w:val="center"/>
          </w:tcPr>
          <w:p w14:paraId="5F367709">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766" w:type="dxa"/>
            <w:vAlign w:val="center"/>
          </w:tcPr>
          <w:p w14:paraId="547B2770">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 w:type="dxa"/>
            <w:vAlign w:val="center"/>
          </w:tcPr>
          <w:p w14:paraId="1BE816AD">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w:t>
            </w:r>
          </w:p>
        </w:tc>
        <w:tc>
          <w:tcPr>
            <w:tcW w:w="1937" w:type="dxa"/>
            <w:vAlign w:val="center"/>
          </w:tcPr>
          <w:p w14:paraId="1E391A26">
            <w:pPr>
              <w:keepNext w:val="0"/>
              <w:keepLines w:val="0"/>
              <w:widowControl/>
              <w:suppressLineNumbers w:val="0"/>
              <w:autoSpaceDE/>
              <w:autoSpaceDN/>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磋商响应文件响应页码</w:t>
            </w:r>
          </w:p>
        </w:tc>
      </w:tr>
    </w:tbl>
    <w:p w14:paraId="38025697">
      <w:pPr>
        <w:pStyle w:val="25"/>
        <w:snapToGrid w:val="0"/>
        <w:jc w:val="center"/>
        <w:rPr>
          <w:rFonts w:hint="eastAsia" w:ascii="宋体" w:hAnsi="宋体" w:eastAsia="宋体" w:cs="宋体"/>
          <w:b/>
          <w:color w:val="auto"/>
          <w:sz w:val="28"/>
          <w:szCs w:val="20"/>
          <w:highlight w:val="none"/>
        </w:rPr>
      </w:pPr>
    </w:p>
    <w:p w14:paraId="09D2C28E">
      <w:pPr>
        <w:pStyle w:val="25"/>
        <w:snapToGrid w:val="0"/>
        <w:jc w:val="center"/>
        <w:rPr>
          <w:rFonts w:hint="eastAsia" w:ascii="宋体" w:hAnsi="宋体" w:eastAsia="宋体" w:cs="宋体"/>
          <w:b/>
          <w:color w:val="auto"/>
          <w:sz w:val="28"/>
          <w:szCs w:val="20"/>
          <w:highlight w:val="none"/>
        </w:rPr>
      </w:pPr>
      <w:r>
        <w:rPr>
          <w:rFonts w:hint="eastAsia" w:ascii="宋体" w:hAnsi="宋体" w:eastAsia="宋体" w:cs="宋体"/>
          <w:b/>
          <w:color w:val="auto"/>
          <w:sz w:val="28"/>
          <w:szCs w:val="20"/>
          <w:highlight w:val="none"/>
          <w:lang w:val="en-US" w:eastAsia="zh-CN"/>
        </w:rPr>
        <w:t>2</w:t>
      </w:r>
      <w:r>
        <w:rPr>
          <w:rFonts w:hint="eastAsia" w:ascii="宋体" w:hAnsi="宋体" w:eastAsia="宋体" w:cs="宋体"/>
          <w:b/>
          <w:color w:val="auto"/>
          <w:sz w:val="28"/>
          <w:szCs w:val="20"/>
          <w:highlight w:val="none"/>
        </w:rPr>
        <w:t>.响应供应商情况表</w:t>
      </w:r>
      <w:bookmarkEnd w:id="267"/>
      <w:bookmarkEnd w:id="268"/>
      <w:bookmarkEnd w:id="269"/>
    </w:p>
    <w:p w14:paraId="354FB849">
      <w:pPr>
        <w:pStyle w:val="25"/>
        <w:snapToGrid w:val="0"/>
        <w:spacing w:afterLines="50"/>
        <w:ind w:right="480" w:firstLine="6240" w:firstLineChars="2600"/>
        <w:rPr>
          <w:rFonts w:hint="eastAsia" w:ascii="宋体" w:hAnsi="宋体" w:eastAsia="宋体" w:cs="宋体"/>
          <w:color w:val="auto"/>
          <w:sz w:val="24"/>
          <w:szCs w:val="24"/>
          <w:highlight w:val="none"/>
        </w:rPr>
      </w:pPr>
    </w:p>
    <w:tbl>
      <w:tblPr>
        <w:tblStyle w:val="4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14:paraId="0A18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5F61DDB4">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3078" w:type="dxa"/>
            <w:tcMar>
              <w:left w:w="142" w:type="dxa"/>
              <w:right w:w="142" w:type="dxa"/>
            </w:tcMar>
            <w:vAlign w:val="center"/>
          </w:tcPr>
          <w:p w14:paraId="5EBB5A9A">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434" w:type="dxa"/>
            <w:tcMar>
              <w:left w:w="142" w:type="dxa"/>
              <w:right w:w="142" w:type="dxa"/>
            </w:tcMar>
            <w:vAlign w:val="center"/>
          </w:tcPr>
          <w:p w14:paraId="4C56350B">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95" w:type="dxa"/>
            <w:tcMar>
              <w:left w:w="142" w:type="dxa"/>
              <w:right w:w="142" w:type="dxa"/>
            </w:tcMar>
            <w:vAlign w:val="center"/>
          </w:tcPr>
          <w:p w14:paraId="7775C687">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202B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129EF08C">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078" w:type="dxa"/>
            <w:tcMar>
              <w:left w:w="142" w:type="dxa"/>
              <w:right w:w="142" w:type="dxa"/>
            </w:tcMar>
            <w:vAlign w:val="center"/>
          </w:tcPr>
          <w:p w14:paraId="6ED96904">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434" w:type="dxa"/>
            <w:tcMar>
              <w:left w:w="142" w:type="dxa"/>
              <w:right w:w="142" w:type="dxa"/>
            </w:tcMar>
            <w:vAlign w:val="center"/>
          </w:tcPr>
          <w:p w14:paraId="7E08D982">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695" w:type="dxa"/>
            <w:tcMar>
              <w:left w:w="142" w:type="dxa"/>
              <w:right w:w="142" w:type="dxa"/>
            </w:tcMar>
            <w:vAlign w:val="center"/>
          </w:tcPr>
          <w:p w14:paraId="7FB0CCBE">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7C4B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53132D22">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3078" w:type="dxa"/>
            <w:tcMar>
              <w:left w:w="142" w:type="dxa"/>
              <w:right w:w="142" w:type="dxa"/>
            </w:tcMar>
            <w:vAlign w:val="center"/>
          </w:tcPr>
          <w:p w14:paraId="51A22C06">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434" w:type="dxa"/>
            <w:tcMar>
              <w:left w:w="142" w:type="dxa"/>
              <w:right w:w="142" w:type="dxa"/>
            </w:tcMar>
            <w:vAlign w:val="center"/>
          </w:tcPr>
          <w:p w14:paraId="74DCFA64">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695" w:type="dxa"/>
            <w:tcMar>
              <w:left w:w="142" w:type="dxa"/>
              <w:right w:w="142" w:type="dxa"/>
            </w:tcMar>
            <w:vAlign w:val="center"/>
          </w:tcPr>
          <w:p w14:paraId="1137EAE9">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3378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3CC036EF">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法定代表人（或单位负责人）</w:t>
            </w:r>
          </w:p>
        </w:tc>
        <w:tc>
          <w:tcPr>
            <w:tcW w:w="3078" w:type="dxa"/>
            <w:tcMar>
              <w:left w:w="142" w:type="dxa"/>
              <w:right w:w="142" w:type="dxa"/>
            </w:tcMar>
            <w:vAlign w:val="center"/>
          </w:tcPr>
          <w:p w14:paraId="1DDE20E0">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434" w:type="dxa"/>
            <w:tcMar>
              <w:left w:w="142" w:type="dxa"/>
              <w:right w:w="142" w:type="dxa"/>
            </w:tcMar>
            <w:vAlign w:val="center"/>
          </w:tcPr>
          <w:p w14:paraId="06A40CFF">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5" w:type="dxa"/>
            <w:tcMar>
              <w:left w:w="142" w:type="dxa"/>
              <w:right w:w="142" w:type="dxa"/>
            </w:tcMar>
            <w:vAlign w:val="center"/>
          </w:tcPr>
          <w:p w14:paraId="5A358151">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2A43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7745667A">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3078" w:type="dxa"/>
            <w:tcMar>
              <w:left w:w="142" w:type="dxa"/>
              <w:right w:w="142" w:type="dxa"/>
            </w:tcMar>
            <w:vAlign w:val="center"/>
          </w:tcPr>
          <w:p w14:paraId="2A0C94E6">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434" w:type="dxa"/>
            <w:tcMar>
              <w:left w:w="142" w:type="dxa"/>
              <w:right w:w="142" w:type="dxa"/>
            </w:tcMar>
            <w:vAlign w:val="center"/>
          </w:tcPr>
          <w:p w14:paraId="0775EEA8">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695" w:type="dxa"/>
            <w:tcMar>
              <w:left w:w="142" w:type="dxa"/>
              <w:right w:w="142" w:type="dxa"/>
            </w:tcMar>
            <w:vAlign w:val="center"/>
          </w:tcPr>
          <w:p w14:paraId="1B336A7D">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4B31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2017" w:type="dxa"/>
            <w:tcMar>
              <w:left w:w="142" w:type="dxa"/>
              <w:right w:w="142" w:type="dxa"/>
            </w:tcMar>
            <w:vAlign w:val="center"/>
          </w:tcPr>
          <w:p w14:paraId="27E453E6">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14:paraId="6793D70D">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p w14:paraId="2A2C5AB0">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14:paraId="49D3CD28">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207" w:type="dxa"/>
            <w:gridSpan w:val="3"/>
            <w:tcMar>
              <w:left w:w="142" w:type="dxa"/>
              <w:right w:w="142" w:type="dxa"/>
            </w:tcMar>
            <w:vAlign w:val="center"/>
          </w:tcPr>
          <w:p w14:paraId="7E9731EF">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r w14:paraId="460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2017" w:type="dxa"/>
            <w:tcMar>
              <w:left w:w="142" w:type="dxa"/>
              <w:right w:w="142" w:type="dxa"/>
            </w:tcMar>
            <w:vAlign w:val="center"/>
          </w:tcPr>
          <w:p w14:paraId="3445C4F9">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p>
          <w:p w14:paraId="16B0EA26">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势</w:t>
            </w:r>
          </w:p>
          <w:p w14:paraId="21D30662">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14:paraId="4D7CAEF3">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w:t>
            </w:r>
          </w:p>
          <w:p w14:paraId="0F9D4D67">
            <w:pPr>
              <w:pStyle w:val="25"/>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w:t>
            </w:r>
          </w:p>
        </w:tc>
        <w:tc>
          <w:tcPr>
            <w:tcW w:w="7207" w:type="dxa"/>
            <w:gridSpan w:val="3"/>
            <w:tcMar>
              <w:left w:w="142" w:type="dxa"/>
              <w:right w:w="142" w:type="dxa"/>
            </w:tcMar>
            <w:vAlign w:val="center"/>
          </w:tcPr>
          <w:p w14:paraId="357C7E2F">
            <w:pPr>
              <w:pStyle w:val="25"/>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r>
    </w:tbl>
    <w:p w14:paraId="40297EBA">
      <w:pPr>
        <w:pStyle w:val="25"/>
        <w:snapToGrid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注：此表在不改变表式的情况下，可自行制作</w:t>
      </w:r>
    </w:p>
    <w:p w14:paraId="5665F29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14:paraId="69D3EF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728605B1">
      <w:pPr>
        <w:snapToGrid w:val="0"/>
        <w:spacing w:before="50" w:after="50" w:line="5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br w:type="page"/>
      </w:r>
    </w:p>
    <w:p w14:paraId="78EB6322">
      <w:pPr>
        <w:widowControl/>
        <w:autoSpaceDE/>
        <w:autoSpaceDN/>
        <w:adjustRightInd/>
        <w:textAlignment w:val="auto"/>
        <w:rPr>
          <w:rFonts w:hint="eastAsia" w:ascii="宋体" w:hAnsi="宋体" w:eastAsia="宋体" w:cs="宋体"/>
          <w:b/>
          <w:bCs/>
          <w:color w:val="auto"/>
          <w:kern w:val="2"/>
          <w:sz w:val="21"/>
          <w:szCs w:val="21"/>
          <w:highlight w:val="none"/>
        </w:rPr>
      </w:pPr>
    </w:p>
    <w:p w14:paraId="004D2CFB">
      <w:pPr>
        <w:widowControl/>
        <w:autoSpaceDE/>
        <w:autoSpaceDN/>
        <w:adjustRightInd/>
        <w:textAlignment w:val="auto"/>
        <w:rPr>
          <w:rFonts w:hint="eastAsia" w:ascii="宋体" w:hAnsi="宋体" w:eastAsia="宋体" w:cs="宋体"/>
          <w:b/>
          <w:bCs/>
          <w:color w:val="auto"/>
          <w:kern w:val="2"/>
          <w:sz w:val="21"/>
          <w:szCs w:val="21"/>
          <w:highlight w:val="none"/>
        </w:rPr>
      </w:pPr>
    </w:p>
    <w:p w14:paraId="0FBC1CAA">
      <w:pPr>
        <w:pStyle w:val="2"/>
        <w:ind w:left="17" w:leftChars="0" w:hanging="17" w:hangingChars="7"/>
        <w:jc w:val="center"/>
        <w:rPr>
          <w:rFonts w:hint="eastAsia" w:ascii="宋体" w:hAnsi="宋体" w:eastAsia="宋体" w:cs="宋体"/>
          <w:b/>
          <w:color w:val="auto"/>
          <w:sz w:val="24"/>
          <w:highlight w:val="none"/>
        </w:rPr>
      </w:pPr>
      <w:bookmarkStart w:id="270" w:name="_Toc237176518"/>
      <w:bookmarkStart w:id="271" w:name="_Toc499294831"/>
      <w:bookmarkStart w:id="272" w:name="_Toc184785940"/>
      <w:bookmarkStart w:id="273" w:name="_Toc217289142"/>
      <w:bookmarkStart w:id="274" w:name="_Toc256977550"/>
      <w:bookmarkStart w:id="275" w:name="_Toc237340119"/>
      <w:bookmarkStart w:id="276" w:name="_Toc264211082"/>
      <w:bookmarkStart w:id="277" w:name="_Toc265065994"/>
      <w:bookmarkStart w:id="278" w:name="_Toc237413925"/>
      <w:bookmarkStart w:id="279" w:name="_Toc354841325"/>
      <w:bookmarkStart w:id="280" w:name="_Toc237182511"/>
      <w:bookmarkStart w:id="281" w:name="_Toc237193463"/>
      <w:bookmarkStart w:id="282" w:name="_Toc237189792"/>
      <w:bookmarkStart w:id="283" w:name="_Toc296075062"/>
      <w:bookmarkStart w:id="284" w:name="_Toc295910888"/>
      <w:bookmarkStart w:id="285" w:name="_Toc237414020"/>
      <w:bookmarkStart w:id="286" w:name="_Toc296074351"/>
      <w:bookmarkStart w:id="287" w:name="_Toc295737640"/>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bookmarkEnd w:id="270"/>
      <w:bookmarkEnd w:id="271"/>
      <w:bookmarkEnd w:id="272"/>
      <w:bookmarkEnd w:id="273"/>
      <w:r>
        <w:rPr>
          <w:rFonts w:hint="eastAsia" w:ascii="宋体" w:hAnsi="宋体" w:eastAsia="宋体" w:cs="宋体"/>
          <w:b/>
          <w:color w:val="auto"/>
          <w:sz w:val="24"/>
          <w:highlight w:val="none"/>
        </w:rPr>
        <w:t>服务</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ascii="宋体" w:hAnsi="宋体" w:eastAsia="宋体" w:cs="宋体"/>
          <w:b/>
          <w:color w:val="auto"/>
          <w:sz w:val="24"/>
          <w:highlight w:val="none"/>
        </w:rPr>
        <w:t>条款对比表</w:t>
      </w:r>
    </w:p>
    <w:tbl>
      <w:tblPr>
        <w:tblStyle w:val="46"/>
        <w:tblpPr w:leftFromText="180" w:rightFromText="180" w:vertAnchor="text" w:horzAnchor="page" w:tblpX="1430" w:tblpY="41"/>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036"/>
      </w:tblGrid>
      <w:tr w14:paraId="0AB2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14:paraId="35A5757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06" w:type="dxa"/>
            <w:vAlign w:val="center"/>
          </w:tcPr>
          <w:p w14:paraId="11C6FD8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磋商文件要求的服务内容</w:t>
            </w:r>
          </w:p>
        </w:tc>
        <w:tc>
          <w:tcPr>
            <w:tcW w:w="3128" w:type="dxa"/>
            <w:vAlign w:val="center"/>
          </w:tcPr>
          <w:p w14:paraId="2D998722">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响应的服务内容</w:t>
            </w:r>
          </w:p>
        </w:tc>
        <w:tc>
          <w:tcPr>
            <w:tcW w:w="2036" w:type="dxa"/>
            <w:vAlign w:val="center"/>
          </w:tcPr>
          <w:p w14:paraId="5018A34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14:paraId="4445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223CD75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6E58D69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321AF90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39C1098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794C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719FAA2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422983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2D2F9F7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224C4B3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6D9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0437F0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27FE47B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22422AC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493F37C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1F63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23E26D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13B58B1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766E4BA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231C296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579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5A63531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026AC9C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41D573C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71E42F0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5577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56C28D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620E47F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54794BF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4AF8E8F6">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2A62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2BE972E3">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6F06C46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6F99DCC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26CFFF57">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9E7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0593E95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3BC5D3B5">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5879A79D">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7627535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347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66154F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78292C2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2B93C1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72D6D034">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6A4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3624144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1CBDEC7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4BF9CCB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254577F0">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52F5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0E12B37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0D06590A">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5CF5731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1C0D5439">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4FC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472EF0EC">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7995EF2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7FD84B6F">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70CA191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r w14:paraId="4F92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7FE37021">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906" w:type="dxa"/>
            <w:vAlign w:val="center"/>
          </w:tcPr>
          <w:p w14:paraId="349461D8">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3128" w:type="dxa"/>
            <w:vAlign w:val="center"/>
          </w:tcPr>
          <w:p w14:paraId="37FCB16B">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c>
          <w:tcPr>
            <w:tcW w:w="2036" w:type="dxa"/>
            <w:vAlign w:val="center"/>
          </w:tcPr>
          <w:p w14:paraId="2C3F960E">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p>
        </w:tc>
      </w:tr>
    </w:tbl>
    <w:p w14:paraId="74C2B9A2">
      <w:pPr>
        <w:spacing w:line="300" w:lineRule="auto"/>
        <w:jc w:val="both"/>
        <w:rPr>
          <w:rFonts w:hint="eastAsia" w:ascii="宋体" w:hAnsi="宋体" w:eastAsia="宋体" w:cs="宋体"/>
          <w:color w:val="auto"/>
          <w:sz w:val="21"/>
          <w:szCs w:val="21"/>
          <w:highlight w:val="none"/>
        </w:rPr>
      </w:pPr>
    </w:p>
    <w:p w14:paraId="38982BAD">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注：行数不够可自行添加，有偏离请在技术偏离表中详细说明。</w:t>
      </w:r>
    </w:p>
    <w:p w14:paraId="3D2AE682">
      <w:pPr>
        <w:spacing w:line="300" w:lineRule="auto"/>
        <w:jc w:val="center"/>
        <w:rPr>
          <w:rFonts w:hint="eastAsia" w:ascii="宋体" w:hAnsi="宋体" w:eastAsia="宋体" w:cs="宋体"/>
          <w:color w:val="auto"/>
          <w:sz w:val="21"/>
          <w:szCs w:val="21"/>
          <w:highlight w:val="none"/>
        </w:rPr>
      </w:pPr>
    </w:p>
    <w:p w14:paraId="0C4A16A8">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供应商全称（加盖公章）：                </w:t>
      </w:r>
    </w:p>
    <w:p w14:paraId="1BCB63FF">
      <w:pPr>
        <w:spacing w:line="300" w:lineRule="auto"/>
        <w:ind w:firstLine="480" w:firstLineChars="200"/>
        <w:jc w:val="center"/>
        <w:rPr>
          <w:rFonts w:hint="eastAsia" w:ascii="宋体" w:hAnsi="宋体" w:eastAsia="宋体" w:cs="宋体"/>
          <w:color w:val="auto"/>
          <w:sz w:val="24"/>
          <w:highlight w:val="none"/>
        </w:rPr>
      </w:pPr>
    </w:p>
    <w:p w14:paraId="20A1DF80">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p>
    <w:p w14:paraId="55FD9557">
      <w:pPr>
        <w:spacing w:line="300" w:lineRule="auto"/>
        <w:jc w:val="center"/>
        <w:rPr>
          <w:rFonts w:hint="eastAsia" w:ascii="宋体" w:hAnsi="宋体" w:eastAsia="宋体" w:cs="宋体"/>
          <w:color w:val="auto"/>
          <w:sz w:val="24"/>
          <w:highlight w:val="none"/>
        </w:rPr>
      </w:pPr>
    </w:p>
    <w:p w14:paraId="6E47209A">
      <w:pPr>
        <w:rPr>
          <w:rFonts w:hint="eastAsia" w:ascii="宋体" w:hAnsi="宋体" w:eastAsia="宋体" w:cs="宋体"/>
          <w:b/>
          <w:bCs/>
          <w:color w:val="auto"/>
          <w:kern w:val="2"/>
          <w:sz w:val="21"/>
          <w:szCs w:val="21"/>
          <w:highlight w:val="none"/>
        </w:rPr>
      </w:pPr>
      <w:r>
        <w:rPr>
          <w:rFonts w:hint="eastAsia" w:ascii="宋体" w:hAnsi="宋体" w:eastAsia="宋体" w:cs="宋体"/>
          <w:color w:val="auto"/>
          <w:sz w:val="24"/>
          <w:highlight w:val="none"/>
        </w:rPr>
        <w:t xml:space="preserve">                                  年     月     日</w:t>
      </w:r>
    </w:p>
    <w:bookmarkEnd w:id="265"/>
    <w:p w14:paraId="1E192B59">
      <w:pPr>
        <w:widowControl/>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4BCBF960">
      <w:pPr>
        <w:pStyle w:val="2"/>
        <w:spacing w:beforeLines="100" w:after="0" w:line="360" w:lineRule="auto"/>
        <w:ind w:left="0" w:leftChars="0" w:hanging="680"/>
        <w:jc w:val="center"/>
        <w:rPr>
          <w:rFonts w:hint="eastAsia" w:ascii="宋体" w:hAnsi="宋体" w:eastAsia="宋体" w:cs="宋体"/>
          <w:b/>
          <w:color w:val="auto"/>
          <w:sz w:val="24"/>
          <w:szCs w:val="24"/>
          <w:highlight w:val="none"/>
        </w:rPr>
      </w:pPr>
      <w:r>
        <w:rPr>
          <w:rStyle w:val="146"/>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拟投入本项目的服务团队人员表</w:t>
      </w:r>
    </w:p>
    <w:tbl>
      <w:tblPr>
        <w:tblStyle w:val="46"/>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14:paraId="1A5FD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8D3BBA2">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14:paraId="2D4C27BA">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14:paraId="42822DAD">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14:paraId="6BE09D4B">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14:paraId="1F9EABD1">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5EE8C761">
            <w:pPr>
              <w:keepNext w:val="0"/>
              <w:keepLines w:val="0"/>
              <w:suppressLineNumbers w:val="0"/>
              <w:spacing w:before="0" w:beforeAutospacing="0" w:after="0" w:afterAutospacing="0"/>
              <w:ind w:left="0" w:right="0"/>
              <w:jc w:val="center"/>
              <w:rPr>
                <w:rFonts w:hint="default" w:hAnsi="宋体" w:cs="宋体"/>
                <w:bCs/>
                <w:color w:val="auto"/>
                <w:sz w:val="24"/>
                <w:szCs w:val="24"/>
                <w:highlight w:val="none"/>
              </w:rPr>
            </w:pPr>
            <w:r>
              <w:rPr>
                <w:rFonts w:hint="eastAsia" w:hAnsi="宋体" w:cs="宋体"/>
                <w:bCs/>
                <w:color w:val="auto"/>
                <w:sz w:val="24"/>
                <w:szCs w:val="24"/>
                <w:highlight w:val="none"/>
              </w:rPr>
              <w:t>专业</w:t>
            </w:r>
          </w:p>
          <w:p w14:paraId="464DD951">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年限</w:t>
            </w:r>
          </w:p>
        </w:tc>
        <w:tc>
          <w:tcPr>
            <w:tcW w:w="1080" w:type="dxa"/>
            <w:tcBorders>
              <w:top w:val="single" w:color="000000" w:sz="4" w:space="0"/>
              <w:left w:val="single" w:color="000000" w:sz="4" w:space="0"/>
              <w:bottom w:val="single" w:color="000000" w:sz="4" w:space="0"/>
              <w:right w:val="single" w:color="000000" w:sz="4" w:space="0"/>
            </w:tcBorders>
            <w:vAlign w:val="center"/>
          </w:tcPr>
          <w:p w14:paraId="305F2F9E">
            <w:pPr>
              <w:keepNext w:val="0"/>
              <w:keepLines w:val="0"/>
              <w:suppressLineNumbers w:val="0"/>
              <w:spacing w:before="0" w:beforeAutospacing="0" w:after="0" w:afterAutospacing="0"/>
              <w:ind w:left="0" w:right="0"/>
              <w:jc w:val="center"/>
              <w:rPr>
                <w:rFonts w:hint="default" w:hAnsi="宋体" w:cs="宋体"/>
                <w:bCs/>
                <w:color w:val="auto"/>
                <w:sz w:val="24"/>
                <w:szCs w:val="24"/>
                <w:highlight w:val="none"/>
              </w:rPr>
            </w:pPr>
            <w:r>
              <w:rPr>
                <w:rFonts w:hint="eastAsia" w:hAnsi="宋体" w:cs="宋体"/>
                <w:bCs/>
                <w:color w:val="auto"/>
                <w:sz w:val="24"/>
                <w:szCs w:val="24"/>
                <w:highlight w:val="none"/>
              </w:rPr>
              <w:t>职务</w:t>
            </w:r>
          </w:p>
          <w:p w14:paraId="6E7118F3">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和职称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75075199">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联系方式</w:t>
            </w:r>
          </w:p>
        </w:tc>
      </w:tr>
      <w:tr w14:paraId="4808B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31C970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787947C">
            <w:pPr>
              <w:pStyle w:val="128"/>
              <w:keepNext w:val="0"/>
              <w:keepLines w:val="0"/>
              <w:widowControl w:val="0"/>
              <w:suppressLineNumbers w:val="0"/>
              <w:pBdr>
                <w:left w:val="none" w:color="auto" w:sz="0" w:space="0"/>
                <w:bottom w:val="none" w:color="auto" w:sz="0" w:space="0"/>
                <w:right w:val="none" w:color="auto" w:sz="0" w:space="0"/>
              </w:pBdr>
              <w:spacing w:before="0" w:beforeAutospacing="0" w:after="0" w:afterAutospacing="0" w:line="460" w:lineRule="exact"/>
              <w:ind w:left="0" w:right="0"/>
              <w:jc w:val="center"/>
              <w:textAlignment w:val="auto"/>
              <w:rPr>
                <w:rFonts w:hint="eastAsia" w:ascii="宋体" w:hAnsi="宋体" w:eastAsia="宋体" w:cs="宋体"/>
                <w:color w:val="auto"/>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A11308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DD450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8E5F1B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DBF451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7DF05A3">
            <w:pPr>
              <w:pStyle w:val="27"/>
              <w:keepNext w:val="0"/>
              <w:keepLines w:val="0"/>
              <w:suppressLineNumbers w:val="0"/>
              <w:spacing w:before="0" w:beforeAutospacing="0" w:after="0" w:afterAutospacing="0" w:line="460" w:lineRule="exact"/>
              <w:ind w:left="850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636AA1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721AD3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C0F545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F17A97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977B5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791886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84D8DF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5A1C1C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BA3671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C5416F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0D071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8DF394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DD96A4D">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E57AD8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EBD011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5A4FFF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08BCD8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1D8614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BE29EF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16FC4F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203FBD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690292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298E38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DD45D3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A97DB6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5D03FD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460E80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8B2211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06F796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7F0442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0845C1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CAB8D9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F52FD7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BA09D4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7F391A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647EA9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C5123F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56D07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F50B97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A08BC1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6E8357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C7F031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379A35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9EB04F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C9FB80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67126F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641DD4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1D60F66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744E5B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B5730A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5D1277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D143B2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D2AE57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84A2D0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5EF796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42BB5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EA83B9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DDDD83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0993BC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3EDCFD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27A66A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A8A209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17112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9A772E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51FAC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B212F4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A972D5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346CE6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7F1AAA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C510DD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1660F3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7E462D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CE9C04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3285F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084C8D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0B81E1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B68592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8A741D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2F9AC7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9668DD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0C9228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FD8D25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3B5A4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00B892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65F806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5C1B44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F357A5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E9716B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A9842F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FB35CE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02154F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0A7D6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10A0C9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BD8A4C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89712E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3EC55A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402DC1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084521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0DC69F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6355EE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5310E8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415AC9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A172A1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3F110F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BD1209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61190D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52AC59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15055B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99ABBB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7D71CD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399B06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9885BF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F20F67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2B8925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4780B2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4E5A0C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09A981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6A415B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64AED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55F7B7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41B6E3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E816D2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AAAE35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269FAE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3E1AE2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00D657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07CD5A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r w14:paraId="5DF23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45E24C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149B146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FBEB2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ECFEFA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CB8743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6188C3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12BC03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151865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2"/>
                <w:szCs w:val="20"/>
                <w:highlight w:val="none"/>
              </w:rPr>
            </w:pPr>
          </w:p>
        </w:tc>
      </w:tr>
    </w:tbl>
    <w:p w14:paraId="01BA7347">
      <w:pPr>
        <w:spacing w:line="4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注：1.本表应附毕业证书（或学位证书）、职称证书、身份证、</w:t>
      </w:r>
      <w:r>
        <w:rPr>
          <w:rFonts w:hint="eastAsia" w:ascii="宋体" w:hAnsi="宋体" w:eastAsia="宋体" w:cs="宋体"/>
          <w:color w:val="auto"/>
          <w:kern w:val="2"/>
          <w:sz w:val="21"/>
          <w:szCs w:val="21"/>
          <w:highlight w:val="none"/>
        </w:rPr>
        <w:t>资质资格证书、荣誉证书、社保证明</w:t>
      </w:r>
      <w:r>
        <w:rPr>
          <w:rFonts w:hint="eastAsia" w:ascii="宋体" w:hAnsi="宋体" w:eastAsia="宋体" w:cs="宋体"/>
          <w:color w:val="auto"/>
          <w:sz w:val="21"/>
          <w:szCs w:val="21"/>
          <w:highlight w:val="none"/>
        </w:rPr>
        <w:t>等证明文件复印件。</w:t>
      </w:r>
    </w:p>
    <w:p w14:paraId="0F5590FC">
      <w:pPr>
        <w:spacing w:line="46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2.表格可以延续。</w:t>
      </w:r>
    </w:p>
    <w:p w14:paraId="1CD14A51">
      <w:pPr>
        <w:spacing w:line="460" w:lineRule="atLeast"/>
        <w:ind w:firstLine="480"/>
        <w:rPr>
          <w:rFonts w:hint="eastAsia" w:ascii="宋体" w:hAnsi="宋体" w:eastAsia="宋体" w:cs="宋体"/>
          <w:color w:val="auto"/>
          <w:sz w:val="21"/>
          <w:szCs w:val="21"/>
          <w:highlight w:val="none"/>
        </w:rPr>
      </w:pPr>
    </w:p>
    <w:p w14:paraId="0C481290">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供应商全称（加盖公章）：              </w:t>
      </w:r>
    </w:p>
    <w:p w14:paraId="1AE96520">
      <w:pPr>
        <w:spacing w:line="300" w:lineRule="auto"/>
        <w:ind w:firstLine="420" w:firstLineChars="200"/>
        <w:jc w:val="center"/>
        <w:rPr>
          <w:rFonts w:hint="eastAsia" w:ascii="宋体" w:hAnsi="宋体" w:eastAsia="宋体" w:cs="宋体"/>
          <w:color w:val="auto"/>
          <w:sz w:val="21"/>
          <w:szCs w:val="21"/>
          <w:highlight w:val="none"/>
        </w:rPr>
      </w:pPr>
    </w:p>
    <w:p w14:paraId="346E1E54">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25F71331">
      <w:pPr>
        <w:spacing w:line="300" w:lineRule="auto"/>
        <w:jc w:val="center"/>
        <w:rPr>
          <w:rFonts w:hint="eastAsia" w:ascii="宋体" w:hAnsi="宋体" w:eastAsia="宋体" w:cs="宋体"/>
          <w:color w:val="auto"/>
          <w:sz w:val="21"/>
          <w:szCs w:val="21"/>
          <w:highlight w:val="none"/>
        </w:rPr>
      </w:pPr>
    </w:p>
    <w:p w14:paraId="1675C332">
      <w:pPr>
        <w:widowControl/>
        <w:autoSpaceDE/>
        <w:autoSpaceDN/>
        <w:adjustRightIn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1630DA6">
      <w:pPr>
        <w:pStyle w:val="2"/>
        <w:ind w:left="680"/>
        <w:rPr>
          <w:rFonts w:hint="eastAsia" w:ascii="宋体" w:hAnsi="宋体" w:eastAsia="宋体" w:cs="宋体"/>
          <w:color w:val="auto"/>
          <w:highlight w:val="none"/>
        </w:rPr>
      </w:pPr>
    </w:p>
    <w:p w14:paraId="2E3778EE">
      <w:pPr>
        <w:pStyle w:val="20"/>
        <w:ind w:firstLine="28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986AAE">
      <w:pPr>
        <w:autoSpaceDE/>
        <w:autoSpaceDN/>
        <w:adjustRightInd/>
        <w:spacing w:line="460" w:lineRule="exact"/>
        <w:jc w:val="center"/>
        <w:textAlignment w:val="auto"/>
        <w:rPr>
          <w:rFonts w:hint="eastAsia" w:ascii="宋体" w:hAnsi="宋体" w:eastAsia="宋体" w:cs="宋体"/>
          <w:b/>
          <w:color w:val="auto"/>
          <w:sz w:val="28"/>
          <w:highlight w:val="none"/>
          <w:lang w:val="en-US" w:eastAsia="zh-CN"/>
        </w:rPr>
      </w:pPr>
    </w:p>
    <w:p w14:paraId="2FA6FEA0">
      <w:pPr>
        <w:autoSpaceDE/>
        <w:autoSpaceDN/>
        <w:adjustRightInd/>
        <w:spacing w:line="460" w:lineRule="exact"/>
        <w:jc w:val="center"/>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28"/>
          <w:highlight w:val="none"/>
        </w:rPr>
        <w:t>.商务条款偏离表</w:t>
      </w:r>
    </w:p>
    <w:p w14:paraId="78749D88">
      <w:pPr>
        <w:pStyle w:val="43"/>
        <w:widowControl w:val="0"/>
        <w:ind w:firstLine="720" w:firstLineChars="300"/>
        <w:rPr>
          <w:rFonts w:hint="eastAsia" w:ascii="宋体" w:hAnsi="宋体" w:eastAsia="宋体" w:cs="宋体"/>
          <w:color w:val="auto"/>
          <w:highlight w:val="none"/>
          <w:u w:val="single"/>
        </w:rPr>
      </w:pPr>
      <w:r>
        <w:rPr>
          <w:rFonts w:hint="eastAsia" w:ascii="宋体" w:hAnsi="宋体" w:eastAsia="宋体" w:cs="宋体"/>
          <w:color w:val="auto"/>
          <w:highlight w:val="none"/>
        </w:rPr>
        <w:t>项目名称：           项目编号：</w:t>
      </w:r>
    </w:p>
    <w:tbl>
      <w:tblPr>
        <w:tblStyle w:val="46"/>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1501"/>
      </w:tblGrid>
      <w:tr w14:paraId="5F4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14:paraId="7ABD676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914" w:type="dxa"/>
            <w:vAlign w:val="center"/>
          </w:tcPr>
          <w:p w14:paraId="58C148E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01" w:type="dxa"/>
            <w:vAlign w:val="center"/>
          </w:tcPr>
          <w:p w14:paraId="7A58C4F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竞争性磋商文件的具体要求</w:t>
            </w:r>
          </w:p>
        </w:tc>
        <w:tc>
          <w:tcPr>
            <w:tcW w:w="2029" w:type="dxa"/>
            <w:vAlign w:val="center"/>
          </w:tcPr>
          <w:p w14:paraId="7C30B67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响应竞争性磋商文件的响应或承诺</w:t>
            </w:r>
          </w:p>
        </w:tc>
        <w:tc>
          <w:tcPr>
            <w:tcW w:w="1501" w:type="dxa"/>
            <w:vAlign w:val="center"/>
          </w:tcPr>
          <w:p w14:paraId="14CCF78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C4C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14:paraId="44A444C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70FAC674">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p>
          <w:p w14:paraId="26CA3D3A">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p w14:paraId="3C3BE2C0">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款</w:t>
            </w:r>
          </w:p>
        </w:tc>
        <w:tc>
          <w:tcPr>
            <w:tcW w:w="914" w:type="dxa"/>
            <w:vAlign w:val="center"/>
          </w:tcPr>
          <w:p w14:paraId="74371D0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101" w:type="dxa"/>
            <w:vAlign w:val="center"/>
          </w:tcPr>
          <w:p w14:paraId="40F2609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029" w:type="dxa"/>
            <w:vAlign w:val="center"/>
          </w:tcPr>
          <w:p w14:paraId="5D74835B">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1501" w:type="dxa"/>
            <w:vAlign w:val="center"/>
          </w:tcPr>
          <w:p w14:paraId="263C2859">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6A1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0767BD74">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914" w:type="dxa"/>
            <w:vAlign w:val="center"/>
          </w:tcPr>
          <w:p w14:paraId="0D4F33F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101" w:type="dxa"/>
            <w:vAlign w:val="center"/>
          </w:tcPr>
          <w:p w14:paraId="03C0E06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029" w:type="dxa"/>
            <w:vAlign w:val="center"/>
          </w:tcPr>
          <w:p w14:paraId="0D1A2AFC">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1501" w:type="dxa"/>
            <w:vAlign w:val="center"/>
          </w:tcPr>
          <w:p w14:paraId="5BD9889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E0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4B7611D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914" w:type="dxa"/>
            <w:vAlign w:val="center"/>
          </w:tcPr>
          <w:p w14:paraId="12D41A4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101" w:type="dxa"/>
            <w:vAlign w:val="center"/>
          </w:tcPr>
          <w:p w14:paraId="4D5AE6A2">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029" w:type="dxa"/>
            <w:vAlign w:val="center"/>
          </w:tcPr>
          <w:p w14:paraId="44C431F8">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1501" w:type="dxa"/>
            <w:vAlign w:val="center"/>
          </w:tcPr>
          <w:p w14:paraId="54E68129">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00C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7A949E21">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914" w:type="dxa"/>
            <w:vAlign w:val="center"/>
          </w:tcPr>
          <w:p w14:paraId="0D3EE7B4">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101" w:type="dxa"/>
            <w:vAlign w:val="center"/>
          </w:tcPr>
          <w:p w14:paraId="49567569">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2029" w:type="dxa"/>
            <w:vAlign w:val="center"/>
          </w:tcPr>
          <w:p w14:paraId="25160F0C">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1501" w:type="dxa"/>
            <w:vAlign w:val="center"/>
          </w:tcPr>
          <w:p w14:paraId="03354EC0">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bl>
    <w:p w14:paraId="20578F08">
      <w:pPr>
        <w:pStyle w:val="25"/>
        <w:spacing w:line="360" w:lineRule="auto"/>
        <w:rPr>
          <w:rFonts w:hint="eastAsia" w:ascii="宋体" w:hAnsi="宋体" w:eastAsia="宋体" w:cs="宋体"/>
          <w:color w:val="auto"/>
          <w:highlight w:val="none"/>
        </w:rPr>
      </w:pPr>
    </w:p>
    <w:p w14:paraId="6A5B0993">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说明：1.各供应商可根据自身的具体情况，自行填写其他承诺事项。</w:t>
      </w:r>
    </w:p>
    <w:p w14:paraId="1EAD87F1">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2.供应商的承诺内容须具体明确。响应情况分别为：正偏离、响应或负偏离。供应商可在备注栏内就偏离原因进行简要说明。</w:t>
      </w:r>
    </w:p>
    <w:p w14:paraId="4AD8C3DD">
      <w:pPr>
        <w:pStyle w:val="25"/>
        <w:spacing w:line="360" w:lineRule="auto"/>
        <w:ind w:firstLine="720" w:firstLineChars="300"/>
        <w:rPr>
          <w:rFonts w:hint="eastAsia" w:ascii="宋体" w:hAnsi="宋体" w:eastAsia="宋体" w:cs="宋体"/>
          <w:color w:val="auto"/>
          <w:sz w:val="24"/>
          <w:szCs w:val="24"/>
          <w:highlight w:val="none"/>
        </w:rPr>
      </w:pPr>
    </w:p>
    <w:p w14:paraId="66194B38">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供应商（盖章）：__________________________</w:t>
      </w:r>
    </w:p>
    <w:p w14:paraId="0F57C8DB">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法定代表人或其授权代表（签字）：__________________</w:t>
      </w:r>
    </w:p>
    <w:p w14:paraId="1BDFA7CA">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日期：年____月____日</w:t>
      </w:r>
    </w:p>
    <w:p w14:paraId="5F5ED1DD">
      <w:pPr>
        <w:pStyle w:val="2"/>
        <w:ind w:left="680"/>
        <w:rPr>
          <w:rFonts w:hint="eastAsia" w:ascii="宋体" w:hAnsi="宋体" w:eastAsia="宋体" w:cs="宋体"/>
          <w:color w:val="auto"/>
          <w:sz w:val="24"/>
          <w:szCs w:val="24"/>
          <w:highlight w:val="none"/>
        </w:rPr>
      </w:pPr>
    </w:p>
    <w:p w14:paraId="2024EA5B">
      <w:pPr>
        <w:rPr>
          <w:rFonts w:hint="eastAsia" w:ascii="宋体" w:hAnsi="宋体" w:eastAsia="宋体" w:cs="宋体"/>
          <w:color w:val="auto"/>
          <w:sz w:val="24"/>
          <w:szCs w:val="24"/>
          <w:highlight w:val="none"/>
        </w:rPr>
      </w:pPr>
    </w:p>
    <w:p w14:paraId="2AF66A11">
      <w:pPr>
        <w:pStyle w:val="2"/>
        <w:ind w:left="680"/>
        <w:rPr>
          <w:rFonts w:hint="eastAsia" w:ascii="宋体" w:hAnsi="宋体" w:eastAsia="宋体" w:cs="宋体"/>
          <w:color w:val="auto"/>
          <w:sz w:val="24"/>
          <w:szCs w:val="24"/>
          <w:highlight w:val="none"/>
        </w:rPr>
      </w:pPr>
    </w:p>
    <w:p w14:paraId="38CAB32F">
      <w:pPr>
        <w:rPr>
          <w:rFonts w:hint="eastAsia" w:ascii="宋体" w:hAnsi="宋体" w:eastAsia="宋体" w:cs="宋体"/>
          <w:color w:val="auto"/>
          <w:sz w:val="24"/>
          <w:szCs w:val="24"/>
          <w:highlight w:val="none"/>
        </w:rPr>
      </w:pPr>
    </w:p>
    <w:p w14:paraId="61540504">
      <w:pPr>
        <w:pStyle w:val="2"/>
        <w:ind w:left="680"/>
        <w:rPr>
          <w:rFonts w:hint="eastAsia" w:ascii="宋体" w:hAnsi="宋体" w:eastAsia="宋体" w:cs="宋体"/>
          <w:color w:val="auto"/>
          <w:sz w:val="24"/>
          <w:szCs w:val="24"/>
          <w:highlight w:val="none"/>
        </w:rPr>
      </w:pPr>
    </w:p>
    <w:p w14:paraId="40218C9B">
      <w:pPr>
        <w:rPr>
          <w:rFonts w:hint="eastAsia" w:ascii="宋体" w:hAnsi="宋体" w:eastAsia="宋体" w:cs="宋体"/>
          <w:color w:val="auto"/>
          <w:sz w:val="24"/>
          <w:szCs w:val="24"/>
          <w:highlight w:val="none"/>
        </w:rPr>
      </w:pPr>
    </w:p>
    <w:p w14:paraId="28856410">
      <w:pPr>
        <w:autoSpaceDE/>
        <w:autoSpaceDN/>
        <w:adjustRightInd/>
        <w:spacing w:line="500" w:lineRule="exact"/>
        <w:ind w:firstLine="480" w:firstLineChars="200"/>
        <w:jc w:val="both"/>
        <w:textAlignment w:val="auto"/>
        <w:rPr>
          <w:rFonts w:hAnsi="宋体"/>
          <w:color w:val="auto"/>
          <w:sz w:val="24"/>
          <w:highlight w:val="none"/>
        </w:rPr>
      </w:pPr>
    </w:p>
    <w:p w14:paraId="075F7BE4">
      <w:pPr>
        <w:autoSpaceDE/>
        <w:autoSpaceDN/>
        <w:adjustRightInd/>
        <w:spacing w:line="500" w:lineRule="exact"/>
        <w:ind w:firstLine="480" w:firstLineChars="200"/>
        <w:jc w:val="both"/>
        <w:textAlignment w:val="auto"/>
        <w:rPr>
          <w:rFonts w:hAnsi="宋体"/>
          <w:color w:val="auto"/>
          <w:sz w:val="24"/>
          <w:highlight w:val="none"/>
        </w:rPr>
      </w:pPr>
    </w:p>
    <w:p w14:paraId="59832306">
      <w:pPr>
        <w:autoSpaceDE/>
        <w:autoSpaceDN/>
        <w:adjustRightInd/>
        <w:spacing w:line="500" w:lineRule="exact"/>
        <w:ind w:firstLine="480" w:firstLineChars="200"/>
        <w:jc w:val="both"/>
        <w:textAlignment w:val="auto"/>
        <w:rPr>
          <w:rFonts w:hAnsi="宋体"/>
          <w:color w:val="auto"/>
          <w:sz w:val="24"/>
          <w:highlight w:val="none"/>
        </w:rPr>
      </w:pPr>
    </w:p>
    <w:p w14:paraId="2388D741">
      <w:pPr>
        <w:snapToGrid w:val="0"/>
        <w:spacing w:before="50" w:after="50"/>
        <w:jc w:val="center"/>
        <w:rPr>
          <w:rFonts w:hint="eastAsia" w:hAnsi="宋体"/>
          <w:b/>
          <w:color w:val="auto"/>
          <w:sz w:val="24"/>
          <w:szCs w:val="24"/>
          <w:highlight w:val="none"/>
          <w:lang w:val="en-US" w:eastAsia="zh-CN"/>
        </w:rPr>
      </w:pPr>
      <w:bookmarkStart w:id="288" w:name="_Toc255551952"/>
      <w:bookmarkStart w:id="289" w:name="_Toc237193473"/>
      <w:bookmarkStart w:id="290" w:name="_Toc361092710"/>
      <w:bookmarkStart w:id="291" w:name="_Toc256682238"/>
      <w:bookmarkStart w:id="292" w:name="_Toc237413935"/>
      <w:bookmarkStart w:id="293" w:name="_Toc256507110"/>
      <w:bookmarkStart w:id="294" w:name="_Toc237414030"/>
      <w:bookmarkStart w:id="295" w:name="_Toc256507276"/>
      <w:bookmarkStart w:id="296" w:name="_Toc237182521"/>
      <w:bookmarkStart w:id="297" w:name="_Toc237340129"/>
      <w:bookmarkStart w:id="298" w:name="_Toc237189802"/>
    </w:p>
    <w:p w14:paraId="3D7D4271">
      <w:pPr>
        <w:snapToGrid w:val="0"/>
        <w:spacing w:before="50" w:after="50"/>
        <w:jc w:val="center"/>
        <w:rPr>
          <w:rFonts w:hint="eastAsia" w:hAnsi="宋体"/>
          <w:b/>
          <w:color w:val="auto"/>
          <w:sz w:val="24"/>
          <w:szCs w:val="24"/>
          <w:highlight w:val="none"/>
          <w:lang w:val="en-US" w:eastAsia="zh-CN"/>
        </w:rPr>
      </w:pPr>
    </w:p>
    <w:p w14:paraId="51107D77">
      <w:pPr>
        <w:snapToGrid w:val="0"/>
        <w:spacing w:before="50" w:after="50"/>
        <w:jc w:val="center"/>
        <w:rPr>
          <w:rFonts w:hAnsi="宋体"/>
          <w:b/>
          <w:bCs/>
          <w:color w:val="auto"/>
          <w:sz w:val="24"/>
          <w:highlight w:val="none"/>
        </w:rPr>
      </w:pPr>
      <w:r>
        <w:rPr>
          <w:rFonts w:hint="eastAsia" w:hAnsi="宋体"/>
          <w:b/>
          <w:color w:val="auto"/>
          <w:sz w:val="24"/>
          <w:szCs w:val="24"/>
          <w:highlight w:val="none"/>
          <w:lang w:val="en-US" w:eastAsia="zh-CN"/>
        </w:rPr>
        <w:t>6</w:t>
      </w:r>
      <w:r>
        <w:rPr>
          <w:rFonts w:hint="eastAsia" w:hAnsi="宋体"/>
          <w:b/>
          <w:bCs/>
          <w:color w:val="auto"/>
          <w:sz w:val="24"/>
          <w:highlight w:val="none"/>
        </w:rPr>
        <w:t>.</w:t>
      </w:r>
      <w:r>
        <w:rPr>
          <w:rFonts w:hint="eastAsia" w:hAnsi="宋体"/>
          <w:b/>
          <w:bCs/>
          <w:color w:val="auto"/>
          <w:sz w:val="24"/>
          <w:highlight w:val="none"/>
          <w:lang w:eastAsia="zh-CN"/>
        </w:rPr>
        <w:t>202</w:t>
      </w:r>
      <w:r>
        <w:rPr>
          <w:rFonts w:hint="eastAsia" w:hAnsi="宋体"/>
          <w:b/>
          <w:bCs/>
          <w:color w:val="auto"/>
          <w:sz w:val="24"/>
          <w:highlight w:val="none"/>
          <w:lang w:val="en-US" w:eastAsia="zh-CN"/>
        </w:rPr>
        <w:t>1</w:t>
      </w:r>
      <w:r>
        <w:rPr>
          <w:rFonts w:hint="eastAsia" w:hAnsi="宋体"/>
          <w:b/>
          <w:bCs/>
          <w:color w:val="auto"/>
          <w:sz w:val="24"/>
          <w:highlight w:val="none"/>
          <w:lang w:eastAsia="zh-CN"/>
        </w:rPr>
        <w:t>年1月1日</w:t>
      </w:r>
      <w:r>
        <w:rPr>
          <w:rFonts w:hint="eastAsia" w:hAnsi="宋体"/>
          <w:b/>
          <w:bCs/>
          <w:color w:val="auto"/>
          <w:sz w:val="24"/>
          <w:highlight w:val="none"/>
        </w:rPr>
        <w:t>以来至今同类项目服务业绩</w:t>
      </w:r>
      <w:bookmarkEnd w:id="288"/>
      <w:bookmarkEnd w:id="289"/>
      <w:bookmarkEnd w:id="290"/>
      <w:bookmarkEnd w:id="291"/>
      <w:bookmarkEnd w:id="292"/>
      <w:bookmarkEnd w:id="293"/>
      <w:bookmarkEnd w:id="294"/>
      <w:bookmarkEnd w:id="295"/>
      <w:bookmarkEnd w:id="296"/>
      <w:bookmarkEnd w:id="297"/>
      <w:bookmarkEnd w:id="298"/>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14:paraId="1920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08E64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序号</w:t>
            </w:r>
          </w:p>
        </w:tc>
        <w:tc>
          <w:tcPr>
            <w:tcW w:w="1828" w:type="dxa"/>
            <w:tcBorders>
              <w:top w:val="single" w:color="auto" w:sz="4" w:space="0"/>
              <w:left w:val="single" w:color="auto" w:sz="4" w:space="0"/>
              <w:bottom w:val="single" w:color="auto" w:sz="4" w:space="0"/>
              <w:right w:val="single" w:color="auto" w:sz="4" w:space="0"/>
            </w:tcBorders>
            <w:vAlign w:val="center"/>
          </w:tcPr>
          <w:p w14:paraId="7E5F228A">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14:paraId="7D3F7F5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14:paraId="248D41F5">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14:paraId="440EC2F6">
            <w:pPr>
              <w:keepNext w:val="0"/>
              <w:keepLines w:val="0"/>
              <w:suppressLineNumbers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合同金额</w:t>
            </w:r>
          </w:p>
          <w:p w14:paraId="39B7675C">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（人民币）</w:t>
            </w:r>
          </w:p>
        </w:tc>
        <w:tc>
          <w:tcPr>
            <w:tcW w:w="901" w:type="dxa"/>
            <w:tcBorders>
              <w:top w:val="single" w:color="auto" w:sz="4" w:space="0"/>
              <w:left w:val="single" w:color="auto" w:sz="4" w:space="0"/>
              <w:bottom w:val="single" w:color="auto" w:sz="4" w:space="0"/>
              <w:right w:val="single" w:color="auto" w:sz="4" w:space="0"/>
            </w:tcBorders>
            <w:vAlign w:val="center"/>
          </w:tcPr>
          <w:p w14:paraId="6BBCE852">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备注</w:t>
            </w:r>
          </w:p>
        </w:tc>
      </w:tr>
      <w:tr w14:paraId="662A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CC646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06FCDA83">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2514C9C0">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6AEE68F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13798E2">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393FB6DC">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093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408C1E">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7C0AA62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2698F920">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449DCF27">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416F4A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08D4188D">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29EB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ECAD41">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3D79E5C1">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51C97AB5">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7F593A36">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6C456AD1">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284A49B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7A2D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8B4604">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390430C0">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4958657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395B666D">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FAEA787">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0BB320D6">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7E51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6A8F8F">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51349D5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5C0BDFF4">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37F29A77">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5ABA853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2AB3646F">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7108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0D5C5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5B2AFBD3">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0944A30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5FEC821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B6E64C2">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162B9C3A">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0B90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1EE930">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52953452">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1098D075">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5DF27D6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22C9FD8C">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61AFEB79">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795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E029E1">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0082D6EC">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7CC0347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35EB7D68">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7E66F997">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3E0C37F">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r w14:paraId="5708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F48691">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4BF8A646">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3AA1B093">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1D1892CB">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09D8F0D2">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3FC35B7C">
            <w:pPr>
              <w:keepNext w:val="0"/>
              <w:keepLines w:val="0"/>
              <w:widowControl/>
              <w:suppressLineNumbers w:val="0"/>
              <w:snapToGrid w:val="0"/>
              <w:spacing w:before="0" w:beforeAutospacing="0" w:after="0" w:afterAutospacing="0"/>
              <w:ind w:left="0" w:right="0"/>
              <w:jc w:val="center"/>
              <w:rPr>
                <w:rFonts w:hint="default" w:hAnsi="宋体"/>
                <w:color w:val="auto"/>
                <w:sz w:val="24"/>
                <w:szCs w:val="20"/>
                <w:highlight w:val="none"/>
              </w:rPr>
            </w:pPr>
            <w:r>
              <w:rPr>
                <w:rFonts w:hint="eastAsia" w:hAnsi="宋体"/>
                <w:color w:val="auto"/>
                <w:sz w:val="24"/>
                <w:szCs w:val="20"/>
                <w:highlight w:val="none"/>
              </w:rPr>
              <w:t> </w:t>
            </w:r>
          </w:p>
        </w:tc>
      </w:tr>
    </w:tbl>
    <w:p w14:paraId="2F188A6E">
      <w:pPr>
        <w:spacing w:line="300" w:lineRule="auto"/>
        <w:jc w:val="center"/>
        <w:rPr>
          <w:rFonts w:hAnsi="宋体"/>
          <w:color w:val="auto"/>
          <w:sz w:val="21"/>
          <w:szCs w:val="21"/>
          <w:highlight w:val="none"/>
        </w:rPr>
      </w:pPr>
    </w:p>
    <w:p w14:paraId="7BFC68BD">
      <w:pPr>
        <w:spacing w:line="300" w:lineRule="auto"/>
        <w:rPr>
          <w:rFonts w:hAnsi="宋体"/>
          <w:color w:val="auto"/>
          <w:sz w:val="24"/>
          <w:highlight w:val="none"/>
        </w:rPr>
      </w:pPr>
      <w:r>
        <w:rPr>
          <w:rFonts w:hint="eastAsia" w:hAnsi="宋体"/>
          <w:color w:val="auto"/>
          <w:sz w:val="24"/>
          <w:highlight w:val="none"/>
        </w:rPr>
        <w:t xml:space="preserve">供应商全称（加盖公章）：            </w:t>
      </w:r>
    </w:p>
    <w:p w14:paraId="783704D1">
      <w:pPr>
        <w:spacing w:line="300" w:lineRule="auto"/>
        <w:jc w:val="center"/>
        <w:rPr>
          <w:rFonts w:hAnsi="宋体"/>
          <w:color w:val="auto"/>
          <w:sz w:val="24"/>
          <w:highlight w:val="none"/>
        </w:rPr>
      </w:pPr>
    </w:p>
    <w:p w14:paraId="0A804CAF">
      <w:pPr>
        <w:spacing w:line="300" w:lineRule="auto"/>
        <w:rPr>
          <w:rFonts w:hAnsi="宋体"/>
          <w:color w:val="auto"/>
          <w:sz w:val="24"/>
          <w:highlight w:val="none"/>
        </w:rPr>
      </w:pPr>
      <w:r>
        <w:rPr>
          <w:rFonts w:hint="eastAsia" w:hAnsi="宋体"/>
          <w:color w:val="auto"/>
          <w:sz w:val="24"/>
          <w:highlight w:val="none"/>
        </w:rPr>
        <w:t>法定代表人或其授权代表签字：</w:t>
      </w:r>
    </w:p>
    <w:p w14:paraId="1E79BFBA">
      <w:pPr>
        <w:spacing w:line="300" w:lineRule="auto"/>
        <w:jc w:val="center"/>
        <w:rPr>
          <w:rFonts w:hAnsi="宋体"/>
          <w:color w:val="auto"/>
          <w:sz w:val="24"/>
          <w:highlight w:val="none"/>
        </w:rPr>
      </w:pPr>
    </w:p>
    <w:p w14:paraId="1A4D3103">
      <w:pPr>
        <w:autoSpaceDE/>
        <w:autoSpaceDN/>
        <w:adjustRightInd/>
        <w:spacing w:line="500" w:lineRule="exact"/>
        <w:ind w:firstLine="480" w:firstLineChars="200"/>
        <w:jc w:val="both"/>
        <w:textAlignment w:val="auto"/>
        <w:rPr>
          <w:rFonts w:hAnsi="宋体"/>
          <w:color w:val="auto"/>
          <w:sz w:val="24"/>
          <w:highlight w:val="none"/>
        </w:rPr>
      </w:pPr>
      <w:r>
        <w:rPr>
          <w:rFonts w:hint="eastAsia" w:hAnsi="宋体"/>
          <w:color w:val="auto"/>
          <w:sz w:val="24"/>
          <w:highlight w:val="none"/>
        </w:rPr>
        <w:t>年     月     日</w:t>
      </w:r>
    </w:p>
    <w:p w14:paraId="2F133FDB">
      <w:pPr>
        <w:autoSpaceDE/>
        <w:autoSpaceDN/>
        <w:adjustRightInd/>
        <w:spacing w:line="500" w:lineRule="exact"/>
        <w:ind w:firstLine="420" w:firstLineChars="200"/>
        <w:jc w:val="both"/>
        <w:textAlignment w:val="auto"/>
        <w:rPr>
          <w:rFonts w:hAnsi="宋体" w:cs="宋体"/>
          <w:color w:val="auto"/>
          <w:sz w:val="21"/>
          <w:szCs w:val="21"/>
          <w:highlight w:val="none"/>
        </w:rPr>
      </w:pPr>
    </w:p>
    <w:p w14:paraId="15FFC38C">
      <w:pPr>
        <w:pStyle w:val="2"/>
        <w:rPr>
          <w:rFonts w:hAnsi="宋体" w:cs="宋体"/>
          <w:color w:val="auto"/>
          <w:sz w:val="21"/>
          <w:szCs w:val="21"/>
          <w:highlight w:val="none"/>
        </w:rPr>
      </w:pPr>
    </w:p>
    <w:p w14:paraId="1C1CD0BB">
      <w:pPr>
        <w:rPr>
          <w:rFonts w:hAnsi="宋体" w:cs="宋体"/>
          <w:color w:val="auto"/>
          <w:sz w:val="21"/>
          <w:szCs w:val="21"/>
          <w:highlight w:val="none"/>
        </w:rPr>
      </w:pPr>
    </w:p>
    <w:p w14:paraId="292E18C4">
      <w:pPr>
        <w:pStyle w:val="2"/>
        <w:rPr>
          <w:rFonts w:hAnsi="宋体" w:cs="宋体"/>
          <w:color w:val="auto"/>
          <w:sz w:val="21"/>
          <w:szCs w:val="21"/>
          <w:highlight w:val="none"/>
        </w:rPr>
      </w:pPr>
    </w:p>
    <w:p w14:paraId="01E8E365">
      <w:pPr>
        <w:rPr>
          <w:rFonts w:hAnsi="宋体" w:cs="宋体"/>
          <w:color w:val="auto"/>
          <w:sz w:val="21"/>
          <w:szCs w:val="21"/>
          <w:highlight w:val="none"/>
        </w:rPr>
      </w:pPr>
    </w:p>
    <w:p w14:paraId="0F131FB4">
      <w:pPr>
        <w:pStyle w:val="2"/>
        <w:rPr>
          <w:rFonts w:hAnsi="宋体" w:cs="宋体"/>
          <w:color w:val="auto"/>
          <w:sz w:val="21"/>
          <w:szCs w:val="21"/>
          <w:highlight w:val="none"/>
        </w:rPr>
      </w:pPr>
    </w:p>
    <w:p w14:paraId="1E7670A3">
      <w:pPr>
        <w:rPr>
          <w:rFonts w:hAnsi="宋体" w:cs="宋体"/>
          <w:color w:val="auto"/>
          <w:sz w:val="21"/>
          <w:szCs w:val="21"/>
          <w:highlight w:val="none"/>
        </w:rPr>
      </w:pPr>
    </w:p>
    <w:p w14:paraId="40189212">
      <w:pPr>
        <w:pStyle w:val="2"/>
        <w:rPr>
          <w:rFonts w:hAnsi="宋体" w:cs="宋体"/>
          <w:color w:val="auto"/>
          <w:sz w:val="21"/>
          <w:szCs w:val="21"/>
          <w:highlight w:val="none"/>
        </w:rPr>
      </w:pPr>
    </w:p>
    <w:p w14:paraId="666C9B98">
      <w:pPr>
        <w:rPr>
          <w:rFonts w:hAnsi="宋体" w:cs="宋体"/>
          <w:color w:val="auto"/>
          <w:sz w:val="21"/>
          <w:szCs w:val="21"/>
          <w:highlight w:val="none"/>
        </w:rPr>
      </w:pPr>
    </w:p>
    <w:p w14:paraId="7F2320A6">
      <w:pPr>
        <w:pStyle w:val="2"/>
        <w:rPr>
          <w:rFonts w:hAnsi="宋体" w:cs="宋体"/>
          <w:color w:val="auto"/>
          <w:sz w:val="21"/>
          <w:szCs w:val="21"/>
          <w:highlight w:val="none"/>
        </w:rPr>
      </w:pPr>
    </w:p>
    <w:p w14:paraId="2F26D66F">
      <w:pPr>
        <w:rPr>
          <w:color w:val="auto"/>
          <w:highlight w:val="none"/>
        </w:rPr>
      </w:pPr>
    </w:p>
    <w:p w14:paraId="75BB51AF">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lang w:val="en-US" w:eastAsia="zh-CN"/>
        </w:rPr>
        <w:t>7</w:t>
      </w:r>
      <w:r>
        <w:rPr>
          <w:rFonts w:hint="eastAsia" w:hAnsi="宋体" w:cs="宋体"/>
          <w:color w:val="auto"/>
          <w:sz w:val="21"/>
          <w:szCs w:val="21"/>
          <w:highlight w:val="none"/>
        </w:rPr>
        <w:t>.</w:t>
      </w:r>
      <w:r>
        <w:rPr>
          <w:rFonts w:hint="eastAsia" w:hAnsi="宋体" w:cs="宋体"/>
          <w:bCs/>
          <w:color w:val="auto"/>
          <w:sz w:val="21"/>
          <w:szCs w:val="21"/>
          <w:highlight w:val="none"/>
        </w:rPr>
        <w:t>针对本项目的详细服务方案（格式自拟）；</w:t>
      </w:r>
    </w:p>
    <w:p w14:paraId="49183C14">
      <w:pPr>
        <w:autoSpaceDE/>
        <w:autoSpaceDN/>
        <w:adjustRightInd/>
        <w:spacing w:line="500" w:lineRule="exact"/>
        <w:ind w:firstLine="420" w:firstLineChars="200"/>
        <w:jc w:val="both"/>
        <w:textAlignment w:val="auto"/>
        <w:rPr>
          <w:rFonts w:hint="eastAsia" w:hAnsi="宋体" w:eastAsia="宋体" w:cs="宋体"/>
          <w:bCs/>
          <w:color w:val="auto"/>
          <w:sz w:val="21"/>
          <w:szCs w:val="21"/>
          <w:highlight w:val="none"/>
          <w:lang w:eastAsia="zh-CN"/>
        </w:rPr>
      </w:pPr>
    </w:p>
    <w:p w14:paraId="3D5DCC0F">
      <w:pPr>
        <w:autoSpaceDE/>
        <w:autoSpaceDN/>
        <w:adjustRightInd/>
        <w:spacing w:line="500" w:lineRule="exact"/>
        <w:ind w:firstLine="840" w:firstLineChars="400"/>
        <w:jc w:val="both"/>
        <w:textAlignment w:val="auto"/>
        <w:rPr>
          <w:rFonts w:hAnsi="宋体" w:cs="宋体"/>
          <w:color w:val="auto"/>
          <w:sz w:val="21"/>
          <w:szCs w:val="21"/>
          <w:highlight w:val="none"/>
        </w:rPr>
      </w:pPr>
    </w:p>
    <w:p w14:paraId="1CCD055E">
      <w:pPr>
        <w:autoSpaceDE/>
        <w:autoSpaceDN/>
        <w:adjustRightInd/>
        <w:spacing w:line="500" w:lineRule="exact"/>
        <w:ind w:firstLine="840" w:firstLineChars="400"/>
        <w:jc w:val="both"/>
        <w:textAlignment w:val="auto"/>
        <w:rPr>
          <w:rFonts w:hAnsi="宋体" w:cs="宋体"/>
          <w:color w:val="auto"/>
          <w:sz w:val="21"/>
          <w:szCs w:val="21"/>
          <w:highlight w:val="none"/>
        </w:rPr>
      </w:pPr>
    </w:p>
    <w:p w14:paraId="2D4383DF">
      <w:pPr>
        <w:spacing w:line="500" w:lineRule="exact"/>
        <w:ind w:firstLine="420" w:firstLineChars="200"/>
        <w:jc w:val="both"/>
        <w:textAlignment w:val="bottom"/>
        <w:rPr>
          <w:rFonts w:hAnsi="宋体" w:cs="宋体"/>
          <w:color w:val="auto"/>
          <w:sz w:val="21"/>
          <w:szCs w:val="21"/>
          <w:highlight w:val="none"/>
        </w:rPr>
      </w:pPr>
    </w:p>
    <w:p w14:paraId="605209D6">
      <w:pPr>
        <w:spacing w:line="500" w:lineRule="exact"/>
        <w:ind w:firstLine="420" w:firstLineChars="200"/>
        <w:jc w:val="both"/>
        <w:textAlignment w:val="bottom"/>
        <w:rPr>
          <w:rFonts w:hAnsi="宋体" w:cs="宋体"/>
          <w:color w:val="auto"/>
          <w:sz w:val="21"/>
          <w:szCs w:val="21"/>
          <w:highlight w:val="none"/>
        </w:rPr>
      </w:pPr>
    </w:p>
    <w:p w14:paraId="69BF56EA">
      <w:pPr>
        <w:spacing w:line="500" w:lineRule="exact"/>
        <w:ind w:firstLine="420" w:firstLineChars="200"/>
        <w:jc w:val="both"/>
        <w:textAlignment w:val="bottom"/>
        <w:rPr>
          <w:rFonts w:hAnsi="宋体" w:cs="宋体"/>
          <w:color w:val="auto"/>
          <w:sz w:val="21"/>
          <w:szCs w:val="21"/>
          <w:highlight w:val="none"/>
        </w:rPr>
      </w:pPr>
    </w:p>
    <w:p w14:paraId="6C143CBC">
      <w:pPr>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lang w:val="en-US" w:eastAsia="zh-CN"/>
        </w:rPr>
        <w:t>8</w:t>
      </w:r>
      <w:r>
        <w:rPr>
          <w:rFonts w:hint="eastAsia" w:hAnsi="宋体" w:cs="宋体"/>
          <w:color w:val="auto"/>
          <w:sz w:val="21"/>
          <w:szCs w:val="21"/>
          <w:highlight w:val="none"/>
        </w:rPr>
        <w:t>.评分规则中涉及的所需提供的资料；</w:t>
      </w:r>
    </w:p>
    <w:p w14:paraId="1EE9FA39">
      <w:pPr>
        <w:spacing w:line="500" w:lineRule="exact"/>
        <w:ind w:firstLine="420" w:firstLineChars="200"/>
        <w:jc w:val="both"/>
        <w:textAlignment w:val="bottom"/>
        <w:rPr>
          <w:rFonts w:hAnsi="宋体" w:cs="宋体"/>
          <w:color w:val="auto"/>
          <w:sz w:val="21"/>
          <w:szCs w:val="21"/>
          <w:highlight w:val="none"/>
        </w:rPr>
      </w:pPr>
    </w:p>
    <w:p w14:paraId="08DB17D7">
      <w:pPr>
        <w:spacing w:line="500" w:lineRule="exact"/>
        <w:ind w:firstLine="420" w:firstLineChars="200"/>
        <w:jc w:val="both"/>
        <w:textAlignment w:val="bottom"/>
        <w:rPr>
          <w:rFonts w:hAnsi="宋体" w:cs="宋体"/>
          <w:color w:val="auto"/>
          <w:sz w:val="21"/>
          <w:szCs w:val="21"/>
          <w:highlight w:val="none"/>
        </w:rPr>
      </w:pPr>
    </w:p>
    <w:p w14:paraId="3C90B7FF">
      <w:pPr>
        <w:spacing w:line="500" w:lineRule="exact"/>
        <w:ind w:firstLine="420" w:firstLineChars="200"/>
        <w:jc w:val="both"/>
        <w:textAlignment w:val="bottom"/>
        <w:rPr>
          <w:rFonts w:hAnsi="宋体" w:cs="宋体"/>
          <w:color w:val="auto"/>
          <w:sz w:val="21"/>
          <w:szCs w:val="21"/>
          <w:highlight w:val="none"/>
        </w:rPr>
      </w:pPr>
    </w:p>
    <w:p w14:paraId="0D372093">
      <w:pPr>
        <w:spacing w:line="500" w:lineRule="exact"/>
        <w:ind w:firstLine="420" w:firstLineChars="200"/>
        <w:jc w:val="both"/>
        <w:textAlignment w:val="bottom"/>
        <w:rPr>
          <w:rFonts w:hAnsi="宋体" w:cs="宋体"/>
          <w:color w:val="auto"/>
          <w:sz w:val="21"/>
          <w:highlight w:val="none"/>
        </w:rPr>
      </w:pPr>
      <w:r>
        <w:rPr>
          <w:rFonts w:hint="eastAsia" w:hAnsi="宋体" w:cs="宋体"/>
          <w:color w:val="auto"/>
          <w:sz w:val="21"/>
          <w:szCs w:val="21"/>
          <w:highlight w:val="none"/>
          <w:lang w:val="en-US" w:eastAsia="zh-CN"/>
        </w:rPr>
        <w:t>9</w:t>
      </w:r>
      <w:r>
        <w:rPr>
          <w:rFonts w:hint="eastAsia" w:hAnsi="宋体" w:cs="宋体"/>
          <w:color w:val="auto"/>
          <w:sz w:val="21"/>
          <w:szCs w:val="21"/>
          <w:highlight w:val="none"/>
        </w:rPr>
        <w:t>.磋商响应供应商需要说明的其他文件和说明（格式自拟）</w:t>
      </w:r>
    </w:p>
    <w:p w14:paraId="5A5D9CC0">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6C398359">
      <w:pPr>
        <w:autoSpaceDE/>
        <w:autoSpaceDN/>
        <w:adjustRightInd/>
        <w:spacing w:line="500" w:lineRule="exact"/>
        <w:ind w:firstLine="480" w:firstLineChars="200"/>
        <w:jc w:val="both"/>
        <w:textAlignment w:val="auto"/>
        <w:rPr>
          <w:rFonts w:hint="eastAsia" w:ascii="宋体" w:hAnsi="宋体" w:eastAsia="宋体" w:cs="宋体"/>
          <w:color w:val="auto"/>
          <w:sz w:val="24"/>
          <w:highlight w:val="none"/>
        </w:rPr>
      </w:pPr>
    </w:p>
    <w:p w14:paraId="7A5A8B21">
      <w:pPr>
        <w:autoSpaceDE/>
        <w:autoSpaceDN/>
        <w:adjustRightInd/>
        <w:spacing w:line="500" w:lineRule="exact"/>
        <w:ind w:firstLine="480" w:firstLineChars="200"/>
        <w:jc w:val="both"/>
        <w:textAlignment w:val="auto"/>
        <w:rPr>
          <w:rFonts w:hint="eastAsia" w:ascii="宋体" w:hAnsi="宋体" w:eastAsia="宋体" w:cs="宋体"/>
          <w:color w:val="auto"/>
          <w:sz w:val="24"/>
          <w:highlight w:val="none"/>
        </w:rPr>
      </w:pPr>
    </w:p>
    <w:p w14:paraId="3C335BF7">
      <w:pPr>
        <w:pStyle w:val="168"/>
        <w:rPr>
          <w:rFonts w:hint="eastAsia" w:ascii="宋体" w:hAnsi="宋体" w:eastAsia="宋体" w:cs="宋体"/>
          <w:color w:val="auto"/>
          <w:sz w:val="24"/>
          <w:highlight w:val="none"/>
        </w:rPr>
      </w:pPr>
    </w:p>
    <w:p w14:paraId="73ECEB4C">
      <w:pPr>
        <w:pStyle w:val="168"/>
        <w:rPr>
          <w:rFonts w:hint="eastAsia" w:ascii="宋体" w:hAnsi="宋体" w:eastAsia="宋体" w:cs="宋体"/>
          <w:color w:val="auto"/>
          <w:sz w:val="24"/>
          <w:highlight w:val="none"/>
        </w:rPr>
      </w:pPr>
    </w:p>
    <w:p w14:paraId="4B21333C">
      <w:pPr>
        <w:pStyle w:val="168"/>
        <w:rPr>
          <w:rFonts w:hint="eastAsia" w:ascii="宋体" w:hAnsi="宋体" w:eastAsia="宋体" w:cs="宋体"/>
          <w:color w:val="auto"/>
          <w:sz w:val="24"/>
          <w:highlight w:val="none"/>
        </w:rPr>
      </w:pPr>
    </w:p>
    <w:p w14:paraId="19D86150">
      <w:pPr>
        <w:pStyle w:val="168"/>
        <w:rPr>
          <w:rFonts w:hint="eastAsia" w:ascii="宋体" w:hAnsi="宋体" w:eastAsia="宋体" w:cs="宋体"/>
          <w:color w:val="auto"/>
          <w:sz w:val="24"/>
          <w:highlight w:val="none"/>
        </w:rPr>
      </w:pPr>
    </w:p>
    <w:p w14:paraId="749A30EC">
      <w:pPr>
        <w:pStyle w:val="168"/>
        <w:rPr>
          <w:rFonts w:hint="eastAsia" w:ascii="宋体" w:hAnsi="宋体" w:eastAsia="宋体" w:cs="宋体"/>
          <w:color w:val="auto"/>
          <w:sz w:val="24"/>
          <w:highlight w:val="none"/>
        </w:rPr>
      </w:pPr>
    </w:p>
    <w:p w14:paraId="131D4134">
      <w:pPr>
        <w:pStyle w:val="168"/>
        <w:rPr>
          <w:rFonts w:hint="eastAsia" w:ascii="宋体" w:hAnsi="宋体" w:eastAsia="宋体" w:cs="宋体"/>
          <w:color w:val="auto"/>
          <w:sz w:val="24"/>
          <w:highlight w:val="none"/>
        </w:rPr>
      </w:pPr>
    </w:p>
    <w:p w14:paraId="0BEC9044">
      <w:pPr>
        <w:pStyle w:val="168"/>
        <w:rPr>
          <w:rFonts w:hint="eastAsia" w:ascii="宋体" w:hAnsi="宋体" w:eastAsia="宋体" w:cs="宋体"/>
          <w:color w:val="auto"/>
          <w:sz w:val="24"/>
          <w:highlight w:val="none"/>
        </w:rPr>
      </w:pPr>
    </w:p>
    <w:p w14:paraId="752586F6">
      <w:pPr>
        <w:pStyle w:val="168"/>
        <w:rPr>
          <w:rFonts w:hint="eastAsia" w:ascii="宋体" w:hAnsi="宋体" w:eastAsia="宋体" w:cs="宋体"/>
          <w:color w:val="auto"/>
          <w:sz w:val="24"/>
          <w:highlight w:val="none"/>
        </w:rPr>
      </w:pPr>
    </w:p>
    <w:p w14:paraId="172FBDF3">
      <w:pPr>
        <w:pStyle w:val="168"/>
        <w:rPr>
          <w:rFonts w:hint="eastAsia" w:ascii="宋体" w:hAnsi="宋体" w:eastAsia="宋体" w:cs="宋体"/>
          <w:color w:val="auto"/>
          <w:sz w:val="24"/>
          <w:highlight w:val="none"/>
        </w:rPr>
      </w:pPr>
    </w:p>
    <w:p w14:paraId="2341B10F">
      <w:pPr>
        <w:pStyle w:val="168"/>
        <w:rPr>
          <w:rFonts w:hint="eastAsia" w:ascii="宋体" w:hAnsi="宋体" w:eastAsia="宋体" w:cs="宋体"/>
          <w:color w:val="auto"/>
          <w:sz w:val="24"/>
          <w:highlight w:val="none"/>
        </w:rPr>
      </w:pPr>
    </w:p>
    <w:p w14:paraId="7A7758C1">
      <w:pPr>
        <w:pStyle w:val="168"/>
        <w:rPr>
          <w:rFonts w:hint="eastAsia" w:ascii="宋体" w:hAnsi="宋体" w:eastAsia="宋体" w:cs="宋体"/>
          <w:color w:val="auto"/>
          <w:sz w:val="24"/>
          <w:highlight w:val="none"/>
        </w:rPr>
      </w:pPr>
    </w:p>
    <w:p w14:paraId="40924036">
      <w:pPr>
        <w:pStyle w:val="168"/>
        <w:rPr>
          <w:rFonts w:hint="eastAsia" w:ascii="宋体" w:hAnsi="宋体" w:eastAsia="宋体" w:cs="宋体"/>
          <w:color w:val="auto"/>
          <w:sz w:val="24"/>
          <w:highlight w:val="none"/>
        </w:rPr>
      </w:pPr>
    </w:p>
    <w:p w14:paraId="1ED85A5B">
      <w:pPr>
        <w:pStyle w:val="168"/>
        <w:rPr>
          <w:rFonts w:hint="eastAsia" w:ascii="宋体" w:hAnsi="宋体" w:eastAsia="宋体" w:cs="宋体"/>
          <w:color w:val="auto"/>
          <w:sz w:val="24"/>
          <w:highlight w:val="none"/>
        </w:rPr>
      </w:pPr>
    </w:p>
    <w:p w14:paraId="362B2318">
      <w:pPr>
        <w:pStyle w:val="168"/>
        <w:rPr>
          <w:rFonts w:hint="eastAsia" w:ascii="宋体" w:hAnsi="宋体" w:eastAsia="宋体" w:cs="宋体"/>
          <w:color w:val="auto"/>
          <w:sz w:val="24"/>
          <w:highlight w:val="none"/>
        </w:rPr>
      </w:pPr>
    </w:p>
    <w:p w14:paraId="2984C06B">
      <w:pPr>
        <w:pStyle w:val="168"/>
        <w:rPr>
          <w:rFonts w:hint="eastAsia" w:ascii="宋体" w:hAnsi="宋体" w:eastAsia="宋体" w:cs="宋体"/>
          <w:color w:val="auto"/>
          <w:sz w:val="24"/>
          <w:highlight w:val="none"/>
        </w:rPr>
      </w:pPr>
    </w:p>
    <w:p w14:paraId="38FE2CB0">
      <w:pPr>
        <w:pStyle w:val="168"/>
        <w:rPr>
          <w:rFonts w:hint="eastAsia" w:ascii="宋体" w:hAnsi="宋体" w:eastAsia="宋体" w:cs="宋体"/>
          <w:color w:val="auto"/>
          <w:sz w:val="24"/>
          <w:highlight w:val="none"/>
        </w:rPr>
      </w:pPr>
    </w:p>
    <w:p w14:paraId="22A18C39">
      <w:pPr>
        <w:pStyle w:val="168"/>
        <w:rPr>
          <w:rFonts w:hint="eastAsia" w:ascii="宋体" w:hAnsi="宋体" w:eastAsia="宋体" w:cs="宋体"/>
          <w:color w:val="auto"/>
          <w:sz w:val="24"/>
          <w:highlight w:val="none"/>
        </w:rPr>
      </w:pPr>
    </w:p>
    <w:p w14:paraId="0BEE52FC">
      <w:pPr>
        <w:pStyle w:val="168"/>
        <w:rPr>
          <w:rFonts w:hint="eastAsia" w:ascii="宋体" w:hAnsi="宋体" w:eastAsia="宋体" w:cs="宋体"/>
          <w:color w:val="auto"/>
          <w:sz w:val="24"/>
          <w:highlight w:val="none"/>
        </w:rPr>
      </w:pPr>
    </w:p>
    <w:p w14:paraId="7CB0CECD">
      <w:pPr>
        <w:pStyle w:val="168"/>
        <w:rPr>
          <w:rFonts w:hint="eastAsia" w:ascii="宋体" w:hAnsi="宋体" w:eastAsia="宋体" w:cs="宋体"/>
          <w:color w:val="auto"/>
          <w:sz w:val="24"/>
          <w:highlight w:val="none"/>
        </w:rPr>
      </w:pPr>
    </w:p>
    <w:p w14:paraId="1E2B3E51">
      <w:pPr>
        <w:pStyle w:val="168"/>
        <w:rPr>
          <w:rFonts w:hint="eastAsia" w:ascii="宋体" w:hAnsi="宋体" w:eastAsia="宋体" w:cs="宋体"/>
          <w:color w:val="auto"/>
          <w:sz w:val="24"/>
          <w:highlight w:val="none"/>
        </w:rPr>
      </w:pPr>
    </w:p>
    <w:p w14:paraId="1D1F5D90">
      <w:pPr>
        <w:pStyle w:val="168"/>
        <w:rPr>
          <w:rFonts w:hint="eastAsia" w:ascii="宋体" w:hAnsi="宋体" w:eastAsia="宋体" w:cs="宋体"/>
          <w:color w:val="auto"/>
          <w:sz w:val="24"/>
          <w:highlight w:val="none"/>
        </w:rPr>
      </w:pPr>
    </w:p>
    <w:p w14:paraId="59498F92">
      <w:pPr>
        <w:autoSpaceDE/>
        <w:autoSpaceDN/>
        <w:adjustRightInd/>
        <w:spacing w:line="480" w:lineRule="exact"/>
        <w:ind w:firstLine="602" w:firstLineChars="200"/>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（三）报价文件部分参考格式:</w:t>
      </w:r>
    </w:p>
    <w:p w14:paraId="0ACD3C5A">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（1）磋商响应函（加盖公章）（格式见附件）；</w:t>
      </w:r>
    </w:p>
    <w:p w14:paraId="170FC540">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（2）开标（报价）一览表（加盖公章）（格式见附件）；</w:t>
      </w:r>
    </w:p>
    <w:p w14:paraId="530CE323">
      <w:pPr>
        <w:numPr>
          <w:ilvl w:val="255"/>
          <w:numId w:val="0"/>
        </w:num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）供应商针对报价需要说明的其他文件和说明（格式自拟）。</w:t>
      </w:r>
    </w:p>
    <w:p w14:paraId="5C528945">
      <w:pPr>
        <w:spacing w:line="480" w:lineRule="auto"/>
        <w:rPr>
          <w:rFonts w:hint="eastAsia" w:ascii="宋体" w:hAnsi="宋体" w:eastAsia="宋体" w:cs="宋体"/>
          <w:b/>
          <w:bCs/>
          <w:color w:val="auto"/>
          <w:sz w:val="30"/>
          <w:szCs w:val="30"/>
          <w:highlight w:val="none"/>
        </w:rPr>
      </w:pPr>
    </w:p>
    <w:p w14:paraId="3896B055">
      <w:pPr>
        <w:spacing w:line="360" w:lineRule="auto"/>
        <w:ind w:firstLine="480"/>
        <w:rPr>
          <w:rFonts w:hint="eastAsia" w:ascii="宋体" w:hAnsi="宋体" w:eastAsia="宋体" w:cs="宋体"/>
          <w:b/>
          <w:color w:val="auto"/>
          <w:sz w:val="30"/>
          <w:szCs w:val="30"/>
          <w:highlight w:val="none"/>
        </w:rPr>
      </w:pPr>
    </w:p>
    <w:p w14:paraId="223DD068">
      <w:pPr>
        <w:spacing w:line="360" w:lineRule="auto"/>
        <w:ind w:firstLine="480"/>
        <w:rPr>
          <w:rFonts w:hint="eastAsia" w:ascii="宋体" w:hAnsi="宋体" w:eastAsia="宋体" w:cs="宋体"/>
          <w:b/>
          <w:color w:val="auto"/>
          <w:sz w:val="30"/>
          <w:szCs w:val="30"/>
          <w:highlight w:val="none"/>
        </w:rPr>
      </w:pPr>
    </w:p>
    <w:p w14:paraId="37ACAF96">
      <w:pPr>
        <w:pStyle w:val="63"/>
        <w:rPr>
          <w:rFonts w:hint="eastAsia" w:ascii="宋体" w:hAnsi="宋体" w:eastAsia="宋体" w:cs="宋体"/>
          <w:b/>
          <w:color w:val="auto"/>
          <w:sz w:val="30"/>
          <w:szCs w:val="30"/>
          <w:highlight w:val="none"/>
        </w:rPr>
      </w:pPr>
    </w:p>
    <w:p w14:paraId="45139A0A">
      <w:pPr>
        <w:pStyle w:val="63"/>
        <w:rPr>
          <w:rFonts w:hint="eastAsia" w:ascii="宋体" w:hAnsi="宋体" w:eastAsia="宋体" w:cs="宋体"/>
          <w:b/>
          <w:color w:val="auto"/>
          <w:sz w:val="30"/>
          <w:szCs w:val="30"/>
          <w:highlight w:val="none"/>
        </w:rPr>
      </w:pPr>
    </w:p>
    <w:p w14:paraId="228C1EC8">
      <w:pPr>
        <w:spacing w:line="360" w:lineRule="auto"/>
        <w:ind w:firstLine="480"/>
        <w:rPr>
          <w:rFonts w:hint="eastAsia" w:ascii="宋体" w:hAnsi="宋体" w:eastAsia="宋体" w:cs="宋体"/>
          <w:b/>
          <w:color w:val="auto"/>
          <w:sz w:val="30"/>
          <w:szCs w:val="30"/>
          <w:highlight w:val="none"/>
        </w:rPr>
      </w:pPr>
    </w:p>
    <w:p w14:paraId="461371BD">
      <w:pPr>
        <w:spacing w:line="360" w:lineRule="auto"/>
        <w:ind w:firstLine="480"/>
        <w:rPr>
          <w:rFonts w:hint="eastAsia" w:ascii="宋体" w:hAnsi="宋体" w:eastAsia="宋体" w:cs="宋体"/>
          <w:b/>
          <w:color w:val="auto"/>
          <w:sz w:val="30"/>
          <w:szCs w:val="30"/>
          <w:highlight w:val="none"/>
        </w:rPr>
      </w:pPr>
    </w:p>
    <w:p w14:paraId="6589CBE1">
      <w:pPr>
        <w:spacing w:line="360" w:lineRule="auto"/>
        <w:ind w:firstLine="480"/>
        <w:rPr>
          <w:rFonts w:hint="eastAsia" w:ascii="宋体" w:hAnsi="宋体" w:eastAsia="宋体" w:cs="宋体"/>
          <w:b/>
          <w:color w:val="auto"/>
          <w:sz w:val="30"/>
          <w:szCs w:val="30"/>
          <w:highlight w:val="none"/>
        </w:rPr>
      </w:pPr>
    </w:p>
    <w:p w14:paraId="6F116210">
      <w:pPr>
        <w:spacing w:line="360" w:lineRule="auto"/>
        <w:ind w:firstLine="480"/>
        <w:rPr>
          <w:rFonts w:hint="eastAsia" w:ascii="宋体" w:hAnsi="宋体" w:eastAsia="宋体" w:cs="宋体"/>
          <w:b/>
          <w:color w:val="auto"/>
          <w:sz w:val="30"/>
          <w:szCs w:val="30"/>
          <w:highlight w:val="none"/>
        </w:rPr>
      </w:pPr>
    </w:p>
    <w:p w14:paraId="477B4F76">
      <w:pPr>
        <w:spacing w:line="360" w:lineRule="auto"/>
        <w:ind w:firstLine="480"/>
        <w:rPr>
          <w:rFonts w:hint="eastAsia" w:ascii="宋体" w:hAnsi="宋体" w:eastAsia="宋体" w:cs="宋体"/>
          <w:b/>
          <w:color w:val="auto"/>
          <w:sz w:val="30"/>
          <w:szCs w:val="30"/>
          <w:highlight w:val="none"/>
        </w:rPr>
      </w:pPr>
    </w:p>
    <w:p w14:paraId="51763702">
      <w:pPr>
        <w:spacing w:line="360" w:lineRule="auto"/>
        <w:ind w:firstLine="480"/>
        <w:rPr>
          <w:rFonts w:hint="eastAsia" w:ascii="宋体" w:hAnsi="宋体" w:eastAsia="宋体" w:cs="宋体"/>
          <w:b/>
          <w:color w:val="auto"/>
          <w:sz w:val="30"/>
          <w:szCs w:val="30"/>
          <w:highlight w:val="none"/>
        </w:rPr>
      </w:pPr>
    </w:p>
    <w:p w14:paraId="7F220D02">
      <w:pPr>
        <w:spacing w:line="360" w:lineRule="auto"/>
        <w:ind w:firstLine="480"/>
        <w:rPr>
          <w:rFonts w:hint="eastAsia" w:ascii="宋体" w:hAnsi="宋体" w:eastAsia="宋体" w:cs="宋体"/>
          <w:b/>
          <w:color w:val="auto"/>
          <w:sz w:val="30"/>
          <w:szCs w:val="30"/>
          <w:highlight w:val="none"/>
        </w:rPr>
      </w:pPr>
    </w:p>
    <w:p w14:paraId="18670C30">
      <w:pPr>
        <w:spacing w:line="360" w:lineRule="auto"/>
        <w:ind w:firstLine="480"/>
        <w:rPr>
          <w:rFonts w:hint="eastAsia" w:ascii="宋体" w:hAnsi="宋体" w:eastAsia="宋体" w:cs="宋体"/>
          <w:b/>
          <w:color w:val="auto"/>
          <w:sz w:val="30"/>
          <w:szCs w:val="30"/>
          <w:highlight w:val="none"/>
        </w:rPr>
      </w:pPr>
    </w:p>
    <w:p w14:paraId="745FADC8">
      <w:pPr>
        <w:spacing w:line="360" w:lineRule="auto"/>
        <w:ind w:firstLine="480"/>
        <w:rPr>
          <w:rFonts w:hint="eastAsia" w:ascii="宋体" w:hAnsi="宋体" w:eastAsia="宋体" w:cs="宋体"/>
          <w:b/>
          <w:color w:val="auto"/>
          <w:sz w:val="30"/>
          <w:szCs w:val="30"/>
          <w:highlight w:val="none"/>
        </w:rPr>
      </w:pPr>
    </w:p>
    <w:p w14:paraId="1067335D">
      <w:pPr>
        <w:spacing w:line="360" w:lineRule="auto"/>
        <w:ind w:firstLine="480"/>
        <w:rPr>
          <w:rFonts w:hint="eastAsia" w:ascii="宋体" w:hAnsi="宋体" w:eastAsia="宋体" w:cs="宋体"/>
          <w:b/>
          <w:color w:val="auto"/>
          <w:sz w:val="30"/>
          <w:szCs w:val="30"/>
          <w:highlight w:val="none"/>
        </w:rPr>
      </w:pPr>
    </w:p>
    <w:p w14:paraId="331F7DFD">
      <w:pPr>
        <w:spacing w:line="360" w:lineRule="auto"/>
        <w:ind w:firstLine="480"/>
        <w:rPr>
          <w:rFonts w:hint="eastAsia" w:ascii="宋体" w:hAnsi="宋体" w:eastAsia="宋体" w:cs="宋体"/>
          <w:b/>
          <w:color w:val="auto"/>
          <w:sz w:val="30"/>
          <w:szCs w:val="30"/>
          <w:highlight w:val="none"/>
        </w:rPr>
      </w:pPr>
    </w:p>
    <w:p w14:paraId="32A3FB1C">
      <w:pPr>
        <w:pStyle w:val="4"/>
        <w:rPr>
          <w:rFonts w:hint="eastAsia" w:ascii="宋体" w:hAnsi="宋体" w:eastAsia="宋体" w:cs="宋体"/>
          <w:b/>
          <w:color w:val="auto"/>
          <w:sz w:val="30"/>
          <w:szCs w:val="30"/>
          <w:highlight w:val="none"/>
        </w:rPr>
      </w:pPr>
    </w:p>
    <w:p w14:paraId="2BF1F5D1">
      <w:pPr>
        <w:rPr>
          <w:rFonts w:hint="eastAsia"/>
          <w:color w:val="auto"/>
          <w:highlight w:val="none"/>
        </w:rPr>
      </w:pPr>
    </w:p>
    <w:p w14:paraId="3E695852">
      <w:pPr>
        <w:pStyle w:val="4"/>
        <w:rPr>
          <w:rFonts w:hint="eastAsia"/>
          <w:color w:val="auto"/>
          <w:highlight w:val="none"/>
        </w:rPr>
      </w:pPr>
    </w:p>
    <w:p w14:paraId="1649E13E">
      <w:pPr>
        <w:pStyle w:val="20"/>
        <w:ind w:firstLine="280"/>
        <w:rPr>
          <w:rFonts w:hint="eastAsia" w:ascii="宋体" w:hAnsi="宋体" w:eastAsia="宋体" w:cs="宋体"/>
          <w:color w:val="auto"/>
          <w:highlight w:val="none"/>
        </w:rPr>
      </w:pPr>
    </w:p>
    <w:p w14:paraId="6542FA30">
      <w:pPr>
        <w:spacing w:line="360" w:lineRule="auto"/>
        <w:ind w:firstLine="48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 磋商响应函</w:t>
      </w:r>
    </w:p>
    <w:p w14:paraId="651DA69A">
      <w:pPr>
        <w:pStyle w:val="2"/>
        <w:ind w:left="680"/>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磋商响应函</w:t>
      </w:r>
    </w:p>
    <w:p w14:paraId="0EFC9865">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61FFFCF8">
      <w:pPr>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根据贵方项目的竞争性磋商采购公告/磋商响应邀请书（项目编号：     ），签字代表_____（全名）经正式授权并代表供应商（供应商名称）提交</w:t>
      </w:r>
      <w:r>
        <w:rPr>
          <w:rFonts w:hint="eastAsia" w:ascii="宋体" w:hAnsi="宋体" w:eastAsia="宋体" w:cs="宋体"/>
          <w:color w:val="auto"/>
          <w:sz w:val="21"/>
          <w:highlight w:val="none"/>
        </w:rPr>
        <w:t>电子</w:t>
      </w:r>
      <w:r>
        <w:rPr>
          <w:rFonts w:hint="eastAsia" w:ascii="宋体" w:hAnsi="宋体" w:eastAsia="宋体" w:cs="宋体"/>
          <w:color w:val="auto"/>
          <w:sz w:val="21"/>
          <w:szCs w:val="21"/>
          <w:highlight w:val="none"/>
        </w:rPr>
        <w:t>磋商响应文件，包括资格文件、商务技术文件和报价文件。</w:t>
      </w:r>
    </w:p>
    <w:p w14:paraId="12F19CA2">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134A943D">
      <w:pPr>
        <w:snapToGrid w:val="0"/>
        <w:spacing w:line="500" w:lineRule="exact"/>
        <w:ind w:left="207" w:leftChars="61"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（1）我方自愿按照磋商采购文件规定的各项要求向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提供项目所需</w:t>
      </w:r>
      <w:r>
        <w:rPr>
          <w:rFonts w:hint="eastAsia" w:hAnsi="宋体" w:cs="宋体"/>
          <w:color w:val="auto"/>
          <w:sz w:val="21"/>
          <w:szCs w:val="21"/>
          <w:highlight w:val="none"/>
          <w:lang w:eastAsia="zh-CN"/>
        </w:rPr>
        <w:t>专业服务</w:t>
      </w:r>
      <w:r>
        <w:rPr>
          <w:rFonts w:hint="eastAsia" w:ascii="宋体" w:hAnsi="宋体" w:eastAsia="宋体" w:cs="宋体"/>
          <w:color w:val="auto"/>
          <w:sz w:val="21"/>
          <w:szCs w:val="21"/>
          <w:highlight w:val="none"/>
        </w:rPr>
        <w:t>。首次磋商响应报价</w:t>
      </w:r>
      <w:r>
        <w:rPr>
          <w:rFonts w:hint="eastAsia" w:hAnsi="宋体" w:cs="宋体"/>
          <w:color w:val="auto"/>
          <w:sz w:val="21"/>
          <w:szCs w:val="21"/>
          <w:highlight w:val="none"/>
          <w:lang w:val="en-US" w:eastAsia="zh-CN"/>
        </w:rPr>
        <w:t>总金额</w:t>
      </w:r>
      <w:r>
        <w:rPr>
          <w:rFonts w:hint="eastAsia" w:ascii="宋体" w:hAnsi="宋体" w:eastAsia="宋体" w:cs="宋体"/>
          <w:color w:val="auto"/>
          <w:sz w:val="21"/>
          <w:szCs w:val="21"/>
          <w:highlight w:val="none"/>
          <w:u w:val="none"/>
        </w:rPr>
        <w:t>人民币</w:t>
      </w:r>
      <w:r>
        <w:rPr>
          <w:rFonts w:hint="eastAsia" w:ascii="宋体" w:hAnsi="宋体" w:eastAsia="宋体" w:cs="宋体"/>
          <w:color w:val="auto"/>
          <w:sz w:val="21"/>
          <w:szCs w:val="21"/>
          <w:highlight w:val="none"/>
        </w:rPr>
        <w:t>为</w:t>
      </w:r>
      <w:r>
        <w:rPr>
          <w:rFonts w:hint="eastAsia" w:hAnsi="宋体" w:cs="宋体"/>
          <w:color w:val="auto"/>
          <w:sz w:val="21"/>
          <w:szCs w:val="21"/>
          <w:highlight w:val="none"/>
          <w:lang w:eastAsia="zh-CN"/>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rPr>
        <w:t>。</w:t>
      </w:r>
    </w:p>
    <w:p w14:paraId="35880D9C">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供应商已详细审查全部“磋商采购文件”，包括修改文件（如有的话）以及全部参考资料和有关附件，已经了解我方对于磋商采购文件、采购过程、采购结果有依法进行询问、质疑、投诉的权利及相关渠道和要求。</w:t>
      </w:r>
    </w:p>
    <w:p w14:paraId="06394F3B">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（3）本供应商在磋商之前已经与贵方进行了充分的沟通，完全理解并接受磋商采购文件的各项规定和要求，对磋商采购文件的合理性、合法性不再有异议。</w:t>
      </w:r>
    </w:p>
    <w:p w14:paraId="5F81FF50">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（4）本磋商响应文件有效期自递交之日起</w:t>
      </w:r>
      <w:r>
        <w:rPr>
          <w:rFonts w:hint="eastAsia" w:ascii="宋体" w:hAnsi="宋体" w:eastAsia="宋体" w:cs="宋体"/>
          <w:color w:val="auto"/>
          <w:sz w:val="21"/>
          <w:szCs w:val="21"/>
          <w:highlight w:val="none"/>
          <w:u w:val="single"/>
        </w:rPr>
        <w:t>__90__</w:t>
      </w:r>
      <w:r>
        <w:rPr>
          <w:rFonts w:hint="eastAsia" w:ascii="宋体" w:hAnsi="宋体" w:eastAsia="宋体" w:cs="宋体"/>
          <w:color w:val="auto"/>
          <w:sz w:val="21"/>
          <w:szCs w:val="21"/>
          <w:highlight w:val="none"/>
        </w:rPr>
        <w:t>天。</w:t>
      </w:r>
    </w:p>
    <w:p w14:paraId="2A59B602">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（5）如成交，本磋商响应文件至本项目合同履行完毕止均保持有效，本供应商将按“磋商采购文件”及政府采购法律、法规的规定履行合同责任和义务。</w:t>
      </w:r>
    </w:p>
    <w:p w14:paraId="758E93A5">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（6）供应商同意按照贵方要求提供与磋商有关的一切数据或资料。</w:t>
      </w:r>
    </w:p>
    <w:p w14:paraId="17B11173">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（7）与本磋商采购有关的一切正式往来信函请寄：</w:t>
      </w:r>
    </w:p>
    <w:p w14:paraId="2D7D0DD1">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w:t>
      </w:r>
      <w:r>
        <w:rPr>
          <w:rFonts w:hint="eastAsia" w:ascii="宋体" w:hAnsi="宋体" w:eastAsia="宋体" w:cs="宋体"/>
          <w:color w:val="auto"/>
          <w:sz w:val="21"/>
          <w:szCs w:val="21"/>
          <w:highlight w:val="none"/>
          <w:u w:val="single"/>
        </w:rPr>
        <w:t xml:space="preserve">        _</w:t>
      </w:r>
      <w:r>
        <w:rPr>
          <w:rFonts w:hint="eastAsia" w:ascii="宋体" w:hAnsi="宋体" w:eastAsia="宋体" w:cs="宋体"/>
          <w:color w:val="auto"/>
          <w:sz w:val="21"/>
          <w:szCs w:val="21"/>
          <w:highlight w:val="none"/>
        </w:rPr>
        <w:t>____邮编：__________   电话：______________</w:t>
      </w:r>
    </w:p>
    <w:p w14:paraId="00C46A16">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传真：______________法定代表人（或单位负责人）姓名 ___________  职务：_____________</w:t>
      </w:r>
    </w:p>
    <w:p w14:paraId="2B145901">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供应商名称(公章):___________________</w:t>
      </w:r>
    </w:p>
    <w:p w14:paraId="71A1C645">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开户银行：______________银行账号：______________</w:t>
      </w:r>
    </w:p>
    <w:p w14:paraId="1A9A415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法定代表人（或单位负责人）或其授权代表签字:___________                      </w:t>
      </w:r>
    </w:p>
    <w:p w14:paraId="1FD49F39">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日期:_____年___月___日</w:t>
      </w:r>
    </w:p>
    <w:p w14:paraId="217422EC">
      <w:pPr>
        <w:snapToGrid w:val="0"/>
        <w:spacing w:line="360" w:lineRule="auto"/>
        <w:rPr>
          <w:rFonts w:hint="eastAsia" w:ascii="宋体" w:hAnsi="宋体" w:eastAsia="宋体" w:cs="宋体"/>
          <w:color w:val="auto"/>
          <w:sz w:val="24"/>
          <w:highlight w:val="none"/>
        </w:rPr>
      </w:pPr>
    </w:p>
    <w:p w14:paraId="399695D9">
      <w:pPr>
        <w:pStyle w:val="63"/>
        <w:rPr>
          <w:rFonts w:hint="eastAsia" w:ascii="宋体" w:hAnsi="宋体" w:eastAsia="宋体" w:cs="宋体"/>
          <w:color w:val="auto"/>
          <w:highlight w:val="none"/>
        </w:rPr>
      </w:pPr>
    </w:p>
    <w:p w14:paraId="09609EEF">
      <w:pPr>
        <w:pStyle w:val="63"/>
        <w:rPr>
          <w:rFonts w:hint="eastAsia" w:ascii="宋体" w:hAnsi="宋体" w:eastAsia="宋体" w:cs="宋体"/>
          <w:color w:val="auto"/>
          <w:highlight w:val="none"/>
        </w:rPr>
      </w:pPr>
    </w:p>
    <w:p w14:paraId="2851C8B3">
      <w:pPr>
        <w:numPr>
          <w:ilvl w:val="0"/>
          <w:numId w:val="5"/>
        </w:numPr>
        <w:snapToGrid w:val="0"/>
        <w:spacing w:beforeLines="50" w:after="50"/>
        <w:ind w:left="0"/>
        <w:jc w:val="center"/>
        <w:rPr>
          <w:rFonts w:hint="eastAsia" w:ascii="宋体" w:hAnsi="宋体" w:eastAsia="宋体" w:cs="宋体"/>
          <w:b/>
          <w:color w:val="auto"/>
          <w:sz w:val="30"/>
          <w:szCs w:val="30"/>
          <w:highlight w:val="none"/>
        </w:rPr>
      </w:pPr>
      <w:bookmarkStart w:id="299" w:name="_Toc296075060"/>
      <w:bookmarkStart w:id="300" w:name="_Toc354841330"/>
      <w:r>
        <w:rPr>
          <w:rFonts w:hint="eastAsia" w:ascii="宋体" w:hAnsi="宋体" w:eastAsia="宋体" w:cs="宋体"/>
          <w:b/>
          <w:color w:val="auto"/>
          <w:sz w:val="30"/>
          <w:szCs w:val="30"/>
          <w:highlight w:val="none"/>
        </w:rPr>
        <w:t>开标（报价）一览表</w:t>
      </w:r>
    </w:p>
    <w:p w14:paraId="64C8534F">
      <w:pPr>
        <w:pStyle w:val="20"/>
        <w:spacing w:before="156"/>
        <w:ind w:firstLine="21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项目名称：                        项目编号：                  </w:t>
      </w:r>
    </w:p>
    <w:bookmarkEnd w:id="299"/>
    <w:bookmarkEnd w:id="300"/>
    <w:tbl>
      <w:tblPr>
        <w:tblStyle w:val="46"/>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14:paraId="48B3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14:paraId="1EB80EC7">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656" w:type="dxa"/>
            <w:tcBorders>
              <w:left w:val="single" w:color="auto" w:sz="4" w:space="0"/>
            </w:tcBorders>
            <w:vAlign w:val="center"/>
          </w:tcPr>
          <w:p w14:paraId="4BB10FAB">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1"/>
                <w:szCs w:val="21"/>
                <w:highlight w:val="none"/>
              </w:rPr>
              <w:t>服务期限</w:t>
            </w:r>
          </w:p>
        </w:tc>
        <w:tc>
          <w:tcPr>
            <w:tcW w:w="7221" w:type="dxa"/>
            <w:vAlign w:val="center"/>
          </w:tcPr>
          <w:p w14:paraId="74E51CBA">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u w:val="single"/>
              </w:rPr>
            </w:pPr>
          </w:p>
        </w:tc>
      </w:tr>
      <w:tr w14:paraId="1F83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77E1AB77">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656" w:type="dxa"/>
            <w:tcBorders>
              <w:left w:val="single" w:color="auto" w:sz="4" w:space="0"/>
            </w:tcBorders>
            <w:vAlign w:val="center"/>
          </w:tcPr>
          <w:p w14:paraId="0A8702D3">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首次磋商报价</w:t>
            </w:r>
          </w:p>
        </w:tc>
        <w:tc>
          <w:tcPr>
            <w:tcW w:w="7221" w:type="dxa"/>
            <w:vAlign w:val="center"/>
          </w:tcPr>
          <w:p w14:paraId="25C5B75F">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我方首次磋商报价</w:t>
            </w:r>
            <w:r>
              <w:rPr>
                <w:rFonts w:hint="eastAsia" w:ascii="宋体" w:hAnsi="宋体" w:eastAsia="宋体" w:cs="宋体"/>
                <w:color w:val="auto"/>
                <w:sz w:val="21"/>
                <w:szCs w:val="21"/>
                <w:highlight w:val="none"/>
                <w:u w:val="none"/>
              </w:rPr>
              <w:t>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rPr>
              <w:t>：</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p w14:paraId="482B807F">
            <w:pPr>
              <w:keepNext w:val="0"/>
              <w:keepLines w:val="0"/>
              <w:suppressLineNumbers w:val="0"/>
              <w:spacing w:before="0" w:beforeAutospacing="0" w:after="0" w:afterAutospacing="0" w:line="500" w:lineRule="exact"/>
              <w:ind w:left="0" w:right="0"/>
              <w:rPr>
                <w:rFonts w:hint="default" w:eastAsia="宋体"/>
                <w:color w:val="auto"/>
                <w:szCs w:val="20"/>
                <w:highlight w:val="none"/>
                <w:lang w:val="en-US" w:eastAsia="zh-CN"/>
              </w:rPr>
            </w:pPr>
            <w:r>
              <w:rPr>
                <w:rFonts w:hint="eastAsia" w:ascii="宋体" w:hAnsi="宋体" w:eastAsia="宋体" w:cs="宋体"/>
                <w:color w:val="auto"/>
                <w:sz w:val="21"/>
                <w:szCs w:val="21"/>
                <w:highlight w:val="none"/>
              </w:rPr>
              <w:t>（大写）</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tc>
      </w:tr>
      <w:tr w14:paraId="6B8CE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7DA47252">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656" w:type="dxa"/>
            <w:tcBorders>
              <w:left w:val="single" w:color="auto" w:sz="4" w:space="0"/>
            </w:tcBorders>
            <w:vAlign w:val="center"/>
          </w:tcPr>
          <w:p w14:paraId="7FADDC33">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1"/>
                <w:szCs w:val="21"/>
                <w:highlight w:val="none"/>
              </w:rPr>
              <w:t>报价说明</w:t>
            </w:r>
          </w:p>
        </w:tc>
        <w:tc>
          <w:tcPr>
            <w:tcW w:w="7221" w:type="dxa"/>
            <w:vAlign w:val="center"/>
          </w:tcPr>
          <w:p w14:paraId="1D974289">
            <w:pPr>
              <w:keepNext w:val="0"/>
              <w:keepLines w:val="0"/>
              <w:widowControl/>
              <w:suppressLineNumbers w:val="0"/>
              <w:spacing w:before="0" w:beforeAutospacing="0" w:after="0" w:afterAutospacing="0" w:line="460" w:lineRule="exac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本供应商已知悉并同意：</w:t>
            </w:r>
          </w:p>
          <w:p w14:paraId="2ABFF06A">
            <w:pPr>
              <w:keepNext w:val="0"/>
              <w:keepLines w:val="0"/>
              <w:suppressLineNumbers w:val="0"/>
              <w:spacing w:before="0" w:beforeAutospacing="0" w:after="0" w:afterAutospacing="0" w:line="500" w:lineRule="exact"/>
              <w:ind w:left="0" w:right="0" w:firstLine="0" w:firstLineChars="0"/>
              <w:rPr>
                <w:rFonts w:hint="default" w:hAnsi="宋体" w:cs="宋体"/>
                <w:color w:val="auto"/>
                <w:sz w:val="21"/>
                <w:szCs w:val="21"/>
                <w:highlight w:val="none"/>
              </w:rPr>
            </w:pPr>
            <w:r>
              <w:rPr>
                <w:rFonts w:hint="eastAsia" w:hAnsi="宋体" w:cs="宋体"/>
                <w:color w:val="auto"/>
                <w:sz w:val="21"/>
                <w:szCs w:val="21"/>
                <w:highlight w:val="none"/>
              </w:rPr>
              <w:t>（1）我方上述报价已就</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w:t>
            </w:r>
            <w:r>
              <w:rPr>
                <w:rFonts w:hint="eastAsia" w:hAnsi="宋体" w:cs="宋体"/>
                <w:color w:val="auto"/>
                <w:sz w:val="21"/>
                <w:szCs w:val="21"/>
                <w:highlight w:val="none"/>
                <w:lang w:eastAsia="zh-CN"/>
              </w:rPr>
              <w:t>2025年12月31日</w:t>
            </w:r>
            <w:r>
              <w:rPr>
                <w:rFonts w:hint="eastAsia" w:hAnsi="宋体" w:cs="宋体"/>
                <w:color w:val="auto"/>
                <w:sz w:val="21"/>
                <w:szCs w:val="21"/>
                <w:highlight w:val="none"/>
              </w:rPr>
              <w:t>年度的服务费进行磋商报价，其中，</w:t>
            </w:r>
            <w:r>
              <w:rPr>
                <w:rFonts w:hint="eastAsia" w:hAnsi="宋体" w:cs="宋体"/>
                <w:color w:val="auto"/>
                <w:sz w:val="21"/>
                <w:szCs w:val="21"/>
                <w:highlight w:val="none"/>
                <w:lang w:eastAsia="zh-CN"/>
              </w:rPr>
              <w:t>2025</w:t>
            </w:r>
            <w:r>
              <w:rPr>
                <w:rFonts w:hint="eastAsia" w:hAnsi="宋体" w:cs="宋体"/>
                <w:color w:val="auto"/>
                <w:sz w:val="21"/>
                <w:szCs w:val="21"/>
                <w:highlight w:val="none"/>
              </w:rPr>
              <w:t>年1月1日至成交人合同签订并正式接管工作之日止应付前期服务商的服务费由本项目成交人与前期服务商按月或按日依照合同收费标准据实结算、支付。</w:t>
            </w:r>
          </w:p>
          <w:p w14:paraId="33F9CC13">
            <w:pPr>
              <w:keepNext w:val="0"/>
              <w:keepLines w:val="0"/>
              <w:widowControl/>
              <w:suppressLineNumbers w:val="0"/>
              <w:spacing w:before="0" w:beforeAutospacing="0" w:after="0" w:afterAutospacing="0" w:line="460" w:lineRule="exact"/>
              <w:ind w:left="0" w:right="0" w:firstLine="0" w:firstLineChars="0"/>
              <w:jc w:val="both"/>
              <w:rPr>
                <w:rFonts w:hint="eastAsia" w:ascii="宋体" w:hAnsi="宋体" w:eastAsia="宋体" w:cs="宋体"/>
                <w:color w:val="auto"/>
                <w:sz w:val="21"/>
                <w:szCs w:val="21"/>
                <w:highlight w:val="none"/>
                <w:u w:val="single"/>
              </w:rPr>
            </w:pPr>
            <w:r>
              <w:rPr>
                <w:rFonts w:hint="eastAsia" w:hAnsi="宋体" w:cs="宋体"/>
                <w:color w:val="auto"/>
                <w:sz w:val="21"/>
                <w:szCs w:val="21"/>
                <w:highlight w:val="none"/>
              </w:rPr>
              <w:t>（2）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63D5767E">
      <w:pPr>
        <w:snapToGrid w:val="0"/>
        <w:spacing w:line="500" w:lineRule="exact"/>
        <w:ind w:firstLine="420" w:firstLineChars="200"/>
        <w:rPr>
          <w:rFonts w:hint="eastAsia" w:hAnsi="宋体" w:eastAsia="宋体" w:cs="宋体"/>
          <w:b/>
          <w:color w:val="000000"/>
          <w:sz w:val="21"/>
          <w:szCs w:val="21"/>
          <w:highlight w:val="none"/>
        </w:rPr>
      </w:pPr>
      <w:r>
        <w:rPr>
          <w:rFonts w:hint="eastAsia" w:hAnsi="宋体" w:eastAsia="宋体" w:cs="宋体"/>
          <w:color w:val="000000"/>
          <w:sz w:val="21"/>
          <w:szCs w:val="21"/>
          <w:highlight w:val="none"/>
        </w:rPr>
        <w:t>注</w:t>
      </w:r>
      <w:r>
        <w:rPr>
          <w:rFonts w:hint="eastAsia" w:hAnsi="宋体" w:eastAsia="宋体" w:cs="宋体"/>
          <w:color w:val="000000"/>
          <w:sz w:val="21"/>
          <w:szCs w:val="21"/>
          <w:highlight w:val="none"/>
          <w:lang w:eastAsia="zh-CN"/>
        </w:rPr>
        <w:t>：</w:t>
      </w:r>
      <w:r>
        <w:rPr>
          <w:rFonts w:hint="eastAsia" w:hAnsi="宋体" w:eastAsia="宋体" w:cs="宋体"/>
          <w:color w:val="000000"/>
          <w:sz w:val="21"/>
          <w:szCs w:val="21"/>
          <w:highlight w:val="none"/>
          <w:lang w:val="en-US" w:eastAsia="zh-CN"/>
        </w:rPr>
        <w:t>1.</w:t>
      </w:r>
      <w:r>
        <w:rPr>
          <w:rFonts w:hint="eastAsia" w:hAnsi="宋体" w:eastAsia="宋体" w:cs="宋体"/>
          <w:color w:val="000000"/>
          <w:sz w:val="21"/>
          <w:szCs w:val="21"/>
          <w:highlight w:val="none"/>
        </w:rPr>
        <w:t>报价一经涂改，应在涂改处加盖单位公章或者由法定代表人或授权委托人签字或盖章，否则其投标作无效标处理。</w:t>
      </w:r>
    </w:p>
    <w:p w14:paraId="48424DEB">
      <w:pPr>
        <w:snapToGrid w:val="0"/>
        <w:spacing w:line="500" w:lineRule="exact"/>
        <w:ind w:firstLine="422" w:firstLineChars="200"/>
        <w:jc w:val="both"/>
        <w:rPr>
          <w:rFonts w:hint="eastAsia" w:hAnsi="宋体" w:eastAsia="宋体" w:cs="宋体"/>
          <w:color w:val="000000"/>
          <w:sz w:val="21"/>
          <w:szCs w:val="21"/>
          <w:highlight w:val="none"/>
          <w:u w:val="single"/>
          <w:lang w:val="en-US" w:eastAsia="zh-CN"/>
        </w:rPr>
      </w:pPr>
      <w:r>
        <w:rPr>
          <w:rFonts w:hint="eastAsia" w:ascii="宋体" w:hAnsi="宋体" w:eastAsia="宋体" w:cs="宋体"/>
          <w:b/>
          <w:bCs/>
          <w:color w:val="000000"/>
          <w:sz w:val="21"/>
          <w:szCs w:val="21"/>
          <w:highlight w:val="none"/>
          <w:lang w:val="en-US" w:eastAsia="zh-CN"/>
        </w:rPr>
        <w:t xml:space="preserve"> 2.供应商不得进行影响服务质量或者诚信履约的恶意报价。供应商</w:t>
      </w:r>
      <w:r>
        <w:rPr>
          <w:rFonts w:hint="eastAsia" w:ascii="宋体" w:hAnsi="宋体" w:eastAsia="宋体" w:cs="宋体"/>
          <w:b/>
          <w:bCs/>
          <w:color w:val="000000"/>
          <w:sz w:val="21"/>
          <w:szCs w:val="21"/>
          <w:highlight w:val="none"/>
          <w:u w:val="none"/>
          <w:lang w:val="en-US" w:eastAsia="zh-CN"/>
        </w:rPr>
        <w:t>报价低于项目预算50%的，应当详细阐述不影响服务质量或者诚信履约的具体原因如下：</w:t>
      </w:r>
      <w:r>
        <w:rPr>
          <w:rFonts w:hint="eastAsia" w:hAnsi="宋体" w:eastAsia="宋体" w:cs="宋体"/>
          <w:color w:val="000000"/>
          <w:sz w:val="21"/>
          <w:szCs w:val="21"/>
          <w:highlight w:val="none"/>
          <w:u w:val="single"/>
          <w:lang w:val="en-US" w:eastAsia="zh-CN"/>
        </w:rPr>
        <w:t xml:space="preserve">          。</w:t>
      </w:r>
    </w:p>
    <w:p w14:paraId="73B77325">
      <w:pPr>
        <w:ind w:firstLine="840" w:firstLineChars="400"/>
        <w:rPr>
          <w:rFonts w:hint="eastAsia" w:ascii="宋体" w:hAnsi="宋体" w:eastAsia="宋体" w:cs="宋体"/>
          <w:color w:val="auto"/>
          <w:kern w:val="2"/>
          <w:sz w:val="21"/>
          <w:szCs w:val="21"/>
          <w:highlight w:val="none"/>
        </w:rPr>
      </w:pPr>
    </w:p>
    <w:p w14:paraId="2C8DF626">
      <w:pPr>
        <w:ind w:firstLine="840" w:firstLineChars="400"/>
        <w:rPr>
          <w:rFonts w:hint="eastAsia" w:ascii="宋体" w:hAnsi="宋体" w:eastAsia="宋体" w:cs="宋体"/>
          <w:color w:val="auto"/>
          <w:kern w:val="2"/>
          <w:sz w:val="21"/>
          <w:szCs w:val="21"/>
          <w:highlight w:val="none"/>
        </w:rPr>
      </w:pPr>
    </w:p>
    <w:p w14:paraId="153800F1">
      <w:pPr>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供应商全称（加盖公章）：</w:t>
      </w:r>
    </w:p>
    <w:p w14:paraId="16DB4CD1">
      <w:pPr>
        <w:jc w:val="center"/>
        <w:rPr>
          <w:rFonts w:hint="eastAsia" w:ascii="宋体" w:hAnsi="宋体" w:eastAsia="宋体" w:cs="宋体"/>
          <w:color w:val="auto"/>
          <w:sz w:val="21"/>
          <w:szCs w:val="21"/>
          <w:highlight w:val="none"/>
        </w:rPr>
      </w:pPr>
    </w:p>
    <w:p w14:paraId="03299224">
      <w:pPr>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43FF7890">
      <w:pPr>
        <w:rPr>
          <w:rFonts w:hint="eastAsia" w:ascii="宋体" w:hAnsi="宋体" w:eastAsia="宋体" w:cs="宋体"/>
          <w:smallCaps/>
          <w:color w:val="auto"/>
          <w:sz w:val="21"/>
          <w:szCs w:val="21"/>
          <w:highlight w:val="none"/>
        </w:rPr>
      </w:pPr>
    </w:p>
    <w:p w14:paraId="05FF43AC">
      <w:pPr>
        <w:pStyle w:val="168"/>
        <w:ind w:firstLine="630" w:firstLineChars="300"/>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日期：    年      月      日 </w:t>
      </w:r>
    </w:p>
    <w:p w14:paraId="255346DA">
      <w:pPr>
        <w:pStyle w:val="168"/>
        <w:rPr>
          <w:rFonts w:hint="eastAsia" w:ascii="宋体" w:hAnsi="宋体" w:eastAsia="宋体" w:cs="宋体"/>
          <w:color w:val="auto"/>
          <w:highlight w:val="none"/>
        </w:rPr>
      </w:pPr>
    </w:p>
    <w:p w14:paraId="132BF8E4">
      <w:pPr>
        <w:pStyle w:val="168"/>
        <w:rPr>
          <w:rFonts w:hint="eastAsia" w:ascii="宋体" w:hAnsi="宋体" w:eastAsia="宋体" w:cs="宋体"/>
          <w:color w:val="auto"/>
          <w:highlight w:val="none"/>
        </w:rPr>
      </w:pPr>
    </w:p>
    <w:p w14:paraId="706C048F">
      <w:pPr>
        <w:pStyle w:val="168"/>
        <w:rPr>
          <w:rFonts w:hint="eastAsia" w:ascii="宋体" w:hAnsi="宋体" w:eastAsia="宋体" w:cs="宋体"/>
          <w:color w:val="auto"/>
          <w:highlight w:val="none"/>
        </w:rPr>
      </w:pPr>
    </w:p>
    <w:p w14:paraId="2AC51340">
      <w:pPr>
        <w:pStyle w:val="168"/>
        <w:rPr>
          <w:rFonts w:hint="eastAsia" w:ascii="宋体" w:hAnsi="宋体" w:eastAsia="宋体" w:cs="宋体"/>
          <w:color w:val="auto"/>
          <w:highlight w:val="none"/>
        </w:rPr>
      </w:pPr>
    </w:p>
    <w:p w14:paraId="730A0E12">
      <w:pPr>
        <w:ind w:firstLine="1700" w:firstLineChars="500"/>
        <w:rPr>
          <w:rFonts w:hint="eastAsia" w:ascii="宋体" w:hAnsi="宋体" w:eastAsia="宋体" w:cs="宋体"/>
          <w:color w:val="auto"/>
          <w:highlight w:val="none"/>
        </w:rPr>
      </w:pPr>
    </w:p>
    <w:p w14:paraId="28B539FD">
      <w:pPr>
        <w:pStyle w:val="2"/>
        <w:ind w:left="0" w:leftChars="0" w:firstLine="0"/>
        <w:rPr>
          <w:rFonts w:hint="eastAsia"/>
          <w:color w:val="auto"/>
          <w:highlight w:val="none"/>
        </w:rPr>
      </w:pPr>
    </w:p>
    <w:sectPr>
      <w:footerReference r:id="rId9"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0" w:usb1="00000000"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B89F">
    <w:pPr>
      <w:pStyle w:val="30"/>
      <w:pBdr>
        <w:top w:val="single" w:color="auto" w:sz="4" w:space="1"/>
      </w:pBdr>
      <w:ind w:right="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72AA">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14:paraId="591D915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971F">
    <w:pPr>
      <w:pStyle w:val="30"/>
      <w:pBdr>
        <w:top w:val="single" w:color="auto" w:sz="4" w:space="1"/>
      </w:pBdr>
      <w:ind w:right="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EC09">
    <w:pPr>
      <w:pStyle w:val="30"/>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2938">
    <w:pPr>
      <w:pStyle w:val="32"/>
    </w:pPr>
    <w:r>
      <w:rPr>
        <w:rFonts w:hint="eastAsia"/>
      </w:rPr>
      <w:t>金华市天盈招标代理有限公司</w:t>
    </w:r>
  </w:p>
  <w:p w14:paraId="09F63FCD">
    <w:pPr>
      <w:pStyle w:val="32"/>
      <w:rPr>
        <w:rFonts w:hint="eastAsia" w:eastAsia="宋体"/>
        <w:lang w:val="en-US" w:eastAsia="zh-CN"/>
      </w:rPr>
    </w:pPr>
    <w:r>
      <w:pict>
        <v:shape id="PowerPlusWaterMarkObject93626" o:spid="_x0000_s3077" o:spt="136" type="#_x0000_t136" style="position:absolute;left:0pt;margin-left:-48.5pt;margin-top:324.55pt;height:73.35pt;width:554.95pt;mso-position-horizontal-relative:margin;mso-position-vertical-relative:margin;rotation:-2949120f;z-index:251661312;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宋体;font-size:36pt;v-text-align:center;"/>
        </v:shape>
      </w:pict>
    </w:r>
    <w:r>
      <w:rPr>
        <w:rFonts w:hint="eastAsia"/>
      </w:rPr>
      <w:t>项目编号：</w:t>
    </w:r>
    <w:r>
      <w:rPr>
        <w:rFonts w:hint="eastAsia"/>
        <w:lang w:eastAsia="zh-CN"/>
      </w:rPr>
      <w:t xml:space="preserve">TY2025-FW029-ZFCG029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151F">
    <w:pPr>
      <w:pStyle w:val="32"/>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A23F">
    <w:pPr>
      <w:pStyle w:val="32"/>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金华市天盈招标代理有限公司</w:t>
    </w:r>
  </w:p>
  <w:p w14:paraId="5EEBA96C">
    <w:pPr>
      <w:pStyle w:val="32"/>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decimal"/>
      <w:suff w:val="nothing"/>
      <w:lvlText w:val="%1."/>
      <w:lvlJc w:val="left"/>
      <w:pPr>
        <w:ind w:left="3400"/>
      </w:pPr>
    </w:lvl>
  </w:abstractNum>
  <w:abstractNum w:abstractNumId="1">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2">
    <w:nsid w:val="2801575E"/>
    <w:multiLevelType w:val="multilevel"/>
    <w:tmpl w:val="2801575E"/>
    <w:lvl w:ilvl="0" w:tentative="0">
      <w:start w:val="1"/>
      <w:numFmt w:val="chineseCountingThousand"/>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ED5EF6"/>
    <w:multiLevelType w:val="multilevel"/>
    <w:tmpl w:val="50ED5EF6"/>
    <w:lvl w:ilvl="0" w:tentative="0">
      <w:start w:val="1"/>
      <w:numFmt w:val="bullet"/>
      <w:lvlText w:val=""/>
      <w:lvlJc w:val="left"/>
      <w:pPr>
        <w:ind w:left="420" w:hanging="420"/>
      </w:pPr>
      <w:rPr>
        <w:rFonts w:hint="default" w:ascii="Wingdings" w:hAnsi="Wingdings"/>
      </w:rPr>
    </w:lvl>
    <w:lvl w:ilvl="1" w:tentative="0">
      <w:start w:val="1"/>
      <w:numFmt w:val="bullet"/>
      <w:pStyle w:val="3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 w:name="KSO_WPS_MARK_KEY" w:val="6c8bc548-ef8e-4f5f-8d58-6b86c6b0145f"/>
  </w:docVars>
  <w:rsids>
    <w:rsidRoot w:val="00172A27"/>
    <w:rsid w:val="00001EB6"/>
    <w:rsid w:val="00003500"/>
    <w:rsid w:val="000065BD"/>
    <w:rsid w:val="00007516"/>
    <w:rsid w:val="00007883"/>
    <w:rsid w:val="00015486"/>
    <w:rsid w:val="000154A7"/>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203A"/>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127D"/>
    <w:rsid w:val="001F201B"/>
    <w:rsid w:val="001F24D4"/>
    <w:rsid w:val="001F36D0"/>
    <w:rsid w:val="001F51D0"/>
    <w:rsid w:val="001F62E5"/>
    <w:rsid w:val="001F72D7"/>
    <w:rsid w:val="002009A6"/>
    <w:rsid w:val="00200A38"/>
    <w:rsid w:val="0020131E"/>
    <w:rsid w:val="002039DF"/>
    <w:rsid w:val="00203D41"/>
    <w:rsid w:val="00204200"/>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5574"/>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B509F"/>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4136"/>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4756"/>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4940"/>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446E"/>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3025"/>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77718"/>
    <w:rsid w:val="0058009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B79DE"/>
    <w:rsid w:val="005C059F"/>
    <w:rsid w:val="005C1D4B"/>
    <w:rsid w:val="005C554E"/>
    <w:rsid w:val="005C5EE7"/>
    <w:rsid w:val="005D2E83"/>
    <w:rsid w:val="005D3D72"/>
    <w:rsid w:val="005D562F"/>
    <w:rsid w:val="005D6A25"/>
    <w:rsid w:val="005D6C05"/>
    <w:rsid w:val="005D740C"/>
    <w:rsid w:val="005E030D"/>
    <w:rsid w:val="005E1EDB"/>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26EE2"/>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A3BB5"/>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4FB4"/>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0E25"/>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0CBD"/>
    <w:rsid w:val="007635D9"/>
    <w:rsid w:val="00764A56"/>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60C4"/>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7F6784"/>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080A"/>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9333A"/>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4E3"/>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0EA3"/>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00AB"/>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33C"/>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34F"/>
    <w:rsid w:val="00AE05AF"/>
    <w:rsid w:val="00AE46B6"/>
    <w:rsid w:val="00AE6C74"/>
    <w:rsid w:val="00AF4196"/>
    <w:rsid w:val="00AF4FB9"/>
    <w:rsid w:val="00AF5044"/>
    <w:rsid w:val="00AF6D03"/>
    <w:rsid w:val="00B006B6"/>
    <w:rsid w:val="00B00808"/>
    <w:rsid w:val="00B01D56"/>
    <w:rsid w:val="00B03EEA"/>
    <w:rsid w:val="00B05BA3"/>
    <w:rsid w:val="00B06CCA"/>
    <w:rsid w:val="00B073EE"/>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03DA"/>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2F8B"/>
    <w:rsid w:val="00BA355E"/>
    <w:rsid w:val="00BA41B3"/>
    <w:rsid w:val="00BA5979"/>
    <w:rsid w:val="00BA5FCA"/>
    <w:rsid w:val="00BA64F6"/>
    <w:rsid w:val="00BA737D"/>
    <w:rsid w:val="00BA7FF0"/>
    <w:rsid w:val="00BB00C1"/>
    <w:rsid w:val="00BB40C9"/>
    <w:rsid w:val="00BB5B76"/>
    <w:rsid w:val="00BB6386"/>
    <w:rsid w:val="00BB70DF"/>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6B52"/>
    <w:rsid w:val="00C07026"/>
    <w:rsid w:val="00C1604A"/>
    <w:rsid w:val="00C21011"/>
    <w:rsid w:val="00C25428"/>
    <w:rsid w:val="00C254D0"/>
    <w:rsid w:val="00C258A4"/>
    <w:rsid w:val="00C265A8"/>
    <w:rsid w:val="00C3221E"/>
    <w:rsid w:val="00C3232B"/>
    <w:rsid w:val="00C34E90"/>
    <w:rsid w:val="00C37D44"/>
    <w:rsid w:val="00C41000"/>
    <w:rsid w:val="00C4632D"/>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0FA7"/>
    <w:rsid w:val="00C8292C"/>
    <w:rsid w:val="00C85F41"/>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3E0"/>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01F2"/>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11C3"/>
    <w:rsid w:val="00DF6DC6"/>
    <w:rsid w:val="00DF729B"/>
    <w:rsid w:val="00E02348"/>
    <w:rsid w:val="00E02911"/>
    <w:rsid w:val="00E07998"/>
    <w:rsid w:val="00E07AF8"/>
    <w:rsid w:val="00E10337"/>
    <w:rsid w:val="00E13B53"/>
    <w:rsid w:val="00E14370"/>
    <w:rsid w:val="00E176FA"/>
    <w:rsid w:val="00E2082C"/>
    <w:rsid w:val="00E20F33"/>
    <w:rsid w:val="00E2542A"/>
    <w:rsid w:val="00E25BEA"/>
    <w:rsid w:val="00E2700B"/>
    <w:rsid w:val="00E306F3"/>
    <w:rsid w:val="00E3172D"/>
    <w:rsid w:val="00E31932"/>
    <w:rsid w:val="00E323F8"/>
    <w:rsid w:val="00E34242"/>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0440"/>
    <w:rsid w:val="00EE1782"/>
    <w:rsid w:val="00EE1C37"/>
    <w:rsid w:val="00EE244D"/>
    <w:rsid w:val="00EE3D74"/>
    <w:rsid w:val="00EE42BF"/>
    <w:rsid w:val="00EE553A"/>
    <w:rsid w:val="00EE631B"/>
    <w:rsid w:val="00EF0188"/>
    <w:rsid w:val="00EF062F"/>
    <w:rsid w:val="00EF1E34"/>
    <w:rsid w:val="00EF4E3A"/>
    <w:rsid w:val="00EF6F75"/>
    <w:rsid w:val="00EF7400"/>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26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1A3081"/>
    <w:rsid w:val="01445219"/>
    <w:rsid w:val="014D3BAA"/>
    <w:rsid w:val="018D3454"/>
    <w:rsid w:val="019959C2"/>
    <w:rsid w:val="01BA3B05"/>
    <w:rsid w:val="01CA78BB"/>
    <w:rsid w:val="01DF5DF4"/>
    <w:rsid w:val="02455FA1"/>
    <w:rsid w:val="02626910"/>
    <w:rsid w:val="02AD2A23"/>
    <w:rsid w:val="02B909B4"/>
    <w:rsid w:val="02B96307"/>
    <w:rsid w:val="032105AF"/>
    <w:rsid w:val="03490A79"/>
    <w:rsid w:val="034F0B7A"/>
    <w:rsid w:val="03721C70"/>
    <w:rsid w:val="03C026A0"/>
    <w:rsid w:val="03F55CA4"/>
    <w:rsid w:val="045D4DF7"/>
    <w:rsid w:val="0484040B"/>
    <w:rsid w:val="04C3001C"/>
    <w:rsid w:val="04CD7F1F"/>
    <w:rsid w:val="04D0585E"/>
    <w:rsid w:val="04DB5B34"/>
    <w:rsid w:val="05122A1A"/>
    <w:rsid w:val="058B7334"/>
    <w:rsid w:val="058E7CD4"/>
    <w:rsid w:val="05A67153"/>
    <w:rsid w:val="05AF7823"/>
    <w:rsid w:val="06013D6D"/>
    <w:rsid w:val="06507266"/>
    <w:rsid w:val="066B6FE6"/>
    <w:rsid w:val="0680729D"/>
    <w:rsid w:val="06955EA7"/>
    <w:rsid w:val="06966AEA"/>
    <w:rsid w:val="06A25579"/>
    <w:rsid w:val="06B0246B"/>
    <w:rsid w:val="0756081C"/>
    <w:rsid w:val="078C338B"/>
    <w:rsid w:val="07AA5C08"/>
    <w:rsid w:val="07B80843"/>
    <w:rsid w:val="07B955D8"/>
    <w:rsid w:val="07C01C24"/>
    <w:rsid w:val="07FB532D"/>
    <w:rsid w:val="081D7F53"/>
    <w:rsid w:val="08367FF7"/>
    <w:rsid w:val="08413377"/>
    <w:rsid w:val="08703A48"/>
    <w:rsid w:val="08887C9C"/>
    <w:rsid w:val="08AF0B75"/>
    <w:rsid w:val="08C627F0"/>
    <w:rsid w:val="08E70F77"/>
    <w:rsid w:val="08E97758"/>
    <w:rsid w:val="090A20A4"/>
    <w:rsid w:val="090D29DD"/>
    <w:rsid w:val="093D059E"/>
    <w:rsid w:val="0964120F"/>
    <w:rsid w:val="0965208B"/>
    <w:rsid w:val="09776999"/>
    <w:rsid w:val="09A80FE4"/>
    <w:rsid w:val="09AD2157"/>
    <w:rsid w:val="09CB082F"/>
    <w:rsid w:val="0A1E5D60"/>
    <w:rsid w:val="0A24457A"/>
    <w:rsid w:val="0A4B630F"/>
    <w:rsid w:val="0A822BDE"/>
    <w:rsid w:val="0A977E58"/>
    <w:rsid w:val="0A9C00DE"/>
    <w:rsid w:val="0AB80DB3"/>
    <w:rsid w:val="0ADA18C7"/>
    <w:rsid w:val="0AE80332"/>
    <w:rsid w:val="0B0A48E5"/>
    <w:rsid w:val="0B386664"/>
    <w:rsid w:val="0B4415AF"/>
    <w:rsid w:val="0B58178A"/>
    <w:rsid w:val="0B6F3BF2"/>
    <w:rsid w:val="0B7849E6"/>
    <w:rsid w:val="0B9747CC"/>
    <w:rsid w:val="0BA37CB5"/>
    <w:rsid w:val="0BA44556"/>
    <w:rsid w:val="0BBC2934"/>
    <w:rsid w:val="0BC91163"/>
    <w:rsid w:val="0BCC076D"/>
    <w:rsid w:val="0C5B2854"/>
    <w:rsid w:val="0C5B4063"/>
    <w:rsid w:val="0C7973C6"/>
    <w:rsid w:val="0C7B5FE8"/>
    <w:rsid w:val="0C816499"/>
    <w:rsid w:val="0CBB116C"/>
    <w:rsid w:val="0CC17076"/>
    <w:rsid w:val="0CE86424"/>
    <w:rsid w:val="0D30764E"/>
    <w:rsid w:val="0D3C3984"/>
    <w:rsid w:val="0D490CF4"/>
    <w:rsid w:val="0D541BB4"/>
    <w:rsid w:val="0D786324"/>
    <w:rsid w:val="0D817290"/>
    <w:rsid w:val="0D96672B"/>
    <w:rsid w:val="0D984ECC"/>
    <w:rsid w:val="0DB05B60"/>
    <w:rsid w:val="0DE740E3"/>
    <w:rsid w:val="0E061354"/>
    <w:rsid w:val="0E0C734D"/>
    <w:rsid w:val="0E1F4B47"/>
    <w:rsid w:val="0E595912"/>
    <w:rsid w:val="0E5E6AD7"/>
    <w:rsid w:val="0E7673F3"/>
    <w:rsid w:val="0EC13251"/>
    <w:rsid w:val="0EE620D8"/>
    <w:rsid w:val="0EE90115"/>
    <w:rsid w:val="0EF80818"/>
    <w:rsid w:val="0F04076E"/>
    <w:rsid w:val="0F2A393B"/>
    <w:rsid w:val="0F2C2CB0"/>
    <w:rsid w:val="0F3448DB"/>
    <w:rsid w:val="0F3F3D97"/>
    <w:rsid w:val="0FB94F18"/>
    <w:rsid w:val="0FC47D0F"/>
    <w:rsid w:val="106A2673"/>
    <w:rsid w:val="10826810"/>
    <w:rsid w:val="10A70A03"/>
    <w:rsid w:val="10C0439F"/>
    <w:rsid w:val="10CA47AF"/>
    <w:rsid w:val="10CD14F1"/>
    <w:rsid w:val="10EF4CC4"/>
    <w:rsid w:val="11013016"/>
    <w:rsid w:val="115641A5"/>
    <w:rsid w:val="116C712B"/>
    <w:rsid w:val="118B440B"/>
    <w:rsid w:val="11A108C2"/>
    <w:rsid w:val="11A45941"/>
    <w:rsid w:val="11F27335"/>
    <w:rsid w:val="11FB2EBB"/>
    <w:rsid w:val="12180114"/>
    <w:rsid w:val="123C10C2"/>
    <w:rsid w:val="12520216"/>
    <w:rsid w:val="127453EE"/>
    <w:rsid w:val="12D90460"/>
    <w:rsid w:val="13352F06"/>
    <w:rsid w:val="13791216"/>
    <w:rsid w:val="13982D2F"/>
    <w:rsid w:val="13B0489D"/>
    <w:rsid w:val="13B10B61"/>
    <w:rsid w:val="13C60336"/>
    <w:rsid w:val="13E143B5"/>
    <w:rsid w:val="13E50812"/>
    <w:rsid w:val="14130239"/>
    <w:rsid w:val="141A530F"/>
    <w:rsid w:val="14246F26"/>
    <w:rsid w:val="14353885"/>
    <w:rsid w:val="143D2559"/>
    <w:rsid w:val="145C51BF"/>
    <w:rsid w:val="1466120D"/>
    <w:rsid w:val="147B273E"/>
    <w:rsid w:val="14A97217"/>
    <w:rsid w:val="14AA3E63"/>
    <w:rsid w:val="14CF5A97"/>
    <w:rsid w:val="14F11464"/>
    <w:rsid w:val="14F376A5"/>
    <w:rsid w:val="150822F7"/>
    <w:rsid w:val="150D43F1"/>
    <w:rsid w:val="150F100D"/>
    <w:rsid w:val="15384F61"/>
    <w:rsid w:val="1575233D"/>
    <w:rsid w:val="15B13EC5"/>
    <w:rsid w:val="15D43A61"/>
    <w:rsid w:val="15DB44F0"/>
    <w:rsid w:val="15DC59AC"/>
    <w:rsid w:val="15E04FC2"/>
    <w:rsid w:val="15E239E6"/>
    <w:rsid w:val="15E25FEA"/>
    <w:rsid w:val="15E47303"/>
    <w:rsid w:val="16236F46"/>
    <w:rsid w:val="16610EEA"/>
    <w:rsid w:val="167F4D6F"/>
    <w:rsid w:val="169052DA"/>
    <w:rsid w:val="16A144AE"/>
    <w:rsid w:val="16AA3782"/>
    <w:rsid w:val="16CB6F28"/>
    <w:rsid w:val="16D74CB7"/>
    <w:rsid w:val="170013CA"/>
    <w:rsid w:val="172D07F7"/>
    <w:rsid w:val="173839F5"/>
    <w:rsid w:val="17C96D35"/>
    <w:rsid w:val="17ED3AE1"/>
    <w:rsid w:val="18643A69"/>
    <w:rsid w:val="186B6C78"/>
    <w:rsid w:val="18754787"/>
    <w:rsid w:val="18A37798"/>
    <w:rsid w:val="18B24BED"/>
    <w:rsid w:val="18BA675E"/>
    <w:rsid w:val="18D968AD"/>
    <w:rsid w:val="18E1010A"/>
    <w:rsid w:val="18E629FF"/>
    <w:rsid w:val="18E8543B"/>
    <w:rsid w:val="19015DC1"/>
    <w:rsid w:val="197C356A"/>
    <w:rsid w:val="19841B6B"/>
    <w:rsid w:val="198F2D14"/>
    <w:rsid w:val="19A54169"/>
    <w:rsid w:val="19A953C8"/>
    <w:rsid w:val="19B33696"/>
    <w:rsid w:val="19B665B8"/>
    <w:rsid w:val="19CC2F5A"/>
    <w:rsid w:val="1A21244D"/>
    <w:rsid w:val="1A725A9A"/>
    <w:rsid w:val="1A857B90"/>
    <w:rsid w:val="1ABF3D05"/>
    <w:rsid w:val="1B193AF0"/>
    <w:rsid w:val="1B573C61"/>
    <w:rsid w:val="1B6344E1"/>
    <w:rsid w:val="1B8E78BF"/>
    <w:rsid w:val="1C0B1C04"/>
    <w:rsid w:val="1C13053F"/>
    <w:rsid w:val="1C1D514E"/>
    <w:rsid w:val="1C2211DF"/>
    <w:rsid w:val="1C403F49"/>
    <w:rsid w:val="1C4A1A87"/>
    <w:rsid w:val="1C722BE3"/>
    <w:rsid w:val="1CC5204D"/>
    <w:rsid w:val="1CEB1A91"/>
    <w:rsid w:val="1CEE71D0"/>
    <w:rsid w:val="1D917C0E"/>
    <w:rsid w:val="1DCE4A28"/>
    <w:rsid w:val="1DEA65AF"/>
    <w:rsid w:val="1E235123"/>
    <w:rsid w:val="1E3E054A"/>
    <w:rsid w:val="1E997443"/>
    <w:rsid w:val="1ED838A3"/>
    <w:rsid w:val="1EEA5A27"/>
    <w:rsid w:val="1EF97FD0"/>
    <w:rsid w:val="1F257275"/>
    <w:rsid w:val="1F503858"/>
    <w:rsid w:val="1F521C32"/>
    <w:rsid w:val="1F530599"/>
    <w:rsid w:val="1F584F78"/>
    <w:rsid w:val="1F6C03B8"/>
    <w:rsid w:val="1FBC5E96"/>
    <w:rsid w:val="1FCD1A9B"/>
    <w:rsid w:val="1FF16DE9"/>
    <w:rsid w:val="200A566F"/>
    <w:rsid w:val="20221E87"/>
    <w:rsid w:val="205423A9"/>
    <w:rsid w:val="208517CF"/>
    <w:rsid w:val="20A225FE"/>
    <w:rsid w:val="20F1291F"/>
    <w:rsid w:val="2122071E"/>
    <w:rsid w:val="21237C91"/>
    <w:rsid w:val="21286802"/>
    <w:rsid w:val="212B0546"/>
    <w:rsid w:val="2137688C"/>
    <w:rsid w:val="213F2E44"/>
    <w:rsid w:val="21AF00FD"/>
    <w:rsid w:val="21CC170B"/>
    <w:rsid w:val="21DE0D50"/>
    <w:rsid w:val="21DE514B"/>
    <w:rsid w:val="21EF7B8F"/>
    <w:rsid w:val="221E3753"/>
    <w:rsid w:val="223279FD"/>
    <w:rsid w:val="223C5ABC"/>
    <w:rsid w:val="223D5987"/>
    <w:rsid w:val="226014E3"/>
    <w:rsid w:val="22615DF6"/>
    <w:rsid w:val="22AE7369"/>
    <w:rsid w:val="22BE1789"/>
    <w:rsid w:val="22C07A85"/>
    <w:rsid w:val="22CB73A7"/>
    <w:rsid w:val="22DB0EF6"/>
    <w:rsid w:val="22FE28BB"/>
    <w:rsid w:val="230D1C9D"/>
    <w:rsid w:val="231431F3"/>
    <w:rsid w:val="23207BC7"/>
    <w:rsid w:val="234E4319"/>
    <w:rsid w:val="235A7DEB"/>
    <w:rsid w:val="23872750"/>
    <w:rsid w:val="238F647C"/>
    <w:rsid w:val="23921BFE"/>
    <w:rsid w:val="23D5257E"/>
    <w:rsid w:val="23F61DDA"/>
    <w:rsid w:val="24505744"/>
    <w:rsid w:val="246C282F"/>
    <w:rsid w:val="249F2978"/>
    <w:rsid w:val="24B649EA"/>
    <w:rsid w:val="24C02ECF"/>
    <w:rsid w:val="24CF6C87"/>
    <w:rsid w:val="24D42D69"/>
    <w:rsid w:val="25142D0D"/>
    <w:rsid w:val="25363E8C"/>
    <w:rsid w:val="253656A3"/>
    <w:rsid w:val="25530C99"/>
    <w:rsid w:val="255F1E1D"/>
    <w:rsid w:val="25624E07"/>
    <w:rsid w:val="25631055"/>
    <w:rsid w:val="25907B05"/>
    <w:rsid w:val="25972125"/>
    <w:rsid w:val="25A73311"/>
    <w:rsid w:val="25EF6660"/>
    <w:rsid w:val="25FA56ED"/>
    <w:rsid w:val="260058E8"/>
    <w:rsid w:val="26505405"/>
    <w:rsid w:val="26764137"/>
    <w:rsid w:val="26C542ED"/>
    <w:rsid w:val="26DF3E73"/>
    <w:rsid w:val="26E110CA"/>
    <w:rsid w:val="26EB71C2"/>
    <w:rsid w:val="26FA5690"/>
    <w:rsid w:val="270E38A9"/>
    <w:rsid w:val="272600A4"/>
    <w:rsid w:val="27591124"/>
    <w:rsid w:val="27BC029E"/>
    <w:rsid w:val="27CC19C4"/>
    <w:rsid w:val="28137B19"/>
    <w:rsid w:val="28493AA6"/>
    <w:rsid w:val="284F5047"/>
    <w:rsid w:val="28577949"/>
    <w:rsid w:val="28621E5A"/>
    <w:rsid w:val="28796A32"/>
    <w:rsid w:val="288B380D"/>
    <w:rsid w:val="28B23557"/>
    <w:rsid w:val="28CE00F1"/>
    <w:rsid w:val="28D5506F"/>
    <w:rsid w:val="28D55FE9"/>
    <w:rsid w:val="28E1209A"/>
    <w:rsid w:val="29026DEC"/>
    <w:rsid w:val="294D7736"/>
    <w:rsid w:val="29A476BC"/>
    <w:rsid w:val="29B2410D"/>
    <w:rsid w:val="29B556A8"/>
    <w:rsid w:val="29E8364B"/>
    <w:rsid w:val="29F02D5D"/>
    <w:rsid w:val="2A1F5513"/>
    <w:rsid w:val="2A686A9D"/>
    <w:rsid w:val="2A8C781C"/>
    <w:rsid w:val="2A8D5002"/>
    <w:rsid w:val="2AA10C4C"/>
    <w:rsid w:val="2ADA1D58"/>
    <w:rsid w:val="2B077A85"/>
    <w:rsid w:val="2B2E1FD4"/>
    <w:rsid w:val="2B435C4D"/>
    <w:rsid w:val="2B472D95"/>
    <w:rsid w:val="2BA200F8"/>
    <w:rsid w:val="2BC52ED8"/>
    <w:rsid w:val="2C2164A3"/>
    <w:rsid w:val="2C536F83"/>
    <w:rsid w:val="2C9A338A"/>
    <w:rsid w:val="2C9A5850"/>
    <w:rsid w:val="2CA158A8"/>
    <w:rsid w:val="2CD10738"/>
    <w:rsid w:val="2D174711"/>
    <w:rsid w:val="2D535FDC"/>
    <w:rsid w:val="2D611B02"/>
    <w:rsid w:val="2D612385"/>
    <w:rsid w:val="2D7D7F0E"/>
    <w:rsid w:val="2D887979"/>
    <w:rsid w:val="2DD56488"/>
    <w:rsid w:val="2DFF16BD"/>
    <w:rsid w:val="2E176B21"/>
    <w:rsid w:val="2E5E499E"/>
    <w:rsid w:val="2E722425"/>
    <w:rsid w:val="2E8A228F"/>
    <w:rsid w:val="2E9F2226"/>
    <w:rsid w:val="2EA16E73"/>
    <w:rsid w:val="2EBA68C9"/>
    <w:rsid w:val="2F212B1B"/>
    <w:rsid w:val="2FA519A9"/>
    <w:rsid w:val="2FB91B09"/>
    <w:rsid w:val="2FE332E5"/>
    <w:rsid w:val="2FEA46CA"/>
    <w:rsid w:val="30376546"/>
    <w:rsid w:val="30646374"/>
    <w:rsid w:val="309A4933"/>
    <w:rsid w:val="30D00268"/>
    <w:rsid w:val="319461ED"/>
    <w:rsid w:val="319709CA"/>
    <w:rsid w:val="31DC0F7C"/>
    <w:rsid w:val="31DF5830"/>
    <w:rsid w:val="32152CE9"/>
    <w:rsid w:val="32504CA6"/>
    <w:rsid w:val="326C387A"/>
    <w:rsid w:val="32722B08"/>
    <w:rsid w:val="32763776"/>
    <w:rsid w:val="327F6190"/>
    <w:rsid w:val="32892CEC"/>
    <w:rsid w:val="32A11D75"/>
    <w:rsid w:val="32AE21B2"/>
    <w:rsid w:val="334212B2"/>
    <w:rsid w:val="336B4F56"/>
    <w:rsid w:val="336D32B4"/>
    <w:rsid w:val="33C30645"/>
    <w:rsid w:val="33E54780"/>
    <w:rsid w:val="341D039C"/>
    <w:rsid w:val="341F32D6"/>
    <w:rsid w:val="34203345"/>
    <w:rsid w:val="3434631D"/>
    <w:rsid w:val="34376E4F"/>
    <w:rsid w:val="344F6E9D"/>
    <w:rsid w:val="347854E0"/>
    <w:rsid w:val="34814BCE"/>
    <w:rsid w:val="34853084"/>
    <w:rsid w:val="349A44FB"/>
    <w:rsid w:val="34A17751"/>
    <w:rsid w:val="34A34A02"/>
    <w:rsid w:val="34CD4990"/>
    <w:rsid w:val="34DD7C47"/>
    <w:rsid w:val="34E036EC"/>
    <w:rsid w:val="34E114C4"/>
    <w:rsid w:val="34F311E1"/>
    <w:rsid w:val="35004D1D"/>
    <w:rsid w:val="35075BBF"/>
    <w:rsid w:val="350D0E3C"/>
    <w:rsid w:val="35275627"/>
    <w:rsid w:val="356E638F"/>
    <w:rsid w:val="35924123"/>
    <w:rsid w:val="35B83CDF"/>
    <w:rsid w:val="35C31730"/>
    <w:rsid w:val="35DF081E"/>
    <w:rsid w:val="35FA5471"/>
    <w:rsid w:val="360D5B6A"/>
    <w:rsid w:val="362964D1"/>
    <w:rsid w:val="36310758"/>
    <w:rsid w:val="363627F5"/>
    <w:rsid w:val="363B4432"/>
    <w:rsid w:val="364D493D"/>
    <w:rsid w:val="367751BF"/>
    <w:rsid w:val="36F36E9C"/>
    <w:rsid w:val="36FF7BE6"/>
    <w:rsid w:val="37161699"/>
    <w:rsid w:val="3717426B"/>
    <w:rsid w:val="3792442C"/>
    <w:rsid w:val="37944D09"/>
    <w:rsid w:val="37947E48"/>
    <w:rsid w:val="37A8011A"/>
    <w:rsid w:val="37AD3C74"/>
    <w:rsid w:val="37AD6D78"/>
    <w:rsid w:val="37C73352"/>
    <w:rsid w:val="37C7719F"/>
    <w:rsid w:val="37CF21C1"/>
    <w:rsid w:val="37D334C0"/>
    <w:rsid w:val="37D42E6B"/>
    <w:rsid w:val="37F13B89"/>
    <w:rsid w:val="38246CDA"/>
    <w:rsid w:val="384036EE"/>
    <w:rsid w:val="385A2B16"/>
    <w:rsid w:val="38664D9A"/>
    <w:rsid w:val="388D426E"/>
    <w:rsid w:val="38BA76E2"/>
    <w:rsid w:val="38C72536"/>
    <w:rsid w:val="38D94E35"/>
    <w:rsid w:val="399233FE"/>
    <w:rsid w:val="399457B0"/>
    <w:rsid w:val="39C50180"/>
    <w:rsid w:val="39C764CE"/>
    <w:rsid w:val="39D50151"/>
    <w:rsid w:val="39D93A48"/>
    <w:rsid w:val="3A190C00"/>
    <w:rsid w:val="3A3E0A25"/>
    <w:rsid w:val="3A571343"/>
    <w:rsid w:val="3A703D00"/>
    <w:rsid w:val="3A9345E1"/>
    <w:rsid w:val="3A9E12FC"/>
    <w:rsid w:val="3AD0533E"/>
    <w:rsid w:val="3AD3652E"/>
    <w:rsid w:val="3AFA432C"/>
    <w:rsid w:val="3B0B74F8"/>
    <w:rsid w:val="3B0F09AF"/>
    <w:rsid w:val="3B156772"/>
    <w:rsid w:val="3B445AA5"/>
    <w:rsid w:val="3B547259"/>
    <w:rsid w:val="3B606A04"/>
    <w:rsid w:val="3B9556A8"/>
    <w:rsid w:val="3B9637B8"/>
    <w:rsid w:val="3BAE32CF"/>
    <w:rsid w:val="3BBD2544"/>
    <w:rsid w:val="3BFB431C"/>
    <w:rsid w:val="3C39733B"/>
    <w:rsid w:val="3C3C579B"/>
    <w:rsid w:val="3C516401"/>
    <w:rsid w:val="3C7A2B7A"/>
    <w:rsid w:val="3CB133AA"/>
    <w:rsid w:val="3CB37F6B"/>
    <w:rsid w:val="3CE80E38"/>
    <w:rsid w:val="3CE9226D"/>
    <w:rsid w:val="3CFB4EDC"/>
    <w:rsid w:val="3D016BDE"/>
    <w:rsid w:val="3D1B209A"/>
    <w:rsid w:val="3D7A5AB6"/>
    <w:rsid w:val="3DB04648"/>
    <w:rsid w:val="3DD21DF8"/>
    <w:rsid w:val="3DE723F4"/>
    <w:rsid w:val="3E294607"/>
    <w:rsid w:val="3E3E7246"/>
    <w:rsid w:val="3E826AA7"/>
    <w:rsid w:val="3EAC30E2"/>
    <w:rsid w:val="3ECC0742"/>
    <w:rsid w:val="3ED6174D"/>
    <w:rsid w:val="3EE8321C"/>
    <w:rsid w:val="3EEE1457"/>
    <w:rsid w:val="3F167B9C"/>
    <w:rsid w:val="3F1F07B8"/>
    <w:rsid w:val="3F275F2C"/>
    <w:rsid w:val="3F2B77B1"/>
    <w:rsid w:val="3F370FAF"/>
    <w:rsid w:val="3F4929D1"/>
    <w:rsid w:val="3F7B0026"/>
    <w:rsid w:val="3FA43784"/>
    <w:rsid w:val="3FC0065F"/>
    <w:rsid w:val="3FD47FE7"/>
    <w:rsid w:val="3FDF05B5"/>
    <w:rsid w:val="3FF37545"/>
    <w:rsid w:val="400C06A4"/>
    <w:rsid w:val="401A59E1"/>
    <w:rsid w:val="402C7073"/>
    <w:rsid w:val="40303B42"/>
    <w:rsid w:val="404301F9"/>
    <w:rsid w:val="40432D0E"/>
    <w:rsid w:val="40484347"/>
    <w:rsid w:val="408C085E"/>
    <w:rsid w:val="40CE53B6"/>
    <w:rsid w:val="40FA02D3"/>
    <w:rsid w:val="40FC6E1B"/>
    <w:rsid w:val="412B646A"/>
    <w:rsid w:val="413723C5"/>
    <w:rsid w:val="413A37AD"/>
    <w:rsid w:val="413E6BE5"/>
    <w:rsid w:val="414464E1"/>
    <w:rsid w:val="414E1FB1"/>
    <w:rsid w:val="41581458"/>
    <w:rsid w:val="41990C37"/>
    <w:rsid w:val="41A235C2"/>
    <w:rsid w:val="41A548E4"/>
    <w:rsid w:val="41BB7DD9"/>
    <w:rsid w:val="41C021C7"/>
    <w:rsid w:val="42350695"/>
    <w:rsid w:val="424E6494"/>
    <w:rsid w:val="424F5ED1"/>
    <w:rsid w:val="426C1302"/>
    <w:rsid w:val="427375F1"/>
    <w:rsid w:val="42FA502B"/>
    <w:rsid w:val="4300438F"/>
    <w:rsid w:val="431B41AD"/>
    <w:rsid w:val="433F1E2F"/>
    <w:rsid w:val="437674CE"/>
    <w:rsid w:val="43A57ABB"/>
    <w:rsid w:val="43F71BE2"/>
    <w:rsid w:val="441E7BA8"/>
    <w:rsid w:val="442916DB"/>
    <w:rsid w:val="44407CB4"/>
    <w:rsid w:val="44651720"/>
    <w:rsid w:val="44702F00"/>
    <w:rsid w:val="447C7D9D"/>
    <w:rsid w:val="45313AE1"/>
    <w:rsid w:val="454E189C"/>
    <w:rsid w:val="45585DCA"/>
    <w:rsid w:val="457E58E6"/>
    <w:rsid w:val="45896277"/>
    <w:rsid w:val="45896EC1"/>
    <w:rsid w:val="459E01AF"/>
    <w:rsid w:val="45B778DE"/>
    <w:rsid w:val="45F22919"/>
    <w:rsid w:val="46181BCD"/>
    <w:rsid w:val="4621254F"/>
    <w:rsid w:val="46251172"/>
    <w:rsid w:val="464C1B20"/>
    <w:rsid w:val="46807DCE"/>
    <w:rsid w:val="47404FC1"/>
    <w:rsid w:val="47691DEA"/>
    <w:rsid w:val="477A0BC3"/>
    <w:rsid w:val="479D4478"/>
    <w:rsid w:val="479F28A3"/>
    <w:rsid w:val="47BC3397"/>
    <w:rsid w:val="47C359C4"/>
    <w:rsid w:val="47D67673"/>
    <w:rsid w:val="482661E0"/>
    <w:rsid w:val="482B1A8B"/>
    <w:rsid w:val="48431EF9"/>
    <w:rsid w:val="48517EF0"/>
    <w:rsid w:val="485D1948"/>
    <w:rsid w:val="486D24D6"/>
    <w:rsid w:val="4873734F"/>
    <w:rsid w:val="48986FC5"/>
    <w:rsid w:val="48D02B7B"/>
    <w:rsid w:val="48D45153"/>
    <w:rsid w:val="490D6193"/>
    <w:rsid w:val="491747CD"/>
    <w:rsid w:val="491D0BCA"/>
    <w:rsid w:val="495871E5"/>
    <w:rsid w:val="4971280A"/>
    <w:rsid w:val="497310B8"/>
    <w:rsid w:val="4A01744E"/>
    <w:rsid w:val="4A185756"/>
    <w:rsid w:val="4A3A7FEA"/>
    <w:rsid w:val="4A497DE5"/>
    <w:rsid w:val="4A8A235C"/>
    <w:rsid w:val="4AA032FE"/>
    <w:rsid w:val="4AD26BA2"/>
    <w:rsid w:val="4ADC3FDB"/>
    <w:rsid w:val="4B0E5499"/>
    <w:rsid w:val="4B1F1AB1"/>
    <w:rsid w:val="4B7D2B59"/>
    <w:rsid w:val="4B881241"/>
    <w:rsid w:val="4BAE4E91"/>
    <w:rsid w:val="4C022C36"/>
    <w:rsid w:val="4C03562B"/>
    <w:rsid w:val="4C225456"/>
    <w:rsid w:val="4C41343B"/>
    <w:rsid w:val="4C4B4B4E"/>
    <w:rsid w:val="4C814408"/>
    <w:rsid w:val="4C8524E4"/>
    <w:rsid w:val="4C9C1067"/>
    <w:rsid w:val="4C9F0590"/>
    <w:rsid w:val="4CDF6503"/>
    <w:rsid w:val="4CE64F3B"/>
    <w:rsid w:val="4CF976A7"/>
    <w:rsid w:val="4D500FBE"/>
    <w:rsid w:val="4D665C9B"/>
    <w:rsid w:val="4D844549"/>
    <w:rsid w:val="4DD955AC"/>
    <w:rsid w:val="4E0C13C0"/>
    <w:rsid w:val="4E31085E"/>
    <w:rsid w:val="4EC85A1C"/>
    <w:rsid w:val="4F26015F"/>
    <w:rsid w:val="4F5A07CB"/>
    <w:rsid w:val="4FC713F8"/>
    <w:rsid w:val="4FD64C32"/>
    <w:rsid w:val="501E63FC"/>
    <w:rsid w:val="508B4DD6"/>
    <w:rsid w:val="5096546B"/>
    <w:rsid w:val="50B07D3B"/>
    <w:rsid w:val="50B67E83"/>
    <w:rsid w:val="50C86712"/>
    <w:rsid w:val="50EF18A2"/>
    <w:rsid w:val="511928C2"/>
    <w:rsid w:val="513D4999"/>
    <w:rsid w:val="514D0DD3"/>
    <w:rsid w:val="51695060"/>
    <w:rsid w:val="5176064D"/>
    <w:rsid w:val="517D2D18"/>
    <w:rsid w:val="51C1454C"/>
    <w:rsid w:val="51D41818"/>
    <w:rsid w:val="51E25BCE"/>
    <w:rsid w:val="51E53B26"/>
    <w:rsid w:val="51E90E1F"/>
    <w:rsid w:val="51F14F3C"/>
    <w:rsid w:val="52163D64"/>
    <w:rsid w:val="5216413B"/>
    <w:rsid w:val="523F3135"/>
    <w:rsid w:val="525B05A6"/>
    <w:rsid w:val="52694CE1"/>
    <w:rsid w:val="52937442"/>
    <w:rsid w:val="529B3959"/>
    <w:rsid w:val="52B36592"/>
    <w:rsid w:val="52DC73F7"/>
    <w:rsid w:val="52E635B0"/>
    <w:rsid w:val="52F5579A"/>
    <w:rsid w:val="53017946"/>
    <w:rsid w:val="530F0D59"/>
    <w:rsid w:val="536B35FA"/>
    <w:rsid w:val="537547B6"/>
    <w:rsid w:val="53874E40"/>
    <w:rsid w:val="53A314E2"/>
    <w:rsid w:val="53A90398"/>
    <w:rsid w:val="53AE3EFB"/>
    <w:rsid w:val="53BB3FBA"/>
    <w:rsid w:val="540B4981"/>
    <w:rsid w:val="545556E1"/>
    <w:rsid w:val="54555E76"/>
    <w:rsid w:val="54881367"/>
    <w:rsid w:val="54B32D5D"/>
    <w:rsid w:val="54D9763E"/>
    <w:rsid w:val="54FB0871"/>
    <w:rsid w:val="55051573"/>
    <w:rsid w:val="550615BA"/>
    <w:rsid w:val="550D1B96"/>
    <w:rsid w:val="5521132B"/>
    <w:rsid w:val="5532007C"/>
    <w:rsid w:val="55424403"/>
    <w:rsid w:val="556D36A7"/>
    <w:rsid w:val="557C668C"/>
    <w:rsid w:val="557D4C2A"/>
    <w:rsid w:val="559E6CDF"/>
    <w:rsid w:val="55AF35B6"/>
    <w:rsid w:val="55AF3687"/>
    <w:rsid w:val="55CE6209"/>
    <w:rsid w:val="56177D89"/>
    <w:rsid w:val="564F4A05"/>
    <w:rsid w:val="5650379D"/>
    <w:rsid w:val="568616F1"/>
    <w:rsid w:val="56933DB7"/>
    <w:rsid w:val="56A04324"/>
    <w:rsid w:val="56B103C9"/>
    <w:rsid w:val="56BA0FDC"/>
    <w:rsid w:val="56CD51B3"/>
    <w:rsid w:val="56FC33A3"/>
    <w:rsid w:val="56FD70B1"/>
    <w:rsid w:val="57035BFA"/>
    <w:rsid w:val="573C5A71"/>
    <w:rsid w:val="575B4EB3"/>
    <w:rsid w:val="57612F7B"/>
    <w:rsid w:val="577063BF"/>
    <w:rsid w:val="57871924"/>
    <w:rsid w:val="578A5F4E"/>
    <w:rsid w:val="57A66C73"/>
    <w:rsid w:val="57A93D4F"/>
    <w:rsid w:val="58060238"/>
    <w:rsid w:val="5815716F"/>
    <w:rsid w:val="58177C0B"/>
    <w:rsid w:val="58200FDE"/>
    <w:rsid w:val="58626F3F"/>
    <w:rsid w:val="587D5FD2"/>
    <w:rsid w:val="58BD558C"/>
    <w:rsid w:val="58D145A8"/>
    <w:rsid w:val="58E5297E"/>
    <w:rsid w:val="590B1FC3"/>
    <w:rsid w:val="591C159C"/>
    <w:rsid w:val="593C4EC4"/>
    <w:rsid w:val="595D4000"/>
    <w:rsid w:val="59A14D98"/>
    <w:rsid w:val="59DC032B"/>
    <w:rsid w:val="59E300BE"/>
    <w:rsid w:val="5A1B4B25"/>
    <w:rsid w:val="5A1D7A3E"/>
    <w:rsid w:val="5A4562A7"/>
    <w:rsid w:val="5A7E4F31"/>
    <w:rsid w:val="5A906D8B"/>
    <w:rsid w:val="5AB26B9A"/>
    <w:rsid w:val="5B0822F2"/>
    <w:rsid w:val="5B1C00E9"/>
    <w:rsid w:val="5B444A1A"/>
    <w:rsid w:val="5B453C88"/>
    <w:rsid w:val="5B556723"/>
    <w:rsid w:val="5B897511"/>
    <w:rsid w:val="5BB3081E"/>
    <w:rsid w:val="5BBC52F0"/>
    <w:rsid w:val="5BC96AE8"/>
    <w:rsid w:val="5BD66D7B"/>
    <w:rsid w:val="5BDB3251"/>
    <w:rsid w:val="5C5876EC"/>
    <w:rsid w:val="5C853EB2"/>
    <w:rsid w:val="5C8A53FC"/>
    <w:rsid w:val="5CB85FBE"/>
    <w:rsid w:val="5CCE55B6"/>
    <w:rsid w:val="5D1640BF"/>
    <w:rsid w:val="5D53240E"/>
    <w:rsid w:val="5D6F0836"/>
    <w:rsid w:val="5D6F7A0F"/>
    <w:rsid w:val="5DA1380D"/>
    <w:rsid w:val="5DA46A84"/>
    <w:rsid w:val="5DEB095A"/>
    <w:rsid w:val="5E233CE0"/>
    <w:rsid w:val="5E4044BD"/>
    <w:rsid w:val="5E516DEC"/>
    <w:rsid w:val="5E9350EB"/>
    <w:rsid w:val="5EB33A22"/>
    <w:rsid w:val="5EBE758A"/>
    <w:rsid w:val="5ED25F03"/>
    <w:rsid w:val="5EF45BFD"/>
    <w:rsid w:val="5F075904"/>
    <w:rsid w:val="5F0D6812"/>
    <w:rsid w:val="5F580303"/>
    <w:rsid w:val="5F881A79"/>
    <w:rsid w:val="5F9748E2"/>
    <w:rsid w:val="5FA02242"/>
    <w:rsid w:val="5FD41360"/>
    <w:rsid w:val="60353EFA"/>
    <w:rsid w:val="604B0135"/>
    <w:rsid w:val="60503CE9"/>
    <w:rsid w:val="60545D2B"/>
    <w:rsid w:val="607C32BD"/>
    <w:rsid w:val="60894A16"/>
    <w:rsid w:val="60C65BC2"/>
    <w:rsid w:val="6107662F"/>
    <w:rsid w:val="611834CF"/>
    <w:rsid w:val="6134470D"/>
    <w:rsid w:val="61437B3D"/>
    <w:rsid w:val="615E0D9A"/>
    <w:rsid w:val="61824379"/>
    <w:rsid w:val="61830ED7"/>
    <w:rsid w:val="61972646"/>
    <w:rsid w:val="619B7D6F"/>
    <w:rsid w:val="61A81695"/>
    <w:rsid w:val="6213674B"/>
    <w:rsid w:val="62222704"/>
    <w:rsid w:val="62385B6F"/>
    <w:rsid w:val="623E6C6D"/>
    <w:rsid w:val="626207B4"/>
    <w:rsid w:val="62736F7B"/>
    <w:rsid w:val="627470F0"/>
    <w:rsid w:val="62B609F6"/>
    <w:rsid w:val="62CB0B44"/>
    <w:rsid w:val="63224191"/>
    <w:rsid w:val="633256FE"/>
    <w:rsid w:val="634C6769"/>
    <w:rsid w:val="634E3B86"/>
    <w:rsid w:val="637075F2"/>
    <w:rsid w:val="63780255"/>
    <w:rsid w:val="637C55CD"/>
    <w:rsid w:val="63D41042"/>
    <w:rsid w:val="63E94B92"/>
    <w:rsid w:val="6445074D"/>
    <w:rsid w:val="648610F4"/>
    <w:rsid w:val="64AF14A5"/>
    <w:rsid w:val="64C57476"/>
    <w:rsid w:val="64E23E95"/>
    <w:rsid w:val="651412C1"/>
    <w:rsid w:val="65374034"/>
    <w:rsid w:val="65404E3D"/>
    <w:rsid w:val="660E3AF5"/>
    <w:rsid w:val="665036EA"/>
    <w:rsid w:val="667B688E"/>
    <w:rsid w:val="66821466"/>
    <w:rsid w:val="66992669"/>
    <w:rsid w:val="67382613"/>
    <w:rsid w:val="673B70C8"/>
    <w:rsid w:val="67671A0B"/>
    <w:rsid w:val="67A80B1C"/>
    <w:rsid w:val="67CF7A43"/>
    <w:rsid w:val="68017CF4"/>
    <w:rsid w:val="681C22EE"/>
    <w:rsid w:val="684649D2"/>
    <w:rsid w:val="68723865"/>
    <w:rsid w:val="6877255B"/>
    <w:rsid w:val="689F461B"/>
    <w:rsid w:val="68A357AC"/>
    <w:rsid w:val="68AD7534"/>
    <w:rsid w:val="68DB0221"/>
    <w:rsid w:val="68FA0635"/>
    <w:rsid w:val="692A358D"/>
    <w:rsid w:val="69654FE8"/>
    <w:rsid w:val="696E10D7"/>
    <w:rsid w:val="698133DB"/>
    <w:rsid w:val="69DD52B6"/>
    <w:rsid w:val="69FE51C2"/>
    <w:rsid w:val="6A227C3D"/>
    <w:rsid w:val="6A7D4A3A"/>
    <w:rsid w:val="6A7F5B64"/>
    <w:rsid w:val="6A8C7EC5"/>
    <w:rsid w:val="6A8E3FCF"/>
    <w:rsid w:val="6ADF3703"/>
    <w:rsid w:val="6AEC6191"/>
    <w:rsid w:val="6B0924B9"/>
    <w:rsid w:val="6B4E448C"/>
    <w:rsid w:val="6B623CC4"/>
    <w:rsid w:val="6B6A159A"/>
    <w:rsid w:val="6B707A89"/>
    <w:rsid w:val="6B7B2FD8"/>
    <w:rsid w:val="6B82581E"/>
    <w:rsid w:val="6B8A76A5"/>
    <w:rsid w:val="6B9C391C"/>
    <w:rsid w:val="6B9E086E"/>
    <w:rsid w:val="6BDF23AB"/>
    <w:rsid w:val="6BE27D92"/>
    <w:rsid w:val="6BF62AD3"/>
    <w:rsid w:val="6C0E085A"/>
    <w:rsid w:val="6C1A53A3"/>
    <w:rsid w:val="6C485068"/>
    <w:rsid w:val="6C5573FE"/>
    <w:rsid w:val="6C7A2CB3"/>
    <w:rsid w:val="6C8F6881"/>
    <w:rsid w:val="6CCC1595"/>
    <w:rsid w:val="6CD209D6"/>
    <w:rsid w:val="6CD47737"/>
    <w:rsid w:val="6CDA3495"/>
    <w:rsid w:val="6CF5398B"/>
    <w:rsid w:val="6CFF5543"/>
    <w:rsid w:val="6D173C4B"/>
    <w:rsid w:val="6D1C2E9C"/>
    <w:rsid w:val="6D306F2F"/>
    <w:rsid w:val="6D6D4C33"/>
    <w:rsid w:val="6DA02635"/>
    <w:rsid w:val="6DB92885"/>
    <w:rsid w:val="6DE52249"/>
    <w:rsid w:val="6E022CE3"/>
    <w:rsid w:val="6E1A17E4"/>
    <w:rsid w:val="6E242641"/>
    <w:rsid w:val="6E364F94"/>
    <w:rsid w:val="6E4351B0"/>
    <w:rsid w:val="6E511DCE"/>
    <w:rsid w:val="6F547DC8"/>
    <w:rsid w:val="6F827D68"/>
    <w:rsid w:val="6F8C0293"/>
    <w:rsid w:val="6F9612CC"/>
    <w:rsid w:val="6FDB561C"/>
    <w:rsid w:val="6FEC3CCF"/>
    <w:rsid w:val="7012431D"/>
    <w:rsid w:val="703B46C7"/>
    <w:rsid w:val="704E0058"/>
    <w:rsid w:val="709360E4"/>
    <w:rsid w:val="709C68C5"/>
    <w:rsid w:val="71222391"/>
    <w:rsid w:val="713A7923"/>
    <w:rsid w:val="714817C2"/>
    <w:rsid w:val="715E5BE0"/>
    <w:rsid w:val="716463FD"/>
    <w:rsid w:val="716F20D0"/>
    <w:rsid w:val="718B797D"/>
    <w:rsid w:val="718C728C"/>
    <w:rsid w:val="71D2146C"/>
    <w:rsid w:val="71DB7B97"/>
    <w:rsid w:val="71DD0791"/>
    <w:rsid w:val="71FA5EAC"/>
    <w:rsid w:val="720C79C7"/>
    <w:rsid w:val="725A61B5"/>
    <w:rsid w:val="72702E16"/>
    <w:rsid w:val="72884935"/>
    <w:rsid w:val="7293145D"/>
    <w:rsid w:val="72EC05A1"/>
    <w:rsid w:val="7309206B"/>
    <w:rsid w:val="731126A2"/>
    <w:rsid w:val="73163358"/>
    <w:rsid w:val="73261A7B"/>
    <w:rsid w:val="732C0EBE"/>
    <w:rsid w:val="7348691B"/>
    <w:rsid w:val="73623730"/>
    <w:rsid w:val="73866EC6"/>
    <w:rsid w:val="73BD26E2"/>
    <w:rsid w:val="73C64DA9"/>
    <w:rsid w:val="73F67E0F"/>
    <w:rsid w:val="740E05A5"/>
    <w:rsid w:val="74193A07"/>
    <w:rsid w:val="741D0F88"/>
    <w:rsid w:val="74404B6F"/>
    <w:rsid w:val="74624D35"/>
    <w:rsid w:val="747117E9"/>
    <w:rsid w:val="74736F42"/>
    <w:rsid w:val="74B96778"/>
    <w:rsid w:val="74CC33D7"/>
    <w:rsid w:val="74D504A4"/>
    <w:rsid w:val="75557769"/>
    <w:rsid w:val="755E6571"/>
    <w:rsid w:val="75612179"/>
    <w:rsid w:val="75804A44"/>
    <w:rsid w:val="758E5771"/>
    <w:rsid w:val="75F64CA9"/>
    <w:rsid w:val="76312C11"/>
    <w:rsid w:val="76CA0970"/>
    <w:rsid w:val="76F34CE3"/>
    <w:rsid w:val="773808EA"/>
    <w:rsid w:val="773D3FAD"/>
    <w:rsid w:val="778545DD"/>
    <w:rsid w:val="77CD07C5"/>
    <w:rsid w:val="77E553CA"/>
    <w:rsid w:val="77F7189A"/>
    <w:rsid w:val="782021EC"/>
    <w:rsid w:val="782161B3"/>
    <w:rsid w:val="7899684C"/>
    <w:rsid w:val="78A35403"/>
    <w:rsid w:val="78A7633F"/>
    <w:rsid w:val="78BC2DD5"/>
    <w:rsid w:val="7914708C"/>
    <w:rsid w:val="795E502E"/>
    <w:rsid w:val="79700C54"/>
    <w:rsid w:val="79784F36"/>
    <w:rsid w:val="79822149"/>
    <w:rsid w:val="79932DA5"/>
    <w:rsid w:val="79A90056"/>
    <w:rsid w:val="79D00993"/>
    <w:rsid w:val="79DB4D33"/>
    <w:rsid w:val="79E96650"/>
    <w:rsid w:val="7A2324AB"/>
    <w:rsid w:val="7A2D5FFF"/>
    <w:rsid w:val="7A4E6909"/>
    <w:rsid w:val="7AC202DC"/>
    <w:rsid w:val="7AE4629A"/>
    <w:rsid w:val="7AEC5A94"/>
    <w:rsid w:val="7AF33074"/>
    <w:rsid w:val="7B177BF8"/>
    <w:rsid w:val="7B3B43E5"/>
    <w:rsid w:val="7B3F0CBD"/>
    <w:rsid w:val="7B5047B5"/>
    <w:rsid w:val="7B511020"/>
    <w:rsid w:val="7B6E3FBF"/>
    <w:rsid w:val="7BA14A1B"/>
    <w:rsid w:val="7BEE1D56"/>
    <w:rsid w:val="7C002880"/>
    <w:rsid w:val="7C51410D"/>
    <w:rsid w:val="7C7A0F6A"/>
    <w:rsid w:val="7C931BD5"/>
    <w:rsid w:val="7CBD4083"/>
    <w:rsid w:val="7CCE037C"/>
    <w:rsid w:val="7CDE14EA"/>
    <w:rsid w:val="7D065495"/>
    <w:rsid w:val="7D3134F6"/>
    <w:rsid w:val="7D4208C3"/>
    <w:rsid w:val="7D503D83"/>
    <w:rsid w:val="7D5D3429"/>
    <w:rsid w:val="7D7965B6"/>
    <w:rsid w:val="7D7C0360"/>
    <w:rsid w:val="7D9E2198"/>
    <w:rsid w:val="7DCF3DEE"/>
    <w:rsid w:val="7DF033B2"/>
    <w:rsid w:val="7E01111B"/>
    <w:rsid w:val="7E457399"/>
    <w:rsid w:val="7E651A7E"/>
    <w:rsid w:val="7F6300F6"/>
    <w:rsid w:val="7F6B06F3"/>
    <w:rsid w:val="7FA02C9E"/>
    <w:rsid w:val="7FCE6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link w:val="68"/>
    <w:qFormat/>
    <w:uiPriority w:val="99"/>
    <w:pPr>
      <w:keepNext/>
      <w:outlineLvl w:val="0"/>
    </w:pPr>
    <w:rPr>
      <w:b/>
      <w:color w:val="000000"/>
      <w:sz w:val="24"/>
    </w:rPr>
  </w:style>
  <w:style w:type="paragraph" w:styleId="5">
    <w:name w:val="heading 2"/>
    <w:basedOn w:val="1"/>
    <w:next w:val="1"/>
    <w:link w:val="69"/>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0"/>
    <w:autoRedefine/>
    <w:qFormat/>
    <w:uiPriority w:val="99"/>
    <w:pPr>
      <w:keepNext/>
      <w:keepLines/>
      <w:autoSpaceDE/>
      <w:autoSpaceDN/>
      <w:spacing w:before="260" w:after="260" w:line="416" w:lineRule="atLeast"/>
      <w:jc w:val="both"/>
      <w:outlineLvl w:val="2"/>
    </w:pPr>
    <w:rPr>
      <w:rFonts w:ascii="Times New Roman"/>
      <w:b/>
      <w:sz w:val="32"/>
    </w:rPr>
  </w:style>
  <w:style w:type="paragraph" w:styleId="7">
    <w:name w:val="heading 4"/>
    <w:basedOn w:val="1"/>
    <w:next w:val="1"/>
    <w:link w:val="71"/>
    <w:autoRedefine/>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8">
    <w:name w:val="heading 5"/>
    <w:basedOn w:val="1"/>
    <w:next w:val="9"/>
    <w:link w:val="72"/>
    <w:autoRedefine/>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0">
    <w:name w:val="heading 6"/>
    <w:basedOn w:val="1"/>
    <w:next w:val="9"/>
    <w:link w:val="73"/>
    <w:autoRedefine/>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1">
    <w:name w:val="heading 7"/>
    <w:basedOn w:val="1"/>
    <w:next w:val="9"/>
    <w:link w:val="74"/>
    <w:autoRedefine/>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2">
    <w:name w:val="heading 8"/>
    <w:basedOn w:val="1"/>
    <w:next w:val="9"/>
    <w:link w:val="75"/>
    <w:autoRedefine/>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3">
    <w:name w:val="heading 9"/>
    <w:basedOn w:val="1"/>
    <w:next w:val="9"/>
    <w:link w:val="76"/>
    <w:autoRedefine/>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78"/>
    <w:autoRedefine/>
    <w:qFormat/>
    <w:uiPriority w:val="0"/>
    <w:pPr>
      <w:spacing w:after="120"/>
      <w:ind w:left="420" w:leftChars="200" w:firstLine="420"/>
    </w:pPr>
    <w:rPr>
      <w:rFonts w:cs="宋体"/>
      <w:sz w:val="21"/>
      <w:szCs w:val="21"/>
    </w:rPr>
  </w:style>
  <w:style w:type="paragraph" w:styleId="3">
    <w:name w:val="Body Text Indent"/>
    <w:basedOn w:val="1"/>
    <w:next w:val="1"/>
    <w:link w:val="77"/>
    <w:autoRedefine/>
    <w:qFormat/>
    <w:uiPriority w:val="99"/>
    <w:pPr>
      <w:autoSpaceDE/>
      <w:autoSpaceDN/>
      <w:adjustRightInd/>
      <w:ind w:firstLine="900"/>
      <w:jc w:val="both"/>
      <w:textAlignment w:val="auto"/>
    </w:pPr>
    <w:rPr>
      <w:rFonts w:ascii="Times New Roman"/>
      <w:kern w:val="2"/>
      <w:sz w:val="28"/>
    </w:rPr>
  </w:style>
  <w:style w:type="paragraph" w:styleId="9">
    <w:name w:val="Normal Indent"/>
    <w:basedOn w:val="1"/>
    <w:next w:val="3"/>
    <w:link w:val="98"/>
    <w:autoRedefine/>
    <w:qFormat/>
    <w:uiPriority w:val="99"/>
    <w:pPr>
      <w:autoSpaceDE/>
      <w:autoSpaceDN/>
      <w:adjustRightInd/>
      <w:ind w:firstLine="420"/>
      <w:jc w:val="both"/>
      <w:textAlignment w:val="auto"/>
    </w:pPr>
    <w:rPr>
      <w:rFonts w:ascii="Times New Roman"/>
      <w:kern w:val="2"/>
      <w:sz w:val="21"/>
    </w:rPr>
  </w:style>
  <w:style w:type="paragraph" w:styleId="14">
    <w:name w:val="toc 7"/>
    <w:basedOn w:val="1"/>
    <w:next w:val="1"/>
    <w:autoRedefine/>
    <w:semiHidden/>
    <w:qFormat/>
    <w:uiPriority w:val="99"/>
    <w:pPr>
      <w:ind w:left="2040"/>
    </w:pPr>
    <w:rPr>
      <w:rFonts w:ascii="Times New Roman"/>
      <w:sz w:val="18"/>
      <w:szCs w:val="18"/>
    </w:rPr>
  </w:style>
  <w:style w:type="paragraph" w:styleId="15">
    <w:name w:val="table of authorities"/>
    <w:basedOn w:val="1"/>
    <w:next w:val="1"/>
    <w:autoRedefine/>
    <w:qFormat/>
    <w:locked/>
    <w:uiPriority w:val="0"/>
    <w:pPr>
      <w:ind w:left="420" w:leftChars="200"/>
    </w:pPr>
  </w:style>
  <w:style w:type="paragraph" w:styleId="16">
    <w:name w:val="caption"/>
    <w:basedOn w:val="1"/>
    <w:next w:val="1"/>
    <w:autoRedefine/>
    <w:qFormat/>
    <w:uiPriority w:val="99"/>
    <w:pPr>
      <w:spacing w:before="152" w:after="160"/>
    </w:pPr>
    <w:rPr>
      <w:rFonts w:ascii="Arial" w:hAnsi="Arial" w:eastAsia="黑体"/>
    </w:rPr>
  </w:style>
  <w:style w:type="paragraph" w:styleId="17">
    <w:name w:val="annotation text"/>
    <w:basedOn w:val="1"/>
    <w:link w:val="79"/>
    <w:autoRedefine/>
    <w:semiHidden/>
    <w:qFormat/>
    <w:uiPriority w:val="99"/>
  </w:style>
  <w:style w:type="paragraph" w:styleId="18">
    <w:name w:val="Body Text 3"/>
    <w:basedOn w:val="1"/>
    <w:link w:val="81"/>
    <w:autoRedefine/>
    <w:qFormat/>
    <w:uiPriority w:val="99"/>
    <w:pPr>
      <w:spacing w:line="640" w:lineRule="exact"/>
    </w:pPr>
    <w:rPr>
      <w:color w:val="000000"/>
      <w:sz w:val="28"/>
    </w:rPr>
  </w:style>
  <w:style w:type="paragraph" w:styleId="19">
    <w:name w:val="Body Text"/>
    <w:basedOn w:val="1"/>
    <w:next w:val="20"/>
    <w:link w:val="82"/>
    <w:autoRedefine/>
    <w:qFormat/>
    <w:uiPriority w:val="99"/>
    <w:rPr>
      <w:sz w:val="28"/>
    </w:rPr>
  </w:style>
  <w:style w:type="paragraph" w:styleId="20">
    <w:name w:val="Body Text First Indent"/>
    <w:basedOn w:val="19"/>
    <w:next w:val="1"/>
    <w:autoRedefine/>
    <w:qFormat/>
    <w:locked/>
    <w:uiPriority w:val="0"/>
    <w:pPr>
      <w:ind w:firstLine="420" w:firstLineChars="100"/>
    </w:pPr>
  </w:style>
  <w:style w:type="paragraph" w:styleId="21">
    <w:name w:val="List 2"/>
    <w:basedOn w:val="1"/>
    <w:autoRedefine/>
    <w:qFormat/>
    <w:uiPriority w:val="99"/>
    <w:pPr>
      <w:ind w:left="100" w:leftChars="200" w:hanging="200" w:hangingChars="200"/>
    </w:pPr>
  </w:style>
  <w:style w:type="paragraph" w:styleId="22">
    <w:name w:val="Block Text"/>
    <w:basedOn w:val="1"/>
    <w:autoRedefine/>
    <w:unhideWhenUsed/>
    <w:qFormat/>
    <w:locked/>
    <w:uiPriority w:val="99"/>
    <w:pPr>
      <w:adjustRightInd w:val="0"/>
      <w:spacing w:line="300" w:lineRule="auto"/>
      <w:ind w:left="958" w:right="-120" w:rightChars="-120"/>
      <w:jc w:val="left"/>
    </w:pPr>
    <w:rPr>
      <w:rFonts w:ascii="宋体" w:hAnsi="宋体"/>
      <w:sz w:val="28"/>
    </w:rPr>
  </w:style>
  <w:style w:type="paragraph" w:styleId="23">
    <w:name w:val="toc 5"/>
    <w:basedOn w:val="1"/>
    <w:next w:val="1"/>
    <w:autoRedefine/>
    <w:semiHidden/>
    <w:qFormat/>
    <w:uiPriority w:val="99"/>
    <w:pPr>
      <w:ind w:left="1360"/>
    </w:pPr>
    <w:rPr>
      <w:rFonts w:ascii="Times New Roman"/>
      <w:sz w:val="18"/>
      <w:szCs w:val="18"/>
    </w:rPr>
  </w:style>
  <w:style w:type="paragraph" w:styleId="24">
    <w:name w:val="toc 3"/>
    <w:basedOn w:val="1"/>
    <w:next w:val="1"/>
    <w:autoRedefine/>
    <w:semiHidden/>
    <w:qFormat/>
    <w:uiPriority w:val="99"/>
    <w:pPr>
      <w:ind w:left="680"/>
    </w:pPr>
    <w:rPr>
      <w:rFonts w:ascii="Times New Roman"/>
      <w:i/>
      <w:iCs/>
      <w:sz w:val="20"/>
    </w:rPr>
  </w:style>
  <w:style w:type="paragraph" w:styleId="25">
    <w:name w:val="Plain Text"/>
    <w:basedOn w:val="1"/>
    <w:next w:val="9"/>
    <w:link w:val="83"/>
    <w:autoRedefine/>
    <w:qFormat/>
    <w:uiPriority w:val="0"/>
    <w:rPr>
      <w:rFonts w:hAnsi="Courier New" w:cs="Courier New"/>
      <w:szCs w:val="21"/>
    </w:rPr>
  </w:style>
  <w:style w:type="paragraph" w:styleId="26">
    <w:name w:val="toc 8"/>
    <w:basedOn w:val="1"/>
    <w:next w:val="1"/>
    <w:autoRedefine/>
    <w:semiHidden/>
    <w:qFormat/>
    <w:uiPriority w:val="99"/>
    <w:pPr>
      <w:ind w:left="2380"/>
    </w:pPr>
    <w:rPr>
      <w:rFonts w:ascii="Times New Roman"/>
      <w:sz w:val="18"/>
      <w:szCs w:val="18"/>
    </w:rPr>
  </w:style>
  <w:style w:type="paragraph" w:styleId="27">
    <w:name w:val="Date"/>
    <w:basedOn w:val="1"/>
    <w:next w:val="1"/>
    <w:link w:val="84"/>
    <w:autoRedefine/>
    <w:qFormat/>
    <w:uiPriority w:val="0"/>
    <w:pPr>
      <w:jc w:val="both"/>
    </w:pPr>
    <w:rPr>
      <w:sz w:val="28"/>
    </w:rPr>
  </w:style>
  <w:style w:type="paragraph" w:styleId="28">
    <w:name w:val="Body Text Indent 2"/>
    <w:basedOn w:val="1"/>
    <w:link w:val="85"/>
    <w:autoRedefine/>
    <w:qFormat/>
    <w:uiPriority w:val="99"/>
    <w:pPr>
      <w:autoSpaceDE/>
      <w:autoSpaceDN/>
      <w:adjustRightInd/>
      <w:spacing w:line="360" w:lineRule="auto"/>
      <w:ind w:firstLine="720"/>
      <w:jc w:val="both"/>
      <w:textAlignment w:val="auto"/>
    </w:pPr>
    <w:rPr>
      <w:kern w:val="2"/>
      <w:sz w:val="28"/>
    </w:rPr>
  </w:style>
  <w:style w:type="paragraph" w:styleId="29">
    <w:name w:val="Balloon Text"/>
    <w:basedOn w:val="1"/>
    <w:link w:val="86"/>
    <w:autoRedefine/>
    <w:semiHidden/>
    <w:qFormat/>
    <w:uiPriority w:val="99"/>
    <w:rPr>
      <w:sz w:val="18"/>
      <w:szCs w:val="18"/>
    </w:rPr>
  </w:style>
  <w:style w:type="paragraph" w:styleId="30">
    <w:name w:val="footer"/>
    <w:basedOn w:val="1"/>
    <w:link w:val="87"/>
    <w:autoRedefine/>
    <w:qFormat/>
    <w:uiPriority w:val="99"/>
    <w:pPr>
      <w:tabs>
        <w:tab w:val="center" w:pos="4153"/>
        <w:tab w:val="right" w:pos="8306"/>
      </w:tabs>
      <w:snapToGrid w:val="0"/>
    </w:pPr>
    <w:rPr>
      <w:sz w:val="18"/>
    </w:rPr>
  </w:style>
  <w:style w:type="paragraph" w:styleId="31">
    <w:name w:val="envelope return"/>
    <w:basedOn w:val="1"/>
    <w:autoRedefine/>
    <w:qFormat/>
    <w:locked/>
    <w:uiPriority w:val="0"/>
    <w:pPr>
      <w:snapToGrid w:val="0"/>
    </w:pPr>
    <w:rPr>
      <w:rFonts w:ascii="Arial" w:hAnsi="Arial"/>
    </w:rPr>
  </w:style>
  <w:style w:type="paragraph" w:styleId="32">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autoRedefine/>
    <w:qFormat/>
    <w:uiPriority w:val="99"/>
    <w:pPr>
      <w:spacing w:before="120" w:after="120"/>
    </w:pPr>
    <w:rPr>
      <w:rFonts w:ascii="Times New Roman"/>
      <w:b/>
      <w:bCs/>
      <w:caps/>
      <w:sz w:val="20"/>
    </w:rPr>
  </w:style>
  <w:style w:type="paragraph" w:styleId="34">
    <w:name w:val="toc 4"/>
    <w:basedOn w:val="1"/>
    <w:next w:val="1"/>
    <w:autoRedefine/>
    <w:semiHidden/>
    <w:qFormat/>
    <w:uiPriority w:val="99"/>
    <w:pPr>
      <w:ind w:left="1020"/>
    </w:pPr>
    <w:rPr>
      <w:rFonts w:ascii="Times New Roman"/>
      <w:sz w:val="18"/>
      <w:szCs w:val="18"/>
    </w:rPr>
  </w:style>
  <w:style w:type="paragraph" w:styleId="35">
    <w:name w:val="List"/>
    <w:basedOn w:val="1"/>
    <w:next w:val="1"/>
    <w:autoRedefine/>
    <w:qFormat/>
    <w:locked/>
    <w:uiPriority w:val="0"/>
    <w:pPr>
      <w:numPr>
        <w:ilvl w:val="1"/>
        <w:numId w:val="1"/>
      </w:numPr>
    </w:pPr>
    <w:rPr>
      <w:rFonts w:ascii="微软雅黑" w:hAnsi="微软雅黑" w:cs="宋体"/>
      <w:sz w:val="21"/>
    </w:rPr>
  </w:style>
  <w:style w:type="paragraph" w:styleId="36">
    <w:name w:val="footnote text"/>
    <w:basedOn w:val="1"/>
    <w:link w:val="89"/>
    <w:autoRedefine/>
    <w:semiHidden/>
    <w:qFormat/>
    <w:uiPriority w:val="99"/>
    <w:pPr>
      <w:snapToGrid w:val="0"/>
    </w:pPr>
    <w:rPr>
      <w:sz w:val="18"/>
    </w:rPr>
  </w:style>
  <w:style w:type="paragraph" w:styleId="37">
    <w:name w:val="toc 6"/>
    <w:basedOn w:val="1"/>
    <w:next w:val="1"/>
    <w:autoRedefine/>
    <w:semiHidden/>
    <w:qFormat/>
    <w:uiPriority w:val="99"/>
    <w:pPr>
      <w:ind w:left="1700"/>
    </w:pPr>
    <w:rPr>
      <w:rFonts w:ascii="Times New Roman"/>
      <w:sz w:val="18"/>
      <w:szCs w:val="18"/>
    </w:rPr>
  </w:style>
  <w:style w:type="paragraph" w:styleId="38">
    <w:name w:val="Body Text Indent 3"/>
    <w:basedOn w:val="1"/>
    <w:link w:val="90"/>
    <w:autoRedefine/>
    <w:qFormat/>
    <w:uiPriority w:val="99"/>
    <w:pPr>
      <w:autoSpaceDE/>
      <w:autoSpaceDN/>
      <w:adjustRightInd/>
      <w:spacing w:line="360" w:lineRule="auto"/>
      <w:ind w:firstLine="540"/>
      <w:jc w:val="both"/>
      <w:textAlignment w:val="auto"/>
    </w:pPr>
    <w:rPr>
      <w:kern w:val="2"/>
      <w:sz w:val="28"/>
    </w:rPr>
  </w:style>
  <w:style w:type="paragraph" w:styleId="39">
    <w:name w:val="toc 2"/>
    <w:basedOn w:val="1"/>
    <w:next w:val="1"/>
    <w:autoRedefine/>
    <w:qFormat/>
    <w:uiPriority w:val="99"/>
    <w:pPr>
      <w:ind w:left="105" w:leftChars="31" w:right="-133" w:rightChars="-39"/>
    </w:pPr>
    <w:rPr>
      <w:rFonts w:ascii="Times New Roman"/>
      <w:smallCaps/>
      <w:sz w:val="20"/>
    </w:rPr>
  </w:style>
  <w:style w:type="paragraph" w:styleId="40">
    <w:name w:val="toc 9"/>
    <w:basedOn w:val="1"/>
    <w:next w:val="1"/>
    <w:autoRedefine/>
    <w:semiHidden/>
    <w:qFormat/>
    <w:uiPriority w:val="99"/>
    <w:pPr>
      <w:ind w:left="2720"/>
    </w:pPr>
    <w:rPr>
      <w:rFonts w:ascii="Times New Roman"/>
      <w:sz w:val="18"/>
      <w:szCs w:val="18"/>
    </w:rPr>
  </w:style>
  <w:style w:type="paragraph" w:styleId="41">
    <w:name w:val="Body Text 2"/>
    <w:basedOn w:val="1"/>
    <w:link w:val="91"/>
    <w:autoRedefine/>
    <w:qFormat/>
    <w:uiPriority w:val="99"/>
    <w:pPr>
      <w:jc w:val="both"/>
    </w:pPr>
    <w:rPr>
      <w:sz w:val="28"/>
    </w:rPr>
  </w:style>
  <w:style w:type="paragraph" w:styleId="42">
    <w:name w:val="HTML Preformatted"/>
    <w:basedOn w:val="1"/>
    <w:link w:val="9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3">
    <w:name w:val="Normal (Web)"/>
    <w:basedOn w:val="1"/>
    <w:next w:val="1"/>
    <w:autoRedefine/>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4">
    <w:name w:val="Title"/>
    <w:basedOn w:val="1"/>
    <w:next w:val="1"/>
    <w:autoRedefine/>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80"/>
    <w:autoRedefine/>
    <w:semiHidden/>
    <w:qFormat/>
    <w:uiPriority w:val="99"/>
    <w:rPr>
      <w:b/>
      <w:bCs/>
    </w:rPr>
  </w:style>
  <w:style w:type="table" w:styleId="47">
    <w:name w:val="Table Grid"/>
    <w:basedOn w:val="4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autoRedefine/>
    <w:qFormat/>
    <w:uiPriority w:val="99"/>
    <w:rPr>
      <w:rFonts w:cs="Times New Roman"/>
    </w:rPr>
  </w:style>
  <w:style w:type="character" w:styleId="51">
    <w:name w:val="FollowedHyperlink"/>
    <w:autoRedefine/>
    <w:qFormat/>
    <w:uiPriority w:val="99"/>
    <w:rPr>
      <w:rFonts w:cs="Times New Roman"/>
      <w:color w:val="3F88BF"/>
      <w:u w:val="none"/>
    </w:rPr>
  </w:style>
  <w:style w:type="character" w:styleId="52">
    <w:name w:val="Emphasis"/>
    <w:autoRedefine/>
    <w:qFormat/>
    <w:uiPriority w:val="20"/>
    <w:rPr>
      <w:rFonts w:cs="Times New Roman"/>
    </w:rPr>
  </w:style>
  <w:style w:type="character" w:styleId="53">
    <w:name w:val="HTML Definition"/>
    <w:autoRedefine/>
    <w:qFormat/>
    <w:uiPriority w:val="99"/>
    <w:rPr>
      <w:rFonts w:cs="Times New Roman"/>
    </w:rPr>
  </w:style>
  <w:style w:type="character" w:styleId="54">
    <w:name w:val="HTML Variable"/>
    <w:autoRedefine/>
    <w:qFormat/>
    <w:uiPriority w:val="99"/>
    <w:rPr>
      <w:rFonts w:cs="Times New Roman"/>
    </w:rPr>
  </w:style>
  <w:style w:type="character" w:styleId="55">
    <w:name w:val="Hyperlink"/>
    <w:basedOn w:val="48"/>
    <w:autoRedefine/>
    <w:qFormat/>
    <w:uiPriority w:val="99"/>
    <w:rPr>
      <w:rFonts w:cs="Times New Roman"/>
      <w:color w:val="3F88BF"/>
      <w:u w:val="none"/>
    </w:rPr>
  </w:style>
  <w:style w:type="character" w:styleId="56">
    <w:name w:val="HTML Code"/>
    <w:autoRedefine/>
    <w:qFormat/>
    <w:uiPriority w:val="99"/>
    <w:rPr>
      <w:rFonts w:ascii="PingFang SC" w:hAnsi="PingFang SC" w:cs="PingFang SC"/>
      <w:sz w:val="20"/>
    </w:rPr>
  </w:style>
  <w:style w:type="character" w:styleId="57">
    <w:name w:val="annotation reference"/>
    <w:autoRedefine/>
    <w:semiHidden/>
    <w:qFormat/>
    <w:uiPriority w:val="99"/>
    <w:rPr>
      <w:rFonts w:cs="Times New Roman"/>
      <w:sz w:val="21"/>
    </w:rPr>
  </w:style>
  <w:style w:type="character" w:styleId="58">
    <w:name w:val="HTML Cite"/>
    <w:autoRedefine/>
    <w:qFormat/>
    <w:uiPriority w:val="99"/>
    <w:rPr>
      <w:rFonts w:cs="Times New Roman"/>
    </w:rPr>
  </w:style>
  <w:style w:type="character" w:styleId="59">
    <w:name w:val="footnote reference"/>
    <w:autoRedefine/>
    <w:semiHidden/>
    <w:qFormat/>
    <w:uiPriority w:val="99"/>
    <w:rPr>
      <w:rFonts w:cs="Times New Roman"/>
      <w:vertAlign w:val="superscript"/>
    </w:rPr>
  </w:style>
  <w:style w:type="character" w:styleId="60">
    <w:name w:val="HTML Keyboard"/>
    <w:autoRedefine/>
    <w:qFormat/>
    <w:uiPriority w:val="99"/>
    <w:rPr>
      <w:rFonts w:ascii="PingFang SC" w:hAnsi="PingFang SC" w:cs="PingFang SC"/>
      <w:sz w:val="20"/>
    </w:rPr>
  </w:style>
  <w:style w:type="character" w:styleId="61">
    <w:name w:val="HTML Sample"/>
    <w:autoRedefine/>
    <w:qFormat/>
    <w:uiPriority w:val="99"/>
    <w:rPr>
      <w:rFonts w:ascii="PingFang SC" w:hAnsi="PingFang SC" w:cs="PingFang SC"/>
    </w:rPr>
  </w:style>
  <w:style w:type="paragraph" w:customStyle="1" w:styleId="62">
    <w:name w:val="xl53"/>
    <w:basedOn w:val="1"/>
    <w:next w:val="1"/>
    <w:autoRedefine/>
    <w:qFormat/>
    <w:uiPriority w:val="0"/>
    <w:pPr>
      <w:spacing w:before="280" w:after="280" w:line="100" w:lineRule="exact"/>
      <w:jc w:val="center"/>
    </w:pPr>
    <w:rPr>
      <w:b/>
      <w:sz w:val="20"/>
    </w:rPr>
  </w:style>
  <w:style w:type="paragraph" w:customStyle="1" w:styleId="63">
    <w:name w:val="Default"/>
    <w:autoRedefine/>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4">
    <w:name w:val="BodyText1I2"/>
    <w:basedOn w:val="65"/>
    <w:next w:val="1"/>
    <w:autoRedefine/>
    <w:qFormat/>
    <w:uiPriority w:val="0"/>
    <w:pPr>
      <w:spacing w:after="120"/>
      <w:ind w:left="420" w:leftChars="200" w:firstLine="420"/>
    </w:pPr>
    <w:rPr>
      <w:sz w:val="21"/>
      <w:szCs w:val="21"/>
    </w:rPr>
  </w:style>
  <w:style w:type="paragraph" w:customStyle="1" w:styleId="65">
    <w:name w:val="BodyTextIndent"/>
    <w:basedOn w:val="1"/>
    <w:next w:val="1"/>
    <w:autoRedefine/>
    <w:qFormat/>
    <w:uiPriority w:val="0"/>
    <w:pPr>
      <w:ind w:firstLine="900"/>
      <w:jc w:val="both"/>
      <w:textAlignment w:val="auto"/>
    </w:pPr>
    <w:rPr>
      <w:rFonts w:ascii="Times New Roman"/>
      <w:kern w:val="2"/>
      <w:sz w:val="28"/>
    </w:rPr>
  </w:style>
  <w:style w:type="paragraph" w:customStyle="1" w:styleId="66">
    <w:name w:val="正文2"/>
    <w:basedOn w:val="1"/>
    <w:link w:val="126"/>
    <w:autoRedefine/>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7">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8">
    <w:name w:val="标题 1 Char"/>
    <w:link w:val="4"/>
    <w:autoRedefine/>
    <w:qFormat/>
    <w:locked/>
    <w:uiPriority w:val="99"/>
    <w:rPr>
      <w:rFonts w:ascii="宋体" w:cs="Times New Roman"/>
      <w:b/>
      <w:bCs/>
      <w:kern w:val="44"/>
      <w:sz w:val="44"/>
      <w:szCs w:val="44"/>
    </w:rPr>
  </w:style>
  <w:style w:type="character" w:customStyle="1" w:styleId="69">
    <w:name w:val="标题 2 Char"/>
    <w:link w:val="5"/>
    <w:autoRedefine/>
    <w:semiHidden/>
    <w:qFormat/>
    <w:locked/>
    <w:uiPriority w:val="99"/>
    <w:rPr>
      <w:rFonts w:ascii="Cambria" w:hAnsi="Cambria" w:eastAsia="宋体" w:cs="Times New Roman"/>
      <w:b/>
      <w:bCs/>
      <w:kern w:val="0"/>
      <w:sz w:val="32"/>
      <w:szCs w:val="32"/>
    </w:rPr>
  </w:style>
  <w:style w:type="character" w:customStyle="1" w:styleId="70">
    <w:name w:val="标题 3 Char"/>
    <w:link w:val="6"/>
    <w:autoRedefine/>
    <w:semiHidden/>
    <w:qFormat/>
    <w:locked/>
    <w:uiPriority w:val="99"/>
    <w:rPr>
      <w:rFonts w:ascii="宋体" w:cs="Times New Roman"/>
      <w:b/>
      <w:bCs/>
      <w:kern w:val="0"/>
      <w:sz w:val="32"/>
      <w:szCs w:val="32"/>
    </w:rPr>
  </w:style>
  <w:style w:type="character" w:customStyle="1" w:styleId="71">
    <w:name w:val="标题 4 Char"/>
    <w:link w:val="7"/>
    <w:autoRedefine/>
    <w:semiHidden/>
    <w:qFormat/>
    <w:locked/>
    <w:uiPriority w:val="99"/>
    <w:rPr>
      <w:rFonts w:ascii="Cambria" w:hAnsi="Cambria" w:eastAsia="宋体" w:cs="Times New Roman"/>
      <w:b/>
      <w:bCs/>
      <w:kern w:val="0"/>
      <w:sz w:val="28"/>
      <w:szCs w:val="28"/>
    </w:rPr>
  </w:style>
  <w:style w:type="character" w:customStyle="1" w:styleId="72">
    <w:name w:val="标题 5 Char"/>
    <w:link w:val="8"/>
    <w:autoRedefine/>
    <w:semiHidden/>
    <w:qFormat/>
    <w:locked/>
    <w:uiPriority w:val="99"/>
    <w:rPr>
      <w:rFonts w:ascii="宋体" w:cs="Times New Roman"/>
      <w:b/>
      <w:bCs/>
      <w:kern w:val="0"/>
      <w:sz w:val="28"/>
      <w:szCs w:val="28"/>
    </w:rPr>
  </w:style>
  <w:style w:type="character" w:customStyle="1" w:styleId="73">
    <w:name w:val="标题 6 Char"/>
    <w:link w:val="10"/>
    <w:autoRedefine/>
    <w:semiHidden/>
    <w:qFormat/>
    <w:locked/>
    <w:uiPriority w:val="99"/>
    <w:rPr>
      <w:rFonts w:ascii="Cambria" w:hAnsi="Cambria" w:eastAsia="宋体" w:cs="Times New Roman"/>
      <w:b/>
      <w:bCs/>
      <w:kern w:val="0"/>
      <w:sz w:val="24"/>
      <w:szCs w:val="24"/>
    </w:rPr>
  </w:style>
  <w:style w:type="character" w:customStyle="1" w:styleId="74">
    <w:name w:val="标题 7 Char"/>
    <w:link w:val="11"/>
    <w:autoRedefine/>
    <w:semiHidden/>
    <w:qFormat/>
    <w:locked/>
    <w:uiPriority w:val="99"/>
    <w:rPr>
      <w:rFonts w:ascii="宋体" w:cs="Times New Roman"/>
      <w:b/>
      <w:bCs/>
      <w:kern w:val="0"/>
      <w:sz w:val="24"/>
      <w:szCs w:val="24"/>
    </w:rPr>
  </w:style>
  <w:style w:type="character" w:customStyle="1" w:styleId="75">
    <w:name w:val="标题 8 Char"/>
    <w:link w:val="12"/>
    <w:autoRedefine/>
    <w:semiHidden/>
    <w:qFormat/>
    <w:locked/>
    <w:uiPriority w:val="99"/>
    <w:rPr>
      <w:rFonts w:ascii="Cambria" w:hAnsi="Cambria" w:eastAsia="宋体" w:cs="Times New Roman"/>
      <w:kern w:val="0"/>
      <w:sz w:val="24"/>
      <w:szCs w:val="24"/>
    </w:rPr>
  </w:style>
  <w:style w:type="character" w:customStyle="1" w:styleId="76">
    <w:name w:val="标题 9 Char"/>
    <w:link w:val="13"/>
    <w:autoRedefine/>
    <w:semiHidden/>
    <w:qFormat/>
    <w:locked/>
    <w:uiPriority w:val="99"/>
    <w:rPr>
      <w:rFonts w:ascii="Cambria" w:hAnsi="Cambria" w:eastAsia="宋体" w:cs="Times New Roman"/>
      <w:kern w:val="0"/>
      <w:sz w:val="21"/>
      <w:szCs w:val="21"/>
    </w:rPr>
  </w:style>
  <w:style w:type="character" w:customStyle="1" w:styleId="77">
    <w:name w:val="正文文本缩进 Char"/>
    <w:link w:val="3"/>
    <w:autoRedefine/>
    <w:semiHidden/>
    <w:qFormat/>
    <w:locked/>
    <w:uiPriority w:val="99"/>
    <w:rPr>
      <w:rFonts w:ascii="宋体" w:cs="Times New Roman"/>
      <w:kern w:val="0"/>
      <w:sz w:val="20"/>
      <w:szCs w:val="20"/>
    </w:rPr>
  </w:style>
  <w:style w:type="character" w:customStyle="1" w:styleId="78">
    <w:name w:val="正文首行缩进 2 Char"/>
    <w:link w:val="2"/>
    <w:autoRedefine/>
    <w:semiHidden/>
    <w:qFormat/>
    <w:locked/>
    <w:uiPriority w:val="99"/>
    <w:rPr>
      <w:rFonts w:ascii="宋体" w:cs="Times New Roman"/>
      <w:kern w:val="0"/>
      <w:sz w:val="20"/>
      <w:szCs w:val="20"/>
    </w:rPr>
  </w:style>
  <w:style w:type="character" w:customStyle="1" w:styleId="79">
    <w:name w:val="批注文字 Char"/>
    <w:link w:val="17"/>
    <w:autoRedefine/>
    <w:semiHidden/>
    <w:qFormat/>
    <w:locked/>
    <w:uiPriority w:val="99"/>
    <w:rPr>
      <w:rFonts w:ascii="宋体" w:cs="Times New Roman"/>
      <w:kern w:val="0"/>
      <w:sz w:val="20"/>
      <w:szCs w:val="20"/>
    </w:rPr>
  </w:style>
  <w:style w:type="character" w:customStyle="1" w:styleId="80">
    <w:name w:val="批注主题 Char"/>
    <w:link w:val="45"/>
    <w:autoRedefine/>
    <w:semiHidden/>
    <w:qFormat/>
    <w:locked/>
    <w:uiPriority w:val="99"/>
    <w:rPr>
      <w:rFonts w:ascii="宋体" w:cs="Times New Roman"/>
      <w:b/>
      <w:bCs/>
      <w:kern w:val="0"/>
      <w:sz w:val="20"/>
      <w:szCs w:val="20"/>
    </w:rPr>
  </w:style>
  <w:style w:type="character" w:customStyle="1" w:styleId="81">
    <w:name w:val="正文文本 3 Char"/>
    <w:link w:val="18"/>
    <w:autoRedefine/>
    <w:qFormat/>
    <w:locked/>
    <w:uiPriority w:val="99"/>
    <w:rPr>
      <w:rFonts w:ascii="宋体" w:cs="Times New Roman"/>
      <w:color w:val="000000"/>
      <w:sz w:val="28"/>
    </w:rPr>
  </w:style>
  <w:style w:type="character" w:customStyle="1" w:styleId="82">
    <w:name w:val="正文文本 Char"/>
    <w:link w:val="19"/>
    <w:autoRedefine/>
    <w:semiHidden/>
    <w:qFormat/>
    <w:locked/>
    <w:uiPriority w:val="99"/>
    <w:rPr>
      <w:rFonts w:ascii="宋体" w:cs="Times New Roman"/>
      <w:kern w:val="0"/>
      <w:sz w:val="20"/>
      <w:szCs w:val="20"/>
    </w:rPr>
  </w:style>
  <w:style w:type="character" w:customStyle="1" w:styleId="83">
    <w:name w:val="纯文本 Char"/>
    <w:link w:val="25"/>
    <w:autoRedefine/>
    <w:qFormat/>
    <w:locked/>
    <w:uiPriority w:val="0"/>
    <w:rPr>
      <w:rFonts w:ascii="宋体" w:hAnsi="Courier New" w:eastAsia="宋体" w:cs="Times New Roman"/>
      <w:sz w:val="21"/>
      <w:lang w:val="en-US" w:eastAsia="zh-CN"/>
    </w:rPr>
  </w:style>
  <w:style w:type="character" w:customStyle="1" w:styleId="84">
    <w:name w:val="日期 Char"/>
    <w:link w:val="27"/>
    <w:autoRedefine/>
    <w:semiHidden/>
    <w:qFormat/>
    <w:locked/>
    <w:uiPriority w:val="99"/>
    <w:rPr>
      <w:rFonts w:ascii="宋体" w:cs="Times New Roman"/>
      <w:kern w:val="0"/>
      <w:sz w:val="20"/>
      <w:szCs w:val="20"/>
    </w:rPr>
  </w:style>
  <w:style w:type="character" w:customStyle="1" w:styleId="85">
    <w:name w:val="正文文本缩进 2 Char"/>
    <w:link w:val="28"/>
    <w:autoRedefine/>
    <w:semiHidden/>
    <w:qFormat/>
    <w:locked/>
    <w:uiPriority w:val="99"/>
    <w:rPr>
      <w:rFonts w:ascii="宋体" w:cs="Times New Roman"/>
      <w:kern w:val="0"/>
      <w:sz w:val="20"/>
      <w:szCs w:val="20"/>
    </w:rPr>
  </w:style>
  <w:style w:type="character" w:customStyle="1" w:styleId="86">
    <w:name w:val="批注框文本 Char"/>
    <w:link w:val="29"/>
    <w:autoRedefine/>
    <w:semiHidden/>
    <w:qFormat/>
    <w:locked/>
    <w:uiPriority w:val="99"/>
    <w:rPr>
      <w:rFonts w:ascii="宋体" w:cs="Times New Roman"/>
      <w:kern w:val="0"/>
      <w:sz w:val="2"/>
    </w:rPr>
  </w:style>
  <w:style w:type="character" w:customStyle="1" w:styleId="87">
    <w:name w:val="页脚 Char"/>
    <w:link w:val="30"/>
    <w:autoRedefine/>
    <w:semiHidden/>
    <w:qFormat/>
    <w:locked/>
    <w:uiPriority w:val="99"/>
    <w:rPr>
      <w:rFonts w:ascii="宋体" w:cs="Times New Roman"/>
      <w:kern w:val="0"/>
      <w:sz w:val="18"/>
      <w:szCs w:val="18"/>
    </w:rPr>
  </w:style>
  <w:style w:type="character" w:customStyle="1" w:styleId="88">
    <w:name w:val="页眉 Char"/>
    <w:link w:val="32"/>
    <w:autoRedefine/>
    <w:semiHidden/>
    <w:qFormat/>
    <w:locked/>
    <w:uiPriority w:val="99"/>
    <w:rPr>
      <w:rFonts w:ascii="宋体" w:cs="Times New Roman"/>
      <w:kern w:val="0"/>
      <w:sz w:val="18"/>
      <w:szCs w:val="18"/>
    </w:rPr>
  </w:style>
  <w:style w:type="character" w:customStyle="1" w:styleId="89">
    <w:name w:val="脚注文本 Char"/>
    <w:link w:val="36"/>
    <w:autoRedefine/>
    <w:semiHidden/>
    <w:qFormat/>
    <w:locked/>
    <w:uiPriority w:val="99"/>
    <w:rPr>
      <w:rFonts w:ascii="宋体" w:cs="Times New Roman"/>
      <w:kern w:val="0"/>
      <w:sz w:val="18"/>
      <w:szCs w:val="18"/>
    </w:rPr>
  </w:style>
  <w:style w:type="character" w:customStyle="1" w:styleId="90">
    <w:name w:val="正文文本缩进 3 Char"/>
    <w:link w:val="38"/>
    <w:autoRedefine/>
    <w:qFormat/>
    <w:locked/>
    <w:uiPriority w:val="99"/>
    <w:rPr>
      <w:rFonts w:ascii="宋体" w:cs="Times New Roman"/>
      <w:kern w:val="0"/>
      <w:sz w:val="16"/>
      <w:szCs w:val="16"/>
    </w:rPr>
  </w:style>
  <w:style w:type="character" w:customStyle="1" w:styleId="91">
    <w:name w:val="正文文本 2 Char"/>
    <w:link w:val="41"/>
    <w:autoRedefine/>
    <w:semiHidden/>
    <w:qFormat/>
    <w:locked/>
    <w:uiPriority w:val="99"/>
    <w:rPr>
      <w:rFonts w:ascii="宋体" w:cs="Times New Roman"/>
      <w:kern w:val="0"/>
      <w:sz w:val="20"/>
      <w:szCs w:val="20"/>
    </w:rPr>
  </w:style>
  <w:style w:type="character" w:customStyle="1" w:styleId="92">
    <w:name w:val="HTML 预设格式 Char"/>
    <w:link w:val="42"/>
    <w:autoRedefine/>
    <w:semiHidden/>
    <w:qFormat/>
    <w:locked/>
    <w:uiPriority w:val="99"/>
    <w:rPr>
      <w:rFonts w:ascii="Courier New" w:hAnsi="Courier New" w:cs="Courier New"/>
      <w:kern w:val="0"/>
      <w:sz w:val="20"/>
      <w:szCs w:val="20"/>
    </w:rPr>
  </w:style>
  <w:style w:type="character" w:customStyle="1" w:styleId="93">
    <w:name w:val="num4"/>
    <w:autoRedefine/>
    <w:qFormat/>
    <w:uiPriority w:val="99"/>
    <w:rPr>
      <w:rFonts w:cs="Times New Roman"/>
      <w:b/>
      <w:color w:val="FF7800"/>
    </w:rPr>
  </w:style>
  <w:style w:type="character" w:customStyle="1" w:styleId="94">
    <w:name w:val="answer-title12"/>
    <w:autoRedefine/>
    <w:qFormat/>
    <w:uiPriority w:val="99"/>
    <w:rPr>
      <w:rFonts w:cs="Times New Roman"/>
    </w:rPr>
  </w:style>
  <w:style w:type="character" w:customStyle="1" w:styleId="95">
    <w:name w:val="legend"/>
    <w:autoRedefine/>
    <w:qFormat/>
    <w:uiPriority w:val="99"/>
    <w:rPr>
      <w:rFonts w:ascii="Arial" w:hAnsi="Arial" w:cs="Arial"/>
      <w:b/>
      <w:color w:val="73B304"/>
      <w:sz w:val="21"/>
      <w:szCs w:val="21"/>
      <w:shd w:val="clear" w:color="auto" w:fill="FFFFFF"/>
    </w:rPr>
  </w:style>
  <w:style w:type="character" w:customStyle="1" w:styleId="96">
    <w:name w:val="Char Char"/>
    <w:autoRedefine/>
    <w:qFormat/>
    <w:uiPriority w:val="99"/>
    <w:rPr>
      <w:rFonts w:eastAsia="宋体"/>
      <w:kern w:val="2"/>
      <w:sz w:val="21"/>
      <w:lang w:val="en-US" w:eastAsia="zh-CN"/>
    </w:rPr>
  </w:style>
  <w:style w:type="character" w:customStyle="1" w:styleId="97">
    <w:name w:val="release-day"/>
    <w:autoRedefine/>
    <w:qFormat/>
    <w:uiPriority w:val="99"/>
    <w:rPr>
      <w:rFonts w:cs="Times New Roman"/>
      <w:bdr w:val="single" w:color="BDEBB0" w:sz="6" w:space="0"/>
      <w:shd w:val="clear" w:color="auto" w:fill="F5FFF1"/>
    </w:rPr>
  </w:style>
  <w:style w:type="character" w:customStyle="1" w:styleId="98">
    <w:name w:val="正文缩进 Char"/>
    <w:link w:val="9"/>
    <w:autoRedefine/>
    <w:qFormat/>
    <w:locked/>
    <w:uiPriority w:val="99"/>
    <w:rPr>
      <w:rFonts w:eastAsia="宋体"/>
      <w:kern w:val="2"/>
      <w:sz w:val="21"/>
      <w:lang w:val="en-US" w:eastAsia="zh-CN"/>
    </w:rPr>
  </w:style>
  <w:style w:type="character" w:customStyle="1" w:styleId="99">
    <w:name w:val="列表段落 字符"/>
    <w:link w:val="100"/>
    <w:autoRedefine/>
    <w:qFormat/>
    <w:locked/>
    <w:uiPriority w:val="99"/>
    <w:rPr>
      <w:rFonts w:ascii="Calibri" w:hAnsi="Calibri"/>
      <w:kern w:val="2"/>
      <w:sz w:val="22"/>
    </w:rPr>
  </w:style>
  <w:style w:type="paragraph" w:customStyle="1" w:styleId="100">
    <w:name w:val="列出段落1"/>
    <w:basedOn w:val="1"/>
    <w:link w:val="99"/>
    <w:autoRedefine/>
    <w:qFormat/>
    <w:uiPriority w:val="99"/>
    <w:pPr>
      <w:autoSpaceDE/>
      <w:autoSpaceDN/>
      <w:adjustRightInd/>
      <w:ind w:firstLine="420" w:firstLineChars="200"/>
      <w:jc w:val="both"/>
      <w:textAlignment w:val="auto"/>
    </w:pPr>
    <w:rPr>
      <w:rFonts w:ascii="Calibri" w:hAnsi="Calibri"/>
      <w:kern w:val="2"/>
      <w:sz w:val="22"/>
    </w:rPr>
  </w:style>
  <w:style w:type="character" w:customStyle="1" w:styleId="101">
    <w:name w:val="表正文 Char"/>
    <w:autoRedefine/>
    <w:qFormat/>
    <w:uiPriority w:val="99"/>
    <w:rPr>
      <w:rFonts w:eastAsia="宋体"/>
      <w:kern w:val="2"/>
      <w:sz w:val="21"/>
      <w:lang w:val="en-US" w:eastAsia="zh-CN"/>
    </w:rPr>
  </w:style>
  <w:style w:type="character" w:customStyle="1" w:styleId="102">
    <w:name w:val="普通文字 Char Char1"/>
    <w:autoRedefine/>
    <w:qFormat/>
    <w:uiPriority w:val="99"/>
    <w:rPr>
      <w:rFonts w:ascii="宋体" w:hAnsi="Courier New" w:eastAsia="宋体"/>
      <w:sz w:val="21"/>
      <w:lang w:val="en-US" w:eastAsia="zh-CN"/>
    </w:rPr>
  </w:style>
  <w:style w:type="character" w:customStyle="1" w:styleId="103">
    <w:name w:val="hits"/>
    <w:autoRedefine/>
    <w:qFormat/>
    <w:uiPriority w:val="99"/>
    <w:rPr>
      <w:rFonts w:cs="Times New Roman"/>
    </w:rPr>
  </w:style>
  <w:style w:type="character" w:customStyle="1" w:styleId="104">
    <w:name w:val="fabu"/>
    <w:autoRedefine/>
    <w:qFormat/>
    <w:uiPriority w:val="99"/>
    <w:rPr>
      <w:rFonts w:cs="Times New Roman"/>
    </w:rPr>
  </w:style>
  <w:style w:type="character" w:customStyle="1" w:styleId="105">
    <w:name w:val="kshs"/>
    <w:autoRedefine/>
    <w:qFormat/>
    <w:uiPriority w:val="99"/>
    <w:rPr>
      <w:rFonts w:cs="Times New Roman"/>
    </w:rPr>
  </w:style>
  <w:style w:type="character" w:customStyle="1" w:styleId="106">
    <w:name w:val="on"/>
    <w:autoRedefine/>
    <w:qFormat/>
    <w:uiPriority w:val="99"/>
    <w:rPr>
      <w:rFonts w:cs="Times New Roman"/>
      <w:color w:val="FFFFFF"/>
      <w:bdr w:val="single" w:color="D51D13" w:sz="4" w:space="0"/>
      <w:shd w:val="clear" w:color="auto" w:fill="D51D13"/>
    </w:rPr>
  </w:style>
  <w:style w:type="character" w:customStyle="1" w:styleId="107">
    <w:name w:val="on1"/>
    <w:autoRedefine/>
    <w:qFormat/>
    <w:uiPriority w:val="99"/>
    <w:rPr>
      <w:rFonts w:cs="Times New Roman"/>
      <w:color w:val="FFFFFF"/>
      <w:bdr w:val="single" w:color="D51D13" w:sz="4" w:space="0"/>
      <w:shd w:val="clear" w:color="auto" w:fill="D51D13"/>
    </w:rPr>
  </w:style>
  <w:style w:type="paragraph" w:customStyle="1" w:styleId="108">
    <w:name w:val="Char Char2 Char"/>
    <w:basedOn w:val="1"/>
    <w:autoRedefine/>
    <w:qFormat/>
    <w:uiPriority w:val="99"/>
    <w:pPr>
      <w:autoSpaceDE/>
      <w:autoSpaceDN/>
      <w:adjustRightInd/>
      <w:jc w:val="both"/>
      <w:textAlignment w:val="auto"/>
    </w:pPr>
    <w:rPr>
      <w:rFonts w:hAnsi="宋体"/>
      <w:b/>
      <w:kern w:val="2"/>
      <w:sz w:val="28"/>
      <w:szCs w:val="28"/>
    </w:rPr>
  </w:style>
  <w:style w:type="paragraph" w:customStyle="1" w:styleId="109">
    <w:name w:val="纯文本1"/>
    <w:basedOn w:val="66"/>
    <w:autoRedefine/>
    <w:qFormat/>
    <w:uiPriority w:val="99"/>
    <w:rPr>
      <w:rFonts w:hAnsi="Courier New" w:eastAsia="Times New Roman"/>
      <w:sz w:val="26"/>
    </w:rPr>
  </w:style>
  <w:style w:type="paragraph" w:customStyle="1" w:styleId="110">
    <w:name w:val="默认段落字体 Para Char Char Char Char Char Char Char Char Char1 Char Char Char Char"/>
    <w:basedOn w:val="1"/>
    <w:autoRedefine/>
    <w:qFormat/>
    <w:uiPriority w:val="99"/>
    <w:pPr>
      <w:autoSpaceDE/>
      <w:autoSpaceDN/>
      <w:adjustRightInd/>
      <w:jc w:val="both"/>
      <w:textAlignment w:val="auto"/>
    </w:pPr>
    <w:rPr>
      <w:rFonts w:ascii="Tahoma" w:hAnsi="Tahoma"/>
      <w:kern w:val="2"/>
      <w:sz w:val="24"/>
    </w:rPr>
  </w:style>
  <w:style w:type="paragraph" w:customStyle="1" w:styleId="111">
    <w:name w:val="样式K"/>
    <w:basedOn w:val="19"/>
    <w:autoRedefine/>
    <w:qFormat/>
    <w:uiPriority w:val="99"/>
    <w:pPr>
      <w:autoSpaceDE/>
      <w:autoSpaceDN/>
      <w:adjustRightInd/>
      <w:textAlignment w:val="auto"/>
    </w:pPr>
    <w:rPr>
      <w:rFonts w:ascii="仿宋_GB2312" w:hAnsi="Book Antiqua" w:eastAsia="仿宋_GB2312"/>
      <w:kern w:val="2"/>
      <w:sz w:val="24"/>
      <w:szCs w:val="24"/>
    </w:rPr>
  </w:style>
  <w:style w:type="paragraph" w:customStyle="1" w:styleId="112">
    <w:name w:val="正文－恩普"/>
    <w:basedOn w:val="9"/>
    <w:autoRedefine/>
    <w:qFormat/>
    <w:uiPriority w:val="99"/>
    <w:pPr>
      <w:widowControl/>
      <w:spacing w:line="360" w:lineRule="auto"/>
      <w:ind w:firstLine="480" w:firstLineChars="200"/>
      <w:jc w:val="left"/>
    </w:pPr>
    <w:rPr>
      <w:kern w:val="0"/>
      <w:sz w:val="24"/>
    </w:rPr>
  </w:style>
  <w:style w:type="paragraph" w:customStyle="1" w:styleId="113">
    <w:name w:val="2"/>
    <w:basedOn w:val="1"/>
    <w:next w:val="19"/>
    <w:autoRedefine/>
    <w:qFormat/>
    <w:uiPriority w:val="99"/>
    <w:rPr>
      <w:sz w:val="28"/>
    </w:rPr>
  </w:style>
  <w:style w:type="paragraph" w:customStyle="1" w:styleId="114">
    <w:name w:val="Char Char Char Char Char Char Char Char Char"/>
    <w:basedOn w:val="1"/>
    <w:autoRedefine/>
    <w:qFormat/>
    <w:uiPriority w:val="99"/>
    <w:pPr>
      <w:autoSpaceDE/>
      <w:autoSpaceDN/>
      <w:adjustRightInd/>
      <w:jc w:val="both"/>
      <w:textAlignment w:val="auto"/>
    </w:pPr>
    <w:rPr>
      <w:rFonts w:ascii="Calibri" w:hAnsi="Calibri"/>
      <w:kern w:val="2"/>
      <w:sz w:val="21"/>
      <w:szCs w:val="22"/>
    </w:rPr>
  </w:style>
  <w:style w:type="paragraph" w:customStyle="1" w:styleId="115">
    <w:name w:val="Char Char Char Char Char Char Char Char Char Char"/>
    <w:basedOn w:val="1"/>
    <w:autoRedefine/>
    <w:qFormat/>
    <w:uiPriority w:val="99"/>
    <w:pPr>
      <w:autoSpaceDE/>
      <w:autoSpaceDN/>
      <w:adjustRightInd/>
      <w:jc w:val="both"/>
      <w:textAlignment w:val="auto"/>
    </w:pPr>
    <w:rPr>
      <w:rFonts w:ascii="Tahoma" w:hAnsi="Tahoma"/>
      <w:kern w:val="2"/>
      <w:sz w:val="24"/>
    </w:rPr>
  </w:style>
  <w:style w:type="paragraph" w:customStyle="1" w:styleId="116">
    <w:name w:val="Char"/>
    <w:basedOn w:val="1"/>
    <w:autoRedefine/>
    <w:qFormat/>
    <w:uiPriority w:val="99"/>
    <w:pPr>
      <w:autoSpaceDE/>
      <w:autoSpaceDN/>
      <w:adjustRightInd/>
      <w:jc w:val="both"/>
      <w:textAlignment w:val="auto"/>
    </w:pPr>
    <w:rPr>
      <w:rFonts w:ascii="Tahoma" w:hAnsi="Tahoma"/>
      <w:kern w:val="2"/>
      <w:sz w:val="24"/>
    </w:rPr>
  </w:style>
  <w:style w:type="paragraph" w:customStyle="1" w:styleId="117">
    <w:name w:val="Char Char Char Char Char Char Char"/>
    <w:basedOn w:val="1"/>
    <w:autoRedefine/>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8">
    <w:name w:val="Char Char Char Char"/>
    <w:basedOn w:val="1"/>
    <w:autoRedefine/>
    <w:qFormat/>
    <w:uiPriority w:val="99"/>
    <w:pPr>
      <w:autoSpaceDE/>
      <w:autoSpaceDN/>
      <w:adjustRightInd/>
      <w:jc w:val="both"/>
      <w:textAlignment w:val="auto"/>
    </w:pPr>
  </w:style>
  <w:style w:type="paragraph" w:customStyle="1" w:styleId="119">
    <w:name w:val="0-正文"/>
    <w:basedOn w:val="1"/>
    <w:link w:val="120"/>
    <w:autoRedefine/>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20">
    <w:name w:val="0-正文 Char"/>
    <w:link w:val="119"/>
    <w:autoRedefine/>
    <w:qFormat/>
    <w:locked/>
    <w:uiPriority w:val="99"/>
    <w:rPr>
      <w:rFonts w:ascii="汉仪仿宋简" w:hAnsi="仿宋"/>
      <w:sz w:val="28"/>
    </w:rPr>
  </w:style>
  <w:style w:type="paragraph" w:customStyle="1" w:styleId="121">
    <w:name w:val="样式 标题 3节内1级标记Heading 3 - oldh3H3level_3PIM 3Level 3 Head...1"/>
    <w:basedOn w:val="6"/>
    <w:link w:val="122"/>
    <w:autoRedefine/>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22">
    <w:name w:val="样式 标题 3节内1级标记Heading 3 - oldh3H3level_3PIM 3Level 3 Head...1 Char"/>
    <w:link w:val="121"/>
    <w:autoRedefine/>
    <w:qFormat/>
    <w:locked/>
    <w:uiPriority w:val="99"/>
    <w:rPr>
      <w:rFonts w:ascii="Arial" w:hAnsi="Arial" w:eastAsia="黑体"/>
      <w:b/>
      <w:kern w:val="2"/>
      <w:sz w:val="30"/>
    </w:rPr>
  </w:style>
  <w:style w:type="paragraph" w:customStyle="1" w:styleId="123">
    <w:name w:val="样式10"/>
    <w:basedOn w:val="1"/>
    <w:autoRedefine/>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4">
    <w:name w:val="p0"/>
    <w:basedOn w:val="1"/>
    <w:autoRedefine/>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5">
    <w:name w:val="纯文本 Char2"/>
    <w:autoRedefine/>
    <w:qFormat/>
    <w:uiPriority w:val="99"/>
    <w:rPr>
      <w:rFonts w:ascii="??" w:hAnsi="??"/>
      <w:kern w:val="2"/>
      <w:sz w:val="21"/>
      <w:lang w:val="en-US" w:eastAsia="zh-CN"/>
    </w:rPr>
  </w:style>
  <w:style w:type="character" w:customStyle="1" w:styleId="126">
    <w:name w:val="正文2 Char Char"/>
    <w:link w:val="66"/>
    <w:autoRedefine/>
    <w:qFormat/>
    <w:locked/>
    <w:uiPriority w:val="99"/>
    <w:rPr>
      <w:rFonts w:eastAsia="Times New Roman"/>
      <w:kern w:val="2"/>
      <w:sz w:val="28"/>
    </w:rPr>
  </w:style>
  <w:style w:type="paragraph" w:customStyle="1" w:styleId="127">
    <w:name w:val="列出段落111"/>
    <w:basedOn w:val="1"/>
    <w:autoRedefine/>
    <w:qFormat/>
    <w:uiPriority w:val="34"/>
    <w:pPr>
      <w:ind w:firstLine="420" w:firstLineChars="200"/>
    </w:pPr>
    <w:rPr>
      <w:rFonts w:ascii="Calibri" w:hAnsi="Calibri"/>
      <w:szCs w:val="22"/>
    </w:rPr>
  </w:style>
  <w:style w:type="paragraph" w:customStyle="1" w:styleId="128">
    <w:name w:val="xl35"/>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9">
    <w:name w:val="font11"/>
    <w:basedOn w:val="48"/>
    <w:autoRedefine/>
    <w:qFormat/>
    <w:uiPriority w:val="0"/>
    <w:rPr>
      <w:rFonts w:hint="default" w:ascii="Times New Roman" w:hAnsi="Times New Roman" w:eastAsia="宋体" w:cs="Times New Roman"/>
      <w:bCs/>
      <w:color w:val="000000"/>
      <w:kern w:val="2"/>
      <w:sz w:val="20"/>
      <w:szCs w:val="20"/>
      <w:u w:val="none"/>
    </w:rPr>
  </w:style>
  <w:style w:type="character" w:customStyle="1" w:styleId="130">
    <w:name w:val="font31"/>
    <w:basedOn w:val="48"/>
    <w:autoRedefine/>
    <w:qFormat/>
    <w:uiPriority w:val="0"/>
    <w:rPr>
      <w:rFonts w:hint="eastAsia" w:ascii="宋体" w:hAnsi="宋体" w:eastAsia="宋体" w:cs="宋体"/>
      <w:color w:val="000000"/>
      <w:sz w:val="24"/>
      <w:szCs w:val="24"/>
      <w:u w:val="none"/>
    </w:rPr>
  </w:style>
  <w:style w:type="character" w:customStyle="1" w:styleId="131">
    <w:name w:val="font01"/>
    <w:basedOn w:val="48"/>
    <w:autoRedefine/>
    <w:qFormat/>
    <w:uiPriority w:val="0"/>
    <w:rPr>
      <w:rFonts w:hint="eastAsia" w:ascii="宋体" w:hAnsi="宋体" w:eastAsia="宋体" w:cs="宋体"/>
      <w:b/>
      <w:color w:val="000000"/>
      <w:sz w:val="20"/>
      <w:szCs w:val="20"/>
      <w:u w:val="none"/>
    </w:rPr>
  </w:style>
  <w:style w:type="character" w:customStyle="1" w:styleId="132">
    <w:name w:val="font21"/>
    <w:basedOn w:val="48"/>
    <w:autoRedefine/>
    <w:qFormat/>
    <w:uiPriority w:val="0"/>
    <w:rPr>
      <w:rFonts w:hint="eastAsia" w:ascii="宋体" w:hAnsi="宋体" w:eastAsia="宋体" w:cs="宋体"/>
      <w:b/>
      <w:color w:val="000000"/>
      <w:sz w:val="18"/>
      <w:szCs w:val="18"/>
      <w:u w:val="none"/>
    </w:rPr>
  </w:style>
  <w:style w:type="character" w:customStyle="1" w:styleId="133">
    <w:name w:val="font51"/>
    <w:basedOn w:val="48"/>
    <w:autoRedefine/>
    <w:qFormat/>
    <w:uiPriority w:val="0"/>
    <w:rPr>
      <w:rFonts w:ascii="微软雅黑" w:hAnsi="微软雅黑" w:eastAsia="微软雅黑" w:cs="微软雅黑"/>
      <w:b/>
      <w:color w:val="000000"/>
      <w:sz w:val="18"/>
      <w:szCs w:val="18"/>
      <w:u w:val="none"/>
    </w:rPr>
  </w:style>
  <w:style w:type="character" w:customStyle="1" w:styleId="134">
    <w:name w:val="font91"/>
    <w:basedOn w:val="48"/>
    <w:autoRedefine/>
    <w:qFormat/>
    <w:uiPriority w:val="0"/>
    <w:rPr>
      <w:rFonts w:hint="eastAsia" w:ascii="宋体" w:hAnsi="宋体" w:eastAsia="宋体" w:cs="宋体"/>
      <w:b/>
      <w:color w:val="000000"/>
      <w:sz w:val="24"/>
      <w:szCs w:val="24"/>
      <w:u w:val="none"/>
    </w:rPr>
  </w:style>
  <w:style w:type="character" w:customStyle="1" w:styleId="135">
    <w:name w:val="font81"/>
    <w:basedOn w:val="48"/>
    <w:autoRedefine/>
    <w:qFormat/>
    <w:uiPriority w:val="0"/>
    <w:rPr>
      <w:rFonts w:hint="eastAsia" w:ascii="微软雅黑" w:hAnsi="微软雅黑" w:eastAsia="微软雅黑" w:cs="微软雅黑"/>
      <w:b/>
      <w:color w:val="000000"/>
      <w:sz w:val="24"/>
      <w:szCs w:val="24"/>
      <w:u w:val="none"/>
    </w:rPr>
  </w:style>
  <w:style w:type="character" w:customStyle="1" w:styleId="136">
    <w:name w:val="font121"/>
    <w:basedOn w:val="48"/>
    <w:autoRedefine/>
    <w:qFormat/>
    <w:uiPriority w:val="0"/>
    <w:rPr>
      <w:rFonts w:hint="default" w:ascii="Arial" w:hAnsi="Arial" w:cs="Arial"/>
      <w:b/>
      <w:color w:val="000000"/>
      <w:sz w:val="20"/>
      <w:szCs w:val="20"/>
      <w:u w:val="none"/>
    </w:rPr>
  </w:style>
  <w:style w:type="character" w:customStyle="1" w:styleId="137">
    <w:name w:val="font71"/>
    <w:basedOn w:val="48"/>
    <w:autoRedefine/>
    <w:qFormat/>
    <w:uiPriority w:val="0"/>
    <w:rPr>
      <w:rFonts w:hint="eastAsia" w:ascii="宋体" w:hAnsi="宋体" w:eastAsia="宋体" w:cs="宋体"/>
      <w:color w:val="000000"/>
      <w:sz w:val="20"/>
      <w:szCs w:val="20"/>
      <w:u w:val="none"/>
    </w:rPr>
  </w:style>
  <w:style w:type="character" w:customStyle="1" w:styleId="138">
    <w:name w:val="font61"/>
    <w:basedOn w:val="48"/>
    <w:autoRedefine/>
    <w:qFormat/>
    <w:uiPriority w:val="0"/>
    <w:rPr>
      <w:rFonts w:hint="eastAsia" w:ascii="宋体" w:hAnsi="宋体" w:eastAsia="宋体" w:cs="宋体"/>
      <w:b/>
      <w:color w:val="000000"/>
      <w:sz w:val="20"/>
      <w:szCs w:val="20"/>
      <w:u w:val="none"/>
    </w:rPr>
  </w:style>
  <w:style w:type="character" w:customStyle="1" w:styleId="139">
    <w:name w:val="font41"/>
    <w:basedOn w:val="48"/>
    <w:autoRedefine/>
    <w:qFormat/>
    <w:uiPriority w:val="0"/>
    <w:rPr>
      <w:rFonts w:hint="eastAsia" w:ascii="宋体" w:hAnsi="宋体" w:eastAsia="宋体" w:cs="宋体"/>
      <w:color w:val="000000"/>
      <w:sz w:val="20"/>
      <w:szCs w:val="20"/>
      <w:u w:val="none"/>
    </w:rPr>
  </w:style>
  <w:style w:type="character" w:customStyle="1" w:styleId="140">
    <w:name w:val="bookmark-item"/>
    <w:basedOn w:val="48"/>
    <w:autoRedefine/>
    <w:qFormat/>
    <w:uiPriority w:val="0"/>
  </w:style>
  <w:style w:type="character" w:customStyle="1" w:styleId="141">
    <w:name w:val="sub"/>
    <w:basedOn w:val="48"/>
    <w:autoRedefine/>
    <w:qFormat/>
    <w:uiPriority w:val="0"/>
  </w:style>
  <w:style w:type="paragraph" w:customStyle="1" w:styleId="142">
    <w:name w:val="_Style 1"/>
    <w:basedOn w:val="1"/>
    <w:next w:val="43"/>
    <w:autoRedefine/>
    <w:qFormat/>
    <w:uiPriority w:val="0"/>
    <w:pPr>
      <w:autoSpaceDE/>
      <w:autoSpaceDN/>
      <w:adjustRightInd/>
      <w:jc w:val="both"/>
      <w:textAlignment w:val="auto"/>
    </w:pPr>
    <w:rPr>
      <w:rFonts w:ascii="Times New Roman"/>
      <w:kern w:val="2"/>
      <w:sz w:val="24"/>
    </w:rPr>
  </w:style>
  <w:style w:type="character" w:customStyle="1" w:styleId="143">
    <w:name w:val="apple-converted-space"/>
    <w:basedOn w:val="48"/>
    <w:autoRedefine/>
    <w:qFormat/>
    <w:uiPriority w:val="0"/>
  </w:style>
  <w:style w:type="character" w:customStyle="1" w:styleId="144">
    <w:name w:val="Char Char1"/>
    <w:autoRedefine/>
    <w:qFormat/>
    <w:uiPriority w:val="0"/>
    <w:rPr>
      <w:rFonts w:ascii="宋体" w:hAnsi="宋体" w:eastAsia="宋体"/>
      <w:sz w:val="24"/>
      <w:szCs w:val="24"/>
      <w:lang w:val="en-US" w:eastAsia="zh-CN" w:bidi="ar-SA"/>
    </w:rPr>
  </w:style>
  <w:style w:type="paragraph" w:customStyle="1" w:styleId="145">
    <w:name w:val="样式1"/>
    <w:basedOn w:val="33"/>
    <w:autoRedefine/>
    <w:qFormat/>
    <w:uiPriority w:val="0"/>
    <w:pPr>
      <w:tabs>
        <w:tab w:val="right" w:leader="dot" w:pos="8642"/>
      </w:tabs>
      <w:spacing w:before="240" w:line="360" w:lineRule="auto"/>
    </w:pPr>
    <w:rPr>
      <w:rFonts w:hAnsi="宋体"/>
      <w:sz w:val="28"/>
      <w:szCs w:val="21"/>
    </w:rPr>
  </w:style>
  <w:style w:type="character" w:customStyle="1" w:styleId="146">
    <w:name w:val="NormalCharacter"/>
    <w:autoRedefine/>
    <w:semiHidden/>
    <w:qFormat/>
    <w:uiPriority w:val="0"/>
  </w:style>
  <w:style w:type="paragraph" w:customStyle="1" w:styleId="147">
    <w:name w:val="列出段落11"/>
    <w:basedOn w:val="1"/>
    <w:autoRedefine/>
    <w:qFormat/>
    <w:uiPriority w:val="0"/>
    <w:pPr>
      <w:spacing w:line="500" w:lineRule="exact"/>
      <w:ind w:left="1182" w:hanging="525" w:firstLineChars="200"/>
    </w:pPr>
    <w:rPr>
      <w:rFonts w:hAnsi="宋体" w:cs="宋体"/>
      <w:sz w:val="22"/>
      <w:lang w:val="zh-CN" w:bidi="zh-CN"/>
    </w:rPr>
  </w:style>
  <w:style w:type="paragraph" w:customStyle="1" w:styleId="148">
    <w:name w:val="正文 A"/>
    <w:autoRedefine/>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9">
    <w:name w:val="无"/>
    <w:autoRedefine/>
    <w:qFormat/>
    <w:uiPriority w:val="0"/>
  </w:style>
  <w:style w:type="paragraph" w:customStyle="1" w:styleId="150">
    <w:name w:val="Char Char Char Char Char Char"/>
    <w:basedOn w:val="1"/>
    <w:autoRedefine/>
    <w:qFormat/>
    <w:uiPriority w:val="0"/>
    <w:pPr>
      <w:widowControl/>
      <w:spacing w:beforeLines="50" w:afterLines="50" w:line="240" w:lineRule="exact"/>
    </w:pPr>
    <w:rPr>
      <w:rFonts w:ascii="Verdana" w:hAnsi="Verdana"/>
      <w:sz w:val="20"/>
      <w:lang w:eastAsia="en-US"/>
    </w:rPr>
  </w:style>
  <w:style w:type="paragraph" w:customStyle="1" w:styleId="15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2">
    <w:name w:val="Normal_5ef73c29-ef0f-45e2-b75a-099b58907413"/>
    <w:autoRedefine/>
    <w:qFormat/>
    <w:uiPriority w:val="0"/>
    <w:pPr>
      <w:jc w:val="both"/>
    </w:pPr>
    <w:rPr>
      <w:rFonts w:ascii="Calibri" w:hAnsi="Calibri" w:eastAsia="宋体" w:cs="Calibri"/>
      <w:kern w:val="2"/>
      <w:sz w:val="21"/>
      <w:szCs w:val="21"/>
      <w:lang w:val="en-US" w:eastAsia="zh-CN" w:bidi="ar-SA"/>
    </w:rPr>
  </w:style>
  <w:style w:type="paragraph" w:customStyle="1" w:styleId="153">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4">
    <w:name w:val="_Style 2"/>
    <w:autoRedefine/>
    <w:qFormat/>
    <w:uiPriority w:val="0"/>
    <w:pPr>
      <w:adjustRightInd w:val="0"/>
      <w:snapToGrid w:val="0"/>
    </w:pPr>
    <w:rPr>
      <w:rFonts w:ascii="Tahoma" w:hAnsi="Tahoma" w:eastAsia="微软雅黑" w:cs="Tahoma"/>
      <w:sz w:val="22"/>
      <w:szCs w:val="22"/>
      <w:lang w:val="en-US" w:eastAsia="zh-CN" w:bidi="ar-SA"/>
    </w:rPr>
  </w:style>
  <w:style w:type="paragraph" w:customStyle="1" w:styleId="155">
    <w:name w:val="表格填充"/>
    <w:basedOn w:val="1"/>
    <w:autoRedefine/>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6">
    <w:name w:val="B表格正文"/>
    <w:next w:val="1"/>
    <w:autoRedefine/>
    <w:qFormat/>
    <w:uiPriority w:val="0"/>
    <w:rPr>
      <w:rFonts w:ascii="Calibri" w:hAnsi="Calibri" w:eastAsia="黑体" w:cs="Times New Roman"/>
      <w:kern w:val="2"/>
      <w:sz w:val="21"/>
      <w:szCs w:val="21"/>
      <w:lang w:val="en-US" w:eastAsia="zh-CN" w:bidi="ar-SA"/>
    </w:rPr>
  </w:style>
  <w:style w:type="paragraph" w:customStyle="1" w:styleId="157">
    <w:name w:val="缺省文本"/>
    <w:basedOn w:val="1"/>
    <w:autoRedefine/>
    <w:qFormat/>
    <w:uiPriority w:val="0"/>
    <w:rPr>
      <w:sz w:val="24"/>
      <w:szCs w:val="24"/>
    </w:rPr>
  </w:style>
  <w:style w:type="paragraph" w:customStyle="1" w:styleId="158">
    <w:name w:val="修订1"/>
    <w:autoRedefine/>
    <w:hidden/>
    <w:semiHidden/>
    <w:qFormat/>
    <w:uiPriority w:val="99"/>
    <w:rPr>
      <w:rFonts w:ascii="宋体" w:hAnsi="Times New Roman" w:eastAsia="宋体" w:cs="Times New Roman"/>
      <w:sz w:val="34"/>
      <w:lang w:val="en-US" w:eastAsia="zh-CN" w:bidi="ar-SA"/>
    </w:rPr>
  </w:style>
  <w:style w:type="character" w:customStyle="1" w:styleId="159">
    <w:name w:val="font111"/>
    <w:basedOn w:val="48"/>
    <w:autoRedefine/>
    <w:qFormat/>
    <w:uiPriority w:val="0"/>
    <w:rPr>
      <w:rFonts w:ascii="Gulim" w:hAnsi="Gulim" w:eastAsia="Gulim" w:cs="Gulim"/>
      <w:color w:val="000000"/>
      <w:sz w:val="20"/>
      <w:szCs w:val="20"/>
      <w:u w:val="none"/>
    </w:rPr>
  </w:style>
  <w:style w:type="character" w:customStyle="1" w:styleId="160">
    <w:name w:val="10"/>
    <w:basedOn w:val="48"/>
    <w:autoRedefine/>
    <w:qFormat/>
    <w:uiPriority w:val="0"/>
    <w:rPr>
      <w:rFonts w:hint="default" w:ascii="Times New Roman" w:hAnsi="Times New Roman" w:cs="Times New Roman"/>
    </w:rPr>
  </w:style>
  <w:style w:type="character" w:customStyle="1" w:styleId="161">
    <w:name w:val="15"/>
    <w:basedOn w:val="48"/>
    <w:autoRedefine/>
    <w:qFormat/>
    <w:uiPriority w:val="0"/>
    <w:rPr>
      <w:rFonts w:hint="default" w:ascii="Times New Roman" w:hAnsi="Times New Roman" w:cs="Times New Roman"/>
    </w:rPr>
  </w:style>
  <w:style w:type="paragraph" w:customStyle="1" w:styleId="162">
    <w:name w:val="正文内容"/>
    <w:basedOn w:val="1"/>
    <w:autoRedefine/>
    <w:qFormat/>
    <w:uiPriority w:val="5"/>
    <w:pPr>
      <w:spacing w:line="360" w:lineRule="auto"/>
      <w:ind w:firstLine="200" w:firstLineChars="200"/>
    </w:pPr>
    <w:rPr>
      <w:sz w:val="24"/>
      <w:lang w:val="zh-CN"/>
    </w:rPr>
  </w:style>
  <w:style w:type="paragraph" w:customStyle="1" w:styleId="163">
    <w:name w:val="表内文字"/>
    <w:basedOn w:val="1"/>
    <w:autoRedefine/>
    <w:qFormat/>
    <w:uiPriority w:val="0"/>
    <w:pPr>
      <w:tabs>
        <w:tab w:val="left" w:pos="1418"/>
      </w:tabs>
      <w:autoSpaceDE/>
      <w:autoSpaceDN/>
      <w:adjustRightInd/>
      <w:spacing w:line="360" w:lineRule="auto"/>
      <w:jc w:val="center"/>
      <w:textAlignment w:val="auto"/>
    </w:pPr>
    <w:rPr>
      <w:rFonts w:ascii="仿宋_GB2312" w:eastAsia="仿宋_GB2312"/>
      <w:spacing w:val="-20"/>
      <w:sz w:val="24"/>
      <w:szCs w:val="24"/>
    </w:rPr>
  </w:style>
  <w:style w:type="paragraph" w:customStyle="1" w:styleId="164">
    <w:name w:val="my正文"/>
    <w:basedOn w:val="1"/>
    <w:autoRedefine/>
    <w:qFormat/>
    <w:uiPriority w:val="0"/>
    <w:pPr>
      <w:ind w:firstLine="480"/>
    </w:pPr>
    <w:rPr>
      <w:sz w:val="28"/>
    </w:rPr>
  </w:style>
  <w:style w:type="paragraph" w:customStyle="1" w:styleId="165">
    <w:name w:val="sheetHead"/>
    <w:basedOn w:val="1"/>
    <w:autoRedefine/>
    <w:qFormat/>
    <w:uiPriority w:val="0"/>
    <w:pPr>
      <w:jc w:val="center"/>
    </w:pPr>
    <w:rPr>
      <w:rFonts w:ascii="黑体" w:hAnsi="黑体" w:eastAsia="黑体"/>
      <w:sz w:val="28"/>
      <w:szCs w:val="28"/>
    </w:rPr>
  </w:style>
  <w:style w:type="paragraph" w:customStyle="1" w:styleId="166">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16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68">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9">
    <w:name w:val="reader-word-layer"/>
    <w:basedOn w:val="1"/>
    <w:autoRedefine/>
    <w:qFormat/>
    <w:uiPriority w:val="0"/>
    <w:pPr>
      <w:widowControl/>
      <w:spacing w:before="100" w:beforeAutospacing="1" w:after="100" w:afterAutospacing="1"/>
    </w:pPr>
    <w:rPr>
      <w:rFonts w:ascii="Times New Roman" w:hAnsi="宋体" w:cs="宋体"/>
      <w:sz w:val="24"/>
      <w:szCs w:val="24"/>
    </w:rPr>
  </w:style>
  <w:style w:type="paragraph" w:customStyle="1" w:styleId="170">
    <w:name w:val="PlainText"/>
    <w:basedOn w:val="1"/>
    <w:autoRedefine/>
    <w:qFormat/>
    <w:uiPriority w:val="0"/>
    <w:rPr>
      <w:rFonts w:hAnsi="Courier New"/>
      <w:szCs w:val="21"/>
    </w:rPr>
  </w:style>
  <w:style w:type="paragraph" w:customStyle="1" w:styleId="171">
    <w:name w:val="BodyText3"/>
    <w:basedOn w:val="1"/>
    <w:autoRedefine/>
    <w:qFormat/>
    <w:uiPriority w:val="0"/>
    <w:pPr>
      <w:spacing w:line="640" w:lineRule="exact"/>
    </w:pPr>
    <w:rPr>
      <w:sz w:val="16"/>
      <w:szCs w:val="16"/>
    </w:rPr>
  </w:style>
  <w:style w:type="paragraph" w:customStyle="1" w:styleId="172">
    <w:name w:val="Body text|1"/>
    <w:basedOn w:val="1"/>
    <w:autoRedefine/>
    <w:qFormat/>
    <w:uiPriority w:val="0"/>
    <w:pPr>
      <w:autoSpaceDE/>
      <w:autoSpaceDN/>
      <w:adjustRightInd/>
      <w:spacing w:line="480" w:lineRule="auto"/>
      <w:ind w:firstLine="400"/>
      <w:textAlignment w:val="auto"/>
    </w:pPr>
    <w:rPr>
      <w:rFonts w:hAnsi="宋体" w:cs="宋体"/>
      <w:sz w:val="19"/>
      <w:szCs w:val="19"/>
      <w:lang w:val="zh-TW" w:eastAsia="zh-TW" w:bidi="zh-TW"/>
    </w:rPr>
  </w:style>
  <w:style w:type="paragraph" w:customStyle="1" w:styleId="173">
    <w:name w:val="F-正文"/>
    <w:autoRedefine/>
    <w:qFormat/>
    <w:uiPriority w:val="0"/>
    <w:pPr>
      <w:spacing w:line="560" w:lineRule="exact"/>
      <w:jc w:val="both"/>
    </w:pPr>
    <w:rPr>
      <w:rFonts w:ascii="Times" w:hAnsi="Times" w:eastAsia="仿宋" w:cs="Times New Roman"/>
      <w:kern w:val="2"/>
      <w:sz w:val="24"/>
      <w:lang w:val="en-US" w:eastAsia="zh-CN" w:bidi="ar-SA"/>
    </w:rPr>
  </w:style>
  <w:style w:type="paragraph" w:customStyle="1" w:styleId="174">
    <w:name w:val="公文正文"/>
    <w:basedOn w:val="1"/>
    <w:autoRedefine/>
    <w:qFormat/>
    <w:uiPriority w:val="0"/>
    <w:pPr>
      <w:spacing w:line="360" w:lineRule="auto"/>
      <w:ind w:firstLine="640" w:firstLineChars="200"/>
      <w:jc w:val="left"/>
    </w:pPr>
    <w:rPr>
      <w:rFonts w:ascii="宋体" w:hAnsi="宋体" w:eastAsia="仿宋_GB2312" w:cs="宋体"/>
      <w:sz w:val="32"/>
      <w:szCs w:val="20"/>
    </w:rPr>
  </w:style>
  <w:style w:type="paragraph" w:customStyle="1" w:styleId="175">
    <w:name w:val="公文标题2"/>
    <w:basedOn w:val="1"/>
    <w:next w:val="174"/>
    <w:autoRedefine/>
    <w:qFormat/>
    <w:uiPriority w:val="0"/>
    <w:pPr>
      <w:widowControl/>
      <w:numPr>
        <w:ilvl w:val="0"/>
        <w:numId w:val="2"/>
      </w:numPr>
      <w:spacing w:line="360" w:lineRule="auto"/>
      <w:ind w:left="0" w:firstLine="200" w:firstLineChars="200"/>
      <w:jc w:val="left"/>
      <w:outlineLvl w:val="1"/>
    </w:pPr>
    <w:rPr>
      <w:rFonts w:ascii="楷体" w:hAnsi="楷体" w:eastAsia="楷体" w:cs="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13042</Words>
  <Characters>14241</Characters>
  <Lines>1</Lines>
  <Paragraphs>1</Paragraphs>
  <TotalTime>16</TotalTime>
  <ScaleCrop>false</ScaleCrop>
  <LinksUpToDate>false</LinksUpToDate>
  <CharactersWithSpaces>14512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2023-03-04T06:56:00Z</dcterms:created>
  <dc:creator>方琦</dc:creator>
  <cp:lastModifiedBy>Lee</cp:lastModifiedBy>
  <cp:lastPrinted>2023-09-27T02:33:00Z</cp:lastPrinted>
  <dcterms:modified xsi:type="dcterms:W3CDTF">2025-02-27T07:51:16Z</dcterms:modified>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5DBE3B083A30456AB5A06C37FC3F3B63_13</vt:lpwstr>
  </property>
  <property fmtid="{D5CDD505-2E9C-101B-9397-08002B2CF9AE}" pid="4" name="KSOTemplateDocerSaveRecord">
    <vt:lpwstr>eyJoZGlkIjoiODJmMmM0NDA5NTJjYzE3MjE1YjRiNWMwMDNkM2ZmYjciLCJ1c2VySWQiOiIyMDQ0NzE4ODIifQ==</vt:lpwstr>
  </property>
</Properties>
</file>