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31363">
      <w:pPr>
        <w:spacing w:line="360" w:lineRule="auto"/>
        <w:ind w:right="57"/>
        <w:jc w:val="center"/>
        <w:rPr>
          <w:rFonts w:ascii="楷体" w:hAnsi="楷体" w:eastAsia="楷体" w:cs="楷体"/>
          <w:color w:val="auto"/>
          <w:spacing w:val="30"/>
          <w:sz w:val="48"/>
          <w:szCs w:val="48"/>
        </w:rPr>
      </w:pPr>
      <w:bookmarkStart w:id="50" w:name="_GoBack"/>
      <w:bookmarkEnd w:id="50"/>
      <w:r>
        <w:rPr>
          <w:rFonts w:hint="eastAsia" w:ascii="楷体" w:hAnsi="楷体" w:eastAsia="楷体" w:cs="楷体"/>
          <w:color w:val="auto"/>
          <w:spacing w:val="30"/>
          <w:sz w:val="48"/>
          <w:szCs w:val="48"/>
        </w:rPr>
        <w:t>金华市政府采购中心关于金华市中心医院腹腔内窥镜手术系统 （手术机器人）项目</w:t>
      </w:r>
    </w:p>
    <w:p w14:paraId="5EC3D3BE">
      <w:pPr>
        <w:pStyle w:val="2"/>
        <w:ind w:firstLine="1080"/>
        <w:rPr>
          <w:rFonts w:ascii="楷体" w:hAnsi="楷体" w:eastAsia="楷体" w:cs="楷体"/>
          <w:color w:val="auto"/>
          <w:spacing w:val="30"/>
          <w:sz w:val="48"/>
          <w:szCs w:val="48"/>
        </w:rPr>
      </w:pPr>
    </w:p>
    <w:p w14:paraId="7A591439">
      <w:pPr>
        <w:pStyle w:val="2"/>
        <w:ind w:firstLine="1080"/>
        <w:rPr>
          <w:rFonts w:ascii="楷体" w:hAnsi="楷体" w:eastAsia="楷体" w:cs="楷体"/>
          <w:color w:val="auto"/>
          <w:spacing w:val="30"/>
          <w:sz w:val="48"/>
          <w:szCs w:val="48"/>
        </w:rPr>
      </w:pPr>
    </w:p>
    <w:p w14:paraId="317B1C43">
      <w:pPr>
        <w:pStyle w:val="2"/>
        <w:ind w:firstLine="1080"/>
        <w:rPr>
          <w:rFonts w:ascii="楷体" w:hAnsi="楷体" w:eastAsia="楷体" w:cs="楷体"/>
          <w:color w:val="auto"/>
          <w:spacing w:val="30"/>
          <w:sz w:val="48"/>
          <w:szCs w:val="48"/>
        </w:rPr>
      </w:pPr>
    </w:p>
    <w:p w14:paraId="356BD1AD">
      <w:pPr>
        <w:spacing w:before="312" w:beforeLines="100" w:after="100" w:afterAutospacing="1" w:line="800" w:lineRule="exact"/>
        <w:ind w:right="-108"/>
        <w:jc w:val="center"/>
        <w:rPr>
          <w:rFonts w:ascii="宋体" w:hAnsi="宋体"/>
          <w:color w:val="auto"/>
          <w:spacing w:val="40"/>
          <w:sz w:val="72"/>
          <w:szCs w:val="72"/>
        </w:rPr>
      </w:pPr>
      <w:r>
        <w:rPr>
          <w:rFonts w:hint="eastAsia" w:ascii="宋体" w:hAnsi="宋体"/>
          <w:color w:val="auto"/>
          <w:spacing w:val="40"/>
          <w:sz w:val="72"/>
          <w:szCs w:val="72"/>
        </w:rPr>
        <w:t>公开招标采购文件</w:t>
      </w:r>
    </w:p>
    <w:p w14:paraId="64309933">
      <w:pPr>
        <w:pStyle w:val="2"/>
        <w:ind w:left="0" w:leftChars="0" w:firstLine="0" w:firstLineChars="0"/>
        <w:jc w:val="center"/>
        <w:rPr>
          <w:color w:val="auto"/>
          <w:sz w:val="44"/>
          <w:szCs w:val="44"/>
        </w:rPr>
      </w:pPr>
      <w:r>
        <w:rPr>
          <w:rFonts w:hint="eastAsia" w:ascii="宋体" w:hAnsi="宋体"/>
          <w:color w:val="auto"/>
          <w:spacing w:val="40"/>
          <w:sz w:val="44"/>
          <w:szCs w:val="44"/>
        </w:rPr>
        <w:t>（线上电子招标）</w:t>
      </w:r>
    </w:p>
    <w:p w14:paraId="0F05D824">
      <w:pPr>
        <w:ind w:right="-110"/>
        <w:rPr>
          <w:rFonts w:ascii="宋体" w:hAnsi="宋体"/>
          <w:color w:val="auto"/>
          <w:sz w:val="32"/>
          <w:szCs w:val="32"/>
        </w:rPr>
      </w:pPr>
    </w:p>
    <w:p w14:paraId="4896A1D0">
      <w:pPr>
        <w:spacing w:before="312" w:beforeLines="100" w:line="480" w:lineRule="auto"/>
        <w:ind w:right="-108"/>
        <w:rPr>
          <w:rFonts w:ascii="宋体" w:hAnsi="宋体"/>
          <w:color w:val="auto"/>
          <w:sz w:val="32"/>
          <w:szCs w:val="32"/>
        </w:rPr>
      </w:pPr>
    </w:p>
    <w:p w14:paraId="23DBD68B">
      <w:pPr>
        <w:spacing w:before="312" w:beforeLines="100" w:line="480" w:lineRule="auto"/>
        <w:ind w:right="-108"/>
        <w:rPr>
          <w:rFonts w:hint="default" w:ascii="楷体" w:hAnsi="楷体" w:eastAsia="楷体" w:cs="楷体"/>
          <w:color w:val="auto"/>
          <w:sz w:val="36"/>
          <w:szCs w:val="36"/>
          <w:lang w:val="en-US" w:eastAsia="zh-CN"/>
        </w:rPr>
      </w:pPr>
      <w:r>
        <w:rPr>
          <w:rFonts w:hint="eastAsia" w:ascii="宋体" w:hAnsi="宋体"/>
          <w:color w:val="auto"/>
          <w:sz w:val="36"/>
          <w:szCs w:val="36"/>
        </w:rPr>
        <w:t xml:space="preserve">    </w:t>
      </w:r>
      <w:r>
        <w:rPr>
          <w:rFonts w:hint="eastAsia" w:ascii="楷体" w:hAnsi="楷体" w:eastAsia="楷体" w:cs="楷体"/>
          <w:color w:val="auto"/>
          <w:sz w:val="36"/>
          <w:szCs w:val="36"/>
        </w:rPr>
        <w:t>项目编号：</w:t>
      </w:r>
      <w:r>
        <w:rPr>
          <w:rFonts w:hint="eastAsia" w:ascii="楷体" w:hAnsi="楷体" w:eastAsia="楷体" w:cs="楷体"/>
          <w:color w:val="auto"/>
          <w:sz w:val="36"/>
          <w:szCs w:val="36"/>
          <w:lang w:val="en-US" w:eastAsia="zh-CN"/>
        </w:rPr>
        <w:t>JHCG2024X-025</w:t>
      </w:r>
    </w:p>
    <w:p w14:paraId="5ADFB124">
      <w:pPr>
        <w:wordWrap w:val="0"/>
        <w:spacing w:line="480" w:lineRule="auto"/>
        <w:ind w:right="-108" w:firstLine="720" w:firstLineChars="200"/>
        <w:rPr>
          <w:rFonts w:ascii="楷体" w:hAnsi="楷体" w:eastAsia="楷体" w:cs="楷体"/>
          <w:color w:val="auto"/>
          <w:sz w:val="36"/>
          <w:szCs w:val="36"/>
        </w:rPr>
      </w:pPr>
      <w:r>
        <w:rPr>
          <w:rFonts w:hint="eastAsia" w:ascii="楷体" w:hAnsi="楷体" w:eastAsia="楷体" w:cs="楷体"/>
          <w:color w:val="auto"/>
          <w:sz w:val="36"/>
          <w:szCs w:val="36"/>
        </w:rPr>
        <w:t>代理机构：金华市政府采购中心</w:t>
      </w:r>
    </w:p>
    <w:p w14:paraId="7955450F">
      <w:pPr>
        <w:wordWrap w:val="0"/>
        <w:spacing w:line="480" w:lineRule="auto"/>
        <w:ind w:right="-108" w:firstLine="720" w:firstLineChars="200"/>
        <w:rPr>
          <w:rFonts w:ascii="楷体" w:hAnsi="楷体" w:eastAsia="楷体" w:cs="楷体"/>
          <w:color w:val="auto"/>
          <w:sz w:val="36"/>
          <w:szCs w:val="36"/>
        </w:rPr>
      </w:pPr>
      <w:r>
        <w:rPr>
          <w:rFonts w:hint="eastAsia" w:ascii="楷体" w:hAnsi="楷体" w:eastAsia="楷体" w:cs="楷体"/>
          <w:color w:val="auto"/>
          <w:sz w:val="36"/>
          <w:szCs w:val="36"/>
        </w:rPr>
        <w:t>地址：金华市双龙南街858号财富大厦4楼</w:t>
      </w:r>
    </w:p>
    <w:p w14:paraId="64643027">
      <w:pPr>
        <w:pStyle w:val="17"/>
        <w:ind w:left="0" w:firstLine="720" w:firstLineChars="200"/>
        <w:rPr>
          <w:rFonts w:hint="eastAsia" w:ascii="楷体" w:hAnsi="楷体" w:eastAsia="楷体" w:cs="楷体"/>
          <w:color w:val="auto"/>
          <w:sz w:val="36"/>
          <w:szCs w:val="36"/>
        </w:rPr>
      </w:pPr>
      <w:r>
        <w:rPr>
          <w:rFonts w:hint="eastAsia" w:ascii="楷体" w:hAnsi="楷体" w:eastAsia="楷体" w:cs="楷体"/>
          <w:color w:val="auto"/>
          <w:sz w:val="36"/>
          <w:szCs w:val="36"/>
        </w:rPr>
        <w:t>开标时间：</w:t>
      </w:r>
      <w:r>
        <w:rPr>
          <w:rFonts w:hint="eastAsia" w:ascii="楷体" w:hAnsi="楷体" w:eastAsia="楷体" w:cs="楷体"/>
          <w:color w:val="auto"/>
          <w:sz w:val="36"/>
          <w:szCs w:val="36"/>
          <w:lang w:eastAsia="zh-CN"/>
        </w:rPr>
        <w:t>202</w:t>
      </w:r>
      <w:r>
        <w:rPr>
          <w:rFonts w:hint="eastAsia" w:ascii="楷体" w:hAnsi="楷体" w:eastAsia="楷体" w:cs="楷体"/>
          <w:color w:val="auto"/>
          <w:sz w:val="36"/>
          <w:szCs w:val="36"/>
          <w:lang w:val="en-US" w:eastAsia="zh-CN"/>
        </w:rPr>
        <w:t>4</w:t>
      </w:r>
      <w:r>
        <w:rPr>
          <w:rFonts w:hint="eastAsia" w:ascii="楷体" w:hAnsi="楷体" w:eastAsia="楷体" w:cs="楷体"/>
          <w:color w:val="auto"/>
          <w:sz w:val="36"/>
          <w:szCs w:val="36"/>
          <w:lang w:eastAsia="zh-CN"/>
        </w:rPr>
        <w:t>-0</w:t>
      </w:r>
      <w:r>
        <w:rPr>
          <w:rFonts w:hint="eastAsia" w:ascii="楷体" w:hAnsi="楷体" w:eastAsia="楷体" w:cs="楷体"/>
          <w:color w:val="auto"/>
          <w:sz w:val="36"/>
          <w:szCs w:val="36"/>
          <w:lang w:val="en-US" w:eastAsia="zh-CN"/>
        </w:rPr>
        <w:t>9</w:t>
      </w:r>
      <w:r>
        <w:rPr>
          <w:rFonts w:hint="eastAsia" w:ascii="楷体" w:hAnsi="楷体" w:eastAsia="楷体" w:cs="楷体"/>
          <w:color w:val="auto"/>
          <w:sz w:val="36"/>
          <w:szCs w:val="36"/>
          <w:lang w:eastAsia="zh-CN"/>
        </w:rPr>
        <w:t>-</w:t>
      </w:r>
      <w:r>
        <w:rPr>
          <w:rFonts w:hint="eastAsia" w:ascii="楷体" w:hAnsi="楷体" w:eastAsia="楷体" w:cs="楷体"/>
          <w:color w:val="auto"/>
          <w:sz w:val="36"/>
          <w:szCs w:val="36"/>
          <w:lang w:val="en-US" w:eastAsia="zh-CN"/>
        </w:rPr>
        <w:t>12</w:t>
      </w:r>
      <w:r>
        <w:rPr>
          <w:rFonts w:hint="eastAsia" w:ascii="楷体" w:hAnsi="楷体" w:eastAsia="楷体" w:cs="楷体"/>
          <w:color w:val="auto"/>
          <w:sz w:val="36"/>
          <w:szCs w:val="36"/>
        </w:rPr>
        <w:t>上午9：</w:t>
      </w:r>
      <w:r>
        <w:rPr>
          <w:rFonts w:hint="eastAsia" w:ascii="楷体" w:hAnsi="楷体" w:eastAsia="楷体" w:cs="楷体"/>
          <w:color w:val="auto"/>
          <w:sz w:val="36"/>
          <w:szCs w:val="36"/>
          <w:lang w:val="en-US" w:eastAsia="zh-CN"/>
        </w:rPr>
        <w:t>3</w:t>
      </w:r>
      <w:r>
        <w:rPr>
          <w:rFonts w:hint="eastAsia" w:ascii="楷体" w:hAnsi="楷体" w:eastAsia="楷体" w:cs="楷体"/>
          <w:color w:val="auto"/>
          <w:sz w:val="36"/>
          <w:szCs w:val="36"/>
        </w:rPr>
        <w:t>0整</w:t>
      </w:r>
    </w:p>
    <w:p w14:paraId="552C3957">
      <w:pPr>
        <w:rPr>
          <w:rFonts w:hint="eastAsia" w:ascii="楷体" w:hAnsi="楷体" w:eastAsia="楷体" w:cs="楷体"/>
          <w:color w:val="auto"/>
          <w:sz w:val="36"/>
          <w:szCs w:val="36"/>
        </w:rPr>
      </w:pPr>
    </w:p>
    <w:p w14:paraId="6083DA51">
      <w:pPr>
        <w:pStyle w:val="29"/>
        <w:rPr>
          <w:rFonts w:hint="eastAsia" w:ascii="楷体" w:hAnsi="楷体" w:eastAsia="楷体" w:cs="楷体"/>
          <w:color w:val="auto"/>
          <w:sz w:val="36"/>
          <w:szCs w:val="36"/>
        </w:rPr>
      </w:pPr>
    </w:p>
    <w:p w14:paraId="0C96BB90">
      <w:pPr>
        <w:pStyle w:val="29"/>
        <w:rPr>
          <w:rFonts w:hint="eastAsia" w:ascii="楷体" w:hAnsi="楷体" w:eastAsia="楷体" w:cs="楷体"/>
          <w:color w:val="auto"/>
          <w:sz w:val="36"/>
          <w:szCs w:val="36"/>
        </w:rPr>
      </w:pPr>
    </w:p>
    <w:p w14:paraId="64B68EAA">
      <w:pPr>
        <w:spacing w:line="360" w:lineRule="auto"/>
        <w:ind w:right="57"/>
        <w:jc w:val="left"/>
        <w:rPr>
          <w:rFonts w:hint="eastAsia" w:ascii="楷体" w:hAnsi="楷体" w:eastAsia="楷体"/>
          <w:color w:val="auto"/>
          <w:spacing w:val="30"/>
          <w:sz w:val="28"/>
          <w:szCs w:val="11"/>
        </w:rPr>
        <w:sectPr>
          <w:footerReference r:id="rId3" w:type="default"/>
          <w:pgSz w:w="11906" w:h="16838"/>
          <w:pgMar w:top="1440" w:right="1800" w:bottom="1440" w:left="1800" w:header="851" w:footer="992" w:gutter="0"/>
          <w:cols w:space="720" w:num="1"/>
          <w:docGrid w:type="lines" w:linePitch="312" w:charSpace="0"/>
        </w:sectPr>
      </w:pPr>
    </w:p>
    <w:p w14:paraId="5658B984">
      <w:pPr>
        <w:pStyle w:val="10"/>
        <w:spacing w:before="156" w:after="156" w:line="480" w:lineRule="auto"/>
        <w:ind w:firstLine="2891" w:firstLineChars="800"/>
        <w:jc w:val="both"/>
        <w:rPr>
          <w:rFonts w:hAnsi="宋体"/>
          <w:b/>
          <w:color w:val="auto"/>
          <w:sz w:val="36"/>
          <w:szCs w:val="36"/>
        </w:rPr>
      </w:pPr>
      <w:r>
        <w:rPr>
          <w:rFonts w:hint="eastAsia" w:hAnsi="宋体"/>
          <w:b/>
          <w:color w:val="auto"/>
          <w:sz w:val="36"/>
          <w:szCs w:val="36"/>
        </w:rPr>
        <w:t>目    录</w:t>
      </w:r>
    </w:p>
    <w:p w14:paraId="718F49A1">
      <w:pPr>
        <w:spacing w:before="156" w:beforeLines="50" w:line="480" w:lineRule="exact"/>
        <w:rPr>
          <w:rFonts w:ascii="宋体" w:hAnsi="宋体" w:eastAsia="仿宋_GB2312"/>
          <w:color w:val="auto"/>
          <w:sz w:val="30"/>
          <w:szCs w:val="30"/>
        </w:rPr>
      </w:pPr>
    </w:p>
    <w:p w14:paraId="73303E3A">
      <w:pPr>
        <w:numPr>
          <w:ilvl w:val="0"/>
          <w:numId w:val="1"/>
        </w:numPr>
        <w:spacing w:before="156" w:beforeLines="50" w:line="480" w:lineRule="exact"/>
        <w:rPr>
          <w:rFonts w:ascii="宋体" w:hAnsi="宋体" w:eastAsia="仿宋_GB2312"/>
          <w:color w:val="auto"/>
          <w:sz w:val="30"/>
          <w:szCs w:val="30"/>
        </w:rPr>
      </w:pPr>
      <w:r>
        <w:rPr>
          <w:rFonts w:hint="eastAsia" w:ascii="宋体" w:hAnsi="宋体" w:eastAsia="仿宋_GB2312"/>
          <w:color w:val="auto"/>
          <w:sz w:val="30"/>
          <w:szCs w:val="30"/>
        </w:rPr>
        <w:t xml:space="preserve"> 公开</w:t>
      </w:r>
      <w:r>
        <w:rPr>
          <w:rFonts w:ascii="宋体" w:hAnsi="宋体" w:eastAsia="仿宋_GB2312"/>
          <w:color w:val="auto"/>
          <w:sz w:val="30"/>
          <w:szCs w:val="30"/>
        </w:rPr>
        <w:t>招标采购公告</w:t>
      </w:r>
    </w:p>
    <w:p w14:paraId="66211844">
      <w:pPr>
        <w:numPr>
          <w:ilvl w:val="0"/>
          <w:numId w:val="1"/>
        </w:numPr>
        <w:spacing w:before="156" w:beforeLines="50" w:line="480" w:lineRule="exact"/>
        <w:rPr>
          <w:rFonts w:ascii="宋体" w:hAnsi="宋体" w:eastAsia="仿宋_GB2312"/>
          <w:color w:val="auto"/>
          <w:sz w:val="30"/>
          <w:szCs w:val="30"/>
        </w:rPr>
      </w:pPr>
      <w:r>
        <w:rPr>
          <w:rFonts w:hint="eastAsia" w:ascii="宋体" w:hAnsi="宋体" w:eastAsia="仿宋_GB2312"/>
          <w:color w:val="auto"/>
          <w:sz w:val="30"/>
          <w:szCs w:val="30"/>
        </w:rPr>
        <w:t xml:space="preserve"> 招标</w:t>
      </w:r>
      <w:r>
        <w:rPr>
          <w:rFonts w:ascii="宋体" w:hAnsi="宋体" w:eastAsia="仿宋_GB2312"/>
          <w:color w:val="auto"/>
          <w:sz w:val="30"/>
          <w:szCs w:val="30"/>
        </w:rPr>
        <w:t>需求</w:t>
      </w:r>
    </w:p>
    <w:p w14:paraId="33A1689A">
      <w:pPr>
        <w:numPr>
          <w:ilvl w:val="0"/>
          <w:numId w:val="1"/>
        </w:numPr>
        <w:spacing w:before="156" w:beforeLines="50" w:line="480" w:lineRule="exact"/>
        <w:rPr>
          <w:rFonts w:ascii="宋体" w:hAnsi="宋体" w:eastAsia="仿宋_GB2312"/>
          <w:color w:val="auto"/>
          <w:sz w:val="30"/>
          <w:szCs w:val="30"/>
        </w:rPr>
      </w:pPr>
      <w:r>
        <w:rPr>
          <w:rFonts w:hint="eastAsia" w:ascii="宋体" w:hAnsi="宋体" w:eastAsia="仿宋_GB2312"/>
          <w:color w:val="auto"/>
          <w:sz w:val="30"/>
          <w:szCs w:val="30"/>
        </w:rPr>
        <w:t xml:space="preserve"> 投标人</w:t>
      </w:r>
      <w:r>
        <w:rPr>
          <w:rFonts w:ascii="宋体" w:hAnsi="宋体" w:eastAsia="仿宋_GB2312"/>
          <w:color w:val="auto"/>
          <w:sz w:val="30"/>
          <w:szCs w:val="30"/>
        </w:rPr>
        <w:t>须知</w:t>
      </w:r>
    </w:p>
    <w:p w14:paraId="2B81E7C2">
      <w:pPr>
        <w:numPr>
          <w:ilvl w:val="0"/>
          <w:numId w:val="1"/>
        </w:numPr>
        <w:spacing w:before="156" w:beforeLines="50" w:line="480" w:lineRule="exact"/>
        <w:rPr>
          <w:rFonts w:ascii="宋体" w:hAnsi="宋体" w:eastAsia="仿宋_GB2312"/>
          <w:color w:val="auto"/>
          <w:sz w:val="30"/>
          <w:szCs w:val="30"/>
        </w:rPr>
      </w:pPr>
      <w:r>
        <w:rPr>
          <w:rFonts w:hint="eastAsia" w:ascii="宋体" w:hAnsi="宋体" w:eastAsia="仿宋_GB2312"/>
          <w:color w:val="auto"/>
          <w:sz w:val="30"/>
          <w:szCs w:val="30"/>
        </w:rPr>
        <w:t xml:space="preserve"> 政府采购政策功能相关说明</w:t>
      </w:r>
    </w:p>
    <w:p w14:paraId="144E4E92">
      <w:pPr>
        <w:numPr>
          <w:ilvl w:val="0"/>
          <w:numId w:val="1"/>
        </w:numPr>
        <w:spacing w:before="156" w:beforeLines="50" w:line="480" w:lineRule="exact"/>
        <w:rPr>
          <w:rFonts w:ascii="宋体" w:hAnsi="宋体" w:eastAsia="仿宋_GB2312"/>
          <w:color w:val="auto"/>
          <w:sz w:val="30"/>
          <w:szCs w:val="30"/>
        </w:rPr>
      </w:pPr>
      <w:r>
        <w:rPr>
          <w:rFonts w:hint="eastAsia" w:ascii="宋体" w:hAnsi="宋体" w:eastAsia="仿宋_GB2312"/>
          <w:color w:val="auto"/>
          <w:sz w:val="30"/>
          <w:szCs w:val="30"/>
        </w:rPr>
        <w:t xml:space="preserve"> 评标定标办法</w:t>
      </w:r>
    </w:p>
    <w:p w14:paraId="00312998">
      <w:pPr>
        <w:numPr>
          <w:ilvl w:val="0"/>
          <w:numId w:val="1"/>
        </w:numPr>
        <w:spacing w:before="156" w:beforeLines="50" w:line="480" w:lineRule="exact"/>
        <w:rPr>
          <w:rFonts w:ascii="宋体" w:hAnsi="宋体" w:eastAsia="仿宋_GB2312"/>
          <w:color w:val="auto"/>
          <w:sz w:val="30"/>
          <w:szCs w:val="30"/>
        </w:rPr>
      </w:pPr>
      <w:r>
        <w:rPr>
          <w:rFonts w:ascii="宋体" w:hAnsi="宋体" w:eastAsia="仿宋_GB2312"/>
          <w:color w:val="auto"/>
          <w:sz w:val="30"/>
          <w:szCs w:val="30"/>
        </w:rPr>
        <w:t xml:space="preserve"> </w:t>
      </w:r>
      <w:r>
        <w:rPr>
          <w:rFonts w:hint="eastAsia" w:ascii="宋体" w:hAnsi="宋体" w:eastAsia="仿宋_GB2312"/>
          <w:color w:val="auto"/>
          <w:sz w:val="30"/>
          <w:szCs w:val="30"/>
        </w:rPr>
        <w:t>政府采购合同主要条款</w:t>
      </w:r>
    </w:p>
    <w:p w14:paraId="62E5300D">
      <w:pPr>
        <w:numPr>
          <w:ilvl w:val="0"/>
          <w:numId w:val="1"/>
        </w:numPr>
        <w:spacing w:before="156" w:beforeLines="50" w:line="480" w:lineRule="exact"/>
        <w:rPr>
          <w:rFonts w:ascii="宋体" w:hAnsi="宋体" w:eastAsia="仿宋_GB2312"/>
          <w:color w:val="auto"/>
          <w:sz w:val="30"/>
          <w:szCs w:val="30"/>
        </w:rPr>
      </w:pPr>
      <w:r>
        <w:rPr>
          <w:rFonts w:hint="eastAsia" w:ascii="宋体" w:hAnsi="宋体" w:eastAsia="仿宋_GB2312"/>
          <w:color w:val="auto"/>
          <w:sz w:val="30"/>
          <w:szCs w:val="30"/>
        </w:rPr>
        <w:t xml:space="preserve"> 投标文件格式</w:t>
      </w:r>
    </w:p>
    <w:p w14:paraId="26B9F8F9">
      <w:pPr>
        <w:rPr>
          <w:color w:val="auto"/>
        </w:rPr>
      </w:pPr>
      <w:r>
        <w:rPr>
          <w:rFonts w:hint="eastAsia"/>
          <w:color w:val="auto"/>
        </w:rPr>
        <w:t xml:space="preserve">  </w:t>
      </w:r>
    </w:p>
    <w:p w14:paraId="4CF7C702">
      <w:pPr>
        <w:pStyle w:val="10"/>
        <w:pBdr>
          <w:top w:val="single" w:color="auto" w:sz="4" w:space="1"/>
          <w:left w:val="single" w:color="auto" w:sz="4" w:space="4"/>
          <w:bottom w:val="single" w:color="auto" w:sz="4" w:space="1"/>
          <w:right w:val="single" w:color="auto" w:sz="4" w:space="4"/>
        </w:pBdr>
        <w:snapToGrid w:val="0"/>
        <w:spacing w:before="156" w:after="156"/>
        <w:ind w:firstLine="482" w:firstLineChars="200"/>
        <w:jc w:val="left"/>
        <w:outlineLvl w:val="0"/>
        <w:rPr>
          <w:b/>
          <w:color w:val="auto"/>
        </w:rPr>
      </w:pPr>
      <w:r>
        <w:rPr>
          <w:rFonts w:hint="eastAsia"/>
          <w:b/>
          <w:color w:val="auto"/>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117F068A">
      <w:pPr>
        <w:pStyle w:val="10"/>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color w:val="auto"/>
        </w:rPr>
      </w:pPr>
      <w:r>
        <w:rPr>
          <w:rFonts w:hint="eastAsia"/>
          <w:b/>
          <w:color w:val="auto"/>
        </w:rPr>
        <w:t>举报电话：</w:t>
      </w:r>
    </w:p>
    <w:p w14:paraId="5ED1169D">
      <w:pPr>
        <w:pStyle w:val="10"/>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color w:val="auto"/>
        </w:rPr>
      </w:pPr>
      <w:r>
        <w:rPr>
          <w:rFonts w:hint="eastAsia"/>
          <w:b/>
          <w:color w:val="auto"/>
        </w:rPr>
        <w:t>市扫黑办  0579-82495227</w:t>
      </w:r>
    </w:p>
    <w:p w14:paraId="4903089C">
      <w:pPr>
        <w:pStyle w:val="10"/>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color w:val="auto"/>
        </w:rPr>
      </w:pPr>
      <w:r>
        <w:rPr>
          <w:rFonts w:hint="eastAsia"/>
          <w:b/>
          <w:color w:val="auto"/>
        </w:rPr>
        <w:t>市公安局  110、0579-82512110</w:t>
      </w:r>
    </w:p>
    <w:p w14:paraId="6EFC8E9C">
      <w:pPr>
        <w:pStyle w:val="10"/>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color w:val="auto"/>
        </w:rPr>
      </w:pPr>
      <w:r>
        <w:rPr>
          <w:rFonts w:hint="eastAsia"/>
          <w:b/>
          <w:color w:val="auto"/>
        </w:rPr>
        <w:t>市检察院  0579-82537082</w:t>
      </w:r>
    </w:p>
    <w:p w14:paraId="341D5B57">
      <w:pPr>
        <w:pStyle w:val="10"/>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color w:val="auto"/>
        </w:rPr>
      </w:pPr>
      <w:r>
        <w:rPr>
          <w:rFonts w:hint="eastAsia"/>
          <w:b/>
          <w:color w:val="auto"/>
        </w:rPr>
        <w:t>市 法 院  0579-82688725</w:t>
      </w:r>
    </w:p>
    <w:p w14:paraId="309C0ACE">
      <w:pPr>
        <w:pStyle w:val="10"/>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color w:val="auto"/>
        </w:rPr>
      </w:pPr>
      <w:r>
        <w:rPr>
          <w:rFonts w:hint="eastAsia"/>
          <w:b/>
          <w:color w:val="auto"/>
        </w:rPr>
        <w:t>市公共资源</w:t>
      </w:r>
      <w:r>
        <w:rPr>
          <w:rFonts w:hint="eastAsia"/>
          <w:b/>
          <w:color w:val="auto"/>
          <w:lang w:val="en-US" w:eastAsia="zh-CN"/>
        </w:rPr>
        <w:t>交易管理</w:t>
      </w:r>
      <w:r>
        <w:rPr>
          <w:rFonts w:hint="eastAsia"/>
          <w:b/>
          <w:color w:val="auto"/>
        </w:rPr>
        <w:t>办</w:t>
      </w:r>
      <w:r>
        <w:rPr>
          <w:rFonts w:hint="eastAsia"/>
          <w:b/>
          <w:color w:val="auto"/>
          <w:lang w:val="en-US" w:eastAsia="zh-CN"/>
        </w:rPr>
        <w:t>公室</w:t>
      </w:r>
      <w:r>
        <w:rPr>
          <w:rFonts w:hint="eastAsia"/>
          <w:b/>
          <w:color w:val="auto"/>
        </w:rPr>
        <w:t xml:space="preserve">  0579-82469285</w:t>
      </w:r>
    </w:p>
    <w:p w14:paraId="267416F5">
      <w:pPr>
        <w:pStyle w:val="2"/>
        <w:rPr>
          <w:color w:val="auto"/>
        </w:rPr>
        <w:sectPr>
          <w:footerReference r:id="rId4" w:type="default"/>
          <w:pgSz w:w="11906" w:h="16838"/>
          <w:pgMar w:top="1440" w:right="1800" w:bottom="1440" w:left="1800" w:header="851" w:footer="992" w:gutter="0"/>
          <w:cols w:space="425" w:num="1"/>
          <w:docGrid w:type="lines" w:linePitch="312" w:charSpace="0"/>
        </w:sectPr>
      </w:pPr>
    </w:p>
    <w:p w14:paraId="1CDBD494">
      <w:pPr>
        <w:pStyle w:val="10"/>
        <w:spacing w:before="156" w:after="156" w:line="360" w:lineRule="auto"/>
        <w:jc w:val="center"/>
        <w:outlineLvl w:val="0"/>
        <w:rPr>
          <w:rFonts w:hAnsi="宋体"/>
          <w:b/>
          <w:color w:val="auto"/>
          <w:sz w:val="36"/>
          <w:szCs w:val="36"/>
        </w:rPr>
      </w:pPr>
      <w:bookmarkStart w:id="0" w:name="_Toc439237127"/>
      <w:r>
        <w:rPr>
          <w:rFonts w:hint="eastAsia" w:hAnsi="宋体"/>
          <w:b/>
          <w:color w:val="auto"/>
          <w:sz w:val="36"/>
          <w:szCs w:val="36"/>
        </w:rPr>
        <w:t>第一章  公开招标采购公告</w:t>
      </w:r>
      <w:bookmarkEnd w:id="0"/>
    </w:p>
    <w:p w14:paraId="41359706">
      <w:pPr>
        <w:pStyle w:val="30"/>
        <w:widowControl w:val="0"/>
        <w:spacing w:afterLines="0" w:line="460" w:lineRule="exact"/>
        <w:ind w:firstLine="480"/>
        <w:rPr>
          <w:rFonts w:ascii="仿宋" w:hAnsi="仿宋" w:eastAsia="仿宋" w:cs="Arial"/>
          <w:bCs/>
          <w:color w:val="auto"/>
          <w:kern w:val="2"/>
          <w:szCs w:val="24"/>
        </w:rPr>
      </w:pPr>
      <w:r>
        <w:rPr>
          <w:rFonts w:hint="eastAsia" w:ascii="仿宋" w:hAnsi="仿宋" w:eastAsia="仿宋" w:cs="Arial"/>
          <w:bCs/>
          <w:color w:val="auto"/>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w:t>
      </w:r>
      <w:r>
        <w:rPr>
          <w:rFonts w:ascii="仿宋" w:hAnsi="仿宋" w:eastAsia="仿宋" w:cs="Arial"/>
          <w:bCs/>
          <w:color w:val="auto"/>
          <w:kern w:val="2"/>
          <w:szCs w:val="24"/>
        </w:rPr>
        <w:t>项目进行公开招标采购，</w:t>
      </w:r>
      <w:r>
        <w:rPr>
          <w:rFonts w:hint="eastAsia" w:ascii="仿宋" w:hAnsi="仿宋" w:eastAsia="仿宋" w:cs="Arial"/>
          <w:bCs/>
          <w:color w:val="auto"/>
          <w:kern w:val="2"/>
          <w:szCs w:val="24"/>
        </w:rPr>
        <w:t>欢迎提供本国货物、服务的生产制造厂商或其合格代理商前来投标：</w:t>
      </w:r>
    </w:p>
    <w:p w14:paraId="4D64AF0F">
      <w:pPr>
        <w:snapToGrid w:val="0"/>
        <w:spacing w:after="156" w:afterLines="50"/>
        <w:ind w:firstLine="602" w:firstLineChars="200"/>
        <w:rPr>
          <w:rFonts w:hint="default" w:ascii="仿宋" w:hAnsi="仿宋" w:eastAsia="仿宋" w:cs="Arial"/>
          <w:b/>
          <w:color w:val="auto"/>
          <w:sz w:val="30"/>
          <w:szCs w:val="30"/>
          <w:lang w:val="en-US" w:eastAsia="zh-CN"/>
        </w:rPr>
      </w:pPr>
      <w:r>
        <w:rPr>
          <w:rFonts w:hint="eastAsia" w:ascii="仿宋" w:hAnsi="仿宋" w:eastAsia="仿宋" w:cs="Arial"/>
          <w:b/>
          <w:color w:val="auto"/>
          <w:sz w:val="30"/>
          <w:szCs w:val="30"/>
        </w:rPr>
        <w:t>一、项目编号：</w:t>
      </w:r>
      <w:r>
        <w:rPr>
          <w:rFonts w:hint="eastAsia" w:ascii="仿宋" w:hAnsi="仿宋" w:eastAsia="仿宋" w:cs="Arial"/>
          <w:b/>
          <w:color w:val="auto"/>
          <w:sz w:val="30"/>
          <w:szCs w:val="30"/>
          <w:lang w:val="en-US" w:eastAsia="zh-CN"/>
        </w:rPr>
        <w:t>JHCG2024X-025</w:t>
      </w:r>
    </w:p>
    <w:p w14:paraId="1C29DFCC">
      <w:pPr>
        <w:snapToGrid w:val="0"/>
        <w:spacing w:after="156" w:afterLines="50"/>
        <w:ind w:firstLine="602" w:firstLineChars="200"/>
        <w:rPr>
          <w:rFonts w:ascii="仿宋" w:hAnsi="仿宋" w:eastAsia="仿宋" w:cs="Arial"/>
          <w:b/>
          <w:color w:val="auto"/>
          <w:sz w:val="30"/>
          <w:szCs w:val="30"/>
        </w:rPr>
      </w:pPr>
      <w:r>
        <w:rPr>
          <w:rFonts w:hint="eastAsia" w:ascii="仿宋" w:hAnsi="仿宋" w:eastAsia="仿宋" w:cs="Arial"/>
          <w:b/>
          <w:color w:val="auto"/>
          <w:sz w:val="30"/>
          <w:szCs w:val="30"/>
        </w:rPr>
        <w:t>二、采购组织类型：政府集中采购</w:t>
      </w:r>
    </w:p>
    <w:p w14:paraId="6285CA21">
      <w:pPr>
        <w:snapToGrid w:val="0"/>
        <w:spacing w:after="156" w:afterLines="50"/>
        <w:ind w:firstLine="602" w:firstLineChars="200"/>
        <w:rPr>
          <w:rFonts w:ascii="仿宋" w:hAnsi="仿宋" w:eastAsia="仿宋" w:cs="Arial"/>
          <w:b/>
          <w:bCs/>
          <w:color w:val="auto"/>
          <w:sz w:val="30"/>
          <w:szCs w:val="30"/>
        </w:rPr>
      </w:pPr>
      <w:r>
        <w:rPr>
          <w:rFonts w:hint="eastAsia" w:ascii="仿宋" w:hAnsi="仿宋" w:eastAsia="仿宋" w:cs="Arial"/>
          <w:b/>
          <w:color w:val="auto"/>
          <w:sz w:val="30"/>
          <w:szCs w:val="30"/>
        </w:rPr>
        <w:t>三、</w:t>
      </w:r>
      <w:r>
        <w:rPr>
          <w:rFonts w:hint="eastAsia" w:ascii="仿宋" w:hAnsi="仿宋" w:eastAsia="仿宋" w:cs="Arial"/>
          <w:b/>
          <w:bCs/>
          <w:color w:val="auto"/>
          <w:sz w:val="30"/>
          <w:szCs w:val="30"/>
        </w:rPr>
        <w:t>采购内容及数量</w:t>
      </w:r>
    </w:p>
    <w:tbl>
      <w:tblPr>
        <w:tblStyle w:val="22"/>
        <w:tblW w:w="9281"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895"/>
        <w:gridCol w:w="825"/>
        <w:gridCol w:w="1178"/>
        <w:gridCol w:w="1242"/>
        <w:gridCol w:w="2301"/>
      </w:tblGrid>
      <w:tr w14:paraId="7C5FB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14:paraId="1437739B">
            <w:pPr>
              <w:widowControl/>
              <w:snapToGrid w:val="0"/>
              <w:spacing w:line="460" w:lineRule="exact"/>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2895" w:type="dxa"/>
            <w:tcBorders>
              <w:top w:val="single" w:color="auto" w:sz="4" w:space="0"/>
              <w:left w:val="single" w:color="auto" w:sz="4" w:space="0"/>
              <w:bottom w:val="single" w:color="auto" w:sz="4" w:space="0"/>
              <w:right w:val="single" w:color="auto" w:sz="4" w:space="0"/>
            </w:tcBorders>
            <w:vAlign w:val="center"/>
          </w:tcPr>
          <w:p w14:paraId="5547A2FE">
            <w:pPr>
              <w:widowControl/>
              <w:snapToGrid w:val="0"/>
              <w:spacing w:line="460" w:lineRule="exact"/>
              <w:jc w:val="center"/>
              <w:rPr>
                <w:rFonts w:ascii="宋体" w:hAnsi="宋体" w:cs="宋体"/>
                <w:color w:val="auto"/>
                <w:kern w:val="0"/>
                <w:sz w:val="24"/>
                <w:szCs w:val="24"/>
              </w:rPr>
            </w:pPr>
            <w:r>
              <w:rPr>
                <w:rFonts w:hint="eastAsia" w:ascii="宋体" w:hAnsi="宋体" w:cs="宋体"/>
                <w:color w:val="auto"/>
                <w:kern w:val="0"/>
                <w:sz w:val="24"/>
                <w:szCs w:val="24"/>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14:paraId="01CD8199">
            <w:pPr>
              <w:widowControl/>
              <w:snapToGrid w:val="0"/>
              <w:spacing w:line="460" w:lineRule="exact"/>
              <w:jc w:val="center"/>
              <w:rPr>
                <w:rFonts w:ascii="宋体" w:hAnsi="宋体" w:cs="宋体"/>
                <w:color w:val="auto"/>
                <w:kern w:val="0"/>
                <w:sz w:val="24"/>
                <w:szCs w:val="24"/>
              </w:rPr>
            </w:pPr>
            <w:r>
              <w:rPr>
                <w:rFonts w:hint="eastAsia" w:ascii="宋体" w:hAnsi="宋体" w:cs="宋体"/>
                <w:color w:val="auto"/>
                <w:kern w:val="0"/>
                <w:sz w:val="24"/>
                <w:szCs w:val="24"/>
              </w:rPr>
              <w:t>单位</w:t>
            </w:r>
          </w:p>
        </w:tc>
        <w:tc>
          <w:tcPr>
            <w:tcW w:w="1178" w:type="dxa"/>
            <w:tcBorders>
              <w:top w:val="single" w:color="auto" w:sz="4" w:space="0"/>
              <w:left w:val="single" w:color="auto" w:sz="4" w:space="0"/>
              <w:bottom w:val="single" w:color="auto" w:sz="4" w:space="0"/>
              <w:right w:val="single" w:color="auto" w:sz="4" w:space="0"/>
            </w:tcBorders>
            <w:vAlign w:val="center"/>
          </w:tcPr>
          <w:p w14:paraId="2DB22D21">
            <w:pPr>
              <w:widowControl/>
              <w:snapToGrid w:val="0"/>
              <w:spacing w:line="460" w:lineRule="exact"/>
              <w:jc w:val="center"/>
              <w:rPr>
                <w:rFonts w:ascii="宋体" w:hAnsi="宋体" w:cs="宋体"/>
                <w:color w:val="auto"/>
                <w:kern w:val="0"/>
                <w:sz w:val="24"/>
                <w:szCs w:val="24"/>
              </w:rPr>
            </w:pPr>
            <w:r>
              <w:rPr>
                <w:rFonts w:hint="eastAsia" w:ascii="宋体" w:hAnsi="宋体" w:cs="宋体"/>
                <w:color w:val="auto"/>
                <w:kern w:val="0"/>
                <w:sz w:val="24"/>
                <w:szCs w:val="24"/>
              </w:rPr>
              <w:t>数量</w:t>
            </w:r>
          </w:p>
        </w:tc>
        <w:tc>
          <w:tcPr>
            <w:tcW w:w="1242" w:type="dxa"/>
            <w:tcBorders>
              <w:top w:val="single" w:color="auto" w:sz="4" w:space="0"/>
              <w:left w:val="single" w:color="auto" w:sz="4" w:space="0"/>
              <w:bottom w:val="single" w:color="auto" w:sz="4" w:space="0"/>
              <w:right w:val="single" w:color="auto" w:sz="4" w:space="0"/>
            </w:tcBorders>
            <w:vAlign w:val="center"/>
          </w:tcPr>
          <w:p w14:paraId="383412C2">
            <w:pPr>
              <w:widowControl/>
              <w:snapToGrid w:val="0"/>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预算</w:t>
            </w:r>
          </w:p>
          <w:p w14:paraId="31582B1B">
            <w:pPr>
              <w:widowControl/>
              <w:snapToGrid w:val="0"/>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（万元）</w:t>
            </w:r>
          </w:p>
        </w:tc>
        <w:tc>
          <w:tcPr>
            <w:tcW w:w="2301" w:type="dxa"/>
            <w:tcBorders>
              <w:top w:val="single" w:color="auto" w:sz="4" w:space="0"/>
              <w:left w:val="single" w:color="auto" w:sz="4" w:space="0"/>
              <w:bottom w:val="single" w:color="auto" w:sz="4" w:space="0"/>
              <w:right w:val="single" w:color="auto" w:sz="4" w:space="0"/>
            </w:tcBorders>
            <w:vAlign w:val="center"/>
          </w:tcPr>
          <w:p w14:paraId="55AD1D8D">
            <w:pPr>
              <w:widowControl/>
              <w:snapToGrid w:val="0"/>
              <w:spacing w:line="460" w:lineRule="exact"/>
              <w:jc w:val="center"/>
              <w:rPr>
                <w:rFonts w:ascii="宋体" w:hAnsi="宋体" w:cs="宋体"/>
                <w:color w:val="auto"/>
                <w:kern w:val="0"/>
                <w:sz w:val="24"/>
                <w:szCs w:val="24"/>
              </w:rPr>
            </w:pPr>
            <w:r>
              <w:rPr>
                <w:rFonts w:hint="eastAsia" w:ascii="宋体" w:hAnsi="宋体" w:cs="宋体"/>
                <w:color w:val="auto"/>
                <w:kern w:val="0"/>
                <w:sz w:val="24"/>
                <w:szCs w:val="24"/>
              </w:rPr>
              <w:t>使用单位</w:t>
            </w:r>
          </w:p>
        </w:tc>
      </w:tr>
      <w:tr w14:paraId="00BF4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14:paraId="054F989E">
            <w:pPr>
              <w:widowControl/>
              <w:snapToGrid w:val="0"/>
              <w:spacing w:line="46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2895" w:type="dxa"/>
            <w:tcBorders>
              <w:top w:val="single" w:color="auto" w:sz="4" w:space="0"/>
              <w:left w:val="single" w:color="auto" w:sz="4" w:space="0"/>
              <w:bottom w:val="single" w:color="auto" w:sz="4" w:space="0"/>
              <w:right w:val="single" w:color="auto" w:sz="4" w:space="0"/>
            </w:tcBorders>
            <w:vAlign w:val="center"/>
          </w:tcPr>
          <w:p w14:paraId="243A3EBC">
            <w:pPr>
              <w:widowControl/>
              <w:snapToGrid w:val="0"/>
              <w:spacing w:line="46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腹腔内窥镜手术系统（手术机器人）</w:t>
            </w:r>
          </w:p>
        </w:tc>
        <w:tc>
          <w:tcPr>
            <w:tcW w:w="825" w:type="dxa"/>
            <w:tcBorders>
              <w:top w:val="single" w:color="auto" w:sz="4" w:space="0"/>
              <w:left w:val="single" w:color="auto" w:sz="4" w:space="0"/>
              <w:bottom w:val="single" w:color="auto" w:sz="4" w:space="0"/>
              <w:right w:val="single" w:color="auto" w:sz="4" w:space="0"/>
            </w:tcBorders>
            <w:vAlign w:val="center"/>
          </w:tcPr>
          <w:p w14:paraId="4877498E">
            <w:pPr>
              <w:widowControl/>
              <w:snapToGrid w:val="0"/>
              <w:spacing w:line="46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台</w:t>
            </w:r>
          </w:p>
        </w:tc>
        <w:tc>
          <w:tcPr>
            <w:tcW w:w="1178" w:type="dxa"/>
            <w:tcBorders>
              <w:top w:val="single" w:color="auto" w:sz="4" w:space="0"/>
              <w:left w:val="single" w:color="auto" w:sz="4" w:space="0"/>
              <w:bottom w:val="single" w:color="auto" w:sz="4" w:space="0"/>
              <w:right w:val="single" w:color="auto" w:sz="4" w:space="0"/>
            </w:tcBorders>
            <w:vAlign w:val="center"/>
          </w:tcPr>
          <w:p w14:paraId="2AC7B127">
            <w:pPr>
              <w:widowControl/>
              <w:snapToGrid w:val="0"/>
              <w:spacing w:line="46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w:t>
            </w:r>
          </w:p>
        </w:tc>
        <w:tc>
          <w:tcPr>
            <w:tcW w:w="1242" w:type="dxa"/>
            <w:tcBorders>
              <w:top w:val="single" w:color="auto" w:sz="4" w:space="0"/>
              <w:left w:val="single" w:color="auto" w:sz="4" w:space="0"/>
              <w:bottom w:val="single" w:color="auto" w:sz="4" w:space="0"/>
              <w:right w:val="single" w:color="auto" w:sz="4" w:space="0"/>
            </w:tcBorders>
            <w:vAlign w:val="center"/>
          </w:tcPr>
          <w:p w14:paraId="57E74E69">
            <w:pPr>
              <w:widowControl/>
              <w:snapToGrid w:val="0"/>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2400</w:t>
            </w:r>
          </w:p>
        </w:tc>
        <w:tc>
          <w:tcPr>
            <w:tcW w:w="2301" w:type="dxa"/>
            <w:tcBorders>
              <w:top w:val="single" w:color="auto" w:sz="4" w:space="0"/>
              <w:left w:val="single" w:color="auto" w:sz="4" w:space="0"/>
              <w:bottom w:val="single" w:color="auto" w:sz="4" w:space="0"/>
              <w:right w:val="single" w:color="auto" w:sz="4" w:space="0"/>
            </w:tcBorders>
            <w:vAlign w:val="center"/>
          </w:tcPr>
          <w:p w14:paraId="40308D26">
            <w:pPr>
              <w:widowControl/>
              <w:snapToGrid w:val="0"/>
              <w:spacing w:line="46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金华市中心医院</w:t>
            </w:r>
          </w:p>
        </w:tc>
      </w:tr>
    </w:tbl>
    <w:p w14:paraId="2F6A28A7">
      <w:pPr>
        <w:snapToGrid w:val="0"/>
        <w:spacing w:line="46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四、投标供应商资格要求</w:t>
      </w:r>
    </w:p>
    <w:p w14:paraId="55AC0DE3">
      <w:pPr>
        <w:pStyle w:val="2"/>
        <w:ind w:left="0" w:leftChars="0" w:firstLine="240" w:firstLineChars="100"/>
        <w:rPr>
          <w:rFonts w:hint="eastAsia" w:ascii="宋体" w:hAnsi="宋体" w:cs="宋体"/>
          <w:bCs/>
          <w:color w:val="auto"/>
          <w:sz w:val="24"/>
          <w:szCs w:val="24"/>
        </w:rPr>
      </w:pPr>
      <w:r>
        <w:rPr>
          <w:rFonts w:hint="eastAsia" w:ascii="宋体" w:hAnsi="宋体"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436DFA3">
      <w:pPr>
        <w:pStyle w:val="2"/>
        <w:ind w:left="0" w:leftChars="0" w:firstLine="0" w:firstLineChars="0"/>
        <w:rPr>
          <w:rFonts w:hint="eastAsia" w:ascii="宋体" w:hAnsi="宋体" w:cs="宋体"/>
          <w:bCs/>
          <w:color w:val="auto"/>
          <w:sz w:val="24"/>
          <w:szCs w:val="24"/>
        </w:rPr>
      </w:pPr>
      <w:r>
        <w:rPr>
          <w:rFonts w:hint="eastAsia" w:ascii="宋体" w:hAnsi="宋体" w:cs="宋体"/>
          <w:bCs/>
          <w:color w:val="auto"/>
          <w:sz w:val="24"/>
          <w:szCs w:val="24"/>
        </w:rPr>
        <w:t xml:space="preserve"> 2.落实政府采购政策需满足的资格要求： </w:t>
      </w:r>
    </w:p>
    <w:p w14:paraId="0AD3A9FB">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2"/>
              <w:lang w:val="en-US" w:eastAsia="zh-CN" w:bidi="ar-SA"/>
            </w:rPr>
            <w:t>þ</w:t>
          </w:r>
        </w:sdtContent>
      </w:sdt>
      <w:r>
        <w:rPr>
          <w:rFonts w:hint="eastAsia" w:ascii="仿宋_GB2312" w:hAnsi="仿宋" w:eastAsia="仿宋_GB2312"/>
          <w:color w:val="auto"/>
          <w:sz w:val="24"/>
        </w:rPr>
        <w:t>无；</w:t>
      </w:r>
    </w:p>
    <w:p w14:paraId="4F999D2B">
      <w:pPr>
        <w:pStyle w:val="2"/>
        <w:ind w:left="0" w:leftChars="0" w:firstLine="240" w:firstLineChars="100"/>
        <w:rPr>
          <w:rFonts w:hint="eastAsia" w:ascii="宋体" w:hAnsi="宋体" w:eastAsia="宋体" w:cs="宋体"/>
          <w:bCs/>
          <w:color w:val="auto"/>
          <w:sz w:val="24"/>
          <w:szCs w:val="24"/>
          <w:lang w:eastAsia="zh-CN"/>
        </w:rPr>
      </w:pPr>
      <w:r>
        <w:rPr>
          <w:rFonts w:hint="eastAsia" w:ascii="宋体" w:hAnsi="宋体" w:cs="宋体"/>
          <w:bCs/>
          <w:color w:val="auto"/>
          <w:sz w:val="24"/>
          <w:szCs w:val="24"/>
        </w:rPr>
        <w:t>3.本项目的特定资格要求：</w:t>
      </w:r>
      <w:r>
        <w:rPr>
          <w:rFonts w:hint="eastAsia" w:ascii="宋体" w:hAnsi="宋体" w:cs="宋体"/>
          <w:bCs/>
          <w:color w:val="auto"/>
          <w:sz w:val="24"/>
          <w:szCs w:val="24"/>
          <w:lang w:eastAsia="zh-CN"/>
        </w:rPr>
        <w:t>无</w:t>
      </w:r>
    </w:p>
    <w:p w14:paraId="1E7E8183">
      <w:pPr>
        <w:pStyle w:val="2"/>
        <w:ind w:left="0" w:leftChars="0" w:firstLine="240" w:firstLineChars="100"/>
        <w:rPr>
          <w:rFonts w:hint="eastAsia" w:ascii="宋体" w:hAnsi="宋体" w:cs="宋体"/>
          <w:bCs/>
          <w:color w:val="auto"/>
          <w:sz w:val="24"/>
          <w:szCs w:val="24"/>
        </w:rPr>
      </w:pPr>
    </w:p>
    <w:p w14:paraId="0E5D2A0A">
      <w:pPr>
        <w:widowControl/>
        <w:snapToGrid w:val="0"/>
        <w:spacing w:line="46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五、获取招标文件</w:t>
      </w:r>
    </w:p>
    <w:p w14:paraId="7A8F37BD">
      <w:pPr>
        <w:pStyle w:val="4"/>
        <w:spacing w:line="460" w:lineRule="exact"/>
        <w:ind w:firstLine="440"/>
        <w:rPr>
          <w:rFonts w:ascii="宋体" w:cs="宋体"/>
          <w:bCs/>
          <w:color w:val="auto"/>
          <w:sz w:val="22"/>
        </w:rPr>
      </w:pPr>
      <w:bookmarkStart w:id="1" w:name="B18_招标文件发售起始日期"/>
      <w:bookmarkEnd w:id="1"/>
      <w:r>
        <w:rPr>
          <w:rFonts w:hint="eastAsia" w:ascii="宋体" w:cs="宋体"/>
          <w:bCs/>
          <w:color w:val="auto"/>
          <w:sz w:val="22"/>
        </w:rPr>
        <w:t>1、本项目招标文件实行“政府采购云平台”</w:t>
      </w:r>
      <w:r>
        <w:rPr>
          <w:rFonts w:hint="eastAsia" w:ascii="宋体" w:cs="宋体"/>
          <w:bCs/>
          <w:color w:val="auto"/>
          <w:sz w:val="22"/>
          <w:lang w:eastAsia="zh-CN"/>
        </w:rPr>
        <w:t>（</w:t>
      </w:r>
      <w:r>
        <w:rPr>
          <w:rFonts w:hint="eastAsia" w:ascii="宋体" w:cs="宋体"/>
          <w:bCs/>
          <w:color w:val="auto"/>
          <w:sz w:val="22"/>
        </w:rPr>
        <w:t>https://zfcg.czt.zj.gov.cn/</w:t>
      </w:r>
      <w:r>
        <w:rPr>
          <w:rFonts w:hint="eastAsia" w:ascii="宋体" w:cs="宋体"/>
          <w:bCs/>
          <w:color w:val="auto"/>
          <w:sz w:val="22"/>
          <w:lang w:eastAsia="zh-CN"/>
        </w:rPr>
        <w:t>）</w:t>
      </w:r>
      <w:r>
        <w:rPr>
          <w:rFonts w:hint="eastAsia" w:ascii="宋体" w:cs="宋体"/>
          <w:bCs/>
          <w:color w:val="auto"/>
          <w:sz w:val="22"/>
        </w:rPr>
        <w:t>在线获取，不提供招标文件纸质版。供应商获取招标文件前应先完成“政府采购云平台”的账号注册；</w:t>
      </w:r>
    </w:p>
    <w:p w14:paraId="2C2FEBF0">
      <w:pPr>
        <w:pStyle w:val="4"/>
        <w:spacing w:line="460" w:lineRule="exact"/>
        <w:ind w:firstLine="440"/>
        <w:rPr>
          <w:rFonts w:ascii="宋体" w:cs="宋体"/>
          <w:bCs/>
          <w:color w:val="auto"/>
          <w:sz w:val="22"/>
        </w:rPr>
      </w:pPr>
      <w:r>
        <w:rPr>
          <w:rFonts w:hint="eastAsia" w:ascii="宋体" w:cs="宋体"/>
          <w:bCs/>
          <w:color w:val="auto"/>
          <w:sz w:val="22"/>
        </w:rPr>
        <w:t>2、地点：政采云平台</w:t>
      </w:r>
      <w:r>
        <w:rPr>
          <w:rFonts w:hint="eastAsia" w:ascii="宋体" w:cs="宋体"/>
          <w:bCs/>
          <w:color w:val="auto"/>
          <w:sz w:val="22"/>
          <w:lang w:eastAsia="zh-CN"/>
        </w:rPr>
        <w:t>（</w:t>
      </w:r>
      <w:r>
        <w:rPr>
          <w:rFonts w:hint="eastAsia" w:ascii="宋体" w:cs="宋体"/>
          <w:bCs/>
          <w:color w:val="auto"/>
          <w:sz w:val="22"/>
        </w:rPr>
        <w:t>https://zfcg.czt.zj.gov.cn/</w:t>
      </w:r>
      <w:r>
        <w:rPr>
          <w:rFonts w:hint="eastAsia" w:ascii="宋体" w:cs="宋体"/>
          <w:bCs/>
          <w:color w:val="auto"/>
          <w:sz w:val="22"/>
          <w:lang w:eastAsia="zh-CN"/>
        </w:rPr>
        <w:t>）</w:t>
      </w:r>
      <w:r>
        <w:rPr>
          <w:rFonts w:hint="eastAsia" w:ascii="宋体" w:cs="宋体"/>
          <w:bCs/>
          <w:color w:val="auto"/>
          <w:sz w:val="22"/>
        </w:rPr>
        <w:t>；</w:t>
      </w:r>
    </w:p>
    <w:p w14:paraId="256E5374">
      <w:pPr>
        <w:pStyle w:val="2"/>
        <w:ind w:left="0" w:leftChars="0" w:firstLine="440"/>
        <w:rPr>
          <w:rFonts w:ascii="宋体" w:cs="宋体"/>
          <w:bCs/>
          <w:color w:val="auto"/>
          <w:sz w:val="22"/>
          <w:szCs w:val="22"/>
        </w:rPr>
      </w:pPr>
      <w:r>
        <w:rPr>
          <w:rFonts w:hint="eastAsia" w:ascii="宋体" w:cs="宋体"/>
          <w:bCs/>
          <w:color w:val="auto"/>
          <w:sz w:val="22"/>
          <w:szCs w:val="22"/>
        </w:rPr>
        <w:t>3、方式：潜在供应商登陆政采云平台，在线申请获取招标文件（进入“项目采购”，在获取招标文件菜单中选择项目，申请获取招标文件，</w:t>
      </w:r>
      <w:r>
        <w:rPr>
          <w:rFonts w:ascii="宋体" w:cs="宋体"/>
          <w:bCs/>
          <w:color w:val="auto"/>
          <w:sz w:val="22"/>
          <w:szCs w:val="22"/>
        </w:rPr>
        <w:t>填写获取采购文件的申请信息，提交后点击【下载采购文件】即可获取</w:t>
      </w:r>
      <w:r>
        <w:rPr>
          <w:rFonts w:hint="eastAsia" w:ascii="宋体" w:cs="宋体"/>
          <w:bCs/>
          <w:color w:val="auto"/>
          <w:sz w:val="22"/>
          <w:szCs w:val="22"/>
        </w:rPr>
        <w:t>招标</w:t>
      </w:r>
      <w:r>
        <w:rPr>
          <w:rFonts w:ascii="宋体" w:cs="宋体"/>
          <w:bCs/>
          <w:color w:val="auto"/>
          <w:sz w:val="22"/>
          <w:szCs w:val="22"/>
        </w:rPr>
        <w:t>文件</w:t>
      </w:r>
      <w:r>
        <w:rPr>
          <w:rFonts w:hint="eastAsia" w:ascii="宋体" w:cs="宋体"/>
          <w:bCs/>
          <w:color w:val="auto"/>
          <w:sz w:val="22"/>
          <w:szCs w:val="22"/>
        </w:rPr>
        <w:t>，本项目招标文件不收取工本费。仅需浏览招标文件的供应商可点击“游客，浏览招标文件”直接下载招标文件浏览。</w:t>
      </w:r>
    </w:p>
    <w:p w14:paraId="0DEE9FF1">
      <w:pPr>
        <w:pStyle w:val="2"/>
        <w:ind w:left="0" w:leftChars="0" w:firstLine="440"/>
        <w:rPr>
          <w:rFonts w:ascii="宋体" w:cs="宋体"/>
          <w:color w:val="auto"/>
          <w:sz w:val="22"/>
          <w:szCs w:val="22"/>
        </w:rPr>
      </w:pPr>
      <w:r>
        <w:rPr>
          <w:rFonts w:hint="eastAsia" w:ascii="宋体" w:cs="宋体"/>
          <w:color w:val="auto"/>
          <w:sz w:val="22"/>
          <w:szCs w:val="22"/>
        </w:rPr>
        <w:t>4、供应商获取招标文件时须提交的文件资料：无</w:t>
      </w:r>
    </w:p>
    <w:p w14:paraId="77C166A4">
      <w:pPr>
        <w:pStyle w:val="4"/>
        <w:spacing w:line="460" w:lineRule="exact"/>
        <w:ind w:firstLine="440"/>
        <w:rPr>
          <w:rFonts w:ascii="宋体" w:cs="宋体"/>
          <w:bCs/>
          <w:color w:val="auto"/>
          <w:sz w:val="22"/>
        </w:rPr>
      </w:pPr>
      <w:r>
        <w:rPr>
          <w:rFonts w:hint="eastAsia" w:ascii="宋体" w:cs="宋体"/>
          <w:bCs/>
          <w:color w:val="auto"/>
          <w:sz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F468C85">
      <w:pPr>
        <w:widowControl/>
        <w:snapToGrid w:val="0"/>
        <w:spacing w:line="460" w:lineRule="exact"/>
        <w:jc w:val="left"/>
        <w:rPr>
          <w:rFonts w:hint="eastAsia" w:ascii="宋体" w:cs="宋体"/>
          <w:bCs/>
          <w:color w:val="auto"/>
          <w:sz w:val="22"/>
        </w:rPr>
      </w:pPr>
      <w:r>
        <w:rPr>
          <w:rFonts w:hint="eastAsia" w:ascii="宋体" w:cs="宋体"/>
          <w:bCs/>
          <w:color w:val="auto"/>
          <w:sz w:val="22"/>
        </w:rPr>
        <w:t>注：请供应商按上述要求获取招标文件，如未在“政采云”系统内完成相关流程，引起的投标无效责任自负。</w:t>
      </w:r>
    </w:p>
    <w:p w14:paraId="607035FF">
      <w:pPr>
        <w:widowControl/>
        <w:snapToGrid w:val="0"/>
        <w:spacing w:line="460" w:lineRule="exact"/>
        <w:jc w:val="left"/>
        <w:rPr>
          <w:rFonts w:ascii="宋体"/>
          <w:color w:val="auto"/>
          <w:sz w:val="22"/>
        </w:rPr>
      </w:pPr>
      <w:r>
        <w:rPr>
          <w:rFonts w:hint="eastAsia" w:ascii="宋体"/>
          <w:b/>
          <w:bCs/>
          <w:color w:val="auto"/>
          <w:sz w:val="24"/>
          <w:szCs w:val="24"/>
        </w:rPr>
        <w:t>六</w:t>
      </w:r>
      <w:r>
        <w:rPr>
          <w:rFonts w:ascii="宋体"/>
          <w:b/>
          <w:bCs/>
          <w:color w:val="auto"/>
          <w:sz w:val="24"/>
          <w:szCs w:val="24"/>
        </w:rPr>
        <w:t>、</w:t>
      </w:r>
      <w:r>
        <w:rPr>
          <w:rFonts w:hint="eastAsia" w:ascii="宋体"/>
          <w:b/>
          <w:bCs/>
          <w:color w:val="auto"/>
          <w:sz w:val="24"/>
          <w:szCs w:val="24"/>
        </w:rPr>
        <w:t>提交投标文件截止时间：</w:t>
      </w:r>
      <w:r>
        <w:rPr>
          <w:rFonts w:ascii="宋体"/>
          <w:color w:val="auto"/>
          <w:sz w:val="22"/>
        </w:rPr>
        <w:t>：</w:t>
      </w:r>
      <w:bookmarkStart w:id="2" w:name="B25_投标截止时间"/>
      <w:r>
        <w:rPr>
          <w:rFonts w:hint="eastAsia" w:ascii="宋体"/>
          <w:color w:val="auto"/>
          <w:sz w:val="22"/>
          <w:lang w:eastAsia="zh-CN"/>
        </w:rPr>
        <w:t>202</w:t>
      </w:r>
      <w:r>
        <w:rPr>
          <w:rFonts w:hint="eastAsia" w:ascii="宋体"/>
          <w:color w:val="auto"/>
          <w:sz w:val="22"/>
          <w:lang w:val="en-US" w:eastAsia="zh-CN"/>
        </w:rPr>
        <w:t>4</w:t>
      </w:r>
      <w:r>
        <w:rPr>
          <w:rFonts w:hint="eastAsia" w:ascii="宋体"/>
          <w:color w:val="auto"/>
          <w:sz w:val="22"/>
          <w:lang w:eastAsia="zh-CN"/>
        </w:rPr>
        <w:t>-</w:t>
      </w:r>
      <w:r>
        <w:rPr>
          <w:rFonts w:hint="eastAsia" w:ascii="宋体"/>
          <w:color w:val="auto"/>
          <w:sz w:val="22"/>
          <w:lang w:val="en-US" w:eastAsia="zh-CN"/>
        </w:rPr>
        <w:t>09</w:t>
      </w:r>
      <w:r>
        <w:rPr>
          <w:rFonts w:hint="eastAsia" w:ascii="宋体"/>
          <w:color w:val="auto"/>
          <w:sz w:val="22"/>
          <w:lang w:eastAsia="zh-CN"/>
        </w:rPr>
        <w:t>-</w:t>
      </w:r>
      <w:r>
        <w:rPr>
          <w:rFonts w:hint="eastAsia" w:ascii="宋体"/>
          <w:color w:val="auto"/>
          <w:sz w:val="22"/>
          <w:lang w:val="en-US" w:eastAsia="zh-CN"/>
        </w:rPr>
        <w:t>12</w:t>
      </w:r>
      <w:r>
        <w:rPr>
          <w:rFonts w:hint="eastAsia" w:ascii="宋体"/>
          <w:color w:val="auto"/>
          <w:sz w:val="22"/>
        </w:rPr>
        <w:t xml:space="preserve"> </w:t>
      </w:r>
      <w:r>
        <w:rPr>
          <w:rFonts w:ascii="宋体"/>
          <w:color w:val="auto"/>
          <w:sz w:val="22"/>
        </w:rPr>
        <w:t>上午</w:t>
      </w:r>
      <w:bookmarkEnd w:id="2"/>
      <w:r>
        <w:rPr>
          <w:rFonts w:hint="eastAsia" w:ascii="宋体"/>
          <w:color w:val="auto"/>
          <w:sz w:val="22"/>
        </w:rPr>
        <w:t>9:</w:t>
      </w:r>
      <w:r>
        <w:rPr>
          <w:rFonts w:hint="eastAsia" w:ascii="宋体"/>
          <w:color w:val="auto"/>
          <w:sz w:val="22"/>
          <w:lang w:val="en-US" w:eastAsia="zh-CN"/>
        </w:rPr>
        <w:t>3</w:t>
      </w:r>
      <w:r>
        <w:rPr>
          <w:rFonts w:hint="eastAsia" w:ascii="宋体"/>
          <w:color w:val="auto"/>
          <w:sz w:val="22"/>
        </w:rPr>
        <w:t>0</w:t>
      </w:r>
    </w:p>
    <w:p w14:paraId="0B06B47F">
      <w:pPr>
        <w:widowControl/>
        <w:snapToGrid w:val="0"/>
        <w:spacing w:line="460" w:lineRule="exact"/>
        <w:jc w:val="left"/>
        <w:rPr>
          <w:rFonts w:ascii="宋体"/>
          <w:color w:val="auto"/>
          <w:sz w:val="22"/>
        </w:rPr>
      </w:pPr>
      <w:r>
        <w:rPr>
          <w:rFonts w:hint="eastAsia" w:ascii="宋体"/>
          <w:b/>
          <w:bCs/>
          <w:color w:val="auto"/>
          <w:sz w:val="22"/>
        </w:rPr>
        <w:t>七</w:t>
      </w:r>
      <w:r>
        <w:rPr>
          <w:rFonts w:ascii="宋体"/>
          <w:b/>
          <w:bCs/>
          <w:color w:val="auto"/>
          <w:sz w:val="22"/>
        </w:rPr>
        <w:t>、投标地点</w:t>
      </w:r>
      <w:r>
        <w:rPr>
          <w:rFonts w:ascii="宋体"/>
          <w:color w:val="auto"/>
          <w:sz w:val="22"/>
        </w:rPr>
        <w:t>：</w:t>
      </w:r>
      <w:r>
        <w:rPr>
          <w:rFonts w:hint="eastAsia" w:ascii="宋体"/>
          <w:color w:val="auto"/>
          <w:sz w:val="22"/>
        </w:rPr>
        <w:t>金华市双龙南街858号财富大厦4楼（本项目采用在线投标方式，投标供应商无须前往投标现场。）</w:t>
      </w:r>
    </w:p>
    <w:p w14:paraId="494EDC90">
      <w:pPr>
        <w:widowControl/>
        <w:snapToGrid w:val="0"/>
        <w:spacing w:line="460" w:lineRule="exact"/>
        <w:jc w:val="left"/>
        <w:rPr>
          <w:rFonts w:ascii="宋体"/>
          <w:color w:val="auto"/>
          <w:sz w:val="22"/>
        </w:rPr>
      </w:pPr>
      <w:r>
        <w:rPr>
          <w:rFonts w:hint="eastAsia" w:ascii="宋体"/>
          <w:b/>
          <w:bCs/>
          <w:color w:val="auto"/>
          <w:sz w:val="22"/>
        </w:rPr>
        <w:t>八</w:t>
      </w:r>
      <w:r>
        <w:rPr>
          <w:rFonts w:ascii="宋体"/>
          <w:b/>
          <w:bCs/>
          <w:color w:val="auto"/>
          <w:sz w:val="22"/>
        </w:rPr>
        <w:t>、开标时间</w:t>
      </w:r>
      <w:r>
        <w:rPr>
          <w:rFonts w:ascii="宋体"/>
          <w:color w:val="auto"/>
          <w:sz w:val="22"/>
        </w:rPr>
        <w:t>：</w:t>
      </w:r>
      <w:bookmarkStart w:id="3" w:name="B28_开标时间"/>
      <w:r>
        <w:rPr>
          <w:rFonts w:hint="eastAsia" w:ascii="宋体"/>
          <w:color w:val="auto"/>
          <w:sz w:val="22"/>
          <w:lang w:eastAsia="zh-CN"/>
        </w:rPr>
        <w:t>20</w:t>
      </w:r>
      <w:r>
        <w:rPr>
          <w:rFonts w:hint="eastAsia" w:ascii="宋体"/>
          <w:color w:val="auto"/>
          <w:sz w:val="22"/>
          <w:lang w:val="en-US" w:eastAsia="zh-CN"/>
        </w:rPr>
        <w:t>24</w:t>
      </w:r>
      <w:r>
        <w:rPr>
          <w:rFonts w:hint="eastAsia" w:ascii="宋体"/>
          <w:color w:val="auto"/>
          <w:sz w:val="22"/>
          <w:lang w:eastAsia="zh-CN"/>
        </w:rPr>
        <w:t>-</w:t>
      </w:r>
      <w:r>
        <w:rPr>
          <w:rFonts w:hint="eastAsia" w:ascii="宋体"/>
          <w:color w:val="auto"/>
          <w:sz w:val="22"/>
          <w:lang w:val="en-US" w:eastAsia="zh-CN"/>
        </w:rPr>
        <w:t>09</w:t>
      </w:r>
      <w:r>
        <w:rPr>
          <w:rFonts w:hint="eastAsia" w:ascii="宋体"/>
          <w:color w:val="auto"/>
          <w:sz w:val="22"/>
          <w:lang w:eastAsia="zh-CN"/>
        </w:rPr>
        <w:t>-</w:t>
      </w:r>
      <w:r>
        <w:rPr>
          <w:rFonts w:hint="eastAsia" w:ascii="宋体"/>
          <w:color w:val="auto"/>
          <w:sz w:val="22"/>
          <w:lang w:val="en-US" w:eastAsia="zh-CN"/>
        </w:rPr>
        <w:t>12</w:t>
      </w:r>
      <w:r>
        <w:rPr>
          <w:rFonts w:ascii="宋体"/>
          <w:color w:val="auto"/>
          <w:sz w:val="22"/>
        </w:rPr>
        <w:t>上午</w:t>
      </w:r>
      <w:bookmarkEnd w:id="3"/>
      <w:r>
        <w:rPr>
          <w:rFonts w:hint="eastAsia" w:ascii="宋体"/>
          <w:color w:val="auto"/>
          <w:sz w:val="22"/>
        </w:rPr>
        <w:t>9:</w:t>
      </w:r>
      <w:r>
        <w:rPr>
          <w:rFonts w:hint="eastAsia" w:ascii="宋体"/>
          <w:color w:val="auto"/>
          <w:sz w:val="22"/>
          <w:lang w:val="en-US" w:eastAsia="zh-CN"/>
        </w:rPr>
        <w:t>3</w:t>
      </w:r>
      <w:r>
        <w:rPr>
          <w:rFonts w:hint="eastAsia" w:ascii="宋体"/>
          <w:color w:val="auto"/>
          <w:sz w:val="22"/>
        </w:rPr>
        <w:t>0</w:t>
      </w:r>
    </w:p>
    <w:p w14:paraId="26C6F9C1">
      <w:pPr>
        <w:widowControl/>
        <w:snapToGrid w:val="0"/>
        <w:spacing w:line="460" w:lineRule="exact"/>
        <w:jc w:val="left"/>
        <w:rPr>
          <w:rFonts w:ascii="宋体"/>
          <w:color w:val="auto"/>
          <w:sz w:val="22"/>
        </w:rPr>
      </w:pPr>
      <w:r>
        <w:rPr>
          <w:rFonts w:hint="eastAsia" w:ascii="宋体"/>
          <w:b/>
          <w:bCs/>
          <w:color w:val="auto"/>
          <w:sz w:val="22"/>
        </w:rPr>
        <w:t>九</w:t>
      </w:r>
      <w:r>
        <w:rPr>
          <w:rFonts w:ascii="宋体"/>
          <w:b/>
          <w:bCs/>
          <w:color w:val="auto"/>
          <w:sz w:val="22"/>
        </w:rPr>
        <w:t>、开标地点</w:t>
      </w:r>
      <w:r>
        <w:rPr>
          <w:rFonts w:ascii="宋体"/>
          <w:color w:val="auto"/>
          <w:sz w:val="22"/>
        </w:rPr>
        <w:t>：</w:t>
      </w:r>
      <w:r>
        <w:rPr>
          <w:rFonts w:hint="eastAsia" w:ascii="宋体"/>
          <w:color w:val="auto"/>
          <w:sz w:val="22"/>
        </w:rPr>
        <w:t>金华市双龙南街858号财富大厦4楼（本项目采用在线投标方式，投标供应商无须前往开标现场。）</w:t>
      </w:r>
    </w:p>
    <w:p w14:paraId="5B18F0F6">
      <w:pPr>
        <w:widowControl/>
        <w:snapToGrid w:val="0"/>
        <w:spacing w:line="460" w:lineRule="exact"/>
        <w:jc w:val="left"/>
        <w:rPr>
          <w:rFonts w:ascii="宋体" w:cs="宋体"/>
          <w:color w:val="auto"/>
          <w:sz w:val="22"/>
        </w:rPr>
      </w:pPr>
      <w:r>
        <w:rPr>
          <w:rFonts w:ascii="宋体"/>
          <w:b/>
          <w:bCs/>
          <w:color w:val="auto"/>
          <w:sz w:val="22"/>
        </w:rPr>
        <w:t>十、</w:t>
      </w:r>
      <w:r>
        <w:rPr>
          <w:rFonts w:hint="eastAsia" w:ascii="宋体"/>
          <w:b/>
          <w:bCs/>
          <w:color w:val="auto"/>
          <w:sz w:val="22"/>
        </w:rPr>
        <w:t>投标保证金</w:t>
      </w:r>
      <w:r>
        <w:rPr>
          <w:rFonts w:hint="eastAsia" w:ascii="宋体"/>
          <w:color w:val="auto"/>
          <w:sz w:val="22"/>
        </w:rPr>
        <w:t>：无</w:t>
      </w:r>
    </w:p>
    <w:p w14:paraId="34DC9AEC">
      <w:pPr>
        <w:widowControl/>
        <w:snapToGrid w:val="0"/>
        <w:spacing w:line="460" w:lineRule="exact"/>
        <w:jc w:val="left"/>
        <w:rPr>
          <w:rFonts w:ascii="宋体"/>
          <w:b/>
          <w:bCs/>
          <w:color w:val="auto"/>
          <w:sz w:val="22"/>
        </w:rPr>
      </w:pPr>
      <w:r>
        <w:rPr>
          <w:rFonts w:ascii="宋体"/>
          <w:b/>
          <w:bCs/>
          <w:color w:val="auto"/>
          <w:sz w:val="22"/>
        </w:rPr>
        <w:t>十</w:t>
      </w:r>
      <w:r>
        <w:rPr>
          <w:rFonts w:hint="eastAsia" w:ascii="宋体"/>
          <w:b/>
          <w:bCs/>
          <w:color w:val="auto"/>
          <w:sz w:val="22"/>
        </w:rPr>
        <w:t>一</w:t>
      </w:r>
      <w:r>
        <w:rPr>
          <w:rFonts w:ascii="宋体"/>
          <w:b/>
          <w:bCs/>
          <w:color w:val="auto"/>
          <w:sz w:val="22"/>
        </w:rPr>
        <w:t>、</w:t>
      </w:r>
      <w:r>
        <w:rPr>
          <w:rFonts w:hint="eastAsia" w:ascii="宋体"/>
          <w:b/>
          <w:bCs/>
          <w:color w:val="auto"/>
          <w:sz w:val="22"/>
        </w:rPr>
        <w:t xml:space="preserve">公告期限 </w:t>
      </w:r>
    </w:p>
    <w:p w14:paraId="2A237595">
      <w:pPr>
        <w:widowControl/>
        <w:snapToGrid w:val="0"/>
        <w:spacing w:line="460" w:lineRule="exact"/>
        <w:ind w:firstLine="220" w:firstLineChars="100"/>
        <w:jc w:val="left"/>
        <w:rPr>
          <w:rFonts w:hint="eastAsia" w:ascii="宋体"/>
          <w:bCs/>
          <w:color w:val="auto"/>
          <w:sz w:val="22"/>
          <w:lang w:eastAsia="zh-CN"/>
        </w:rPr>
      </w:pPr>
      <w:r>
        <w:rPr>
          <w:rFonts w:hint="eastAsia" w:ascii="宋体"/>
          <w:bCs/>
          <w:color w:val="auto"/>
          <w:sz w:val="22"/>
        </w:rPr>
        <w:t>自本公告发布之日起5个工作日</w:t>
      </w:r>
      <w:r>
        <w:rPr>
          <w:rFonts w:hint="eastAsia" w:ascii="宋体"/>
          <w:bCs/>
          <w:color w:val="auto"/>
          <w:sz w:val="22"/>
          <w:lang w:eastAsia="zh-CN"/>
        </w:rPr>
        <w:t>。</w:t>
      </w:r>
    </w:p>
    <w:p w14:paraId="3A43AF6D">
      <w:pPr>
        <w:widowControl/>
        <w:snapToGrid w:val="0"/>
        <w:spacing w:line="460" w:lineRule="exact"/>
        <w:jc w:val="left"/>
        <w:rPr>
          <w:rFonts w:ascii="宋体"/>
          <w:b/>
          <w:bCs/>
          <w:color w:val="auto"/>
          <w:sz w:val="22"/>
        </w:rPr>
      </w:pPr>
      <w:r>
        <w:rPr>
          <w:rFonts w:ascii="宋体"/>
          <w:b/>
          <w:bCs/>
          <w:color w:val="auto"/>
          <w:sz w:val="22"/>
        </w:rPr>
        <w:t>十</w:t>
      </w:r>
      <w:r>
        <w:rPr>
          <w:rFonts w:hint="eastAsia" w:ascii="宋体"/>
          <w:b/>
          <w:bCs/>
          <w:color w:val="auto"/>
          <w:sz w:val="22"/>
        </w:rPr>
        <w:t>二</w:t>
      </w:r>
      <w:r>
        <w:rPr>
          <w:rFonts w:ascii="宋体"/>
          <w:b/>
          <w:bCs/>
          <w:color w:val="auto"/>
          <w:sz w:val="22"/>
        </w:rPr>
        <w:t>、</w:t>
      </w:r>
      <w:r>
        <w:rPr>
          <w:rFonts w:hint="eastAsia" w:ascii="宋体"/>
          <w:b/>
          <w:bCs/>
          <w:color w:val="auto"/>
          <w:sz w:val="22"/>
        </w:rPr>
        <w:t>其他补充事宜</w:t>
      </w:r>
    </w:p>
    <w:p w14:paraId="64ACBDFD">
      <w:pPr>
        <w:keepNext w:val="0"/>
        <w:keepLines w:val="0"/>
        <w:pageBreakBefore w:val="0"/>
        <w:kinsoku/>
        <w:wordWrap w:val="0"/>
        <w:overflowPunct/>
        <w:topLinePunct w:val="0"/>
        <w:autoSpaceDE/>
        <w:autoSpaceDN/>
        <w:bidi w:val="0"/>
        <w:adjustRightInd/>
        <w:snapToGrid w:val="0"/>
        <w:spacing w:line="440" w:lineRule="exact"/>
        <w:ind w:firstLine="440" w:firstLineChars="200"/>
        <w:textAlignment w:val="auto"/>
        <w:rPr>
          <w:rFonts w:hint="eastAsia" w:ascii="宋体" w:hAnsi="Times New Roman" w:eastAsia="宋体" w:cs="Times New Roman"/>
          <w:color w:val="auto"/>
          <w:sz w:val="22"/>
        </w:rPr>
      </w:pPr>
      <w:r>
        <w:rPr>
          <w:rFonts w:hint="eastAsia" w:ascii="宋体" w:hAnsi="Times New Roman" w:eastAsia="宋体" w:cs="Times New Roman"/>
          <w:color w:val="auto"/>
          <w:sz w:val="22"/>
        </w:rPr>
        <w:t>1.《浙江省财政厅关于进一步发挥政府采购政策功能全力推动经济稳进提质的通知》 （浙财采监（〔2022〕3号）、《浙江省财政厅关于进一步促进政府采购公平竞争打造最优营商环境的通知》（浙财采监〔202</w:t>
      </w:r>
      <w:r>
        <w:rPr>
          <w:rFonts w:hint="eastAsia" w:ascii="宋体" w:hAnsi="Times New Roman" w:eastAsia="宋体" w:cs="Times New Roman"/>
          <w:color w:val="auto"/>
          <w:sz w:val="22"/>
          <w:lang w:val="en-US" w:eastAsia="zh-CN"/>
        </w:rPr>
        <w:t>1</w:t>
      </w:r>
      <w:r>
        <w:rPr>
          <w:rFonts w:hint="eastAsia" w:ascii="宋体" w:hAnsi="Times New Roman" w:eastAsia="宋体" w:cs="Times New Roman"/>
          <w:color w:val="auto"/>
          <w:sz w:val="22"/>
        </w:rPr>
        <w:t>〕22号））已分别于2022年1月29日</w:t>
      </w:r>
      <w:r>
        <w:rPr>
          <w:rFonts w:hint="eastAsia" w:ascii="宋体" w:cs="Times New Roman"/>
          <w:color w:val="auto"/>
          <w:sz w:val="22"/>
          <w:lang w:eastAsia="zh-CN"/>
        </w:rPr>
        <w:t>和</w:t>
      </w:r>
      <w:r>
        <w:rPr>
          <w:rFonts w:hint="eastAsia" w:ascii="宋体" w:hAnsi="Times New Roman" w:eastAsia="宋体" w:cs="Times New Roman"/>
          <w:color w:val="auto"/>
          <w:sz w:val="22"/>
        </w:rPr>
        <w:t>2022年2月1日开始实施，此前有关规定与上述文件内容不一致的，按上述文件要求执行。</w:t>
      </w:r>
    </w:p>
    <w:p w14:paraId="6EF9A95E">
      <w:pPr>
        <w:keepNext w:val="0"/>
        <w:keepLines w:val="0"/>
        <w:pageBreakBefore w:val="0"/>
        <w:kinsoku/>
        <w:wordWrap w:val="0"/>
        <w:overflowPunct/>
        <w:topLinePunct w:val="0"/>
        <w:autoSpaceDE/>
        <w:autoSpaceDN/>
        <w:bidi w:val="0"/>
        <w:adjustRightInd/>
        <w:snapToGrid w:val="0"/>
        <w:spacing w:line="440" w:lineRule="exact"/>
        <w:ind w:firstLine="440" w:firstLineChars="200"/>
        <w:textAlignment w:val="auto"/>
        <w:rPr>
          <w:rFonts w:hint="eastAsia" w:ascii="宋体" w:hAnsi="Times New Roman" w:eastAsia="宋体" w:cs="Times New Roman"/>
          <w:color w:val="auto"/>
          <w:sz w:val="22"/>
          <w:lang w:eastAsia="zh-CN"/>
        </w:rPr>
      </w:pPr>
      <w:r>
        <w:rPr>
          <w:rFonts w:hint="eastAsia" w:ascii="宋体" w:hAnsi="Times New Roman" w:eastAsia="宋体" w:cs="Times New Roman"/>
          <w:color w:val="auto"/>
          <w:sz w:val="22"/>
          <w:lang w:val="en-US" w:eastAsia="zh-CN"/>
        </w:rPr>
        <w:t>2</w:t>
      </w:r>
      <w:r>
        <w:rPr>
          <w:rFonts w:hint="eastAsia" w:ascii="宋体" w:hAnsi="Times New Roman" w:eastAsia="宋体" w:cs="Times New Roman"/>
          <w:color w:val="auto"/>
          <w:sz w:val="22"/>
          <w:lang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9CF8B">
      <w:pPr>
        <w:keepNext w:val="0"/>
        <w:keepLines w:val="0"/>
        <w:pageBreakBefore w:val="0"/>
        <w:kinsoku/>
        <w:wordWrap w:val="0"/>
        <w:overflowPunct/>
        <w:topLinePunct w:val="0"/>
        <w:autoSpaceDE/>
        <w:autoSpaceDN/>
        <w:bidi w:val="0"/>
        <w:adjustRightInd/>
        <w:snapToGrid w:val="0"/>
        <w:spacing w:line="440" w:lineRule="exact"/>
        <w:ind w:firstLine="440" w:firstLineChars="200"/>
        <w:textAlignment w:val="auto"/>
        <w:rPr>
          <w:rFonts w:hint="eastAsia" w:ascii="宋体" w:hAnsi="Times New Roman" w:eastAsia="宋体" w:cs="Times New Roman"/>
          <w:color w:val="auto"/>
          <w:sz w:val="22"/>
          <w:lang w:eastAsia="zh-CN"/>
        </w:rPr>
      </w:pPr>
      <w:r>
        <w:rPr>
          <w:rFonts w:hint="eastAsia" w:ascii="宋体" w:hAnsi="Times New Roman" w:eastAsia="宋体" w:cs="Times New Roman"/>
          <w:color w:val="auto"/>
          <w:sz w:val="22"/>
          <w:lang w:val="en-US" w:eastAsia="zh-CN"/>
        </w:rPr>
        <w:t>3</w:t>
      </w:r>
      <w:r>
        <w:rPr>
          <w:rFonts w:hint="eastAsia" w:ascii="宋体" w:hAnsi="Times New Roman" w:eastAsia="宋体" w:cs="Times New Roman"/>
          <w:color w:val="auto"/>
          <w:sz w:val="22"/>
          <w:lang w:eastAsia="zh-CN"/>
        </w:rPr>
        <w:t>.其他事项：</w:t>
      </w:r>
      <w:r>
        <w:rPr>
          <w:rFonts w:hint="eastAsia" w:ascii="宋体" w:hAnsi="Times New Roman" w:eastAsia="宋体" w:cs="Times New Roman"/>
          <w:color w:val="auto"/>
          <w:sz w:val="22"/>
          <w:lang w:val="en-US" w:eastAsia="zh-CN"/>
        </w:rPr>
        <w:t>见招标文件</w:t>
      </w:r>
      <w:r>
        <w:rPr>
          <w:rFonts w:hint="eastAsia" w:ascii="宋体" w:hAnsi="Times New Roman" w:eastAsia="宋体" w:cs="Times New Roman"/>
          <w:color w:val="auto"/>
          <w:sz w:val="22"/>
          <w:lang w:eastAsia="zh-CN"/>
        </w:rPr>
        <w:t> </w:t>
      </w:r>
    </w:p>
    <w:p w14:paraId="2CC2E907">
      <w:pPr>
        <w:keepNext w:val="0"/>
        <w:keepLines w:val="0"/>
        <w:pageBreakBefore w:val="0"/>
        <w:kinsoku/>
        <w:wordWrap w:val="0"/>
        <w:overflowPunct/>
        <w:topLinePunct w:val="0"/>
        <w:autoSpaceDE/>
        <w:autoSpaceDN/>
        <w:bidi w:val="0"/>
        <w:adjustRightInd/>
        <w:snapToGrid w:val="0"/>
        <w:spacing w:line="440" w:lineRule="exact"/>
        <w:ind w:firstLine="440" w:firstLineChars="200"/>
        <w:textAlignment w:val="auto"/>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4.企业信用融资: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74CA0D2">
      <w:pPr>
        <w:spacing w:line="540" w:lineRule="exact"/>
        <w:ind w:firstLine="482" w:firstLineChars="200"/>
        <w:rPr>
          <w:rFonts w:hint="eastAsia" w:ascii="仿宋_GB2312" w:hAnsi="Times New Roman" w:eastAsia="仿宋_GB2312" w:cs="Times New Roman"/>
          <w:b/>
          <w:color w:val="auto"/>
          <w:sz w:val="24"/>
          <w:szCs w:val="21"/>
          <w:lang w:eastAsia="zh-CN"/>
        </w:rPr>
      </w:pPr>
      <w:r>
        <w:rPr>
          <w:rFonts w:hint="eastAsia" w:ascii="仿宋_GB2312" w:hAnsi="Times New Roman" w:eastAsia="仿宋_GB2312" w:cs="Times New Roman"/>
          <w:b/>
          <w:color w:val="auto"/>
          <w:sz w:val="24"/>
          <w:szCs w:val="21"/>
          <w:lang w:eastAsia="zh-CN"/>
        </w:rPr>
        <w:t>政府采购金融服务提示：</w:t>
      </w:r>
    </w:p>
    <w:p w14:paraId="6973ACCF">
      <w:pPr>
        <w:spacing w:line="540" w:lineRule="exact"/>
        <w:ind w:firstLine="480" w:firstLineChars="200"/>
        <w:rPr>
          <w:rFonts w:hint="eastAsia" w:ascii="仿宋_GB2312" w:hAnsi="Times New Roman" w:eastAsia="仿宋_GB2312" w:cs="Times New Roman"/>
          <w:color w:val="auto"/>
          <w:sz w:val="24"/>
          <w:szCs w:val="24"/>
          <w:lang w:eastAsia="zh-CN"/>
        </w:rPr>
      </w:pPr>
      <w:r>
        <w:rPr>
          <w:rFonts w:hint="eastAsia" w:ascii="仿宋_GB2312" w:hAnsi="Times New Roman" w:eastAsia="仿宋_GB2312" w:cs="Times New Roman"/>
          <w:color w:val="auto"/>
          <w:sz w:val="24"/>
          <w:szCs w:val="24"/>
          <w:lang w:eastAsia="zh-CN"/>
        </w:rPr>
        <w:t>为扩大政府采购金融服务面，除政采云网上金融服务合作银行外，金华市范围增加线下合作银行两家，具体信息如下：</w:t>
      </w:r>
    </w:p>
    <w:p w14:paraId="0897AD19">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color w:val="auto"/>
          <w:sz w:val="24"/>
          <w:szCs w:val="24"/>
          <w:lang w:val="en-US" w:eastAsia="zh-CN"/>
        </w:rPr>
      </w:pPr>
      <w:r>
        <w:rPr>
          <w:rFonts w:hint="eastAsia" w:ascii="仿宋_GB2312" w:hAnsi="Times New Roman" w:eastAsia="仿宋_GB2312" w:cs="Times New Roman"/>
          <w:color w:val="auto"/>
          <w:sz w:val="24"/>
          <w:szCs w:val="24"/>
          <w:lang w:val="en-US" w:eastAsia="zh-CN"/>
        </w:rPr>
        <w:t xml:space="preserve">金华银行文创支行   联系人：  姜峰 </w:t>
      </w:r>
    </w:p>
    <w:p w14:paraId="48F71B05">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color w:val="auto"/>
          <w:sz w:val="24"/>
          <w:szCs w:val="24"/>
          <w:lang w:val="en-US" w:eastAsia="zh-CN"/>
        </w:rPr>
      </w:pPr>
      <w:r>
        <w:rPr>
          <w:rFonts w:hint="eastAsia" w:ascii="仿宋_GB2312" w:hAnsi="Times New Roman" w:eastAsia="仿宋_GB2312" w:cs="Times New Roman"/>
          <w:color w:val="auto"/>
          <w:sz w:val="24"/>
          <w:szCs w:val="24"/>
          <w:lang w:val="en-US" w:eastAsia="zh-CN"/>
        </w:rPr>
        <w:t xml:space="preserve">                   联系电话：13905792828 </w:t>
      </w:r>
    </w:p>
    <w:p w14:paraId="2F47EA01">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color w:val="auto"/>
          <w:sz w:val="24"/>
          <w:szCs w:val="24"/>
          <w:lang w:val="en-US" w:eastAsia="zh-CN"/>
        </w:rPr>
      </w:pPr>
      <w:r>
        <w:rPr>
          <w:rFonts w:hint="eastAsia" w:ascii="仿宋_GB2312" w:hAnsi="Times New Roman" w:eastAsia="仿宋_GB2312" w:cs="Times New Roman"/>
          <w:color w:val="auto"/>
          <w:sz w:val="24"/>
          <w:szCs w:val="24"/>
          <w:lang w:val="en-US" w:eastAsia="zh-CN"/>
        </w:rPr>
        <w:t xml:space="preserve">                             0579-82479020</w:t>
      </w:r>
    </w:p>
    <w:p w14:paraId="690D506B">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color w:val="auto"/>
          <w:sz w:val="24"/>
          <w:szCs w:val="24"/>
          <w:lang w:val="en-US" w:eastAsia="zh-CN"/>
        </w:rPr>
      </w:pPr>
      <w:r>
        <w:rPr>
          <w:rFonts w:hint="eastAsia" w:ascii="仿宋_GB2312" w:hAnsi="Times New Roman" w:eastAsia="仿宋_GB2312" w:cs="Times New Roman"/>
          <w:color w:val="auto"/>
          <w:sz w:val="24"/>
          <w:szCs w:val="24"/>
          <w:lang w:val="en-US" w:eastAsia="zh-CN"/>
        </w:rPr>
        <w:t xml:space="preserve">浙商银行金华分行   联系人：  朱晨祥 </w:t>
      </w:r>
    </w:p>
    <w:p w14:paraId="03E92C0A">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color w:val="auto"/>
          <w:sz w:val="24"/>
          <w:szCs w:val="24"/>
          <w:lang w:val="en-US" w:eastAsia="zh-CN"/>
        </w:rPr>
      </w:pPr>
      <w:r>
        <w:rPr>
          <w:rFonts w:hint="eastAsia" w:ascii="仿宋_GB2312" w:hAnsi="Times New Roman" w:eastAsia="仿宋_GB2312" w:cs="Times New Roman"/>
          <w:color w:val="auto"/>
          <w:sz w:val="24"/>
          <w:szCs w:val="24"/>
          <w:lang w:val="en-US" w:eastAsia="zh-CN"/>
        </w:rPr>
        <w:t xml:space="preserve">                   联系电话：15857978811</w:t>
      </w:r>
    </w:p>
    <w:p w14:paraId="0261E9B7">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color w:val="auto"/>
          <w:sz w:val="24"/>
          <w:szCs w:val="24"/>
          <w:lang w:val="en-US" w:eastAsia="zh-CN"/>
        </w:rPr>
      </w:pPr>
      <w:r>
        <w:rPr>
          <w:rFonts w:hint="eastAsia" w:ascii="仿宋_GB2312" w:hAnsi="Times New Roman" w:eastAsia="仿宋_GB2312" w:cs="Times New Roman"/>
          <w:color w:val="auto"/>
          <w:sz w:val="24"/>
          <w:szCs w:val="24"/>
          <w:lang w:val="en-US" w:eastAsia="zh-CN"/>
        </w:rPr>
        <w:t xml:space="preserve">                             0579-82999581</w:t>
      </w:r>
    </w:p>
    <w:p w14:paraId="1ECA9CC0">
      <w:pPr>
        <w:snapToGrid w:val="0"/>
        <w:spacing w:line="440" w:lineRule="exact"/>
        <w:rPr>
          <w:rFonts w:ascii="仿宋" w:hAnsi="仿宋" w:eastAsia="仿宋" w:cs="Arial"/>
          <w:b/>
          <w:bCs/>
          <w:color w:val="auto"/>
          <w:sz w:val="24"/>
          <w:szCs w:val="24"/>
        </w:rPr>
      </w:pPr>
      <w:r>
        <w:rPr>
          <w:rFonts w:hint="eastAsia" w:ascii="仿宋" w:hAnsi="仿宋" w:eastAsia="仿宋" w:cs="Arial"/>
          <w:b/>
          <w:bCs/>
          <w:color w:val="auto"/>
          <w:sz w:val="24"/>
          <w:szCs w:val="24"/>
        </w:rPr>
        <w:t>十三、业务咨询（</w:t>
      </w:r>
      <w:r>
        <w:rPr>
          <w:rFonts w:hint="eastAsia" w:ascii="宋体" w:hAnsi="宋体" w:cs="Arial"/>
          <w:b/>
          <w:color w:val="auto"/>
          <w:sz w:val="24"/>
        </w:rPr>
        <w:t>招标需求的疑问请向采购人询问或反映）</w:t>
      </w:r>
    </w:p>
    <w:p w14:paraId="5AF8B1F9">
      <w:pPr>
        <w:snapToGrid w:val="0"/>
        <w:spacing w:line="440" w:lineRule="exact"/>
        <w:ind w:firstLine="440" w:firstLineChars="200"/>
        <w:rPr>
          <w:rFonts w:hint="eastAsia" w:asciiTheme="minorEastAsia" w:hAnsiTheme="minorEastAsia" w:eastAsiaTheme="minorEastAsia" w:cstheme="minorEastAsia"/>
          <w:color w:val="auto"/>
          <w:sz w:val="22"/>
          <w:lang w:eastAsia="zh-CN"/>
        </w:rPr>
      </w:pPr>
      <w:r>
        <w:rPr>
          <w:rFonts w:hint="eastAsia" w:asciiTheme="minorEastAsia" w:hAnsiTheme="minorEastAsia" w:eastAsiaTheme="minorEastAsia" w:cstheme="minorEastAsia"/>
          <w:color w:val="auto"/>
          <w:sz w:val="22"/>
        </w:rPr>
        <w:t>采购单位：</w:t>
      </w:r>
      <w:r>
        <w:rPr>
          <w:rFonts w:hint="eastAsia" w:asciiTheme="minorEastAsia" w:hAnsiTheme="minorEastAsia" w:eastAsiaTheme="minorEastAsia" w:cstheme="minorEastAsia"/>
          <w:color w:val="auto"/>
          <w:sz w:val="22"/>
          <w:lang w:eastAsia="zh-CN"/>
        </w:rPr>
        <w:t>金华市中心医院</w:t>
      </w:r>
    </w:p>
    <w:p w14:paraId="0C827FA1">
      <w:pPr>
        <w:snapToGrid w:val="0"/>
        <w:spacing w:line="440" w:lineRule="exact"/>
        <w:ind w:firstLine="440" w:firstLineChars="200"/>
        <w:rPr>
          <w:rFonts w:hint="eastAsia" w:asciiTheme="minorEastAsia" w:hAnsiTheme="minorEastAsia" w:eastAsiaTheme="minorEastAsia" w:cstheme="minorEastAsia"/>
          <w:color w:val="auto"/>
          <w:kern w:val="0"/>
          <w:sz w:val="22"/>
          <w:lang w:eastAsia="zh-CN"/>
        </w:rPr>
      </w:pPr>
      <w:r>
        <w:rPr>
          <w:rFonts w:hint="eastAsia" w:asciiTheme="minorEastAsia" w:hAnsiTheme="minorEastAsia" w:eastAsiaTheme="minorEastAsia" w:cstheme="minorEastAsia"/>
          <w:color w:val="auto"/>
          <w:kern w:val="0"/>
          <w:sz w:val="22"/>
        </w:rPr>
        <w:t>采购人：</w:t>
      </w:r>
      <w:r>
        <w:rPr>
          <w:rFonts w:hint="eastAsia" w:asciiTheme="minorEastAsia" w:hAnsiTheme="minorEastAsia" w:eastAsiaTheme="minorEastAsia" w:cstheme="minorEastAsia"/>
          <w:color w:val="auto"/>
          <w:kern w:val="0"/>
          <w:sz w:val="22"/>
          <w:lang w:eastAsia="zh-CN"/>
        </w:rPr>
        <w:t>许先生</w:t>
      </w:r>
    </w:p>
    <w:p w14:paraId="768FA6D3">
      <w:pPr>
        <w:snapToGrid w:val="0"/>
        <w:spacing w:line="440" w:lineRule="exact"/>
        <w:ind w:firstLine="440" w:firstLineChars="200"/>
        <w:rPr>
          <w:rFonts w:hint="default" w:asciiTheme="minorEastAsia" w:hAnsiTheme="minorEastAsia" w:eastAsiaTheme="minorEastAsia" w:cstheme="minorEastAsia"/>
          <w:color w:val="auto"/>
          <w:kern w:val="0"/>
          <w:sz w:val="22"/>
          <w:lang w:val="en-US" w:eastAsia="zh-CN"/>
        </w:rPr>
      </w:pPr>
      <w:r>
        <w:rPr>
          <w:rFonts w:hint="eastAsia" w:asciiTheme="minorEastAsia" w:hAnsiTheme="minorEastAsia" w:eastAsiaTheme="minorEastAsia" w:cstheme="minorEastAsia"/>
          <w:color w:val="auto"/>
          <w:kern w:val="0"/>
          <w:sz w:val="22"/>
        </w:rPr>
        <w:t>联系电话：</w:t>
      </w:r>
      <w:bookmarkStart w:id="4" w:name="联系电话1"/>
      <w:bookmarkEnd w:id="4"/>
      <w:r>
        <w:rPr>
          <w:rFonts w:hint="eastAsia" w:asciiTheme="minorEastAsia" w:hAnsiTheme="minorEastAsia" w:eastAsiaTheme="minorEastAsia" w:cstheme="minorEastAsia"/>
          <w:color w:val="auto"/>
          <w:kern w:val="0"/>
          <w:sz w:val="22"/>
          <w:lang w:val="en-US" w:eastAsia="zh-CN"/>
        </w:rPr>
        <w:t>0579-82559077</w:t>
      </w:r>
    </w:p>
    <w:p w14:paraId="0B1E907C">
      <w:pPr>
        <w:snapToGrid w:val="0"/>
        <w:spacing w:line="440" w:lineRule="exact"/>
        <w:ind w:firstLine="440" w:firstLineChars="200"/>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rPr>
        <w:t>采购代理机构：</w:t>
      </w:r>
      <w:r>
        <w:rPr>
          <w:rFonts w:hint="eastAsia" w:asciiTheme="minorEastAsia" w:hAnsiTheme="minorEastAsia" w:eastAsiaTheme="minorEastAsia" w:cstheme="minorEastAsia"/>
          <w:color w:val="auto"/>
          <w:sz w:val="22"/>
        </w:rPr>
        <w:t>金华市政府采购中心</w:t>
      </w:r>
    </w:p>
    <w:p w14:paraId="64C9F43F">
      <w:pPr>
        <w:spacing w:line="360" w:lineRule="auto"/>
        <w:ind w:firstLine="480"/>
        <w:rPr>
          <w:rFonts w:hint="eastAsia" w:asciiTheme="minorEastAsia" w:hAnsiTheme="minorEastAsia" w:eastAsiaTheme="minorEastAsia" w:cstheme="minorEastAsia"/>
          <w:color w:val="auto"/>
          <w:sz w:val="22"/>
          <w:lang w:eastAsia="zh-CN"/>
        </w:rPr>
      </w:pPr>
      <w:r>
        <w:rPr>
          <w:rFonts w:hint="eastAsia" w:asciiTheme="minorEastAsia" w:hAnsiTheme="minorEastAsia" w:eastAsiaTheme="minorEastAsia" w:cstheme="minorEastAsia"/>
          <w:color w:val="auto"/>
          <w:sz w:val="22"/>
        </w:rPr>
        <w:t>联系人：</w:t>
      </w:r>
      <w:r>
        <w:rPr>
          <w:rFonts w:hint="eastAsia" w:asciiTheme="minorEastAsia" w:hAnsiTheme="minorEastAsia" w:eastAsiaTheme="minorEastAsia" w:cstheme="minorEastAsia"/>
          <w:color w:val="auto"/>
          <w:sz w:val="22"/>
          <w:lang w:eastAsia="zh-CN"/>
        </w:rPr>
        <w:t>徐女士</w:t>
      </w:r>
    </w:p>
    <w:p w14:paraId="32E412B7">
      <w:pPr>
        <w:pStyle w:val="17"/>
        <w:ind w:left="0" w:firstLine="440" w:firstLineChars="200"/>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rPr>
        <w:t>联系电话：</w:t>
      </w:r>
      <w:r>
        <w:rPr>
          <w:rFonts w:hint="eastAsia" w:asciiTheme="minorEastAsia" w:hAnsiTheme="minorEastAsia" w:eastAsiaTheme="minorEastAsia" w:cstheme="minorEastAsia"/>
          <w:color w:val="auto"/>
          <w:sz w:val="22"/>
          <w:szCs w:val="22"/>
          <w:lang w:val="en-US" w:eastAsia="zh-CN"/>
        </w:rPr>
        <w:t>0579-83171503</w:t>
      </w:r>
    </w:p>
    <w:p w14:paraId="716B0FB1">
      <w:pPr>
        <w:ind w:firstLine="440" w:firstLineChars="200"/>
        <w:rPr>
          <w:rFonts w:hint="default" w:eastAsiaTheme="minorEastAsia"/>
          <w:color w:val="auto"/>
          <w:lang w:val="en-US" w:eastAsia="zh-CN"/>
        </w:rPr>
      </w:pPr>
      <w:r>
        <w:rPr>
          <w:rFonts w:hint="eastAsia" w:asciiTheme="minorEastAsia" w:hAnsiTheme="minorEastAsia" w:eastAsiaTheme="minorEastAsia" w:cstheme="minorEastAsia"/>
          <w:color w:val="auto"/>
          <w:sz w:val="22"/>
        </w:rPr>
        <w:t>地址：</w:t>
      </w:r>
      <w:r>
        <w:rPr>
          <w:rFonts w:hint="eastAsia" w:asciiTheme="minorEastAsia" w:hAnsiTheme="minorEastAsia" w:eastAsiaTheme="minorEastAsia" w:cstheme="minorEastAsia"/>
          <w:color w:val="auto"/>
          <w:kern w:val="0"/>
          <w:sz w:val="22"/>
        </w:rPr>
        <w:t>金华市双龙南街858号财富大厦4楼</w:t>
      </w:r>
      <w:r>
        <w:rPr>
          <w:rFonts w:hint="eastAsia" w:asciiTheme="minorEastAsia" w:hAnsiTheme="minorEastAsia" w:eastAsiaTheme="minorEastAsia" w:cstheme="minorEastAsia"/>
          <w:color w:val="auto"/>
          <w:kern w:val="0"/>
          <w:sz w:val="22"/>
          <w:lang w:val="en-US" w:eastAsia="zh-CN"/>
        </w:rPr>
        <w:t>402</w:t>
      </w:r>
    </w:p>
    <w:p w14:paraId="0541EF6B">
      <w:pPr>
        <w:pStyle w:val="31"/>
        <w:spacing w:before="156" w:after="156"/>
        <w:ind w:firstLine="615"/>
        <w:jc w:val="left"/>
        <w:rPr>
          <w:rFonts w:hint="eastAsia" w:cs="Arial"/>
          <w:color w:val="auto"/>
          <w:sz w:val="24"/>
          <w:szCs w:val="22"/>
        </w:rPr>
      </w:pPr>
      <w:r>
        <w:rPr>
          <w:rFonts w:hint="eastAsia" w:cs="Arial"/>
          <w:color w:val="auto"/>
          <w:sz w:val="24"/>
          <w:szCs w:val="22"/>
        </w:rPr>
        <w:t>政府采购行政监管及投诉受理部</w:t>
      </w:r>
      <w:r>
        <w:rPr>
          <w:rFonts w:hint="eastAsia" w:cs="Arial"/>
          <w:color w:val="auto"/>
          <w:sz w:val="24"/>
          <w:szCs w:val="22"/>
          <w:lang w:eastAsia="zh-CN"/>
        </w:rPr>
        <w:t>门</w:t>
      </w:r>
      <w:r>
        <w:rPr>
          <w:rFonts w:hint="eastAsia" w:cs="Arial"/>
          <w:color w:val="auto"/>
          <w:sz w:val="24"/>
          <w:szCs w:val="22"/>
        </w:rPr>
        <w:t>：</w:t>
      </w:r>
    </w:p>
    <w:p w14:paraId="2C4F488A">
      <w:pPr>
        <w:pStyle w:val="31"/>
        <w:spacing w:before="156" w:after="156"/>
        <w:jc w:val="left"/>
        <w:rPr>
          <w:rFonts w:hint="eastAsia" w:cs="Arial"/>
          <w:color w:val="auto"/>
          <w:sz w:val="24"/>
          <w:szCs w:val="22"/>
        </w:rPr>
      </w:pPr>
      <w:r>
        <w:rPr>
          <w:rFonts w:hint="eastAsia" w:cs="Arial"/>
          <w:color w:val="auto"/>
          <w:sz w:val="24"/>
          <w:szCs w:val="22"/>
        </w:rPr>
        <w:t>金华市财政局政府采购监管处；联系人：</w:t>
      </w:r>
      <w:r>
        <w:rPr>
          <w:rFonts w:hint="eastAsia" w:cs="Arial"/>
          <w:color w:val="auto"/>
          <w:sz w:val="24"/>
          <w:szCs w:val="22"/>
          <w:lang w:val="en-US" w:eastAsia="zh-CN"/>
        </w:rPr>
        <w:t>徐女士</w:t>
      </w:r>
      <w:r>
        <w:rPr>
          <w:rFonts w:hint="eastAsia" w:cs="Arial"/>
          <w:color w:val="auto"/>
          <w:sz w:val="24"/>
          <w:szCs w:val="22"/>
        </w:rPr>
        <w:t xml:space="preserve">  联系电话：</w:t>
      </w:r>
      <w:r>
        <w:rPr>
          <w:rFonts w:hint="eastAsia" w:cs="Arial"/>
          <w:color w:val="auto"/>
          <w:sz w:val="24"/>
          <w:szCs w:val="22"/>
          <w:lang w:val="en-US" w:eastAsia="zh-CN"/>
        </w:rPr>
        <w:t>0</w:t>
      </w:r>
      <w:r>
        <w:rPr>
          <w:rFonts w:hint="eastAsia" w:cs="Arial"/>
          <w:color w:val="auto"/>
          <w:sz w:val="24"/>
          <w:szCs w:val="22"/>
        </w:rPr>
        <w:t>579-82468735</w:t>
      </w:r>
    </w:p>
    <w:p w14:paraId="62510F68">
      <w:pPr>
        <w:pStyle w:val="31"/>
        <w:spacing w:before="156" w:after="156"/>
        <w:jc w:val="left"/>
        <w:rPr>
          <w:rFonts w:hint="eastAsia" w:cs="Arial"/>
          <w:color w:val="auto"/>
          <w:sz w:val="24"/>
          <w:szCs w:val="22"/>
        </w:rPr>
      </w:pPr>
      <w:r>
        <w:rPr>
          <w:rFonts w:hint="eastAsia" w:cs="Arial"/>
          <w:color w:val="auto"/>
          <w:sz w:val="24"/>
          <w:szCs w:val="22"/>
        </w:rPr>
        <w:t>婺城区财政局政府采购监管</w:t>
      </w:r>
      <w:r>
        <w:rPr>
          <w:rFonts w:hint="eastAsia" w:cs="Arial"/>
          <w:color w:val="auto"/>
          <w:sz w:val="24"/>
          <w:szCs w:val="22"/>
          <w:lang w:eastAsia="zh-CN"/>
        </w:rPr>
        <w:t>办</w:t>
      </w:r>
      <w:r>
        <w:rPr>
          <w:rFonts w:hint="eastAsia" w:cs="Arial"/>
          <w:color w:val="auto"/>
          <w:sz w:val="24"/>
          <w:szCs w:val="22"/>
        </w:rPr>
        <w:t>；联系人：陈</w:t>
      </w:r>
      <w:r>
        <w:rPr>
          <w:rFonts w:hint="eastAsia" w:cs="Arial"/>
          <w:color w:val="auto"/>
          <w:sz w:val="24"/>
          <w:szCs w:val="22"/>
          <w:lang w:eastAsia="zh-CN"/>
        </w:rPr>
        <w:t>女士</w:t>
      </w:r>
      <w:r>
        <w:rPr>
          <w:rFonts w:hint="eastAsia" w:cs="Arial"/>
          <w:color w:val="auto"/>
          <w:sz w:val="24"/>
          <w:szCs w:val="22"/>
          <w:lang w:val="en-US" w:eastAsia="zh-CN"/>
        </w:rPr>
        <w:t xml:space="preserve">  </w:t>
      </w:r>
      <w:r>
        <w:rPr>
          <w:rFonts w:hint="eastAsia" w:cs="Arial"/>
          <w:color w:val="auto"/>
          <w:sz w:val="24"/>
          <w:szCs w:val="22"/>
        </w:rPr>
        <w:t>联系电话：0579</w:t>
      </w:r>
      <w:r>
        <w:rPr>
          <w:rFonts w:hint="eastAsia" w:cs="Arial"/>
          <w:color w:val="auto"/>
          <w:sz w:val="24"/>
          <w:szCs w:val="22"/>
          <w:lang w:val="en-US" w:eastAsia="zh-CN"/>
        </w:rPr>
        <w:t>-</w:t>
      </w:r>
      <w:r>
        <w:rPr>
          <w:rFonts w:hint="eastAsia" w:cs="Arial"/>
          <w:color w:val="auto"/>
          <w:sz w:val="24"/>
          <w:szCs w:val="22"/>
        </w:rPr>
        <w:t>82487292</w:t>
      </w:r>
    </w:p>
    <w:p w14:paraId="767BCD7A">
      <w:pPr>
        <w:pStyle w:val="31"/>
        <w:spacing w:before="156" w:after="156"/>
        <w:jc w:val="left"/>
        <w:rPr>
          <w:rFonts w:hint="eastAsia" w:cs="Arial"/>
          <w:color w:val="auto"/>
          <w:sz w:val="24"/>
          <w:szCs w:val="22"/>
        </w:rPr>
      </w:pPr>
      <w:r>
        <w:rPr>
          <w:rFonts w:hint="eastAsia" w:cs="Arial"/>
          <w:color w:val="auto"/>
          <w:sz w:val="24"/>
          <w:szCs w:val="22"/>
        </w:rPr>
        <w:t>金东区财政局政府采购监管</w:t>
      </w:r>
      <w:r>
        <w:rPr>
          <w:rFonts w:hint="eastAsia" w:cs="Arial"/>
          <w:color w:val="auto"/>
          <w:sz w:val="24"/>
          <w:szCs w:val="22"/>
          <w:lang w:eastAsia="zh-CN"/>
        </w:rPr>
        <w:t>办</w:t>
      </w:r>
      <w:r>
        <w:rPr>
          <w:rFonts w:hint="eastAsia" w:cs="Arial"/>
          <w:color w:val="auto"/>
          <w:sz w:val="24"/>
          <w:szCs w:val="22"/>
        </w:rPr>
        <w:t>；联系人：俞</w:t>
      </w:r>
      <w:r>
        <w:rPr>
          <w:rFonts w:hint="eastAsia" w:cs="Arial"/>
          <w:color w:val="auto"/>
          <w:sz w:val="24"/>
          <w:szCs w:val="22"/>
          <w:lang w:eastAsia="zh-CN"/>
        </w:rPr>
        <w:t>先生</w:t>
      </w:r>
      <w:r>
        <w:rPr>
          <w:rFonts w:hint="eastAsia" w:cs="Arial"/>
          <w:color w:val="auto"/>
          <w:sz w:val="24"/>
          <w:szCs w:val="22"/>
          <w:lang w:val="en-US" w:eastAsia="zh-CN"/>
        </w:rPr>
        <w:t xml:space="preserve">  </w:t>
      </w:r>
      <w:r>
        <w:rPr>
          <w:rFonts w:hint="eastAsia" w:cs="Arial"/>
          <w:color w:val="auto"/>
          <w:sz w:val="24"/>
          <w:szCs w:val="22"/>
        </w:rPr>
        <w:t>联系电话：0579</w:t>
      </w:r>
      <w:r>
        <w:rPr>
          <w:rFonts w:hint="eastAsia" w:cs="Arial"/>
          <w:color w:val="auto"/>
          <w:sz w:val="24"/>
          <w:szCs w:val="22"/>
          <w:lang w:val="en-US" w:eastAsia="zh-CN"/>
        </w:rPr>
        <w:t>-</w:t>
      </w:r>
      <w:r>
        <w:rPr>
          <w:rFonts w:hint="eastAsia" w:cs="Arial"/>
          <w:color w:val="auto"/>
          <w:sz w:val="24"/>
          <w:szCs w:val="22"/>
        </w:rPr>
        <w:t>82171621</w:t>
      </w:r>
    </w:p>
    <w:p w14:paraId="164C21C7">
      <w:pPr>
        <w:pStyle w:val="31"/>
        <w:spacing w:before="156" w:after="156"/>
        <w:jc w:val="left"/>
        <w:rPr>
          <w:rFonts w:hint="eastAsia" w:cs="Arial"/>
          <w:color w:val="auto"/>
          <w:sz w:val="24"/>
          <w:szCs w:val="22"/>
        </w:rPr>
      </w:pPr>
      <w:r>
        <w:rPr>
          <w:rFonts w:hint="eastAsia" w:cs="Arial"/>
          <w:color w:val="auto"/>
          <w:sz w:val="24"/>
          <w:szCs w:val="22"/>
        </w:rPr>
        <w:t>开发区财政局政府采购监管</w:t>
      </w:r>
      <w:r>
        <w:rPr>
          <w:rFonts w:hint="eastAsia" w:cs="Arial"/>
          <w:color w:val="auto"/>
          <w:sz w:val="24"/>
          <w:szCs w:val="22"/>
          <w:lang w:eastAsia="zh-CN"/>
        </w:rPr>
        <w:t>办</w:t>
      </w:r>
      <w:r>
        <w:rPr>
          <w:rFonts w:hint="eastAsia" w:cs="Arial"/>
          <w:color w:val="auto"/>
          <w:sz w:val="24"/>
          <w:szCs w:val="22"/>
        </w:rPr>
        <w:t>；联系人：靳老师</w:t>
      </w:r>
      <w:r>
        <w:rPr>
          <w:rFonts w:hint="eastAsia" w:cs="Arial"/>
          <w:color w:val="auto"/>
          <w:sz w:val="24"/>
          <w:szCs w:val="22"/>
          <w:lang w:val="en-US" w:eastAsia="zh-CN"/>
        </w:rPr>
        <w:t xml:space="preserve">  </w:t>
      </w:r>
      <w:r>
        <w:rPr>
          <w:rFonts w:hint="eastAsia" w:cs="Arial"/>
          <w:color w:val="auto"/>
          <w:sz w:val="24"/>
          <w:szCs w:val="22"/>
        </w:rPr>
        <w:t>联系电话：0579</w:t>
      </w:r>
      <w:r>
        <w:rPr>
          <w:rFonts w:hint="eastAsia" w:cs="Arial"/>
          <w:color w:val="auto"/>
          <w:sz w:val="24"/>
          <w:szCs w:val="22"/>
          <w:lang w:val="en-US" w:eastAsia="zh-CN"/>
        </w:rPr>
        <w:t>-</w:t>
      </w:r>
      <w:r>
        <w:rPr>
          <w:rFonts w:hint="eastAsia" w:cs="Arial"/>
          <w:color w:val="auto"/>
          <w:sz w:val="24"/>
          <w:szCs w:val="22"/>
        </w:rPr>
        <w:t>89155076</w:t>
      </w:r>
    </w:p>
    <w:p w14:paraId="2067403E">
      <w:pPr>
        <w:pStyle w:val="10"/>
        <w:spacing w:before="156" w:after="156" w:line="360" w:lineRule="auto"/>
        <w:jc w:val="center"/>
        <w:outlineLvl w:val="0"/>
        <w:rPr>
          <w:rFonts w:hint="eastAsia" w:hAnsi="宋体"/>
          <w:b/>
          <w:color w:val="auto"/>
          <w:sz w:val="36"/>
          <w:szCs w:val="36"/>
        </w:rPr>
      </w:pPr>
    </w:p>
    <w:p w14:paraId="7A74F393">
      <w:pPr>
        <w:pStyle w:val="10"/>
        <w:spacing w:before="156" w:after="156" w:line="360" w:lineRule="auto"/>
        <w:jc w:val="center"/>
        <w:outlineLvl w:val="0"/>
        <w:rPr>
          <w:rFonts w:hint="eastAsia" w:hAnsi="宋体"/>
          <w:b/>
          <w:color w:val="auto"/>
          <w:sz w:val="36"/>
          <w:szCs w:val="36"/>
        </w:rPr>
      </w:pPr>
    </w:p>
    <w:p w14:paraId="368B0BAC">
      <w:pPr>
        <w:pStyle w:val="10"/>
        <w:spacing w:before="156" w:after="156" w:line="360" w:lineRule="auto"/>
        <w:jc w:val="center"/>
        <w:outlineLvl w:val="0"/>
        <w:rPr>
          <w:rFonts w:hint="eastAsia" w:hAnsi="宋体"/>
          <w:b/>
          <w:color w:val="auto"/>
          <w:sz w:val="36"/>
          <w:szCs w:val="36"/>
        </w:rPr>
      </w:pPr>
    </w:p>
    <w:p w14:paraId="1441B516">
      <w:pPr>
        <w:pStyle w:val="10"/>
        <w:spacing w:before="156" w:after="156" w:line="360" w:lineRule="auto"/>
        <w:jc w:val="center"/>
        <w:outlineLvl w:val="0"/>
        <w:rPr>
          <w:rFonts w:hint="eastAsia" w:hAnsi="宋体"/>
          <w:b/>
          <w:color w:val="auto"/>
          <w:sz w:val="36"/>
          <w:szCs w:val="36"/>
        </w:rPr>
      </w:pPr>
    </w:p>
    <w:p w14:paraId="4AFC1135">
      <w:pPr>
        <w:pStyle w:val="10"/>
        <w:spacing w:before="156" w:after="156" w:line="360" w:lineRule="auto"/>
        <w:jc w:val="center"/>
        <w:outlineLvl w:val="0"/>
        <w:rPr>
          <w:rFonts w:hint="eastAsia" w:hAnsi="宋体"/>
          <w:b/>
          <w:color w:val="auto"/>
          <w:sz w:val="36"/>
          <w:szCs w:val="36"/>
        </w:rPr>
      </w:pPr>
    </w:p>
    <w:p w14:paraId="7307E55E">
      <w:pPr>
        <w:pStyle w:val="10"/>
        <w:spacing w:before="156" w:after="156" w:line="360" w:lineRule="auto"/>
        <w:jc w:val="center"/>
        <w:outlineLvl w:val="0"/>
        <w:rPr>
          <w:rFonts w:hint="eastAsia" w:hAnsi="宋体"/>
          <w:b/>
          <w:color w:val="auto"/>
          <w:sz w:val="36"/>
          <w:szCs w:val="36"/>
        </w:rPr>
      </w:pPr>
    </w:p>
    <w:p w14:paraId="425975EF">
      <w:pPr>
        <w:pStyle w:val="10"/>
        <w:spacing w:before="156" w:after="156" w:line="360" w:lineRule="auto"/>
        <w:jc w:val="center"/>
        <w:outlineLvl w:val="0"/>
        <w:rPr>
          <w:rFonts w:hint="eastAsia" w:hAnsi="宋体"/>
          <w:b/>
          <w:color w:val="auto"/>
          <w:sz w:val="36"/>
          <w:szCs w:val="36"/>
        </w:rPr>
      </w:pPr>
    </w:p>
    <w:p w14:paraId="7688BDF2">
      <w:pPr>
        <w:pStyle w:val="10"/>
        <w:spacing w:before="156" w:after="156" w:line="360" w:lineRule="auto"/>
        <w:jc w:val="center"/>
        <w:outlineLvl w:val="0"/>
        <w:rPr>
          <w:rFonts w:hint="eastAsia" w:hAnsi="宋体"/>
          <w:b/>
          <w:color w:val="auto"/>
          <w:sz w:val="36"/>
          <w:szCs w:val="36"/>
        </w:rPr>
      </w:pPr>
    </w:p>
    <w:p w14:paraId="46A4A512">
      <w:pPr>
        <w:pStyle w:val="10"/>
        <w:spacing w:before="156" w:after="156" w:line="360" w:lineRule="auto"/>
        <w:jc w:val="center"/>
        <w:outlineLvl w:val="0"/>
        <w:rPr>
          <w:rFonts w:hint="eastAsia" w:hAnsi="宋体"/>
          <w:b/>
          <w:color w:val="auto"/>
          <w:sz w:val="36"/>
          <w:szCs w:val="36"/>
        </w:rPr>
      </w:pPr>
    </w:p>
    <w:p w14:paraId="02CB9C33">
      <w:pPr>
        <w:pStyle w:val="10"/>
        <w:spacing w:before="156" w:after="156" w:line="360" w:lineRule="auto"/>
        <w:jc w:val="center"/>
        <w:outlineLvl w:val="0"/>
        <w:rPr>
          <w:rFonts w:hint="eastAsia" w:hAnsi="宋体"/>
          <w:b/>
          <w:color w:val="auto"/>
          <w:sz w:val="36"/>
          <w:szCs w:val="36"/>
        </w:rPr>
      </w:pPr>
    </w:p>
    <w:p w14:paraId="56952235">
      <w:pPr>
        <w:pStyle w:val="10"/>
        <w:spacing w:before="156" w:after="156" w:line="360" w:lineRule="auto"/>
        <w:jc w:val="center"/>
        <w:outlineLvl w:val="0"/>
        <w:rPr>
          <w:rFonts w:hint="eastAsia" w:hAnsi="宋体"/>
          <w:b/>
          <w:color w:val="auto"/>
          <w:sz w:val="36"/>
          <w:szCs w:val="36"/>
        </w:rPr>
      </w:pPr>
    </w:p>
    <w:p w14:paraId="43212129">
      <w:pPr>
        <w:pStyle w:val="10"/>
        <w:spacing w:before="156" w:after="156" w:line="360" w:lineRule="auto"/>
        <w:jc w:val="center"/>
        <w:outlineLvl w:val="0"/>
        <w:rPr>
          <w:rFonts w:hint="eastAsia" w:hAnsi="宋体"/>
          <w:b/>
          <w:color w:val="auto"/>
          <w:sz w:val="36"/>
          <w:szCs w:val="36"/>
        </w:rPr>
      </w:pPr>
    </w:p>
    <w:p w14:paraId="510B20AD">
      <w:pPr>
        <w:pStyle w:val="10"/>
        <w:spacing w:before="156" w:after="156" w:line="360" w:lineRule="auto"/>
        <w:jc w:val="center"/>
        <w:outlineLvl w:val="0"/>
        <w:rPr>
          <w:rFonts w:hint="eastAsia" w:hAnsi="宋体"/>
          <w:b/>
          <w:color w:val="auto"/>
          <w:sz w:val="36"/>
          <w:szCs w:val="36"/>
        </w:rPr>
      </w:pPr>
    </w:p>
    <w:p w14:paraId="7C342B83">
      <w:pPr>
        <w:pStyle w:val="10"/>
        <w:spacing w:before="156" w:after="156" w:line="360" w:lineRule="auto"/>
        <w:jc w:val="center"/>
        <w:outlineLvl w:val="0"/>
        <w:rPr>
          <w:rFonts w:hint="eastAsia" w:hAnsi="宋体"/>
          <w:b/>
          <w:color w:val="auto"/>
          <w:sz w:val="36"/>
          <w:szCs w:val="36"/>
        </w:rPr>
      </w:pPr>
    </w:p>
    <w:p w14:paraId="60FE7A06">
      <w:pPr>
        <w:pStyle w:val="10"/>
        <w:spacing w:before="156" w:after="156" w:line="360" w:lineRule="auto"/>
        <w:jc w:val="center"/>
        <w:outlineLvl w:val="0"/>
        <w:rPr>
          <w:rFonts w:hint="eastAsia" w:hAnsi="宋体"/>
          <w:b/>
          <w:color w:val="auto"/>
          <w:sz w:val="36"/>
          <w:szCs w:val="36"/>
        </w:rPr>
      </w:pPr>
    </w:p>
    <w:p w14:paraId="23A5D0D6">
      <w:pPr>
        <w:pStyle w:val="10"/>
        <w:spacing w:before="156" w:after="156" w:line="360" w:lineRule="auto"/>
        <w:jc w:val="center"/>
        <w:outlineLvl w:val="0"/>
        <w:rPr>
          <w:rFonts w:hint="eastAsia" w:hAnsi="宋体"/>
          <w:b/>
          <w:color w:val="auto"/>
          <w:sz w:val="36"/>
          <w:szCs w:val="36"/>
        </w:rPr>
      </w:pPr>
    </w:p>
    <w:p w14:paraId="0D2A22C8">
      <w:pPr>
        <w:pStyle w:val="10"/>
        <w:spacing w:before="156" w:after="156" w:line="360" w:lineRule="auto"/>
        <w:jc w:val="center"/>
        <w:outlineLvl w:val="0"/>
        <w:rPr>
          <w:rFonts w:hint="eastAsia" w:hAnsi="宋体"/>
          <w:b/>
          <w:color w:val="auto"/>
          <w:sz w:val="36"/>
          <w:szCs w:val="36"/>
        </w:rPr>
      </w:pPr>
    </w:p>
    <w:p w14:paraId="5A96B31D">
      <w:pPr>
        <w:rPr>
          <w:rFonts w:hint="eastAsia"/>
        </w:rPr>
      </w:pPr>
    </w:p>
    <w:p w14:paraId="1171C220">
      <w:pPr>
        <w:pStyle w:val="10"/>
        <w:spacing w:before="156" w:after="156" w:line="360" w:lineRule="auto"/>
        <w:jc w:val="center"/>
        <w:outlineLvl w:val="0"/>
        <w:rPr>
          <w:rFonts w:hAnsi="宋体"/>
          <w:b/>
          <w:color w:val="auto"/>
          <w:sz w:val="36"/>
          <w:szCs w:val="36"/>
        </w:rPr>
      </w:pPr>
      <w:r>
        <w:rPr>
          <w:rFonts w:hint="eastAsia" w:hAnsi="宋体"/>
          <w:b/>
          <w:color w:val="auto"/>
          <w:sz w:val="36"/>
          <w:szCs w:val="36"/>
        </w:rPr>
        <w:t>第二章  招标需求</w:t>
      </w:r>
    </w:p>
    <w:p w14:paraId="7BC36F2B">
      <w:pPr>
        <w:pStyle w:val="10"/>
        <w:spacing w:before="156" w:after="156" w:line="360" w:lineRule="auto"/>
        <w:jc w:val="center"/>
        <w:outlineLvl w:val="0"/>
        <w:rPr>
          <w:rFonts w:hAnsi="宋体"/>
          <w:b/>
          <w:color w:val="auto"/>
          <w:sz w:val="36"/>
          <w:szCs w:val="36"/>
        </w:rPr>
      </w:pPr>
      <w:r>
        <w:rPr>
          <w:rFonts w:hint="eastAsia" w:hAnsi="宋体" w:cs="Arial"/>
          <w:b/>
          <w:color w:val="auto"/>
          <w:kern w:val="0"/>
        </w:rPr>
        <w:t>（参数中打“★”指实质性要求条款）</w:t>
      </w:r>
    </w:p>
    <w:p w14:paraId="646E4390">
      <w:pPr>
        <w:snapToGrid w:val="0"/>
        <w:ind w:left="525" w:hanging="527"/>
        <w:jc w:val="center"/>
        <w:textAlignment w:val="baseline"/>
        <w:rPr>
          <w:rFonts w:hint="eastAsia" w:ascii="仿宋" w:hAnsi="仿宋" w:eastAsia="仿宋"/>
          <w:b/>
          <w:bCs/>
          <w:color w:val="auto"/>
          <w:kern w:val="11"/>
          <w:sz w:val="32"/>
          <w:szCs w:val="32"/>
        </w:rPr>
      </w:pPr>
      <w:r>
        <w:rPr>
          <w:rFonts w:hint="eastAsia" w:ascii="仿宋" w:hAnsi="仿宋" w:eastAsia="仿宋"/>
          <w:b/>
          <w:bCs/>
          <w:color w:val="auto"/>
          <w:kern w:val="11"/>
          <w:sz w:val="32"/>
          <w:szCs w:val="32"/>
        </w:rPr>
        <w:t>腹腔内窥镜手术系统 （手术机器人）技术参数</w:t>
      </w:r>
    </w:p>
    <w:p w14:paraId="3F7EA7A2">
      <w:pPr>
        <w:snapToGrid w:val="0"/>
        <w:rPr>
          <w:color w:val="auto"/>
        </w:rPr>
      </w:pPr>
    </w:p>
    <w:tbl>
      <w:tblPr>
        <w:tblStyle w:val="2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4093"/>
        <w:gridCol w:w="4003"/>
      </w:tblGrid>
      <w:tr w14:paraId="08E9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13" w:type="dxa"/>
            <w:shd w:val="clear" w:color="auto" w:fill="auto"/>
          </w:tcPr>
          <w:p w14:paraId="297B0A9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93" w:type="dxa"/>
            <w:shd w:val="clear" w:color="auto" w:fill="auto"/>
          </w:tcPr>
          <w:p w14:paraId="5526D6C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技术和性能参数名称</w:t>
            </w:r>
          </w:p>
        </w:tc>
        <w:tc>
          <w:tcPr>
            <w:tcW w:w="4003" w:type="dxa"/>
            <w:shd w:val="clear" w:color="auto" w:fill="auto"/>
          </w:tcPr>
          <w:p w14:paraId="4E8F524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w:t>
            </w:r>
          </w:p>
        </w:tc>
      </w:tr>
      <w:tr w14:paraId="68F9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62F09B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w:t>
            </w:r>
          </w:p>
        </w:tc>
        <w:tc>
          <w:tcPr>
            <w:tcW w:w="4093" w:type="dxa"/>
            <w:shd w:val="clear" w:color="auto" w:fill="auto"/>
          </w:tcPr>
          <w:p w14:paraId="3833D97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主机及基本附件 </w:t>
            </w:r>
          </w:p>
        </w:tc>
        <w:tc>
          <w:tcPr>
            <w:tcW w:w="4003" w:type="dxa"/>
            <w:shd w:val="clear" w:color="auto" w:fill="auto"/>
          </w:tcPr>
          <w:p w14:paraId="6B0AFF7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2AB6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25B1A41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093" w:type="dxa"/>
            <w:shd w:val="clear" w:color="auto" w:fill="auto"/>
          </w:tcPr>
          <w:p w14:paraId="5AD7C8B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医生控制台</w:t>
            </w:r>
          </w:p>
        </w:tc>
        <w:tc>
          <w:tcPr>
            <w:tcW w:w="4003" w:type="dxa"/>
            <w:shd w:val="clear" w:color="auto" w:fill="auto"/>
          </w:tcPr>
          <w:p w14:paraId="2C1D8C8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82B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490879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4093" w:type="dxa"/>
            <w:shd w:val="clear" w:color="auto" w:fill="auto"/>
          </w:tcPr>
          <w:p w14:paraId="3570CEA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操控手柄</w:t>
            </w:r>
          </w:p>
        </w:tc>
        <w:tc>
          <w:tcPr>
            <w:tcW w:w="4003" w:type="dxa"/>
            <w:shd w:val="clear" w:color="auto" w:fill="auto"/>
          </w:tcPr>
          <w:p w14:paraId="2583873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AE2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683CC7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w:t>
            </w:r>
          </w:p>
        </w:tc>
        <w:tc>
          <w:tcPr>
            <w:tcW w:w="4093" w:type="dxa"/>
            <w:shd w:val="clear" w:color="auto" w:fill="auto"/>
          </w:tcPr>
          <w:p w14:paraId="72328BC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4003" w:type="dxa"/>
            <w:shd w:val="clear" w:color="auto" w:fill="auto"/>
          </w:tcPr>
          <w:p w14:paraId="36D8049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2个，左右各一个</w:t>
            </w:r>
          </w:p>
        </w:tc>
      </w:tr>
      <w:tr w14:paraId="4808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13" w:type="dxa"/>
            <w:shd w:val="clear" w:color="auto" w:fill="auto"/>
          </w:tcPr>
          <w:p w14:paraId="6F3F3F7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w:t>
            </w:r>
          </w:p>
        </w:tc>
        <w:tc>
          <w:tcPr>
            <w:tcW w:w="4093" w:type="dxa"/>
            <w:shd w:val="clear" w:color="auto" w:fill="auto"/>
          </w:tcPr>
          <w:p w14:paraId="7F64789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手动控制器（指压开关）</w:t>
            </w:r>
          </w:p>
        </w:tc>
        <w:tc>
          <w:tcPr>
            <w:tcW w:w="4003" w:type="dxa"/>
            <w:shd w:val="clear" w:color="auto" w:fill="auto"/>
          </w:tcPr>
          <w:p w14:paraId="0D7E3B3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操控手柄应配备指压开关，具有指压离合器，可实现镜头快速切换荧光模式、调整单个操控手柄的舒适位置等功能</w:t>
            </w:r>
          </w:p>
        </w:tc>
      </w:tr>
      <w:tr w14:paraId="1BED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06594CE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w:t>
            </w:r>
          </w:p>
        </w:tc>
        <w:tc>
          <w:tcPr>
            <w:tcW w:w="4093" w:type="dxa"/>
            <w:shd w:val="clear" w:color="auto" w:fill="auto"/>
          </w:tcPr>
          <w:p w14:paraId="75D7423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手部传递到器械动作幅度缩放比例，要求能实现快速等比例缩放运动比例</w:t>
            </w:r>
          </w:p>
        </w:tc>
        <w:tc>
          <w:tcPr>
            <w:tcW w:w="4003" w:type="dxa"/>
            <w:shd w:val="clear" w:color="auto" w:fill="auto"/>
          </w:tcPr>
          <w:p w14:paraId="64834F7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≤1.5:1</w:t>
            </w:r>
          </w:p>
        </w:tc>
      </w:tr>
      <w:tr w14:paraId="7C00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F4F3DE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w:t>
            </w:r>
          </w:p>
        </w:tc>
        <w:tc>
          <w:tcPr>
            <w:tcW w:w="4093" w:type="dxa"/>
            <w:shd w:val="clear" w:color="auto" w:fill="auto"/>
          </w:tcPr>
          <w:p w14:paraId="3882749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电缆连接方式</w:t>
            </w:r>
          </w:p>
        </w:tc>
        <w:tc>
          <w:tcPr>
            <w:tcW w:w="4003" w:type="dxa"/>
            <w:shd w:val="clear" w:color="auto" w:fill="auto"/>
          </w:tcPr>
          <w:p w14:paraId="55BBB0D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无外露连接方式</w:t>
            </w:r>
          </w:p>
        </w:tc>
      </w:tr>
      <w:tr w14:paraId="4F37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2B5B74D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1.1.5</w:t>
            </w:r>
          </w:p>
        </w:tc>
        <w:tc>
          <w:tcPr>
            <w:tcW w:w="4093" w:type="dxa"/>
            <w:shd w:val="clear" w:color="auto" w:fill="auto"/>
          </w:tcPr>
          <w:p w14:paraId="2BC2BD2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指压离合器</w:t>
            </w:r>
          </w:p>
        </w:tc>
        <w:tc>
          <w:tcPr>
            <w:tcW w:w="4003" w:type="dxa"/>
            <w:shd w:val="clear" w:color="auto" w:fill="auto"/>
          </w:tcPr>
          <w:p w14:paraId="7AD5BD5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左右两个手动控制器均具备上下两个指压离合器，共计4个</w:t>
            </w:r>
          </w:p>
        </w:tc>
      </w:tr>
      <w:tr w14:paraId="0BE5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24F0F84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4093" w:type="dxa"/>
            <w:shd w:val="clear" w:color="auto" w:fill="auto"/>
          </w:tcPr>
          <w:p w14:paraId="58DC14B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3D立体目镜</w:t>
            </w:r>
          </w:p>
        </w:tc>
        <w:tc>
          <w:tcPr>
            <w:tcW w:w="4003" w:type="dxa"/>
            <w:shd w:val="clear" w:color="auto" w:fill="auto"/>
          </w:tcPr>
          <w:p w14:paraId="386C0A7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75A9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24D8F2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w:t>
            </w:r>
          </w:p>
        </w:tc>
        <w:tc>
          <w:tcPr>
            <w:tcW w:w="4093" w:type="dxa"/>
            <w:shd w:val="clear" w:color="auto" w:fill="auto"/>
          </w:tcPr>
          <w:p w14:paraId="1399E52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裸眼直视三维高清视野</w:t>
            </w:r>
          </w:p>
        </w:tc>
        <w:tc>
          <w:tcPr>
            <w:tcW w:w="4003" w:type="dxa"/>
            <w:shd w:val="clear" w:color="auto" w:fill="auto"/>
          </w:tcPr>
          <w:p w14:paraId="61584BF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可实现裸眼直视三维高清视野</w:t>
            </w:r>
          </w:p>
        </w:tc>
      </w:tr>
      <w:tr w14:paraId="6FFE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D4AD73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1.2.2</w:t>
            </w:r>
          </w:p>
        </w:tc>
        <w:tc>
          <w:tcPr>
            <w:tcW w:w="4093" w:type="dxa"/>
            <w:shd w:val="clear" w:color="auto" w:fill="auto"/>
          </w:tcPr>
          <w:p w14:paraId="617D0CD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画中画模式</w:t>
            </w:r>
          </w:p>
        </w:tc>
        <w:tc>
          <w:tcPr>
            <w:tcW w:w="4003" w:type="dxa"/>
            <w:shd w:val="clear" w:color="auto" w:fill="auto"/>
          </w:tcPr>
          <w:p w14:paraId="6134C8C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画中画模式可以支持≥2路外接信号，支持≥3种辅助影像信息输入（例如超声，心电图，CT影像等），且与手术画面同屏显示</w:t>
            </w:r>
          </w:p>
        </w:tc>
      </w:tr>
      <w:tr w14:paraId="7FFE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653A91A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w:t>
            </w:r>
          </w:p>
        </w:tc>
        <w:tc>
          <w:tcPr>
            <w:tcW w:w="4093" w:type="dxa"/>
            <w:shd w:val="clear" w:color="auto" w:fill="auto"/>
          </w:tcPr>
          <w:p w14:paraId="55EFC2D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可搭载术中超声</w:t>
            </w:r>
          </w:p>
        </w:tc>
        <w:tc>
          <w:tcPr>
            <w:tcW w:w="4003" w:type="dxa"/>
            <w:shd w:val="clear" w:color="auto" w:fill="auto"/>
          </w:tcPr>
          <w:p w14:paraId="66D24F7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3EB7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87E95E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1.2.4</w:t>
            </w:r>
          </w:p>
        </w:tc>
        <w:tc>
          <w:tcPr>
            <w:tcW w:w="4093" w:type="dxa"/>
            <w:shd w:val="clear" w:color="auto" w:fill="auto"/>
          </w:tcPr>
          <w:p w14:paraId="149B6CC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3D画中画模式</w:t>
            </w:r>
          </w:p>
        </w:tc>
        <w:tc>
          <w:tcPr>
            <w:tcW w:w="4003" w:type="dxa"/>
            <w:shd w:val="clear" w:color="auto" w:fill="auto"/>
          </w:tcPr>
          <w:p w14:paraId="0F43BA5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w:t>
            </w:r>
          </w:p>
        </w:tc>
      </w:tr>
      <w:tr w14:paraId="4984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7641252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1.2.5</w:t>
            </w:r>
          </w:p>
        </w:tc>
        <w:tc>
          <w:tcPr>
            <w:tcW w:w="4093" w:type="dxa"/>
            <w:shd w:val="clear" w:color="auto" w:fill="auto"/>
          </w:tcPr>
          <w:p w14:paraId="4871CA6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画中画模式显示</w:t>
            </w:r>
          </w:p>
        </w:tc>
        <w:tc>
          <w:tcPr>
            <w:tcW w:w="4003" w:type="dxa"/>
            <w:shd w:val="clear" w:color="auto" w:fill="auto"/>
          </w:tcPr>
          <w:p w14:paraId="5E70697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≥2种</w:t>
            </w:r>
          </w:p>
        </w:tc>
      </w:tr>
      <w:tr w14:paraId="457E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F320CE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4093" w:type="dxa"/>
            <w:shd w:val="clear" w:color="auto" w:fill="auto"/>
          </w:tcPr>
          <w:p w14:paraId="6033588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触摸控制面板</w:t>
            </w:r>
          </w:p>
        </w:tc>
        <w:tc>
          <w:tcPr>
            <w:tcW w:w="4003" w:type="dxa"/>
            <w:shd w:val="clear" w:color="auto" w:fill="auto"/>
          </w:tcPr>
          <w:p w14:paraId="4163468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1748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2D51F6E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1.4.1</w:t>
            </w:r>
          </w:p>
        </w:tc>
        <w:tc>
          <w:tcPr>
            <w:tcW w:w="4093" w:type="dxa"/>
            <w:shd w:val="clear" w:color="auto" w:fill="auto"/>
          </w:tcPr>
          <w:p w14:paraId="2802AEB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图像切换功能</w:t>
            </w:r>
          </w:p>
        </w:tc>
        <w:tc>
          <w:tcPr>
            <w:tcW w:w="4003" w:type="dxa"/>
            <w:shd w:val="clear" w:color="auto" w:fill="auto"/>
          </w:tcPr>
          <w:p w14:paraId="59012AA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可在触控面板对图像进行二维、三维图像转换</w:t>
            </w:r>
          </w:p>
        </w:tc>
      </w:tr>
      <w:tr w14:paraId="472D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FEFF15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w:t>
            </w:r>
          </w:p>
        </w:tc>
        <w:tc>
          <w:tcPr>
            <w:tcW w:w="4093" w:type="dxa"/>
            <w:shd w:val="clear" w:color="auto" w:fill="auto"/>
          </w:tcPr>
          <w:p w14:paraId="35319F7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手动分配器械臂指定的操控手柄</w:t>
            </w:r>
          </w:p>
        </w:tc>
        <w:tc>
          <w:tcPr>
            <w:tcW w:w="4003" w:type="dxa"/>
            <w:shd w:val="clear" w:color="auto" w:fill="auto"/>
          </w:tcPr>
          <w:p w14:paraId="1B19A3F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需要具备手动分配器械臂指定的操控手柄</w:t>
            </w:r>
          </w:p>
        </w:tc>
      </w:tr>
      <w:tr w14:paraId="631E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B1DCE5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1.4.3</w:t>
            </w:r>
          </w:p>
        </w:tc>
        <w:tc>
          <w:tcPr>
            <w:tcW w:w="4093" w:type="dxa"/>
            <w:shd w:val="clear" w:color="auto" w:fill="auto"/>
          </w:tcPr>
          <w:p w14:paraId="2942393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设定视频、音频、 系统功能</w:t>
            </w:r>
          </w:p>
        </w:tc>
        <w:tc>
          <w:tcPr>
            <w:tcW w:w="4003" w:type="dxa"/>
            <w:shd w:val="clear" w:color="auto" w:fill="auto"/>
          </w:tcPr>
          <w:p w14:paraId="694BBE2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27CE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2F01F3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1.4.4</w:t>
            </w:r>
          </w:p>
        </w:tc>
        <w:tc>
          <w:tcPr>
            <w:tcW w:w="4093" w:type="dxa"/>
            <w:shd w:val="clear" w:color="auto" w:fill="auto"/>
          </w:tcPr>
          <w:p w14:paraId="2EA15BB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图像数字化放大比例调节</w:t>
            </w:r>
          </w:p>
        </w:tc>
        <w:tc>
          <w:tcPr>
            <w:tcW w:w="4003" w:type="dxa"/>
            <w:shd w:val="clear" w:color="auto" w:fill="auto"/>
          </w:tcPr>
          <w:p w14:paraId="1209A78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≥3种，最大可4倍放大，医生可在操控台触控面板设置调节比例</w:t>
            </w:r>
          </w:p>
        </w:tc>
      </w:tr>
      <w:tr w14:paraId="1227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83C198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4093" w:type="dxa"/>
            <w:shd w:val="clear" w:color="auto" w:fill="auto"/>
          </w:tcPr>
          <w:p w14:paraId="0632845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左右侧控制单元</w:t>
            </w:r>
          </w:p>
        </w:tc>
        <w:tc>
          <w:tcPr>
            <w:tcW w:w="4003" w:type="dxa"/>
            <w:shd w:val="clear" w:color="auto" w:fill="auto"/>
          </w:tcPr>
          <w:p w14:paraId="1D1FC39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B7F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84A25A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1.5.1</w:t>
            </w:r>
          </w:p>
        </w:tc>
        <w:tc>
          <w:tcPr>
            <w:tcW w:w="4093" w:type="dxa"/>
            <w:shd w:val="clear" w:color="auto" w:fill="auto"/>
          </w:tcPr>
          <w:p w14:paraId="3680979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人体工学控制器</w:t>
            </w:r>
          </w:p>
        </w:tc>
        <w:tc>
          <w:tcPr>
            <w:tcW w:w="4003" w:type="dxa"/>
            <w:shd w:val="clear" w:color="auto" w:fill="auto"/>
          </w:tcPr>
          <w:p w14:paraId="3BF812C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≥4组8方向</w:t>
            </w:r>
          </w:p>
        </w:tc>
      </w:tr>
      <w:tr w14:paraId="3609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6E9D92C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1.5.2</w:t>
            </w:r>
          </w:p>
        </w:tc>
        <w:tc>
          <w:tcPr>
            <w:tcW w:w="4093" w:type="dxa"/>
            <w:shd w:val="clear" w:color="auto" w:fill="auto"/>
          </w:tcPr>
          <w:p w14:paraId="62CB9B9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监视器倾斜度调节</w:t>
            </w:r>
          </w:p>
        </w:tc>
        <w:tc>
          <w:tcPr>
            <w:tcW w:w="4003" w:type="dxa"/>
            <w:shd w:val="clear" w:color="auto" w:fill="auto"/>
          </w:tcPr>
          <w:p w14:paraId="7928613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67A0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A3442C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1.5.3</w:t>
            </w:r>
          </w:p>
        </w:tc>
        <w:tc>
          <w:tcPr>
            <w:tcW w:w="4093" w:type="dxa"/>
            <w:shd w:val="clear" w:color="auto" w:fill="auto"/>
          </w:tcPr>
          <w:p w14:paraId="55F43C3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臂托和手柄高度调节</w:t>
            </w:r>
          </w:p>
        </w:tc>
        <w:tc>
          <w:tcPr>
            <w:tcW w:w="4003" w:type="dxa"/>
            <w:shd w:val="clear" w:color="auto" w:fill="auto"/>
          </w:tcPr>
          <w:p w14:paraId="71C44EA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0D8A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388318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1.5.4</w:t>
            </w:r>
          </w:p>
        </w:tc>
        <w:tc>
          <w:tcPr>
            <w:tcW w:w="4093" w:type="dxa"/>
            <w:shd w:val="clear" w:color="auto" w:fill="auto"/>
          </w:tcPr>
          <w:p w14:paraId="35A5BDF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脚踏深浅调节</w:t>
            </w:r>
          </w:p>
        </w:tc>
        <w:tc>
          <w:tcPr>
            <w:tcW w:w="4003" w:type="dxa"/>
            <w:shd w:val="clear" w:color="auto" w:fill="auto"/>
          </w:tcPr>
          <w:p w14:paraId="4CAD5AD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06CF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34FBC9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4093" w:type="dxa"/>
            <w:shd w:val="clear" w:color="auto" w:fill="auto"/>
          </w:tcPr>
          <w:p w14:paraId="5B36D33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视频音频连接</w:t>
            </w:r>
          </w:p>
        </w:tc>
        <w:tc>
          <w:tcPr>
            <w:tcW w:w="4003" w:type="dxa"/>
            <w:shd w:val="clear" w:color="auto" w:fill="auto"/>
          </w:tcPr>
          <w:p w14:paraId="1E965E5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9A5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680C199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w:t>
            </w:r>
          </w:p>
        </w:tc>
        <w:tc>
          <w:tcPr>
            <w:tcW w:w="4093" w:type="dxa"/>
            <w:shd w:val="clear" w:color="auto" w:fill="auto"/>
          </w:tcPr>
          <w:p w14:paraId="79C6141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视频输入/输出端口</w:t>
            </w:r>
          </w:p>
        </w:tc>
        <w:tc>
          <w:tcPr>
            <w:tcW w:w="4003" w:type="dxa"/>
            <w:shd w:val="clear" w:color="auto" w:fill="auto"/>
          </w:tcPr>
          <w:p w14:paraId="040B99B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≥2组</w:t>
            </w:r>
          </w:p>
        </w:tc>
      </w:tr>
      <w:tr w14:paraId="0013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F8EDB3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w:t>
            </w:r>
          </w:p>
        </w:tc>
        <w:tc>
          <w:tcPr>
            <w:tcW w:w="4093" w:type="dxa"/>
            <w:shd w:val="clear" w:color="auto" w:fill="auto"/>
          </w:tcPr>
          <w:p w14:paraId="5E1BE14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音频输入/输出</w:t>
            </w:r>
          </w:p>
        </w:tc>
        <w:tc>
          <w:tcPr>
            <w:tcW w:w="4003" w:type="dxa"/>
            <w:shd w:val="clear" w:color="auto" w:fill="auto"/>
          </w:tcPr>
          <w:p w14:paraId="02362B6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23FE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8C3A68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4093" w:type="dxa"/>
            <w:shd w:val="clear" w:color="auto" w:fill="auto"/>
            <w:vAlign w:val="bottom"/>
          </w:tcPr>
          <w:p w14:paraId="2DCC936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能量控制</w:t>
            </w:r>
          </w:p>
        </w:tc>
        <w:tc>
          <w:tcPr>
            <w:tcW w:w="4003" w:type="dxa"/>
            <w:shd w:val="clear" w:color="auto" w:fill="auto"/>
          </w:tcPr>
          <w:p w14:paraId="3D755C27">
            <w:pPr>
              <w:widowControl/>
              <w:snapToGrid w:val="0"/>
              <w:jc w:val="left"/>
              <w:rPr>
                <w:rFonts w:hint="eastAsia" w:ascii="宋体" w:hAnsi="宋体" w:eastAsia="宋体" w:cs="宋体"/>
                <w:color w:val="auto"/>
                <w:kern w:val="0"/>
                <w:sz w:val="24"/>
                <w:szCs w:val="24"/>
              </w:rPr>
            </w:pPr>
          </w:p>
        </w:tc>
      </w:tr>
      <w:tr w14:paraId="491C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80B93C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1.7.1</w:t>
            </w:r>
          </w:p>
        </w:tc>
        <w:tc>
          <w:tcPr>
            <w:tcW w:w="4093" w:type="dxa"/>
            <w:shd w:val="clear" w:color="auto" w:fill="auto"/>
            <w:vAlign w:val="bottom"/>
          </w:tcPr>
          <w:p w14:paraId="690BCEE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主刀医生可以通过医生控制台的触摸控制面板设置和调节高频电刀的能量</w:t>
            </w:r>
          </w:p>
        </w:tc>
        <w:tc>
          <w:tcPr>
            <w:tcW w:w="4003" w:type="dxa"/>
            <w:shd w:val="clear" w:color="auto" w:fill="auto"/>
          </w:tcPr>
          <w:p w14:paraId="5B629F6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w:t>
            </w:r>
          </w:p>
        </w:tc>
      </w:tr>
      <w:tr w14:paraId="47ED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FD9327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1.7.2</w:t>
            </w:r>
          </w:p>
        </w:tc>
        <w:tc>
          <w:tcPr>
            <w:tcW w:w="4093" w:type="dxa"/>
            <w:shd w:val="clear" w:color="auto" w:fill="auto"/>
            <w:vAlign w:val="bottom"/>
          </w:tcPr>
          <w:p w14:paraId="1193CB0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主刀医生可以通过医生控制台的触摸控制面板设置应用预设</w:t>
            </w:r>
          </w:p>
        </w:tc>
        <w:tc>
          <w:tcPr>
            <w:tcW w:w="4003" w:type="dxa"/>
            <w:shd w:val="clear" w:color="auto" w:fill="auto"/>
          </w:tcPr>
          <w:p w14:paraId="4BB3A88C">
            <w:pPr>
              <w:rPr>
                <w:rFonts w:hint="eastAsia" w:ascii="宋体" w:hAnsi="宋体" w:eastAsia="宋体" w:cs="宋体"/>
                <w:color w:val="auto"/>
                <w:sz w:val="24"/>
                <w:szCs w:val="24"/>
              </w:rPr>
            </w:pPr>
            <w:r>
              <w:rPr>
                <w:rFonts w:hint="eastAsia" w:ascii="宋体" w:hAnsi="宋体" w:eastAsia="宋体" w:cs="宋体"/>
                <w:color w:val="auto"/>
                <w:kern w:val="0"/>
                <w:sz w:val="24"/>
                <w:szCs w:val="24"/>
              </w:rPr>
              <w:t>具备</w:t>
            </w:r>
          </w:p>
        </w:tc>
      </w:tr>
      <w:tr w14:paraId="04AD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F392DA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1.7.3</w:t>
            </w:r>
          </w:p>
        </w:tc>
        <w:tc>
          <w:tcPr>
            <w:tcW w:w="4093" w:type="dxa"/>
            <w:shd w:val="clear" w:color="auto" w:fill="auto"/>
            <w:vAlign w:val="bottom"/>
          </w:tcPr>
          <w:p w14:paraId="63465C0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主刀医生可以通过医生控制台的触控面板分别设置带有能量器械臂的能量值</w:t>
            </w:r>
          </w:p>
        </w:tc>
        <w:tc>
          <w:tcPr>
            <w:tcW w:w="4003" w:type="dxa"/>
            <w:shd w:val="clear" w:color="auto" w:fill="auto"/>
          </w:tcPr>
          <w:p w14:paraId="48B80907">
            <w:pPr>
              <w:rPr>
                <w:rFonts w:hint="eastAsia" w:ascii="宋体" w:hAnsi="宋体" w:eastAsia="宋体" w:cs="宋体"/>
                <w:color w:val="auto"/>
                <w:sz w:val="24"/>
                <w:szCs w:val="24"/>
              </w:rPr>
            </w:pPr>
            <w:r>
              <w:rPr>
                <w:rFonts w:hint="eastAsia" w:ascii="宋体" w:hAnsi="宋体" w:eastAsia="宋体" w:cs="宋体"/>
                <w:color w:val="auto"/>
                <w:kern w:val="0"/>
                <w:sz w:val="24"/>
                <w:szCs w:val="24"/>
              </w:rPr>
              <w:t>具备</w:t>
            </w:r>
          </w:p>
        </w:tc>
      </w:tr>
      <w:tr w14:paraId="7025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C7DB66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1.7.4</w:t>
            </w:r>
          </w:p>
        </w:tc>
        <w:tc>
          <w:tcPr>
            <w:tcW w:w="4093" w:type="dxa"/>
            <w:shd w:val="clear" w:color="auto" w:fill="auto"/>
            <w:vAlign w:val="bottom"/>
          </w:tcPr>
          <w:p w14:paraId="5E9555B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主刀医生可以通过医生控制台的触控面板分别设置带有能量器械臂的功率限制</w:t>
            </w:r>
          </w:p>
        </w:tc>
        <w:tc>
          <w:tcPr>
            <w:tcW w:w="4003" w:type="dxa"/>
            <w:shd w:val="clear" w:color="auto" w:fill="auto"/>
          </w:tcPr>
          <w:p w14:paraId="05E216AE">
            <w:pPr>
              <w:rPr>
                <w:rFonts w:hint="eastAsia" w:ascii="宋体" w:hAnsi="宋体" w:eastAsia="宋体" w:cs="宋体"/>
                <w:color w:val="auto"/>
                <w:sz w:val="24"/>
                <w:szCs w:val="24"/>
              </w:rPr>
            </w:pPr>
            <w:r>
              <w:rPr>
                <w:rFonts w:hint="eastAsia" w:ascii="宋体" w:hAnsi="宋体" w:eastAsia="宋体" w:cs="宋体"/>
                <w:color w:val="auto"/>
                <w:kern w:val="0"/>
                <w:sz w:val="24"/>
                <w:szCs w:val="24"/>
              </w:rPr>
              <w:t>具备</w:t>
            </w:r>
          </w:p>
        </w:tc>
      </w:tr>
      <w:tr w14:paraId="567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3E194D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093" w:type="dxa"/>
            <w:shd w:val="clear" w:color="auto" w:fill="auto"/>
          </w:tcPr>
          <w:p w14:paraId="4A7845B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患者手术平台</w:t>
            </w:r>
          </w:p>
        </w:tc>
        <w:tc>
          <w:tcPr>
            <w:tcW w:w="4003" w:type="dxa"/>
            <w:shd w:val="clear" w:color="auto" w:fill="auto"/>
          </w:tcPr>
          <w:p w14:paraId="6E5D1CB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8E9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2FADD20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4093" w:type="dxa"/>
            <w:shd w:val="clear" w:color="auto" w:fill="auto"/>
          </w:tcPr>
          <w:p w14:paraId="6B0D97A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机械臂</w:t>
            </w:r>
          </w:p>
        </w:tc>
        <w:tc>
          <w:tcPr>
            <w:tcW w:w="4003" w:type="dxa"/>
            <w:shd w:val="clear" w:color="auto" w:fill="auto"/>
          </w:tcPr>
          <w:p w14:paraId="7DAAEEF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477D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2ED00D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2.1.1</w:t>
            </w:r>
          </w:p>
        </w:tc>
        <w:tc>
          <w:tcPr>
            <w:tcW w:w="4093" w:type="dxa"/>
            <w:shd w:val="clear" w:color="auto" w:fill="auto"/>
          </w:tcPr>
          <w:p w14:paraId="373D724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机械臂数量</w:t>
            </w:r>
          </w:p>
        </w:tc>
        <w:tc>
          <w:tcPr>
            <w:tcW w:w="4003" w:type="dxa"/>
            <w:shd w:val="clear" w:color="auto" w:fill="auto"/>
          </w:tcPr>
          <w:p w14:paraId="142A214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≥4条</w:t>
            </w:r>
          </w:p>
        </w:tc>
      </w:tr>
      <w:tr w14:paraId="0CE1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36E60F5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2.1.2</w:t>
            </w:r>
          </w:p>
        </w:tc>
        <w:tc>
          <w:tcPr>
            <w:tcW w:w="4093" w:type="dxa"/>
            <w:shd w:val="clear" w:color="auto" w:fill="auto"/>
          </w:tcPr>
          <w:p w14:paraId="3C1958D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通用机械臂</w:t>
            </w:r>
          </w:p>
        </w:tc>
        <w:tc>
          <w:tcPr>
            <w:tcW w:w="4003" w:type="dxa"/>
            <w:shd w:val="clear" w:color="auto" w:fill="auto"/>
          </w:tcPr>
          <w:p w14:paraId="2A78ADC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每条机械臂都可安装并识别内窥镜及手术器械</w:t>
            </w:r>
          </w:p>
        </w:tc>
      </w:tr>
      <w:tr w14:paraId="17C2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6F813E9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2.1.3</w:t>
            </w:r>
          </w:p>
        </w:tc>
        <w:tc>
          <w:tcPr>
            <w:tcW w:w="4093" w:type="dxa"/>
            <w:shd w:val="clear" w:color="auto" w:fill="auto"/>
          </w:tcPr>
          <w:p w14:paraId="6CF1E7B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术中实现内窥镜通道切换</w:t>
            </w:r>
          </w:p>
        </w:tc>
        <w:tc>
          <w:tcPr>
            <w:tcW w:w="4003" w:type="dxa"/>
            <w:shd w:val="clear" w:color="auto" w:fill="auto"/>
          </w:tcPr>
          <w:p w14:paraId="23BBA27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术中不需要更换与腹壁连接的套管，即可实现内窥镜切换到其他机械臂使用</w:t>
            </w:r>
          </w:p>
        </w:tc>
      </w:tr>
      <w:tr w14:paraId="7AE8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13" w:type="dxa"/>
            <w:shd w:val="clear" w:color="auto" w:fill="auto"/>
          </w:tcPr>
          <w:p w14:paraId="632F516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2.1.4</w:t>
            </w:r>
          </w:p>
        </w:tc>
        <w:tc>
          <w:tcPr>
            <w:tcW w:w="4093" w:type="dxa"/>
            <w:shd w:val="clear" w:color="auto" w:fill="auto"/>
          </w:tcPr>
          <w:p w14:paraId="6FDBEA7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术中实现牵拉臂位置改变</w:t>
            </w:r>
          </w:p>
        </w:tc>
        <w:tc>
          <w:tcPr>
            <w:tcW w:w="4003" w:type="dxa"/>
            <w:shd w:val="clear" w:color="auto" w:fill="auto"/>
          </w:tcPr>
          <w:p w14:paraId="1CB0E8F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术中不需要更换与腹壁连接的套管，即可将最左或最右侧的牵拉臂切换到对侧的最外侧</w:t>
            </w:r>
          </w:p>
        </w:tc>
      </w:tr>
      <w:tr w14:paraId="3278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73840D2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2.1.5</w:t>
            </w:r>
          </w:p>
        </w:tc>
        <w:tc>
          <w:tcPr>
            <w:tcW w:w="4093" w:type="dxa"/>
            <w:shd w:val="clear" w:color="auto" w:fill="auto"/>
          </w:tcPr>
          <w:p w14:paraId="7B6D207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机械臂LED指示灯</w:t>
            </w:r>
          </w:p>
        </w:tc>
        <w:tc>
          <w:tcPr>
            <w:tcW w:w="4003" w:type="dxa"/>
            <w:shd w:val="clear" w:color="auto" w:fill="auto"/>
          </w:tcPr>
          <w:p w14:paraId="3860785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提供，每条器械臂≥4个</w:t>
            </w:r>
          </w:p>
        </w:tc>
      </w:tr>
      <w:tr w14:paraId="6521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224A62E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2.1.6</w:t>
            </w:r>
          </w:p>
        </w:tc>
        <w:tc>
          <w:tcPr>
            <w:tcW w:w="4093" w:type="dxa"/>
            <w:shd w:val="clear" w:color="auto" w:fill="auto"/>
          </w:tcPr>
          <w:p w14:paraId="3B9E259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机械臂LED指示灯状态</w:t>
            </w:r>
          </w:p>
        </w:tc>
        <w:tc>
          <w:tcPr>
            <w:tcW w:w="4003" w:type="dxa"/>
            <w:shd w:val="clear" w:color="auto" w:fill="auto"/>
          </w:tcPr>
          <w:p w14:paraId="6F55435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7种</w:t>
            </w:r>
          </w:p>
        </w:tc>
      </w:tr>
      <w:tr w14:paraId="787D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3" w:type="dxa"/>
            <w:shd w:val="clear" w:color="auto" w:fill="auto"/>
          </w:tcPr>
          <w:p w14:paraId="38A9BAF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2.1.7</w:t>
            </w:r>
          </w:p>
        </w:tc>
        <w:tc>
          <w:tcPr>
            <w:tcW w:w="4093" w:type="dxa"/>
            <w:shd w:val="clear" w:color="auto" w:fill="auto"/>
          </w:tcPr>
          <w:p w14:paraId="6C149FA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吊杆LED指示灯状态</w:t>
            </w:r>
          </w:p>
        </w:tc>
        <w:tc>
          <w:tcPr>
            <w:tcW w:w="4003" w:type="dxa"/>
            <w:shd w:val="clear" w:color="auto" w:fill="auto"/>
          </w:tcPr>
          <w:p w14:paraId="5149853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5种</w:t>
            </w:r>
          </w:p>
        </w:tc>
      </w:tr>
      <w:tr w14:paraId="38BC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30267B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2.1.8</w:t>
            </w:r>
          </w:p>
        </w:tc>
        <w:tc>
          <w:tcPr>
            <w:tcW w:w="4093" w:type="dxa"/>
            <w:shd w:val="clear" w:color="auto" w:fill="auto"/>
          </w:tcPr>
          <w:p w14:paraId="3C93640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对接提示</w:t>
            </w:r>
          </w:p>
        </w:tc>
        <w:tc>
          <w:tcPr>
            <w:tcW w:w="4003" w:type="dxa"/>
            <w:shd w:val="clear" w:color="auto" w:fill="auto"/>
          </w:tcPr>
          <w:p w14:paraId="1D9293E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具备提示音、提示灯及提示画面</w:t>
            </w:r>
          </w:p>
        </w:tc>
      </w:tr>
      <w:tr w14:paraId="4C4B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638135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4093" w:type="dxa"/>
            <w:shd w:val="clear" w:color="auto" w:fill="auto"/>
          </w:tcPr>
          <w:p w14:paraId="10BFF0B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控制舵</w:t>
            </w:r>
          </w:p>
        </w:tc>
        <w:tc>
          <w:tcPr>
            <w:tcW w:w="4003" w:type="dxa"/>
            <w:shd w:val="clear" w:color="auto" w:fill="auto"/>
          </w:tcPr>
          <w:p w14:paraId="1D44BC9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260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770615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2.2.1</w:t>
            </w:r>
          </w:p>
        </w:tc>
        <w:tc>
          <w:tcPr>
            <w:tcW w:w="4093" w:type="dxa"/>
            <w:shd w:val="clear" w:color="auto" w:fill="auto"/>
          </w:tcPr>
          <w:p w14:paraId="62142CA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控制舵触摸板</w:t>
            </w:r>
          </w:p>
        </w:tc>
        <w:tc>
          <w:tcPr>
            <w:tcW w:w="4003" w:type="dxa"/>
            <w:shd w:val="clear" w:color="auto" w:fill="auto"/>
          </w:tcPr>
          <w:p w14:paraId="6709B92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4DDF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28163A8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2.2.2</w:t>
            </w:r>
          </w:p>
        </w:tc>
        <w:tc>
          <w:tcPr>
            <w:tcW w:w="4093" w:type="dxa"/>
            <w:shd w:val="clear" w:color="auto" w:fill="auto"/>
          </w:tcPr>
          <w:p w14:paraId="34985F4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触控面板可设置向导解剖位置</w:t>
            </w:r>
          </w:p>
        </w:tc>
        <w:tc>
          <w:tcPr>
            <w:tcW w:w="4003" w:type="dxa"/>
            <w:shd w:val="clear" w:color="auto" w:fill="auto"/>
          </w:tcPr>
          <w:p w14:paraId="66105D3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≥6种</w:t>
            </w:r>
          </w:p>
        </w:tc>
      </w:tr>
      <w:tr w14:paraId="4103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CBB37F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2.2.2.1</w:t>
            </w:r>
          </w:p>
        </w:tc>
        <w:tc>
          <w:tcPr>
            <w:tcW w:w="4093" w:type="dxa"/>
            <w:shd w:val="clear" w:color="auto" w:fill="auto"/>
            <w:vAlign w:val="center"/>
          </w:tcPr>
          <w:p w14:paraId="700AD42D">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心脏外科解剖学引导功能</w:t>
            </w:r>
          </w:p>
        </w:tc>
        <w:tc>
          <w:tcPr>
            <w:tcW w:w="4003" w:type="dxa"/>
            <w:shd w:val="clear" w:color="auto" w:fill="auto"/>
          </w:tcPr>
          <w:p w14:paraId="5357E05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w:t>
            </w:r>
          </w:p>
        </w:tc>
      </w:tr>
      <w:tr w14:paraId="5B97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C3667CE">
            <w:pPr>
              <w:rPr>
                <w:rFonts w:hint="eastAsia" w:ascii="宋体" w:hAnsi="宋体" w:eastAsia="宋体" w:cs="宋体"/>
                <w:color w:val="auto"/>
                <w:sz w:val="24"/>
                <w:szCs w:val="24"/>
              </w:rPr>
            </w:pPr>
            <w:r>
              <w:rPr>
                <w:rFonts w:hint="eastAsia" w:ascii="宋体" w:hAnsi="宋体" w:eastAsia="宋体" w:cs="宋体"/>
                <w:color w:val="auto"/>
                <w:kern w:val="0"/>
                <w:sz w:val="24"/>
                <w:szCs w:val="24"/>
              </w:rPr>
              <w:t>2.2.2.2</w:t>
            </w:r>
          </w:p>
        </w:tc>
        <w:tc>
          <w:tcPr>
            <w:tcW w:w="4093" w:type="dxa"/>
            <w:shd w:val="clear" w:color="auto" w:fill="auto"/>
            <w:vAlign w:val="center"/>
          </w:tcPr>
          <w:p w14:paraId="217BE62E">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胸腔解剖学引导功能</w:t>
            </w:r>
          </w:p>
        </w:tc>
        <w:tc>
          <w:tcPr>
            <w:tcW w:w="4003" w:type="dxa"/>
            <w:shd w:val="clear" w:color="auto" w:fill="auto"/>
          </w:tcPr>
          <w:p w14:paraId="114D658F">
            <w:pPr>
              <w:rPr>
                <w:rFonts w:hint="eastAsia" w:ascii="宋体" w:hAnsi="宋体" w:eastAsia="宋体" w:cs="宋体"/>
                <w:color w:val="auto"/>
                <w:sz w:val="24"/>
                <w:szCs w:val="24"/>
              </w:rPr>
            </w:pPr>
            <w:r>
              <w:rPr>
                <w:rFonts w:hint="eastAsia" w:ascii="宋体" w:hAnsi="宋体" w:eastAsia="宋体" w:cs="宋体"/>
                <w:color w:val="auto"/>
                <w:kern w:val="0"/>
                <w:sz w:val="24"/>
                <w:szCs w:val="24"/>
              </w:rPr>
              <w:t>具备</w:t>
            </w:r>
          </w:p>
        </w:tc>
      </w:tr>
      <w:tr w14:paraId="31AE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63EA4F7D">
            <w:pPr>
              <w:rPr>
                <w:rFonts w:hint="eastAsia" w:ascii="宋体" w:hAnsi="宋体" w:eastAsia="宋体" w:cs="宋体"/>
                <w:color w:val="auto"/>
                <w:sz w:val="24"/>
                <w:szCs w:val="24"/>
              </w:rPr>
            </w:pPr>
            <w:r>
              <w:rPr>
                <w:rFonts w:hint="eastAsia" w:ascii="宋体" w:hAnsi="宋体" w:eastAsia="宋体" w:cs="宋体"/>
                <w:color w:val="auto"/>
                <w:kern w:val="0"/>
                <w:sz w:val="24"/>
                <w:szCs w:val="24"/>
              </w:rPr>
              <w:t>2.2.2.3</w:t>
            </w:r>
          </w:p>
        </w:tc>
        <w:tc>
          <w:tcPr>
            <w:tcW w:w="4093" w:type="dxa"/>
            <w:shd w:val="clear" w:color="auto" w:fill="auto"/>
            <w:vAlign w:val="center"/>
          </w:tcPr>
          <w:p w14:paraId="12A4D18C">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上腹部解剖学引导功能</w:t>
            </w:r>
          </w:p>
        </w:tc>
        <w:tc>
          <w:tcPr>
            <w:tcW w:w="4003" w:type="dxa"/>
            <w:shd w:val="clear" w:color="auto" w:fill="auto"/>
          </w:tcPr>
          <w:p w14:paraId="704CDA30">
            <w:pPr>
              <w:rPr>
                <w:rFonts w:hint="eastAsia" w:ascii="宋体" w:hAnsi="宋体" w:eastAsia="宋体" w:cs="宋体"/>
                <w:color w:val="auto"/>
                <w:sz w:val="24"/>
                <w:szCs w:val="24"/>
              </w:rPr>
            </w:pPr>
            <w:r>
              <w:rPr>
                <w:rFonts w:hint="eastAsia" w:ascii="宋体" w:hAnsi="宋体" w:eastAsia="宋体" w:cs="宋体"/>
                <w:color w:val="auto"/>
                <w:kern w:val="0"/>
                <w:sz w:val="24"/>
                <w:szCs w:val="24"/>
              </w:rPr>
              <w:t>具备</w:t>
            </w:r>
          </w:p>
        </w:tc>
      </w:tr>
      <w:tr w14:paraId="09BD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25EA6B5">
            <w:pPr>
              <w:rPr>
                <w:rFonts w:hint="eastAsia" w:ascii="宋体" w:hAnsi="宋体" w:eastAsia="宋体" w:cs="宋体"/>
                <w:color w:val="auto"/>
                <w:sz w:val="24"/>
                <w:szCs w:val="24"/>
              </w:rPr>
            </w:pPr>
            <w:r>
              <w:rPr>
                <w:rFonts w:hint="eastAsia" w:ascii="宋体" w:hAnsi="宋体" w:eastAsia="宋体" w:cs="宋体"/>
                <w:color w:val="auto"/>
                <w:kern w:val="0"/>
                <w:sz w:val="24"/>
                <w:szCs w:val="24"/>
              </w:rPr>
              <w:t>2.2.2.4</w:t>
            </w:r>
          </w:p>
        </w:tc>
        <w:tc>
          <w:tcPr>
            <w:tcW w:w="4093" w:type="dxa"/>
            <w:shd w:val="clear" w:color="auto" w:fill="auto"/>
            <w:vAlign w:val="center"/>
          </w:tcPr>
          <w:p w14:paraId="042A81E9">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下腹部解剖学引导功能</w:t>
            </w:r>
          </w:p>
        </w:tc>
        <w:tc>
          <w:tcPr>
            <w:tcW w:w="4003" w:type="dxa"/>
            <w:shd w:val="clear" w:color="auto" w:fill="auto"/>
          </w:tcPr>
          <w:p w14:paraId="3FA858B8">
            <w:pPr>
              <w:rPr>
                <w:rFonts w:hint="eastAsia" w:ascii="宋体" w:hAnsi="宋体" w:eastAsia="宋体" w:cs="宋体"/>
                <w:color w:val="auto"/>
                <w:sz w:val="24"/>
                <w:szCs w:val="24"/>
              </w:rPr>
            </w:pPr>
            <w:r>
              <w:rPr>
                <w:rFonts w:hint="eastAsia" w:ascii="宋体" w:hAnsi="宋体" w:eastAsia="宋体" w:cs="宋体"/>
                <w:color w:val="auto"/>
                <w:kern w:val="0"/>
                <w:sz w:val="24"/>
                <w:szCs w:val="24"/>
              </w:rPr>
              <w:t>具备</w:t>
            </w:r>
          </w:p>
        </w:tc>
      </w:tr>
      <w:tr w14:paraId="4D42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2CA8F9C2">
            <w:pPr>
              <w:rPr>
                <w:rFonts w:hint="eastAsia" w:ascii="宋体" w:hAnsi="宋体" w:eastAsia="宋体" w:cs="宋体"/>
                <w:color w:val="auto"/>
                <w:sz w:val="24"/>
                <w:szCs w:val="24"/>
              </w:rPr>
            </w:pPr>
            <w:r>
              <w:rPr>
                <w:rFonts w:hint="eastAsia" w:ascii="宋体" w:hAnsi="宋体" w:eastAsia="宋体" w:cs="宋体"/>
                <w:color w:val="auto"/>
                <w:kern w:val="0"/>
                <w:sz w:val="24"/>
                <w:szCs w:val="24"/>
              </w:rPr>
              <w:t>2.2.2.5</w:t>
            </w:r>
          </w:p>
        </w:tc>
        <w:tc>
          <w:tcPr>
            <w:tcW w:w="4093" w:type="dxa"/>
            <w:shd w:val="clear" w:color="auto" w:fill="auto"/>
            <w:vAlign w:val="center"/>
          </w:tcPr>
          <w:p w14:paraId="4CE5B3DB">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肾脏结构学引导功能</w:t>
            </w:r>
          </w:p>
        </w:tc>
        <w:tc>
          <w:tcPr>
            <w:tcW w:w="4003" w:type="dxa"/>
            <w:shd w:val="clear" w:color="auto" w:fill="auto"/>
          </w:tcPr>
          <w:p w14:paraId="2B9A1EEE">
            <w:pPr>
              <w:rPr>
                <w:rFonts w:hint="eastAsia" w:ascii="宋体" w:hAnsi="宋体" w:eastAsia="宋体" w:cs="宋体"/>
                <w:color w:val="auto"/>
                <w:sz w:val="24"/>
                <w:szCs w:val="24"/>
              </w:rPr>
            </w:pPr>
            <w:r>
              <w:rPr>
                <w:rFonts w:hint="eastAsia" w:ascii="宋体" w:hAnsi="宋体" w:eastAsia="宋体" w:cs="宋体"/>
                <w:color w:val="auto"/>
                <w:kern w:val="0"/>
                <w:sz w:val="24"/>
                <w:szCs w:val="24"/>
              </w:rPr>
              <w:t>具备</w:t>
            </w:r>
          </w:p>
        </w:tc>
      </w:tr>
      <w:tr w14:paraId="4DE4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BE94BA0">
            <w:pPr>
              <w:rPr>
                <w:rFonts w:hint="eastAsia" w:ascii="宋体" w:hAnsi="宋体" w:eastAsia="宋体" w:cs="宋体"/>
                <w:color w:val="auto"/>
                <w:sz w:val="24"/>
                <w:szCs w:val="24"/>
              </w:rPr>
            </w:pPr>
            <w:r>
              <w:rPr>
                <w:rFonts w:hint="eastAsia" w:ascii="宋体" w:hAnsi="宋体" w:eastAsia="宋体" w:cs="宋体"/>
                <w:color w:val="auto"/>
                <w:kern w:val="0"/>
                <w:sz w:val="24"/>
                <w:szCs w:val="24"/>
              </w:rPr>
              <w:t>2.2.2.6</w:t>
            </w:r>
          </w:p>
        </w:tc>
        <w:tc>
          <w:tcPr>
            <w:tcW w:w="4093" w:type="dxa"/>
            <w:shd w:val="clear" w:color="auto" w:fill="auto"/>
            <w:vAlign w:val="center"/>
          </w:tcPr>
          <w:p w14:paraId="2CCE6721">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盆腔解剖学引导功能</w:t>
            </w:r>
          </w:p>
        </w:tc>
        <w:tc>
          <w:tcPr>
            <w:tcW w:w="4003" w:type="dxa"/>
            <w:shd w:val="clear" w:color="auto" w:fill="auto"/>
          </w:tcPr>
          <w:p w14:paraId="6D762CA7">
            <w:pPr>
              <w:rPr>
                <w:rFonts w:hint="eastAsia" w:ascii="宋体" w:hAnsi="宋体" w:eastAsia="宋体" w:cs="宋体"/>
                <w:color w:val="auto"/>
                <w:sz w:val="24"/>
                <w:szCs w:val="24"/>
              </w:rPr>
            </w:pPr>
            <w:r>
              <w:rPr>
                <w:rFonts w:hint="eastAsia" w:ascii="宋体" w:hAnsi="宋体" w:eastAsia="宋体" w:cs="宋体"/>
                <w:color w:val="auto"/>
                <w:kern w:val="0"/>
                <w:sz w:val="24"/>
                <w:szCs w:val="24"/>
              </w:rPr>
              <w:t>具备</w:t>
            </w:r>
          </w:p>
        </w:tc>
      </w:tr>
      <w:tr w14:paraId="5FCE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74256AC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2.2.3</w:t>
            </w:r>
          </w:p>
        </w:tc>
        <w:tc>
          <w:tcPr>
            <w:tcW w:w="4093" w:type="dxa"/>
            <w:shd w:val="clear" w:color="auto" w:fill="auto"/>
          </w:tcPr>
          <w:p w14:paraId="6D34DD4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触控面板可设置向导路径选择</w:t>
            </w:r>
          </w:p>
        </w:tc>
        <w:tc>
          <w:tcPr>
            <w:tcW w:w="4003" w:type="dxa"/>
            <w:shd w:val="clear" w:color="auto" w:fill="auto"/>
          </w:tcPr>
          <w:p w14:paraId="52E8404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≥3种患者手术平台基本位置，13种手术路径</w:t>
            </w:r>
          </w:p>
        </w:tc>
      </w:tr>
      <w:tr w14:paraId="28E1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5FC2336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2.2.3.1</w:t>
            </w:r>
          </w:p>
        </w:tc>
        <w:tc>
          <w:tcPr>
            <w:tcW w:w="4093" w:type="dxa"/>
            <w:shd w:val="clear" w:color="auto" w:fill="auto"/>
            <w:vAlign w:val="center"/>
          </w:tcPr>
          <w:p w14:paraId="05E2AE3D">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头部引导路径选择</w:t>
            </w:r>
          </w:p>
        </w:tc>
        <w:tc>
          <w:tcPr>
            <w:tcW w:w="4003" w:type="dxa"/>
            <w:shd w:val="clear" w:color="auto" w:fill="auto"/>
            <w:vAlign w:val="center"/>
          </w:tcPr>
          <w:p w14:paraId="6205354D">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14:paraId="417F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1C24985D">
            <w:pPr>
              <w:rPr>
                <w:rFonts w:hint="eastAsia" w:ascii="宋体" w:hAnsi="宋体" w:eastAsia="宋体" w:cs="宋体"/>
                <w:color w:val="auto"/>
                <w:sz w:val="24"/>
                <w:szCs w:val="24"/>
              </w:rPr>
            </w:pPr>
            <w:r>
              <w:rPr>
                <w:rFonts w:hint="eastAsia" w:ascii="宋体" w:hAnsi="宋体" w:eastAsia="宋体" w:cs="宋体"/>
                <w:color w:val="auto"/>
                <w:kern w:val="0"/>
                <w:sz w:val="24"/>
                <w:szCs w:val="24"/>
              </w:rPr>
              <w:t>2.2.3.2</w:t>
            </w:r>
          </w:p>
        </w:tc>
        <w:tc>
          <w:tcPr>
            <w:tcW w:w="4093" w:type="dxa"/>
            <w:shd w:val="clear" w:color="auto" w:fill="auto"/>
            <w:vAlign w:val="center"/>
          </w:tcPr>
          <w:p w14:paraId="2CDD3E58">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足部引导路径选择</w:t>
            </w:r>
          </w:p>
        </w:tc>
        <w:tc>
          <w:tcPr>
            <w:tcW w:w="4003" w:type="dxa"/>
            <w:shd w:val="clear" w:color="auto" w:fill="auto"/>
            <w:vAlign w:val="center"/>
          </w:tcPr>
          <w:p w14:paraId="1FB5C995">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14:paraId="2EB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7874E31F">
            <w:pPr>
              <w:rPr>
                <w:rFonts w:hint="eastAsia" w:ascii="宋体" w:hAnsi="宋体" w:eastAsia="宋体" w:cs="宋体"/>
                <w:color w:val="auto"/>
                <w:sz w:val="24"/>
                <w:szCs w:val="24"/>
              </w:rPr>
            </w:pPr>
            <w:r>
              <w:rPr>
                <w:rFonts w:hint="eastAsia" w:ascii="宋体" w:hAnsi="宋体" w:eastAsia="宋体" w:cs="宋体"/>
                <w:color w:val="auto"/>
                <w:kern w:val="0"/>
                <w:sz w:val="24"/>
                <w:szCs w:val="24"/>
              </w:rPr>
              <w:t>2.2.3.3</w:t>
            </w:r>
          </w:p>
        </w:tc>
        <w:tc>
          <w:tcPr>
            <w:tcW w:w="4093" w:type="dxa"/>
            <w:shd w:val="clear" w:color="auto" w:fill="auto"/>
            <w:vAlign w:val="center"/>
          </w:tcPr>
          <w:p w14:paraId="36234010">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侧围引导路径选择</w:t>
            </w:r>
          </w:p>
        </w:tc>
        <w:tc>
          <w:tcPr>
            <w:tcW w:w="4003" w:type="dxa"/>
            <w:shd w:val="clear" w:color="auto" w:fill="auto"/>
            <w:vAlign w:val="center"/>
          </w:tcPr>
          <w:p w14:paraId="2FFA6E43">
            <w:pPr>
              <w:pStyle w:val="20"/>
              <w:spacing w:before="0" w:beforeAutospacing="0" w:after="0" w:afterAutospacing="0"/>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14:paraId="7C4A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AC3E1A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2.2.4</w:t>
            </w:r>
          </w:p>
        </w:tc>
        <w:tc>
          <w:tcPr>
            <w:tcW w:w="4093" w:type="dxa"/>
            <w:shd w:val="clear" w:color="auto" w:fill="auto"/>
          </w:tcPr>
          <w:p w14:paraId="1642C2E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吊杆位置控制器</w:t>
            </w:r>
          </w:p>
        </w:tc>
        <w:tc>
          <w:tcPr>
            <w:tcW w:w="4003" w:type="dxa"/>
            <w:shd w:val="clear" w:color="auto" w:fill="auto"/>
          </w:tcPr>
          <w:p w14:paraId="58AA30B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可一键调节吊杆伸缩、旋转、左右位置</w:t>
            </w:r>
          </w:p>
        </w:tc>
      </w:tr>
      <w:tr w14:paraId="75DE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660F82A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2.2.5</w:t>
            </w:r>
          </w:p>
        </w:tc>
        <w:tc>
          <w:tcPr>
            <w:tcW w:w="4093" w:type="dxa"/>
            <w:shd w:val="clear" w:color="auto" w:fill="auto"/>
          </w:tcPr>
          <w:p w14:paraId="5C66108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吊杆高度控制器</w:t>
            </w:r>
          </w:p>
        </w:tc>
        <w:tc>
          <w:tcPr>
            <w:tcW w:w="4003" w:type="dxa"/>
            <w:shd w:val="clear" w:color="auto" w:fill="auto"/>
          </w:tcPr>
          <w:p w14:paraId="4C9B502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7742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072B00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2.2.6</w:t>
            </w:r>
          </w:p>
        </w:tc>
        <w:tc>
          <w:tcPr>
            <w:tcW w:w="4093" w:type="dxa"/>
            <w:shd w:val="clear" w:color="auto" w:fill="auto"/>
          </w:tcPr>
          <w:p w14:paraId="34DFE3B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电池LED指示灯</w:t>
            </w:r>
          </w:p>
        </w:tc>
        <w:tc>
          <w:tcPr>
            <w:tcW w:w="4003" w:type="dxa"/>
            <w:shd w:val="clear" w:color="auto" w:fill="auto"/>
          </w:tcPr>
          <w:p w14:paraId="62BB836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1DF1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BB7B05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2.2.7</w:t>
            </w:r>
          </w:p>
        </w:tc>
        <w:tc>
          <w:tcPr>
            <w:tcW w:w="4093" w:type="dxa"/>
            <w:shd w:val="clear" w:color="auto" w:fill="auto"/>
          </w:tcPr>
          <w:p w14:paraId="5020F46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机械臂铺单完成后定向激光启动</w:t>
            </w:r>
          </w:p>
        </w:tc>
        <w:tc>
          <w:tcPr>
            <w:tcW w:w="4003" w:type="dxa"/>
            <w:shd w:val="clear" w:color="auto" w:fill="auto"/>
          </w:tcPr>
          <w:p w14:paraId="6122129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614C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89566A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2.2.8</w:t>
            </w:r>
          </w:p>
        </w:tc>
        <w:tc>
          <w:tcPr>
            <w:tcW w:w="4093" w:type="dxa"/>
            <w:shd w:val="clear" w:color="auto" w:fill="auto"/>
          </w:tcPr>
          <w:p w14:paraId="6152452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触控面板可设置智能一键无菌存放模式</w:t>
            </w:r>
          </w:p>
        </w:tc>
        <w:tc>
          <w:tcPr>
            <w:tcW w:w="4003" w:type="dxa"/>
            <w:shd w:val="clear" w:color="auto" w:fill="auto"/>
          </w:tcPr>
          <w:p w14:paraId="31F8A3D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0BD9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6F7F48A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2.2.9</w:t>
            </w:r>
          </w:p>
        </w:tc>
        <w:tc>
          <w:tcPr>
            <w:tcW w:w="4093" w:type="dxa"/>
            <w:shd w:val="clear" w:color="auto" w:fill="auto"/>
          </w:tcPr>
          <w:p w14:paraId="2ECB81B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触控面板可设置智能一键收纳模式</w:t>
            </w:r>
          </w:p>
        </w:tc>
        <w:tc>
          <w:tcPr>
            <w:tcW w:w="4003" w:type="dxa"/>
            <w:shd w:val="clear" w:color="auto" w:fill="auto"/>
          </w:tcPr>
          <w:p w14:paraId="0042F08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74DD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242F50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4093" w:type="dxa"/>
            <w:shd w:val="clear" w:color="auto" w:fill="auto"/>
          </w:tcPr>
          <w:p w14:paraId="239F950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其他功能</w:t>
            </w:r>
          </w:p>
        </w:tc>
        <w:tc>
          <w:tcPr>
            <w:tcW w:w="4003" w:type="dxa"/>
            <w:shd w:val="clear" w:color="auto" w:fill="auto"/>
          </w:tcPr>
          <w:p w14:paraId="43041AA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7EBA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19B195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2.3.1</w:t>
            </w:r>
          </w:p>
        </w:tc>
        <w:tc>
          <w:tcPr>
            <w:tcW w:w="4093" w:type="dxa"/>
            <w:shd w:val="clear" w:color="auto" w:fill="auto"/>
          </w:tcPr>
          <w:p w14:paraId="48FC7F9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机器抓握感应功能</w:t>
            </w:r>
          </w:p>
        </w:tc>
        <w:tc>
          <w:tcPr>
            <w:tcW w:w="4003" w:type="dxa"/>
            <w:shd w:val="clear" w:color="auto" w:fill="auto"/>
          </w:tcPr>
          <w:p w14:paraId="427E994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提供，术前准备时握住即可快速自由移动整个机械臂</w:t>
            </w:r>
          </w:p>
        </w:tc>
      </w:tr>
      <w:tr w14:paraId="5A42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39FCC4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2.3.2</w:t>
            </w:r>
          </w:p>
        </w:tc>
        <w:tc>
          <w:tcPr>
            <w:tcW w:w="4093" w:type="dxa"/>
            <w:shd w:val="clear" w:color="auto" w:fill="auto"/>
          </w:tcPr>
          <w:p w14:paraId="7EF6AB9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触控面板可设置目标定位功能</w:t>
            </w:r>
          </w:p>
        </w:tc>
        <w:tc>
          <w:tcPr>
            <w:tcW w:w="4003" w:type="dxa"/>
            <w:shd w:val="clear" w:color="auto" w:fill="auto"/>
          </w:tcPr>
          <w:p w14:paraId="73F290B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1B2F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1A12DD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093" w:type="dxa"/>
            <w:shd w:val="clear" w:color="auto" w:fill="auto"/>
          </w:tcPr>
          <w:p w14:paraId="57E5E4C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影像处理平台</w:t>
            </w:r>
          </w:p>
        </w:tc>
        <w:tc>
          <w:tcPr>
            <w:tcW w:w="4003" w:type="dxa"/>
            <w:shd w:val="clear" w:color="auto" w:fill="auto"/>
          </w:tcPr>
          <w:p w14:paraId="436A5B3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450D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7FC14AE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w:t>
            </w:r>
          </w:p>
        </w:tc>
        <w:tc>
          <w:tcPr>
            <w:tcW w:w="4093" w:type="dxa"/>
            <w:shd w:val="clear" w:color="auto" w:fill="auto"/>
          </w:tcPr>
          <w:p w14:paraId="4E24831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主体设备</w:t>
            </w:r>
          </w:p>
        </w:tc>
        <w:tc>
          <w:tcPr>
            <w:tcW w:w="4003" w:type="dxa"/>
            <w:shd w:val="clear" w:color="auto" w:fill="auto"/>
          </w:tcPr>
          <w:p w14:paraId="03E825A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4B2C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61357AA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3.1.1</w:t>
            </w:r>
          </w:p>
        </w:tc>
        <w:tc>
          <w:tcPr>
            <w:tcW w:w="4093" w:type="dxa"/>
            <w:shd w:val="clear" w:color="auto" w:fill="auto"/>
          </w:tcPr>
          <w:p w14:paraId="08EB2DB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视频处理器</w:t>
            </w:r>
          </w:p>
        </w:tc>
        <w:tc>
          <w:tcPr>
            <w:tcW w:w="4003" w:type="dxa"/>
            <w:shd w:val="clear" w:color="auto" w:fill="auto"/>
          </w:tcPr>
          <w:p w14:paraId="25E792E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提供多元化的影像处理平台，包含触摸式控制显示屏，具备系统参数调节、远程指导标记、能量平台参数预设等功能。</w:t>
            </w:r>
          </w:p>
          <w:p w14:paraId="0770A68B">
            <w:pPr>
              <w:widowControl/>
              <w:snapToGrid w:val="0"/>
              <w:jc w:val="left"/>
              <w:rPr>
                <w:rFonts w:hint="eastAsia" w:ascii="宋体" w:hAnsi="宋体" w:eastAsia="宋体" w:cs="宋体"/>
                <w:color w:val="auto"/>
                <w:kern w:val="0"/>
                <w:sz w:val="24"/>
                <w:szCs w:val="24"/>
              </w:rPr>
            </w:pPr>
          </w:p>
        </w:tc>
      </w:tr>
      <w:tr w14:paraId="077F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474C8DD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3.1.2</w:t>
            </w:r>
          </w:p>
        </w:tc>
        <w:tc>
          <w:tcPr>
            <w:tcW w:w="4093" w:type="dxa"/>
            <w:shd w:val="clear" w:color="auto" w:fill="auto"/>
          </w:tcPr>
          <w:p w14:paraId="6539F0E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术前部署吊杆、解剖位置和方法、安放铺单及无菌存放或对接患者手术平台提供视觉提示</w:t>
            </w:r>
          </w:p>
        </w:tc>
        <w:tc>
          <w:tcPr>
            <w:tcW w:w="4003" w:type="dxa"/>
            <w:shd w:val="clear" w:color="auto" w:fill="auto"/>
          </w:tcPr>
          <w:p w14:paraId="4BC4053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提供，可在触控屏中设置</w:t>
            </w:r>
          </w:p>
        </w:tc>
      </w:tr>
      <w:tr w14:paraId="39CF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BE7EC3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3.1.3</w:t>
            </w:r>
          </w:p>
        </w:tc>
        <w:tc>
          <w:tcPr>
            <w:tcW w:w="4093" w:type="dxa"/>
            <w:shd w:val="clear" w:color="auto" w:fill="auto"/>
          </w:tcPr>
          <w:p w14:paraId="79CF998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配置USB接口用于静态图像捕获存储</w:t>
            </w:r>
          </w:p>
        </w:tc>
        <w:tc>
          <w:tcPr>
            <w:tcW w:w="4003" w:type="dxa"/>
            <w:shd w:val="clear" w:color="auto" w:fill="auto"/>
          </w:tcPr>
          <w:p w14:paraId="4E9075E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捕捉方式≥3种，医生控制台，影像处理平台，内窥镜</w:t>
            </w:r>
          </w:p>
          <w:p w14:paraId="66D8BB7B">
            <w:pPr>
              <w:widowControl/>
              <w:snapToGrid w:val="0"/>
              <w:jc w:val="left"/>
              <w:rPr>
                <w:rFonts w:hint="eastAsia" w:ascii="宋体" w:hAnsi="宋体" w:eastAsia="宋体" w:cs="宋体"/>
                <w:color w:val="auto"/>
                <w:kern w:val="0"/>
                <w:sz w:val="24"/>
                <w:szCs w:val="24"/>
              </w:rPr>
            </w:pPr>
          </w:p>
        </w:tc>
      </w:tr>
      <w:tr w14:paraId="0CD7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A6B59E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3.1.4</w:t>
            </w:r>
          </w:p>
        </w:tc>
        <w:tc>
          <w:tcPr>
            <w:tcW w:w="4093" w:type="dxa"/>
            <w:shd w:val="clear" w:color="auto" w:fill="auto"/>
          </w:tcPr>
          <w:p w14:paraId="062DF08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内窥镜角度一键翻转功能</w:t>
            </w:r>
          </w:p>
        </w:tc>
        <w:tc>
          <w:tcPr>
            <w:tcW w:w="4003" w:type="dxa"/>
            <w:shd w:val="clear" w:color="auto" w:fill="auto"/>
          </w:tcPr>
          <w:p w14:paraId="340BF40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提供，可在触控屏中设置</w:t>
            </w:r>
          </w:p>
        </w:tc>
      </w:tr>
      <w:tr w14:paraId="6FD0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B94C89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w:t>
            </w:r>
          </w:p>
        </w:tc>
        <w:tc>
          <w:tcPr>
            <w:tcW w:w="4093" w:type="dxa"/>
            <w:shd w:val="clear" w:color="auto" w:fill="auto"/>
          </w:tcPr>
          <w:p w14:paraId="65BF8FA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触摸显示器</w:t>
            </w:r>
          </w:p>
        </w:tc>
        <w:tc>
          <w:tcPr>
            <w:tcW w:w="4003" w:type="dxa"/>
            <w:shd w:val="clear" w:color="auto" w:fill="auto"/>
          </w:tcPr>
          <w:p w14:paraId="1F87A66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0C9F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C3A36F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3.2.1</w:t>
            </w:r>
          </w:p>
        </w:tc>
        <w:tc>
          <w:tcPr>
            <w:tcW w:w="4093" w:type="dxa"/>
            <w:shd w:val="clear" w:color="auto" w:fill="auto"/>
          </w:tcPr>
          <w:p w14:paraId="3C53B4D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同步图像显示</w:t>
            </w:r>
          </w:p>
        </w:tc>
        <w:tc>
          <w:tcPr>
            <w:tcW w:w="4003" w:type="dxa"/>
            <w:shd w:val="clear" w:color="auto" w:fill="auto"/>
          </w:tcPr>
          <w:p w14:paraId="193335F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3B4A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3" w:type="dxa"/>
            <w:shd w:val="clear" w:color="auto" w:fill="auto"/>
          </w:tcPr>
          <w:p w14:paraId="2D07685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3.2.2</w:t>
            </w:r>
          </w:p>
        </w:tc>
        <w:tc>
          <w:tcPr>
            <w:tcW w:w="4093" w:type="dxa"/>
            <w:shd w:val="clear" w:color="auto" w:fill="auto"/>
          </w:tcPr>
          <w:p w14:paraId="368878E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远程注释功能</w:t>
            </w:r>
          </w:p>
        </w:tc>
        <w:tc>
          <w:tcPr>
            <w:tcW w:w="4003" w:type="dxa"/>
            <w:shd w:val="clear" w:color="auto" w:fill="auto"/>
          </w:tcPr>
          <w:p w14:paraId="6E287C8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可在图像处理平台触摸屏手绘有色线条，医生可同步在医生控制台内影像同步显示</w:t>
            </w:r>
          </w:p>
        </w:tc>
      </w:tr>
      <w:tr w14:paraId="7A0B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3" w:type="dxa"/>
            <w:shd w:val="clear" w:color="auto" w:fill="auto"/>
          </w:tcPr>
          <w:p w14:paraId="151719F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3.2.3</w:t>
            </w:r>
          </w:p>
        </w:tc>
        <w:tc>
          <w:tcPr>
            <w:tcW w:w="4093" w:type="dxa"/>
            <w:shd w:val="clear" w:color="auto" w:fill="auto"/>
          </w:tcPr>
          <w:p w14:paraId="3F77DEF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远程注释删除方式</w:t>
            </w:r>
          </w:p>
        </w:tc>
        <w:tc>
          <w:tcPr>
            <w:tcW w:w="4003" w:type="dxa"/>
            <w:shd w:val="clear" w:color="auto" w:fill="auto"/>
          </w:tcPr>
          <w:p w14:paraId="4295BE0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2种，医生控制台或图像车触摸屏</w:t>
            </w:r>
          </w:p>
        </w:tc>
      </w:tr>
      <w:tr w14:paraId="08DD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DFF835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3.2.4</w:t>
            </w:r>
          </w:p>
        </w:tc>
        <w:tc>
          <w:tcPr>
            <w:tcW w:w="4093" w:type="dxa"/>
            <w:shd w:val="clear" w:color="auto" w:fill="auto"/>
          </w:tcPr>
          <w:p w14:paraId="1CD12E7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内窥镜状态显示</w:t>
            </w:r>
          </w:p>
        </w:tc>
        <w:tc>
          <w:tcPr>
            <w:tcW w:w="4003" w:type="dxa"/>
            <w:shd w:val="clear" w:color="auto" w:fill="auto"/>
          </w:tcPr>
          <w:p w14:paraId="4DABC62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≥4种</w:t>
            </w:r>
          </w:p>
        </w:tc>
      </w:tr>
      <w:tr w14:paraId="73E9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10C0DB6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3.2.5</w:t>
            </w:r>
          </w:p>
        </w:tc>
        <w:tc>
          <w:tcPr>
            <w:tcW w:w="4093" w:type="dxa"/>
            <w:shd w:val="clear" w:color="auto" w:fill="auto"/>
          </w:tcPr>
          <w:p w14:paraId="5C3D725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设置选项卡</w:t>
            </w:r>
          </w:p>
        </w:tc>
        <w:tc>
          <w:tcPr>
            <w:tcW w:w="4003" w:type="dxa"/>
            <w:shd w:val="clear" w:color="auto" w:fill="auto"/>
          </w:tcPr>
          <w:p w14:paraId="343FB1E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触摸可查看剩余使用次数、应用能量预设、拍照、左右眼图像、内窥镜角度、荧光模式，数字变焦倍数等</w:t>
            </w:r>
          </w:p>
        </w:tc>
      </w:tr>
      <w:tr w14:paraId="3365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3CCB5A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3.2.6</w:t>
            </w:r>
          </w:p>
        </w:tc>
        <w:tc>
          <w:tcPr>
            <w:tcW w:w="4093" w:type="dxa"/>
            <w:shd w:val="clear" w:color="auto" w:fill="auto"/>
          </w:tcPr>
          <w:p w14:paraId="1123CCEF">
            <w:pPr>
              <w:pStyle w:val="20"/>
              <w:spacing w:before="0" w:beforeAutospacing="0" w:after="0" w:afterAutospacing="0"/>
              <w:rPr>
                <w:rFonts w:hint="eastAsia" w:ascii="宋体" w:hAnsi="宋体" w:eastAsia="宋体" w:cs="宋体"/>
                <w:color w:val="auto"/>
                <w:sz w:val="24"/>
                <w:szCs w:val="24"/>
              </w:rPr>
            </w:pPr>
            <w:r>
              <w:rPr>
                <w:rFonts w:hint="eastAsia" w:ascii="宋体" w:hAnsi="宋体" w:eastAsia="宋体" w:cs="宋体"/>
                <w:color w:val="auto"/>
                <w:sz w:val="24"/>
                <w:szCs w:val="24"/>
              </w:rPr>
              <w:t>图像电子变焦</w:t>
            </w:r>
          </w:p>
        </w:tc>
        <w:tc>
          <w:tcPr>
            <w:tcW w:w="4003" w:type="dxa"/>
            <w:shd w:val="clear" w:color="auto" w:fill="auto"/>
          </w:tcPr>
          <w:p w14:paraId="37985FC4">
            <w:pPr>
              <w:widowControl/>
              <w:snapToGrid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可在医生控制台及影像平台显示器内显示变焦倍数</w:t>
            </w:r>
          </w:p>
        </w:tc>
      </w:tr>
      <w:tr w14:paraId="0784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BA07AB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3.2.7</w:t>
            </w:r>
          </w:p>
        </w:tc>
        <w:tc>
          <w:tcPr>
            <w:tcW w:w="4093" w:type="dxa"/>
            <w:shd w:val="clear" w:color="auto" w:fill="auto"/>
          </w:tcPr>
          <w:p w14:paraId="253B0B3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设置向导说明</w:t>
            </w:r>
          </w:p>
        </w:tc>
        <w:tc>
          <w:tcPr>
            <w:tcW w:w="4003" w:type="dxa"/>
            <w:shd w:val="clear" w:color="auto" w:fill="auto"/>
          </w:tcPr>
          <w:p w14:paraId="38D3D1C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同步提供设置向导的消息、步骤和状态</w:t>
            </w:r>
          </w:p>
        </w:tc>
      </w:tr>
      <w:tr w14:paraId="0D36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4504F1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093" w:type="dxa"/>
            <w:shd w:val="clear" w:color="auto" w:fill="auto"/>
          </w:tcPr>
          <w:p w14:paraId="0932301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内窥镜系统</w:t>
            </w:r>
          </w:p>
        </w:tc>
        <w:tc>
          <w:tcPr>
            <w:tcW w:w="4003" w:type="dxa"/>
            <w:shd w:val="clear" w:color="auto" w:fill="auto"/>
          </w:tcPr>
          <w:p w14:paraId="4591F64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BB7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59EC03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w:t>
            </w:r>
          </w:p>
        </w:tc>
        <w:tc>
          <w:tcPr>
            <w:tcW w:w="4093" w:type="dxa"/>
            <w:shd w:val="clear" w:color="auto" w:fill="auto"/>
          </w:tcPr>
          <w:p w14:paraId="6F59F60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光学装置</w:t>
            </w:r>
          </w:p>
        </w:tc>
        <w:tc>
          <w:tcPr>
            <w:tcW w:w="4003" w:type="dxa"/>
            <w:shd w:val="clear" w:color="auto" w:fill="auto"/>
          </w:tcPr>
          <w:p w14:paraId="2705CC9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0FB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7F8E07C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4.1.1</w:t>
            </w:r>
          </w:p>
        </w:tc>
        <w:tc>
          <w:tcPr>
            <w:tcW w:w="4093" w:type="dxa"/>
            <w:shd w:val="clear" w:color="auto" w:fill="auto"/>
          </w:tcPr>
          <w:p w14:paraId="2223B10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独立成像系统</w:t>
            </w:r>
          </w:p>
        </w:tc>
        <w:tc>
          <w:tcPr>
            <w:tcW w:w="4003" w:type="dxa"/>
            <w:shd w:val="clear" w:color="auto" w:fill="auto"/>
          </w:tcPr>
          <w:p w14:paraId="749AA38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1872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E82EEF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4.1.2</w:t>
            </w:r>
          </w:p>
        </w:tc>
        <w:tc>
          <w:tcPr>
            <w:tcW w:w="4093" w:type="dxa"/>
            <w:shd w:val="clear" w:color="auto" w:fill="auto"/>
          </w:tcPr>
          <w:p w14:paraId="2C63424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自动白平衡校准，自动3D校准</w:t>
            </w:r>
          </w:p>
        </w:tc>
        <w:tc>
          <w:tcPr>
            <w:tcW w:w="4003" w:type="dxa"/>
            <w:shd w:val="clear" w:color="auto" w:fill="auto"/>
          </w:tcPr>
          <w:p w14:paraId="03204E7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59B3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6E3E5B2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4.1.3</w:t>
            </w:r>
          </w:p>
        </w:tc>
        <w:tc>
          <w:tcPr>
            <w:tcW w:w="4093" w:type="dxa"/>
            <w:shd w:val="clear" w:color="auto" w:fill="auto"/>
          </w:tcPr>
          <w:p w14:paraId="6A62835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内窥镜适合荧光显影功能</w:t>
            </w:r>
          </w:p>
        </w:tc>
        <w:tc>
          <w:tcPr>
            <w:tcW w:w="4003" w:type="dxa"/>
            <w:shd w:val="clear" w:color="auto" w:fill="auto"/>
          </w:tcPr>
          <w:p w14:paraId="3441016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提供，荧光显影内窥镜</w:t>
            </w:r>
          </w:p>
        </w:tc>
      </w:tr>
      <w:tr w14:paraId="5E11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2C3433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4.1.4</w:t>
            </w:r>
          </w:p>
        </w:tc>
        <w:tc>
          <w:tcPr>
            <w:tcW w:w="4093" w:type="dxa"/>
            <w:shd w:val="clear" w:color="auto" w:fill="auto"/>
          </w:tcPr>
          <w:p w14:paraId="2446F50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免调焦内窥镜设计</w:t>
            </w:r>
          </w:p>
        </w:tc>
        <w:tc>
          <w:tcPr>
            <w:tcW w:w="4003" w:type="dxa"/>
            <w:shd w:val="clear" w:color="auto" w:fill="auto"/>
          </w:tcPr>
          <w:p w14:paraId="10F9889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0A43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FCBD37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4.1.5</w:t>
            </w:r>
          </w:p>
        </w:tc>
        <w:tc>
          <w:tcPr>
            <w:tcW w:w="4093" w:type="dxa"/>
            <w:shd w:val="clear" w:color="auto" w:fill="auto"/>
          </w:tcPr>
          <w:p w14:paraId="7649BEE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角度自动翻转功能</w:t>
            </w:r>
          </w:p>
        </w:tc>
        <w:tc>
          <w:tcPr>
            <w:tcW w:w="4003" w:type="dxa"/>
            <w:shd w:val="clear" w:color="auto" w:fill="auto"/>
          </w:tcPr>
          <w:p w14:paraId="46842AB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4EA0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FD6444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4.1.6</w:t>
            </w:r>
          </w:p>
        </w:tc>
        <w:tc>
          <w:tcPr>
            <w:tcW w:w="4093" w:type="dxa"/>
            <w:shd w:val="clear" w:color="auto" w:fill="auto"/>
          </w:tcPr>
          <w:p w14:paraId="59E2302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内窥镜镜头、摄像头、线缆一体化设计</w:t>
            </w:r>
          </w:p>
        </w:tc>
        <w:tc>
          <w:tcPr>
            <w:tcW w:w="4003" w:type="dxa"/>
            <w:shd w:val="clear" w:color="auto" w:fill="auto"/>
          </w:tcPr>
          <w:p w14:paraId="3C81847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0946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61AC33D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4.1.7</w:t>
            </w:r>
          </w:p>
        </w:tc>
        <w:tc>
          <w:tcPr>
            <w:tcW w:w="4093" w:type="dxa"/>
            <w:shd w:val="clear" w:color="auto" w:fill="auto"/>
          </w:tcPr>
          <w:p w14:paraId="63D100A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内窥镜直径</w:t>
            </w:r>
          </w:p>
        </w:tc>
        <w:tc>
          <w:tcPr>
            <w:tcW w:w="4003" w:type="dxa"/>
            <w:shd w:val="clear" w:color="auto" w:fill="auto"/>
          </w:tcPr>
          <w:p w14:paraId="54E8500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≤8mm</w:t>
            </w:r>
          </w:p>
        </w:tc>
      </w:tr>
      <w:tr w14:paraId="14EF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7855261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4.1.8</w:t>
            </w:r>
          </w:p>
        </w:tc>
        <w:tc>
          <w:tcPr>
            <w:tcW w:w="4093" w:type="dxa"/>
            <w:shd w:val="clear" w:color="auto" w:fill="auto"/>
          </w:tcPr>
          <w:p w14:paraId="11BE3A2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内窥镜视野范围</w:t>
            </w:r>
          </w:p>
        </w:tc>
        <w:tc>
          <w:tcPr>
            <w:tcW w:w="4003" w:type="dxa"/>
            <w:shd w:val="clear" w:color="auto" w:fill="auto"/>
          </w:tcPr>
          <w:p w14:paraId="77FD07A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≥80°</w:t>
            </w:r>
          </w:p>
        </w:tc>
      </w:tr>
      <w:tr w14:paraId="53D5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C8F272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4.1.9</w:t>
            </w:r>
          </w:p>
        </w:tc>
        <w:tc>
          <w:tcPr>
            <w:tcW w:w="4093" w:type="dxa"/>
            <w:shd w:val="clear" w:color="auto" w:fill="auto"/>
          </w:tcPr>
          <w:p w14:paraId="4D71F3B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荧光激活方式</w:t>
            </w:r>
          </w:p>
        </w:tc>
        <w:tc>
          <w:tcPr>
            <w:tcW w:w="4003" w:type="dxa"/>
            <w:shd w:val="clear" w:color="auto" w:fill="auto"/>
          </w:tcPr>
          <w:p w14:paraId="3A83FAD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激活方式≥3种，医生控制台，影像处理平台，荧光显影内窥镜，</w:t>
            </w:r>
          </w:p>
        </w:tc>
      </w:tr>
      <w:tr w14:paraId="078E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62A07B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4.1.10</w:t>
            </w:r>
          </w:p>
        </w:tc>
        <w:tc>
          <w:tcPr>
            <w:tcW w:w="4093" w:type="dxa"/>
            <w:shd w:val="clear" w:color="auto" w:fill="auto"/>
          </w:tcPr>
          <w:p w14:paraId="30DD2A1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一键自动180°翻转内窥镜</w:t>
            </w:r>
          </w:p>
          <w:p w14:paraId="20D56029">
            <w:pPr>
              <w:widowControl/>
              <w:snapToGrid w:val="0"/>
              <w:jc w:val="left"/>
              <w:rPr>
                <w:rFonts w:hint="eastAsia" w:ascii="宋体" w:hAnsi="宋体" w:eastAsia="宋体" w:cs="宋体"/>
                <w:color w:val="auto"/>
                <w:kern w:val="0"/>
                <w:sz w:val="24"/>
                <w:szCs w:val="24"/>
              </w:rPr>
            </w:pPr>
          </w:p>
        </w:tc>
        <w:tc>
          <w:tcPr>
            <w:tcW w:w="4003" w:type="dxa"/>
            <w:shd w:val="clear" w:color="auto" w:fill="auto"/>
          </w:tcPr>
          <w:p w14:paraId="3878DC3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≥2种，不移除患者体内的情况下，可在医生控制台和影像平台进行操作</w:t>
            </w:r>
          </w:p>
        </w:tc>
      </w:tr>
      <w:tr w14:paraId="2185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3A26D1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w:t>
            </w:r>
          </w:p>
        </w:tc>
        <w:tc>
          <w:tcPr>
            <w:tcW w:w="4093" w:type="dxa"/>
            <w:shd w:val="clear" w:color="auto" w:fill="auto"/>
          </w:tcPr>
          <w:p w14:paraId="20D0996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光源装置</w:t>
            </w:r>
          </w:p>
        </w:tc>
        <w:tc>
          <w:tcPr>
            <w:tcW w:w="4003" w:type="dxa"/>
            <w:shd w:val="clear" w:color="auto" w:fill="auto"/>
          </w:tcPr>
          <w:p w14:paraId="77B818F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45F0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C4D2A4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w:t>
            </w:r>
          </w:p>
        </w:tc>
        <w:tc>
          <w:tcPr>
            <w:tcW w:w="4093" w:type="dxa"/>
            <w:shd w:val="clear" w:color="auto" w:fill="auto"/>
          </w:tcPr>
          <w:p w14:paraId="4C37C5F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4003" w:type="dxa"/>
            <w:shd w:val="clear" w:color="auto" w:fill="auto"/>
          </w:tcPr>
          <w:p w14:paraId="56CDEFE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1个LED</w:t>
            </w:r>
          </w:p>
        </w:tc>
      </w:tr>
      <w:tr w14:paraId="547D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0063FD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4.2.2</w:t>
            </w:r>
          </w:p>
        </w:tc>
        <w:tc>
          <w:tcPr>
            <w:tcW w:w="4093" w:type="dxa"/>
            <w:shd w:val="clear" w:color="auto" w:fill="auto"/>
          </w:tcPr>
          <w:p w14:paraId="0AA29A4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自动开启照明模式功能</w:t>
            </w:r>
          </w:p>
        </w:tc>
        <w:tc>
          <w:tcPr>
            <w:tcW w:w="4003" w:type="dxa"/>
            <w:shd w:val="clear" w:color="auto" w:fill="auto"/>
          </w:tcPr>
          <w:p w14:paraId="56BFEE2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76E2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4ECEEFF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4093" w:type="dxa"/>
            <w:shd w:val="clear" w:color="auto" w:fill="auto"/>
          </w:tcPr>
          <w:p w14:paraId="0A84ED7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安全联锁装置</w:t>
            </w:r>
          </w:p>
        </w:tc>
        <w:tc>
          <w:tcPr>
            <w:tcW w:w="4003" w:type="dxa"/>
            <w:shd w:val="clear" w:color="auto" w:fill="auto"/>
          </w:tcPr>
          <w:p w14:paraId="155101D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33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4AB4C4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w:t>
            </w:r>
          </w:p>
        </w:tc>
        <w:tc>
          <w:tcPr>
            <w:tcW w:w="4093" w:type="dxa"/>
            <w:shd w:val="clear" w:color="auto" w:fill="auto"/>
          </w:tcPr>
          <w:p w14:paraId="5DDC364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医生控制台探测传感器</w:t>
            </w:r>
          </w:p>
        </w:tc>
        <w:tc>
          <w:tcPr>
            <w:tcW w:w="4003" w:type="dxa"/>
            <w:shd w:val="clear" w:color="auto" w:fill="auto"/>
          </w:tcPr>
          <w:p w14:paraId="17A0033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操作人员头部离开时自动锁定</w:t>
            </w:r>
          </w:p>
        </w:tc>
      </w:tr>
      <w:tr w14:paraId="514B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494317A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w:t>
            </w:r>
          </w:p>
        </w:tc>
        <w:tc>
          <w:tcPr>
            <w:tcW w:w="4093" w:type="dxa"/>
            <w:shd w:val="clear" w:color="auto" w:fill="auto"/>
          </w:tcPr>
          <w:p w14:paraId="37D4DFF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患者手术平台探测传感器</w:t>
            </w:r>
          </w:p>
        </w:tc>
        <w:tc>
          <w:tcPr>
            <w:tcW w:w="4003" w:type="dxa"/>
            <w:shd w:val="clear" w:color="auto" w:fill="auto"/>
          </w:tcPr>
          <w:p w14:paraId="6A3072E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首个机械臂和套管对接时，自动锁定患者手术平台</w:t>
            </w:r>
          </w:p>
        </w:tc>
      </w:tr>
      <w:tr w14:paraId="7642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1F355C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w:t>
            </w:r>
          </w:p>
        </w:tc>
        <w:tc>
          <w:tcPr>
            <w:tcW w:w="4093" w:type="dxa"/>
            <w:shd w:val="clear" w:color="auto" w:fill="auto"/>
          </w:tcPr>
          <w:p w14:paraId="43AF083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机械臂探测传感器</w:t>
            </w:r>
          </w:p>
        </w:tc>
        <w:tc>
          <w:tcPr>
            <w:tcW w:w="4003" w:type="dxa"/>
            <w:shd w:val="clear" w:color="auto" w:fill="auto"/>
          </w:tcPr>
          <w:p w14:paraId="56E3AB3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2715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22E41E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w:t>
            </w:r>
          </w:p>
        </w:tc>
        <w:tc>
          <w:tcPr>
            <w:tcW w:w="4093" w:type="dxa"/>
            <w:shd w:val="clear" w:color="auto" w:fill="auto"/>
          </w:tcPr>
          <w:p w14:paraId="4FA3D42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报警锁定功能</w:t>
            </w:r>
          </w:p>
        </w:tc>
        <w:tc>
          <w:tcPr>
            <w:tcW w:w="4003" w:type="dxa"/>
            <w:shd w:val="clear" w:color="auto" w:fill="auto"/>
          </w:tcPr>
          <w:p w14:paraId="38A79ED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p>
        </w:tc>
      </w:tr>
      <w:tr w14:paraId="78C4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E5323B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w:t>
            </w:r>
          </w:p>
        </w:tc>
        <w:tc>
          <w:tcPr>
            <w:tcW w:w="4093" w:type="dxa"/>
            <w:shd w:val="clear" w:color="auto" w:fill="auto"/>
          </w:tcPr>
          <w:p w14:paraId="24E563E8">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紧急制动开关（EPO）</w:t>
            </w:r>
          </w:p>
        </w:tc>
        <w:tc>
          <w:tcPr>
            <w:tcW w:w="4003" w:type="dxa"/>
            <w:shd w:val="clear" w:color="auto" w:fill="auto"/>
          </w:tcPr>
          <w:p w14:paraId="243B523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w:t>
            </w:r>
          </w:p>
        </w:tc>
      </w:tr>
      <w:tr w14:paraId="31E2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7C21B7C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5.6</w:t>
            </w:r>
          </w:p>
        </w:tc>
        <w:tc>
          <w:tcPr>
            <w:tcW w:w="4093" w:type="dxa"/>
            <w:shd w:val="clear" w:color="auto" w:fill="auto"/>
          </w:tcPr>
          <w:p w14:paraId="308186F9">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手术器械寿命控制系统</w:t>
            </w:r>
          </w:p>
        </w:tc>
        <w:tc>
          <w:tcPr>
            <w:tcW w:w="4003" w:type="dxa"/>
            <w:shd w:val="clear" w:color="auto" w:fill="auto"/>
          </w:tcPr>
          <w:p w14:paraId="777BED3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w:t>
            </w:r>
          </w:p>
        </w:tc>
      </w:tr>
      <w:tr w14:paraId="5B1E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3" w:type="dxa"/>
            <w:shd w:val="clear" w:color="auto" w:fill="auto"/>
          </w:tcPr>
          <w:p w14:paraId="3ECAFB6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4093" w:type="dxa"/>
            <w:shd w:val="clear" w:color="auto" w:fill="auto"/>
          </w:tcPr>
          <w:p w14:paraId="669E6CC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系统启动</w:t>
            </w:r>
          </w:p>
        </w:tc>
        <w:tc>
          <w:tcPr>
            <w:tcW w:w="4003" w:type="dxa"/>
            <w:shd w:val="clear" w:color="auto" w:fill="auto"/>
          </w:tcPr>
          <w:p w14:paraId="7772675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按任何单个组件电源按钮即可一键启动/关闭医生控制台，患者手术平台即影像处理平台</w:t>
            </w:r>
          </w:p>
        </w:tc>
      </w:tr>
      <w:tr w14:paraId="0F69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0073C6D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w:t>
            </w:r>
          </w:p>
        </w:tc>
        <w:tc>
          <w:tcPr>
            <w:tcW w:w="4093" w:type="dxa"/>
            <w:shd w:val="clear" w:color="auto" w:fill="auto"/>
          </w:tcPr>
          <w:p w14:paraId="4792412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手术基本配件及器械</w:t>
            </w:r>
          </w:p>
        </w:tc>
        <w:tc>
          <w:tcPr>
            <w:tcW w:w="4003" w:type="dxa"/>
            <w:shd w:val="clear" w:color="auto" w:fill="auto"/>
          </w:tcPr>
          <w:p w14:paraId="43FC058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C36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D4D14F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093" w:type="dxa"/>
            <w:shd w:val="clear" w:color="auto" w:fill="auto"/>
          </w:tcPr>
          <w:p w14:paraId="6ED10F17">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NMPA批准的专用器械种类</w:t>
            </w:r>
          </w:p>
        </w:tc>
        <w:tc>
          <w:tcPr>
            <w:tcW w:w="4003" w:type="dxa"/>
            <w:shd w:val="clear" w:color="auto" w:fill="auto"/>
          </w:tcPr>
          <w:p w14:paraId="0A1CF66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≥30种</w:t>
            </w:r>
          </w:p>
        </w:tc>
      </w:tr>
      <w:tr w14:paraId="48B9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2C73786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4093" w:type="dxa"/>
            <w:shd w:val="clear" w:color="auto" w:fill="auto"/>
          </w:tcPr>
          <w:p w14:paraId="0119D77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原厂器械直径</w:t>
            </w:r>
          </w:p>
        </w:tc>
        <w:tc>
          <w:tcPr>
            <w:tcW w:w="4003" w:type="dxa"/>
            <w:shd w:val="clear" w:color="auto" w:fill="auto"/>
          </w:tcPr>
          <w:p w14:paraId="0823B1D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≤8mm</w:t>
            </w:r>
          </w:p>
        </w:tc>
      </w:tr>
      <w:tr w14:paraId="750C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1569F7A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4093" w:type="dxa"/>
            <w:shd w:val="clear" w:color="auto" w:fill="auto"/>
          </w:tcPr>
          <w:p w14:paraId="4F81DD1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具备支持使用机器人专用直线切割闭合器</w:t>
            </w:r>
          </w:p>
        </w:tc>
        <w:tc>
          <w:tcPr>
            <w:tcW w:w="4003" w:type="dxa"/>
            <w:shd w:val="clear" w:color="auto" w:fill="auto"/>
          </w:tcPr>
          <w:p w14:paraId="54F8229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具备，可主刀医生自主控制，可闭合血管</w:t>
            </w:r>
          </w:p>
        </w:tc>
      </w:tr>
      <w:tr w14:paraId="2242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5B1386A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4093" w:type="dxa"/>
            <w:shd w:val="clear" w:color="auto" w:fill="auto"/>
          </w:tcPr>
          <w:p w14:paraId="57B4E40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具备≥7mm血管闭合功能</w:t>
            </w:r>
          </w:p>
        </w:tc>
        <w:tc>
          <w:tcPr>
            <w:tcW w:w="4003" w:type="dxa"/>
            <w:shd w:val="clear" w:color="auto" w:fill="auto"/>
          </w:tcPr>
          <w:p w14:paraId="449AEB8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w:t>
            </w:r>
          </w:p>
        </w:tc>
      </w:tr>
      <w:tr w14:paraId="00E5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380436C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4093" w:type="dxa"/>
            <w:shd w:val="clear" w:color="auto" w:fill="auto"/>
          </w:tcPr>
          <w:p w14:paraId="66BAE5E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支持使用超声刀手术器械</w:t>
            </w:r>
          </w:p>
        </w:tc>
        <w:tc>
          <w:tcPr>
            <w:tcW w:w="4003" w:type="dxa"/>
            <w:shd w:val="clear" w:color="auto" w:fill="auto"/>
          </w:tcPr>
          <w:p w14:paraId="7115F59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具备，可主刀医生自主控制</w:t>
            </w:r>
          </w:p>
        </w:tc>
      </w:tr>
      <w:tr w14:paraId="4C15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3" w:type="dxa"/>
            <w:shd w:val="clear" w:color="auto" w:fill="auto"/>
          </w:tcPr>
          <w:p w14:paraId="7F1E046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w:t>
            </w:r>
          </w:p>
        </w:tc>
        <w:tc>
          <w:tcPr>
            <w:tcW w:w="4093" w:type="dxa"/>
            <w:shd w:val="clear" w:color="auto" w:fill="auto"/>
          </w:tcPr>
          <w:p w14:paraId="4BC23DD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适用范围</w:t>
            </w:r>
          </w:p>
        </w:tc>
        <w:tc>
          <w:tcPr>
            <w:tcW w:w="4003" w:type="dxa"/>
            <w:shd w:val="clear" w:color="auto" w:fill="auto"/>
          </w:tcPr>
          <w:p w14:paraId="0878588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07D9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13" w:type="dxa"/>
            <w:shd w:val="clear" w:color="auto" w:fill="auto"/>
          </w:tcPr>
          <w:p w14:paraId="3FECA08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w:t>
            </w:r>
          </w:p>
        </w:tc>
        <w:tc>
          <w:tcPr>
            <w:tcW w:w="4093" w:type="dxa"/>
            <w:shd w:val="clear" w:color="auto" w:fill="auto"/>
          </w:tcPr>
          <w:p w14:paraId="0866FFB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妇产科手术</w:t>
            </w:r>
          </w:p>
        </w:tc>
        <w:tc>
          <w:tcPr>
            <w:tcW w:w="4003" w:type="dxa"/>
            <w:shd w:val="clear" w:color="auto" w:fill="auto"/>
          </w:tcPr>
          <w:p w14:paraId="21DF6DD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获得有效的中华人民共和国医疗器械注册证，适用于成人及小儿</w:t>
            </w:r>
          </w:p>
        </w:tc>
      </w:tr>
      <w:tr w14:paraId="549C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13" w:type="dxa"/>
            <w:shd w:val="clear" w:color="auto" w:fill="auto"/>
          </w:tcPr>
          <w:p w14:paraId="6FC49FBE">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w:t>
            </w:r>
          </w:p>
        </w:tc>
        <w:tc>
          <w:tcPr>
            <w:tcW w:w="4093" w:type="dxa"/>
            <w:shd w:val="clear" w:color="auto" w:fill="auto"/>
          </w:tcPr>
          <w:p w14:paraId="77F2A31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普通外科手术</w:t>
            </w:r>
          </w:p>
        </w:tc>
        <w:tc>
          <w:tcPr>
            <w:tcW w:w="4003" w:type="dxa"/>
            <w:shd w:val="clear" w:color="auto" w:fill="auto"/>
          </w:tcPr>
          <w:p w14:paraId="509A7E0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获得有效的中华人民共和国医疗器械注册证，适用于成人及小儿</w:t>
            </w:r>
          </w:p>
        </w:tc>
      </w:tr>
      <w:tr w14:paraId="1FFC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13" w:type="dxa"/>
            <w:shd w:val="clear" w:color="auto" w:fill="auto"/>
          </w:tcPr>
          <w:p w14:paraId="0C394AA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w:t>
            </w:r>
          </w:p>
        </w:tc>
        <w:tc>
          <w:tcPr>
            <w:tcW w:w="4093" w:type="dxa"/>
            <w:shd w:val="clear" w:color="auto" w:fill="auto"/>
          </w:tcPr>
          <w:p w14:paraId="3151EE2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胸外科手术</w:t>
            </w:r>
          </w:p>
        </w:tc>
        <w:tc>
          <w:tcPr>
            <w:tcW w:w="4003" w:type="dxa"/>
            <w:shd w:val="clear" w:color="auto" w:fill="auto"/>
          </w:tcPr>
          <w:p w14:paraId="36293CE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获得有效的中华人民共和国医疗器械注册证，适用于成人及小儿</w:t>
            </w:r>
          </w:p>
        </w:tc>
      </w:tr>
      <w:tr w14:paraId="3629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13" w:type="dxa"/>
            <w:shd w:val="clear" w:color="auto" w:fill="auto"/>
          </w:tcPr>
          <w:p w14:paraId="36D402D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w:t>
            </w:r>
          </w:p>
        </w:tc>
        <w:tc>
          <w:tcPr>
            <w:tcW w:w="4093" w:type="dxa"/>
            <w:shd w:val="clear" w:color="auto" w:fill="auto"/>
          </w:tcPr>
          <w:p w14:paraId="4E2974D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泌尿外科手术</w:t>
            </w:r>
          </w:p>
        </w:tc>
        <w:tc>
          <w:tcPr>
            <w:tcW w:w="4003" w:type="dxa"/>
            <w:shd w:val="clear" w:color="auto" w:fill="auto"/>
          </w:tcPr>
          <w:p w14:paraId="70F22F3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获得有效的中华人民共和国医疗器械注册证，适用于成人及小儿</w:t>
            </w:r>
          </w:p>
        </w:tc>
      </w:tr>
      <w:tr w14:paraId="718F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3" w:type="dxa"/>
            <w:shd w:val="clear" w:color="auto" w:fill="auto"/>
          </w:tcPr>
          <w:p w14:paraId="2ECAFA82">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5</w:t>
            </w:r>
          </w:p>
        </w:tc>
        <w:tc>
          <w:tcPr>
            <w:tcW w:w="4093" w:type="dxa"/>
            <w:shd w:val="clear" w:color="auto" w:fill="auto"/>
          </w:tcPr>
          <w:p w14:paraId="277AC2B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心外科手术</w:t>
            </w:r>
          </w:p>
        </w:tc>
        <w:tc>
          <w:tcPr>
            <w:tcW w:w="4003" w:type="dxa"/>
            <w:shd w:val="clear" w:color="auto" w:fill="auto"/>
          </w:tcPr>
          <w:p w14:paraId="6C8C356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获得有效的中华人民共和国医疗器械注册证，适用于成人及小儿</w:t>
            </w:r>
          </w:p>
        </w:tc>
      </w:tr>
      <w:tr w14:paraId="63A8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3" w:type="dxa"/>
            <w:tcBorders>
              <w:top w:val="single" w:color="auto" w:sz="4" w:space="0"/>
              <w:left w:val="single" w:color="auto" w:sz="4" w:space="0"/>
              <w:bottom w:val="single" w:color="auto" w:sz="4" w:space="0"/>
              <w:right w:val="single" w:color="auto" w:sz="4" w:space="0"/>
            </w:tcBorders>
            <w:shd w:val="clear" w:color="auto" w:fill="auto"/>
          </w:tcPr>
          <w:p w14:paraId="0C68DA33">
            <w:pPr>
              <w:widowControl/>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四</w:t>
            </w:r>
          </w:p>
        </w:tc>
        <w:tc>
          <w:tcPr>
            <w:tcW w:w="4093" w:type="dxa"/>
            <w:tcBorders>
              <w:top w:val="single" w:color="auto" w:sz="4" w:space="0"/>
              <w:left w:val="single" w:color="auto" w:sz="4" w:space="0"/>
              <w:bottom w:val="single" w:color="auto" w:sz="4" w:space="0"/>
              <w:right w:val="single" w:color="auto" w:sz="4" w:space="0"/>
            </w:tcBorders>
            <w:shd w:val="clear" w:color="auto" w:fill="auto"/>
          </w:tcPr>
          <w:p w14:paraId="41F715B0">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配置清单</w:t>
            </w:r>
          </w:p>
        </w:tc>
        <w:tc>
          <w:tcPr>
            <w:tcW w:w="4003" w:type="dxa"/>
            <w:tcBorders>
              <w:top w:val="single" w:color="auto" w:sz="4" w:space="0"/>
              <w:left w:val="single" w:color="auto" w:sz="4" w:space="0"/>
              <w:bottom w:val="single" w:color="auto" w:sz="4" w:space="0"/>
              <w:right w:val="single" w:color="auto" w:sz="4" w:space="0"/>
            </w:tcBorders>
            <w:shd w:val="clear" w:color="auto" w:fill="auto"/>
          </w:tcPr>
          <w:p w14:paraId="330EE874">
            <w:pPr>
              <w:widowControl/>
              <w:snapToGrid w:val="0"/>
              <w:jc w:val="left"/>
              <w:rPr>
                <w:rFonts w:hint="eastAsia" w:ascii="宋体" w:hAnsi="宋体" w:eastAsia="宋体" w:cs="宋体"/>
                <w:color w:val="auto"/>
                <w:kern w:val="0"/>
                <w:sz w:val="24"/>
                <w:szCs w:val="24"/>
              </w:rPr>
            </w:pPr>
          </w:p>
        </w:tc>
      </w:tr>
      <w:tr w14:paraId="6DA4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3" w:type="dxa"/>
            <w:tcBorders>
              <w:top w:val="single" w:color="auto" w:sz="4" w:space="0"/>
              <w:left w:val="single" w:color="auto" w:sz="4" w:space="0"/>
              <w:bottom w:val="single" w:color="auto" w:sz="4" w:space="0"/>
              <w:right w:val="single" w:color="auto" w:sz="4" w:space="0"/>
            </w:tcBorders>
            <w:shd w:val="clear" w:color="auto" w:fill="auto"/>
          </w:tcPr>
          <w:p w14:paraId="6B2BA455">
            <w:pPr>
              <w:widowControl/>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4093" w:type="dxa"/>
            <w:tcBorders>
              <w:top w:val="single" w:color="auto" w:sz="4" w:space="0"/>
              <w:left w:val="single" w:color="auto" w:sz="4" w:space="0"/>
              <w:bottom w:val="single" w:color="auto" w:sz="4" w:space="0"/>
              <w:right w:val="single" w:color="auto" w:sz="4" w:space="0"/>
            </w:tcBorders>
            <w:shd w:val="clear" w:color="auto" w:fill="auto"/>
          </w:tcPr>
          <w:p w14:paraId="3E4D2D0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主机和标准附件：1套</w:t>
            </w:r>
          </w:p>
        </w:tc>
        <w:tc>
          <w:tcPr>
            <w:tcW w:w="4003" w:type="dxa"/>
            <w:tcBorders>
              <w:top w:val="single" w:color="auto" w:sz="4" w:space="0"/>
              <w:left w:val="single" w:color="auto" w:sz="4" w:space="0"/>
              <w:bottom w:val="single" w:color="auto" w:sz="4" w:space="0"/>
              <w:right w:val="single" w:color="auto" w:sz="4" w:space="0"/>
            </w:tcBorders>
            <w:shd w:val="clear" w:color="auto" w:fill="auto"/>
          </w:tcPr>
          <w:p w14:paraId="63F269FC">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提供1套主机和标准附件</w:t>
            </w:r>
          </w:p>
        </w:tc>
      </w:tr>
      <w:tr w14:paraId="4CA1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3" w:type="dxa"/>
            <w:tcBorders>
              <w:top w:val="single" w:color="auto" w:sz="4" w:space="0"/>
              <w:left w:val="single" w:color="auto" w:sz="4" w:space="0"/>
              <w:bottom w:val="single" w:color="auto" w:sz="4" w:space="0"/>
              <w:right w:val="single" w:color="auto" w:sz="4" w:space="0"/>
            </w:tcBorders>
            <w:shd w:val="clear" w:color="auto" w:fill="auto"/>
          </w:tcPr>
          <w:p w14:paraId="58A7159F">
            <w:pPr>
              <w:widowControl/>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4.1.1</w:t>
            </w:r>
          </w:p>
        </w:tc>
        <w:tc>
          <w:tcPr>
            <w:tcW w:w="4093" w:type="dxa"/>
            <w:tcBorders>
              <w:top w:val="single" w:color="auto" w:sz="4" w:space="0"/>
              <w:left w:val="single" w:color="auto" w:sz="4" w:space="0"/>
              <w:bottom w:val="single" w:color="auto" w:sz="4" w:space="0"/>
              <w:right w:val="single" w:color="auto" w:sz="4" w:space="0"/>
            </w:tcBorders>
            <w:shd w:val="clear" w:color="auto" w:fill="auto"/>
          </w:tcPr>
          <w:p w14:paraId="5BCBE071">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医生控制台：1台</w:t>
            </w:r>
          </w:p>
        </w:tc>
        <w:tc>
          <w:tcPr>
            <w:tcW w:w="4003" w:type="dxa"/>
            <w:tcBorders>
              <w:top w:val="single" w:color="auto" w:sz="4" w:space="0"/>
              <w:left w:val="single" w:color="auto" w:sz="4" w:space="0"/>
              <w:bottom w:val="single" w:color="auto" w:sz="4" w:space="0"/>
              <w:right w:val="single" w:color="auto" w:sz="4" w:space="0"/>
            </w:tcBorders>
            <w:shd w:val="clear" w:color="auto" w:fill="auto"/>
          </w:tcPr>
          <w:p w14:paraId="73BC2504">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提供1台医生控制台</w:t>
            </w:r>
          </w:p>
        </w:tc>
      </w:tr>
      <w:tr w14:paraId="5BF4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3" w:type="dxa"/>
            <w:tcBorders>
              <w:top w:val="single" w:color="auto" w:sz="4" w:space="0"/>
              <w:left w:val="single" w:color="auto" w:sz="4" w:space="0"/>
              <w:bottom w:val="single" w:color="auto" w:sz="4" w:space="0"/>
              <w:right w:val="single" w:color="auto" w:sz="4" w:space="0"/>
            </w:tcBorders>
            <w:shd w:val="clear" w:color="auto" w:fill="auto"/>
          </w:tcPr>
          <w:p w14:paraId="06B832E7">
            <w:pPr>
              <w:widowControl/>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4.1.2</w:t>
            </w:r>
          </w:p>
        </w:tc>
        <w:tc>
          <w:tcPr>
            <w:tcW w:w="4093" w:type="dxa"/>
            <w:tcBorders>
              <w:top w:val="single" w:color="auto" w:sz="4" w:space="0"/>
              <w:left w:val="single" w:color="auto" w:sz="4" w:space="0"/>
              <w:bottom w:val="single" w:color="auto" w:sz="4" w:space="0"/>
              <w:right w:val="single" w:color="auto" w:sz="4" w:space="0"/>
            </w:tcBorders>
            <w:shd w:val="clear" w:color="auto" w:fill="auto"/>
          </w:tcPr>
          <w:p w14:paraId="2B1C2DAD">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患者手术平台：1台</w:t>
            </w:r>
          </w:p>
        </w:tc>
        <w:tc>
          <w:tcPr>
            <w:tcW w:w="4003" w:type="dxa"/>
            <w:tcBorders>
              <w:top w:val="single" w:color="auto" w:sz="4" w:space="0"/>
              <w:left w:val="single" w:color="auto" w:sz="4" w:space="0"/>
              <w:bottom w:val="single" w:color="auto" w:sz="4" w:space="0"/>
              <w:right w:val="single" w:color="auto" w:sz="4" w:space="0"/>
            </w:tcBorders>
            <w:shd w:val="clear" w:color="auto" w:fill="auto"/>
          </w:tcPr>
          <w:p w14:paraId="0E721EE6">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提供1台患者手术平台</w:t>
            </w:r>
          </w:p>
        </w:tc>
      </w:tr>
      <w:tr w14:paraId="54B1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3" w:type="dxa"/>
            <w:tcBorders>
              <w:top w:val="single" w:color="auto" w:sz="4" w:space="0"/>
              <w:left w:val="single" w:color="auto" w:sz="4" w:space="0"/>
              <w:bottom w:val="single" w:color="auto" w:sz="4" w:space="0"/>
              <w:right w:val="single" w:color="auto" w:sz="4" w:space="0"/>
            </w:tcBorders>
            <w:shd w:val="clear" w:color="auto" w:fill="auto"/>
          </w:tcPr>
          <w:p w14:paraId="2AC1D423">
            <w:pPr>
              <w:widowControl/>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4.1.3</w:t>
            </w:r>
          </w:p>
        </w:tc>
        <w:tc>
          <w:tcPr>
            <w:tcW w:w="4093" w:type="dxa"/>
            <w:tcBorders>
              <w:top w:val="single" w:color="auto" w:sz="4" w:space="0"/>
              <w:left w:val="single" w:color="auto" w:sz="4" w:space="0"/>
              <w:bottom w:val="single" w:color="auto" w:sz="4" w:space="0"/>
              <w:right w:val="single" w:color="auto" w:sz="4" w:space="0"/>
            </w:tcBorders>
            <w:shd w:val="clear" w:color="auto" w:fill="auto"/>
          </w:tcPr>
          <w:p w14:paraId="303B1843">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影像处理平台：1台</w:t>
            </w:r>
          </w:p>
        </w:tc>
        <w:tc>
          <w:tcPr>
            <w:tcW w:w="4003" w:type="dxa"/>
            <w:tcBorders>
              <w:top w:val="single" w:color="auto" w:sz="4" w:space="0"/>
              <w:left w:val="single" w:color="auto" w:sz="4" w:space="0"/>
              <w:bottom w:val="single" w:color="auto" w:sz="4" w:space="0"/>
              <w:right w:val="single" w:color="auto" w:sz="4" w:space="0"/>
            </w:tcBorders>
            <w:shd w:val="clear" w:color="auto" w:fill="auto"/>
          </w:tcPr>
          <w:p w14:paraId="2B8F7E9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提供1台影像处理平台</w:t>
            </w:r>
          </w:p>
        </w:tc>
      </w:tr>
      <w:tr w14:paraId="76FB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3" w:type="dxa"/>
            <w:tcBorders>
              <w:top w:val="single" w:color="auto" w:sz="4" w:space="0"/>
              <w:left w:val="single" w:color="auto" w:sz="4" w:space="0"/>
              <w:bottom w:val="single" w:color="auto" w:sz="4" w:space="0"/>
              <w:right w:val="single" w:color="auto" w:sz="4" w:space="0"/>
            </w:tcBorders>
            <w:shd w:val="clear" w:color="auto" w:fill="auto"/>
          </w:tcPr>
          <w:p w14:paraId="0BB86DD0">
            <w:pPr>
              <w:widowControl/>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4.1.4</w:t>
            </w:r>
          </w:p>
        </w:tc>
        <w:tc>
          <w:tcPr>
            <w:tcW w:w="4093" w:type="dxa"/>
            <w:tcBorders>
              <w:top w:val="single" w:color="auto" w:sz="4" w:space="0"/>
              <w:left w:val="single" w:color="auto" w:sz="4" w:space="0"/>
              <w:bottom w:val="single" w:color="auto" w:sz="4" w:space="0"/>
              <w:right w:val="single" w:color="auto" w:sz="4" w:space="0"/>
            </w:tcBorders>
            <w:shd w:val="clear" w:color="auto" w:fill="auto"/>
          </w:tcPr>
          <w:p w14:paraId="18F4FA3F">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30度三维电子内窥镜：2支</w:t>
            </w:r>
          </w:p>
        </w:tc>
        <w:tc>
          <w:tcPr>
            <w:tcW w:w="4003" w:type="dxa"/>
            <w:tcBorders>
              <w:top w:val="single" w:color="auto" w:sz="4" w:space="0"/>
              <w:left w:val="single" w:color="auto" w:sz="4" w:space="0"/>
              <w:bottom w:val="single" w:color="auto" w:sz="4" w:space="0"/>
              <w:right w:val="single" w:color="auto" w:sz="4" w:space="0"/>
            </w:tcBorders>
            <w:shd w:val="clear" w:color="auto" w:fill="auto"/>
          </w:tcPr>
          <w:p w14:paraId="1211FD6B">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提供2支30度三维电子内窥镜</w:t>
            </w:r>
          </w:p>
        </w:tc>
      </w:tr>
      <w:tr w14:paraId="608A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3" w:type="dxa"/>
            <w:tcBorders>
              <w:top w:val="single" w:color="auto" w:sz="4" w:space="0"/>
              <w:left w:val="single" w:color="auto" w:sz="4" w:space="0"/>
              <w:bottom w:val="single" w:color="auto" w:sz="4" w:space="0"/>
              <w:right w:val="single" w:color="auto" w:sz="4" w:space="0"/>
            </w:tcBorders>
            <w:shd w:val="clear" w:color="auto" w:fill="auto"/>
          </w:tcPr>
          <w:p w14:paraId="7F3EC477">
            <w:pPr>
              <w:widowControl/>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4.1.5</w:t>
            </w:r>
          </w:p>
        </w:tc>
        <w:tc>
          <w:tcPr>
            <w:tcW w:w="4093" w:type="dxa"/>
            <w:tcBorders>
              <w:top w:val="single" w:color="auto" w:sz="4" w:space="0"/>
              <w:left w:val="single" w:color="auto" w:sz="4" w:space="0"/>
              <w:bottom w:val="single" w:color="auto" w:sz="4" w:space="0"/>
              <w:right w:val="single" w:color="auto" w:sz="4" w:space="0"/>
            </w:tcBorders>
            <w:shd w:val="clear" w:color="auto" w:fill="auto"/>
          </w:tcPr>
          <w:p w14:paraId="49F27A3A">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主刀医生座椅：1把</w:t>
            </w:r>
          </w:p>
        </w:tc>
        <w:tc>
          <w:tcPr>
            <w:tcW w:w="4003" w:type="dxa"/>
            <w:tcBorders>
              <w:top w:val="single" w:color="auto" w:sz="4" w:space="0"/>
              <w:left w:val="single" w:color="auto" w:sz="4" w:space="0"/>
              <w:bottom w:val="single" w:color="auto" w:sz="4" w:space="0"/>
              <w:right w:val="single" w:color="auto" w:sz="4" w:space="0"/>
            </w:tcBorders>
            <w:shd w:val="clear" w:color="auto" w:fill="auto"/>
          </w:tcPr>
          <w:p w14:paraId="01302135">
            <w:pPr>
              <w:widowControl/>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提供1把主刀医生座椅</w:t>
            </w:r>
          </w:p>
        </w:tc>
      </w:tr>
    </w:tbl>
    <w:p w14:paraId="04732B61">
      <w:pPr>
        <w:pStyle w:val="2"/>
        <w:ind w:left="0" w:leftChars="0" w:firstLine="0" w:firstLineChars="0"/>
        <w:rPr>
          <w:rFonts w:hint="eastAsia"/>
          <w:color w:val="auto"/>
          <w:lang w:eastAsia="zh-CN"/>
        </w:rPr>
      </w:pPr>
    </w:p>
    <w:tbl>
      <w:tblPr>
        <w:tblStyle w:val="22"/>
        <w:tblW w:w="9204"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4"/>
        <w:gridCol w:w="1732"/>
        <w:gridCol w:w="6368"/>
      </w:tblGrid>
      <w:tr w14:paraId="3928E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4" w:type="dxa"/>
            <w:tcBorders>
              <w:top w:val="single" w:color="auto" w:sz="2" w:space="0"/>
              <w:left w:val="single" w:color="auto" w:sz="2" w:space="0"/>
              <w:bottom w:val="single" w:color="auto" w:sz="2" w:space="0"/>
              <w:right w:val="single" w:color="auto" w:sz="2" w:space="0"/>
            </w:tcBorders>
            <w:noWrap w:val="0"/>
            <w:vAlign w:val="center"/>
          </w:tcPr>
          <w:p w14:paraId="1DFF1E6C">
            <w:pPr>
              <w:rPr>
                <w:rFonts w:hint="eastAsia" w:ascii="宋体" w:hAnsi="宋体" w:eastAsia="宋体" w:cs="宋体"/>
                <w:b/>
                <w:color w:val="auto"/>
                <w:sz w:val="24"/>
                <w:szCs w:val="24"/>
              </w:rPr>
            </w:pPr>
          </w:p>
        </w:tc>
        <w:tc>
          <w:tcPr>
            <w:tcW w:w="8100" w:type="dxa"/>
            <w:gridSpan w:val="2"/>
            <w:tcBorders>
              <w:top w:val="single" w:color="auto" w:sz="2" w:space="0"/>
              <w:left w:val="single" w:color="auto" w:sz="2" w:space="0"/>
              <w:bottom w:val="single" w:color="auto" w:sz="2" w:space="0"/>
              <w:right w:val="single" w:color="auto" w:sz="4" w:space="0"/>
            </w:tcBorders>
            <w:noWrap w:val="0"/>
            <w:vAlign w:val="center"/>
          </w:tcPr>
          <w:p w14:paraId="63FDA7AC">
            <w:pPr>
              <w:rPr>
                <w:rFonts w:hint="eastAsia" w:ascii="宋体" w:hAnsi="宋体" w:eastAsia="宋体" w:cs="宋体"/>
                <w:b/>
                <w:color w:val="auto"/>
                <w:sz w:val="24"/>
                <w:szCs w:val="24"/>
              </w:rPr>
            </w:pPr>
            <w:r>
              <w:rPr>
                <w:rFonts w:hint="eastAsia" w:ascii="宋体" w:hAnsi="宋体" w:eastAsia="宋体" w:cs="宋体"/>
                <w:b/>
                <w:color w:val="auto"/>
                <w:sz w:val="24"/>
                <w:szCs w:val="24"/>
              </w:rPr>
              <w:t>商务要求</w:t>
            </w:r>
          </w:p>
        </w:tc>
      </w:tr>
      <w:tr w14:paraId="1AC187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162B932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32" w:type="dxa"/>
            <w:tcBorders>
              <w:right w:val="single" w:color="auto" w:sz="4" w:space="0"/>
            </w:tcBorders>
            <w:noWrap w:val="0"/>
            <w:vAlign w:val="center"/>
          </w:tcPr>
          <w:p w14:paraId="5919C4B9">
            <w:pPr>
              <w:rPr>
                <w:rFonts w:hint="eastAsia" w:ascii="宋体" w:hAnsi="宋体" w:eastAsia="宋体" w:cs="宋体"/>
                <w:color w:val="auto"/>
                <w:sz w:val="24"/>
                <w:szCs w:val="24"/>
              </w:rPr>
            </w:pPr>
            <w:r>
              <w:rPr>
                <w:rFonts w:hint="eastAsia" w:ascii="宋体" w:hAnsi="宋体" w:eastAsia="宋体" w:cs="宋体"/>
                <w:color w:val="auto"/>
                <w:sz w:val="24"/>
                <w:szCs w:val="24"/>
              </w:rPr>
              <w:t>供货时间（项目工期）及地点</w:t>
            </w:r>
          </w:p>
        </w:tc>
        <w:tc>
          <w:tcPr>
            <w:tcW w:w="6368" w:type="dxa"/>
            <w:tcBorders>
              <w:right w:val="single" w:color="auto" w:sz="4" w:space="0"/>
            </w:tcBorders>
            <w:noWrap w:val="0"/>
            <w:vAlign w:val="center"/>
          </w:tcPr>
          <w:p w14:paraId="28062D84">
            <w:pPr>
              <w:rPr>
                <w:rFonts w:hint="eastAsia" w:ascii="宋体" w:hAnsi="宋体" w:eastAsia="宋体" w:cs="宋体"/>
                <w:color w:val="auto"/>
                <w:sz w:val="24"/>
                <w:szCs w:val="24"/>
              </w:rPr>
            </w:pPr>
            <w:r>
              <w:rPr>
                <w:rFonts w:hint="eastAsia" w:ascii="宋体" w:hAnsi="宋体" w:eastAsia="宋体" w:cs="宋体"/>
                <w:color w:val="auto"/>
                <w:sz w:val="24"/>
                <w:szCs w:val="24"/>
              </w:rPr>
              <w:t>交货时间：</w:t>
            </w:r>
            <w:r>
              <w:rPr>
                <w:rFonts w:hint="eastAsia" w:ascii="宋体" w:hAnsi="宋体" w:eastAsia="宋体" w:cs="宋体"/>
                <w:color w:val="auto"/>
                <w:sz w:val="24"/>
                <w:szCs w:val="24"/>
                <w:lang w:val="en-US" w:eastAsia="zh-CN"/>
              </w:rPr>
              <w:t>接到院方通知</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个月内</w:t>
            </w:r>
          </w:p>
          <w:p w14:paraId="18601D1E">
            <w:pPr>
              <w:rPr>
                <w:rFonts w:hint="eastAsia" w:ascii="宋体" w:hAnsi="宋体" w:eastAsia="宋体" w:cs="宋体"/>
                <w:color w:val="auto"/>
                <w:sz w:val="24"/>
                <w:szCs w:val="24"/>
              </w:rPr>
            </w:pPr>
            <w:r>
              <w:rPr>
                <w:rFonts w:hint="eastAsia" w:ascii="宋体" w:hAnsi="宋体" w:eastAsia="宋体" w:cs="宋体"/>
                <w:color w:val="auto"/>
                <w:sz w:val="24"/>
                <w:szCs w:val="24"/>
              </w:rPr>
              <w:t>交货地点：</w:t>
            </w:r>
            <w:r>
              <w:rPr>
                <w:rFonts w:hint="eastAsia" w:ascii="宋体" w:hAnsi="宋体" w:eastAsia="宋体" w:cs="宋体"/>
                <w:color w:val="auto"/>
                <w:sz w:val="24"/>
                <w:szCs w:val="24"/>
                <w:lang w:val="en-US" w:eastAsia="zh-CN"/>
              </w:rPr>
              <w:t>金华市中心医院</w:t>
            </w:r>
            <w:r>
              <w:rPr>
                <w:rFonts w:hint="eastAsia" w:ascii="宋体" w:hAnsi="宋体" w:eastAsia="宋体" w:cs="宋体"/>
                <w:color w:val="auto"/>
                <w:sz w:val="24"/>
                <w:szCs w:val="24"/>
              </w:rPr>
              <w:t>指定地点</w:t>
            </w:r>
          </w:p>
        </w:tc>
      </w:tr>
      <w:tr w14:paraId="506F76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4A4F542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32" w:type="dxa"/>
            <w:tcBorders>
              <w:right w:val="single" w:color="auto" w:sz="4" w:space="0"/>
            </w:tcBorders>
            <w:noWrap w:val="0"/>
            <w:vAlign w:val="center"/>
          </w:tcPr>
          <w:p w14:paraId="3B2F9857">
            <w:pPr>
              <w:rPr>
                <w:rFonts w:hint="eastAsia" w:ascii="宋体" w:hAnsi="宋体" w:eastAsia="宋体" w:cs="宋体"/>
                <w:color w:val="auto"/>
                <w:sz w:val="24"/>
                <w:szCs w:val="24"/>
              </w:rPr>
            </w:pPr>
            <w:r>
              <w:rPr>
                <w:rFonts w:hint="eastAsia" w:ascii="宋体" w:hAnsi="宋体" w:eastAsia="宋体" w:cs="宋体"/>
                <w:color w:val="auto"/>
                <w:sz w:val="24"/>
                <w:szCs w:val="24"/>
              </w:rPr>
              <w:t>付款条件</w:t>
            </w:r>
          </w:p>
        </w:tc>
        <w:tc>
          <w:tcPr>
            <w:tcW w:w="6368" w:type="dxa"/>
            <w:tcBorders>
              <w:right w:val="single" w:color="auto" w:sz="4" w:space="0"/>
            </w:tcBorders>
            <w:noWrap w:val="0"/>
            <w:vAlign w:val="center"/>
          </w:tcPr>
          <w:p w14:paraId="01D463B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合同签订后支付合同金额的40%作为预付款，设备安装调试完成、验收合格后在壹个月内支付合同金额的</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。付款前，</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需向采购人提供合法有效的税务发票。</w:t>
            </w:r>
          </w:p>
        </w:tc>
      </w:tr>
      <w:tr w14:paraId="732EF2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406E28A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100" w:type="dxa"/>
            <w:gridSpan w:val="2"/>
            <w:tcBorders>
              <w:right w:val="single" w:color="auto" w:sz="4" w:space="0"/>
            </w:tcBorders>
            <w:noWrap w:val="0"/>
            <w:vAlign w:val="center"/>
          </w:tcPr>
          <w:p w14:paraId="7AAADD7B">
            <w:pPr>
              <w:rPr>
                <w:rFonts w:hint="eastAsia" w:ascii="宋体" w:hAnsi="宋体" w:eastAsia="宋体" w:cs="宋体"/>
                <w:color w:val="auto"/>
                <w:sz w:val="24"/>
                <w:szCs w:val="24"/>
              </w:rPr>
            </w:pPr>
            <w:r>
              <w:rPr>
                <w:rFonts w:hint="eastAsia" w:ascii="宋体" w:hAnsi="宋体" w:eastAsia="宋体" w:cs="宋体"/>
                <w:b/>
                <w:color w:val="auto"/>
                <w:sz w:val="24"/>
                <w:szCs w:val="24"/>
              </w:rPr>
              <w:t>食品药品监督管理部门核发的完整有效的医疗器械注册或备案证明（包括附件）；不作为医疗器械管理的货物供相关说明资料。</w:t>
            </w:r>
          </w:p>
        </w:tc>
      </w:tr>
      <w:tr w14:paraId="423B6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22F7330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32" w:type="dxa"/>
            <w:tcBorders>
              <w:right w:val="single" w:color="auto" w:sz="4" w:space="0"/>
            </w:tcBorders>
            <w:noWrap w:val="0"/>
            <w:vAlign w:val="center"/>
          </w:tcPr>
          <w:p w14:paraId="195C0F63">
            <w:pPr>
              <w:rPr>
                <w:rFonts w:hint="eastAsia" w:ascii="宋体" w:hAnsi="宋体" w:eastAsia="宋体" w:cs="宋体"/>
                <w:color w:val="auto"/>
                <w:sz w:val="24"/>
                <w:szCs w:val="24"/>
              </w:rPr>
            </w:pPr>
            <w:r>
              <w:rPr>
                <w:rFonts w:hint="eastAsia" w:ascii="宋体" w:hAnsi="宋体" w:eastAsia="宋体" w:cs="宋体"/>
                <w:color w:val="auto"/>
                <w:sz w:val="24"/>
                <w:szCs w:val="24"/>
              </w:rPr>
              <w:t>货物使用期限</w:t>
            </w:r>
          </w:p>
        </w:tc>
        <w:tc>
          <w:tcPr>
            <w:tcW w:w="6368" w:type="dxa"/>
            <w:tcBorders>
              <w:right w:val="single" w:color="auto" w:sz="4" w:space="0"/>
            </w:tcBorders>
            <w:noWrap w:val="0"/>
            <w:vAlign w:val="center"/>
          </w:tcPr>
          <w:p w14:paraId="02EE3DE2">
            <w:pPr>
              <w:rPr>
                <w:rFonts w:hint="eastAsia" w:ascii="宋体" w:hAnsi="宋体" w:eastAsia="宋体" w:cs="宋体"/>
                <w:color w:val="auto"/>
                <w:sz w:val="24"/>
                <w:szCs w:val="24"/>
              </w:rPr>
            </w:pPr>
            <w:r>
              <w:rPr>
                <w:rFonts w:hint="eastAsia" w:ascii="宋体" w:hAnsi="宋体" w:eastAsia="宋体" w:cs="宋体"/>
                <w:color w:val="auto"/>
                <w:sz w:val="24"/>
                <w:szCs w:val="24"/>
              </w:rPr>
              <w:t>自货物生产日期起，不少于6年；提供铭牌标识、照片或说明书相关页面复印件。</w:t>
            </w:r>
          </w:p>
        </w:tc>
      </w:tr>
      <w:tr w14:paraId="0EC14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17DF6D2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32" w:type="dxa"/>
            <w:tcBorders>
              <w:right w:val="single" w:color="auto" w:sz="4" w:space="0"/>
            </w:tcBorders>
            <w:noWrap w:val="0"/>
            <w:vAlign w:val="center"/>
          </w:tcPr>
          <w:p w14:paraId="3B563847">
            <w:pPr>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6368" w:type="dxa"/>
            <w:tcBorders>
              <w:right w:val="single" w:color="auto" w:sz="4" w:space="0"/>
            </w:tcBorders>
            <w:noWrap w:val="0"/>
            <w:vAlign w:val="center"/>
          </w:tcPr>
          <w:p w14:paraId="10A23894">
            <w:pPr>
              <w:rPr>
                <w:rFonts w:hint="eastAsia" w:ascii="宋体" w:hAnsi="宋体" w:eastAsia="宋体" w:cs="宋体"/>
                <w:color w:val="auto"/>
                <w:sz w:val="24"/>
                <w:szCs w:val="24"/>
              </w:rPr>
            </w:pPr>
            <w:r>
              <w:rPr>
                <w:rFonts w:hint="eastAsia" w:ascii="宋体" w:hAnsi="宋体" w:eastAsia="宋体" w:cs="宋体"/>
                <w:color w:val="auto"/>
                <w:sz w:val="24"/>
                <w:szCs w:val="24"/>
              </w:rPr>
              <w:t>货物必须是全新的、未使用过的、符合相关质量标准的合格产品。</w:t>
            </w:r>
          </w:p>
        </w:tc>
      </w:tr>
      <w:tr w14:paraId="6027B1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317E342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32" w:type="dxa"/>
            <w:tcBorders>
              <w:right w:val="single" w:color="auto" w:sz="4" w:space="0"/>
            </w:tcBorders>
            <w:noWrap w:val="0"/>
            <w:vAlign w:val="center"/>
          </w:tcPr>
          <w:p w14:paraId="6332A789">
            <w:pPr>
              <w:rPr>
                <w:rFonts w:hint="eastAsia" w:ascii="宋体" w:hAnsi="宋体" w:eastAsia="宋体" w:cs="宋体"/>
                <w:color w:val="auto"/>
                <w:sz w:val="24"/>
                <w:szCs w:val="24"/>
              </w:rPr>
            </w:pPr>
            <w:r>
              <w:rPr>
                <w:rFonts w:hint="eastAsia" w:ascii="宋体" w:hAnsi="宋体" w:eastAsia="宋体" w:cs="宋体"/>
                <w:color w:val="auto"/>
                <w:sz w:val="24"/>
                <w:szCs w:val="24"/>
              </w:rPr>
              <w:t>货物包装</w:t>
            </w:r>
          </w:p>
        </w:tc>
        <w:tc>
          <w:tcPr>
            <w:tcW w:w="6368" w:type="dxa"/>
            <w:tcBorders>
              <w:right w:val="single" w:color="auto" w:sz="4" w:space="0"/>
            </w:tcBorders>
            <w:noWrap w:val="0"/>
            <w:vAlign w:val="center"/>
          </w:tcPr>
          <w:p w14:paraId="3D9FAA36">
            <w:pPr>
              <w:rPr>
                <w:rFonts w:hint="eastAsia" w:ascii="宋体" w:hAnsi="宋体" w:eastAsia="宋体" w:cs="宋体"/>
                <w:color w:val="auto"/>
                <w:sz w:val="24"/>
                <w:szCs w:val="24"/>
              </w:rPr>
            </w:pPr>
            <w:r>
              <w:rPr>
                <w:rFonts w:hint="eastAsia" w:ascii="宋体" w:hAnsi="宋体" w:eastAsia="宋体" w:cs="宋体"/>
                <w:color w:val="auto"/>
                <w:sz w:val="24"/>
                <w:szCs w:val="24"/>
              </w:rPr>
              <w:t>货物发运前，应对其进行满足运输距离、防潮、防震、防锈和防破损装卸等要求包装，以保证货物安全运达甲方指定地点。</w:t>
            </w:r>
          </w:p>
        </w:tc>
      </w:tr>
      <w:tr w14:paraId="60FA7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569B85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32" w:type="dxa"/>
            <w:tcBorders>
              <w:right w:val="single" w:color="auto" w:sz="4" w:space="0"/>
            </w:tcBorders>
            <w:noWrap w:val="0"/>
            <w:vAlign w:val="center"/>
          </w:tcPr>
          <w:p w14:paraId="4386DA37">
            <w:pPr>
              <w:rPr>
                <w:rFonts w:hint="eastAsia" w:ascii="宋体" w:hAnsi="宋体" w:eastAsia="宋体" w:cs="宋体"/>
                <w:color w:val="auto"/>
                <w:sz w:val="24"/>
                <w:szCs w:val="24"/>
              </w:rPr>
            </w:pPr>
            <w:r>
              <w:rPr>
                <w:rFonts w:hint="eastAsia" w:ascii="宋体" w:hAnsi="宋体" w:eastAsia="宋体" w:cs="宋体"/>
                <w:color w:val="auto"/>
                <w:sz w:val="24"/>
                <w:szCs w:val="24"/>
              </w:rPr>
              <w:t>随机资料</w:t>
            </w:r>
          </w:p>
        </w:tc>
        <w:tc>
          <w:tcPr>
            <w:tcW w:w="6368" w:type="dxa"/>
            <w:tcBorders>
              <w:right w:val="single" w:color="auto" w:sz="4" w:space="0"/>
            </w:tcBorders>
            <w:noWrap w:val="0"/>
            <w:vAlign w:val="center"/>
          </w:tcPr>
          <w:p w14:paraId="39C8A0AB">
            <w:pPr>
              <w:pStyle w:val="39"/>
              <w:widowControl w:val="0"/>
              <w:numPr>
                <w:ilvl w:val="0"/>
                <w:numId w:val="0"/>
              </w:numPr>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每台设备都应提供完整的中文技术资料，包括但不限于操作手册1套、维修手册1套、软件手册1套、附件使用手册1套及电子版操作规程等。同时应提供原厂出厂配置清单、设备出厂检验报告和质量合格证书等。</w:t>
            </w:r>
          </w:p>
          <w:p w14:paraId="1E806CF1">
            <w:pPr>
              <w:pStyle w:val="39"/>
              <w:widowControl w:val="0"/>
              <w:numPr>
                <w:ilvl w:val="0"/>
                <w:numId w:val="0"/>
              </w:numPr>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提供所有软件的备份光盘或其他存储介质、license及所有口令信息，同时提供这些软件安装、调试及相关维护所需要的所有硬件和软件工具以及上述光盘或其他存储介质、调试等说明书。不能提供上述内容的，则现场提供所有软件终生免费安装（含硬件更换后软件重新安装）、调试、维护服务。</w:t>
            </w:r>
          </w:p>
        </w:tc>
      </w:tr>
      <w:tr w14:paraId="5F2159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083560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732" w:type="dxa"/>
            <w:tcBorders>
              <w:right w:val="single" w:color="auto" w:sz="4" w:space="0"/>
            </w:tcBorders>
            <w:noWrap w:val="0"/>
            <w:vAlign w:val="center"/>
          </w:tcPr>
          <w:p w14:paraId="2F0C003E">
            <w:pPr>
              <w:rPr>
                <w:rFonts w:hint="eastAsia" w:ascii="宋体" w:hAnsi="宋体" w:eastAsia="宋体" w:cs="宋体"/>
                <w:color w:val="auto"/>
                <w:sz w:val="24"/>
                <w:szCs w:val="24"/>
              </w:rPr>
            </w:pPr>
            <w:r>
              <w:rPr>
                <w:rFonts w:hint="eastAsia" w:ascii="宋体" w:hAnsi="宋体" w:eastAsia="宋体" w:cs="宋体"/>
                <w:color w:val="auto"/>
                <w:sz w:val="24"/>
                <w:szCs w:val="24"/>
              </w:rPr>
              <w:t>安装调试验收</w:t>
            </w:r>
          </w:p>
        </w:tc>
        <w:tc>
          <w:tcPr>
            <w:tcW w:w="6368" w:type="dxa"/>
            <w:tcBorders>
              <w:right w:val="single" w:color="auto" w:sz="4" w:space="0"/>
            </w:tcBorders>
            <w:noWrap w:val="0"/>
            <w:vAlign w:val="center"/>
          </w:tcPr>
          <w:p w14:paraId="1DA260A1">
            <w:pPr>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安装标准：符合我国国家有关技术规范要求和技术标准。</w:t>
            </w:r>
          </w:p>
          <w:p w14:paraId="1C215DBF">
            <w:pPr>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安装完成时间：</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在货物到货并具备实施条件后15天内完成安装调试，使设备正常运行。如果超出上述期限，</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负责由此给</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造成的所有损失。</w:t>
            </w:r>
          </w:p>
          <w:p w14:paraId="60D33CAA">
            <w:pPr>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货物应符合国家相关标准，</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按照《医疗器械监督管理条例》等法律及招投标文件要求，并根据合同条款逐项验收。</w:t>
            </w:r>
          </w:p>
          <w:p w14:paraId="0B352C8B">
            <w:pPr>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验收中如发现所交的货物品种、型号、规格、性能或功能、质量不符合合同规定及招投标文件要求的，甲方有权拒收该货物，</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愿意更换货物但逾期交货的，按</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逾期交货处理。</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拒绝更换货物的，</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可单方面解除合同。由此产生的一切责任和后果由</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承担。</w:t>
            </w:r>
          </w:p>
          <w:p w14:paraId="438722C3">
            <w:pPr>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货物安装完毕试运行，正常的1周内双方签署验收报告。进口产品验收时还须提供海关报关单、商检合格证明等。</w:t>
            </w:r>
          </w:p>
          <w:p w14:paraId="48BDD39C">
            <w:pPr>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如属计量器具、放射类设备，则</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须提供经</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认可的且具有资质的检测机构出具的计量、放射源检定合格报告，检测费用包含在合同总价中。</w:t>
            </w:r>
          </w:p>
          <w:p w14:paraId="465301FD">
            <w:pPr>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安装、调试、验收过程中发生的一切费用由乙方负责。</w:t>
            </w:r>
          </w:p>
        </w:tc>
      </w:tr>
      <w:tr w14:paraId="17DCB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369C722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732" w:type="dxa"/>
            <w:tcBorders>
              <w:right w:val="single" w:color="auto" w:sz="4" w:space="0"/>
            </w:tcBorders>
            <w:noWrap w:val="0"/>
            <w:vAlign w:val="center"/>
          </w:tcPr>
          <w:p w14:paraId="5C47BF97">
            <w:pPr>
              <w:rPr>
                <w:rFonts w:hint="eastAsia" w:ascii="宋体" w:hAnsi="宋体" w:eastAsia="宋体" w:cs="宋体"/>
                <w:color w:val="auto"/>
                <w:sz w:val="24"/>
                <w:szCs w:val="24"/>
              </w:rPr>
            </w:pPr>
            <w:r>
              <w:rPr>
                <w:rFonts w:hint="eastAsia" w:ascii="宋体" w:hAnsi="宋体" w:eastAsia="宋体" w:cs="宋体"/>
                <w:color w:val="auto"/>
                <w:sz w:val="24"/>
                <w:szCs w:val="24"/>
              </w:rPr>
              <w:t>保修</w:t>
            </w:r>
          </w:p>
        </w:tc>
        <w:tc>
          <w:tcPr>
            <w:tcW w:w="6368" w:type="dxa"/>
            <w:tcBorders>
              <w:right w:val="single" w:color="auto" w:sz="4" w:space="0"/>
            </w:tcBorders>
            <w:noWrap w:val="0"/>
            <w:vAlign w:val="center"/>
          </w:tcPr>
          <w:p w14:paraId="495069BD">
            <w:pPr>
              <w:rPr>
                <w:rFonts w:hint="eastAsia" w:ascii="宋体" w:hAnsi="宋体" w:eastAsia="宋体" w:cs="宋体"/>
                <w:color w:val="auto"/>
                <w:sz w:val="24"/>
                <w:szCs w:val="24"/>
              </w:rPr>
            </w:pPr>
            <w:r>
              <w:rPr>
                <w:rFonts w:hint="eastAsia" w:ascii="宋体" w:hAnsi="宋体" w:eastAsia="宋体" w:cs="宋体"/>
                <w:color w:val="auto"/>
                <w:sz w:val="24"/>
                <w:szCs w:val="24"/>
              </w:rPr>
              <w:t>设备整机（包括第三方等配套设备）验收合格后保修≥1年。合同签订后提供相应保修时间的原厂书面保修承诺。</w:t>
            </w:r>
          </w:p>
        </w:tc>
      </w:tr>
      <w:tr w14:paraId="43B4A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5AABCBD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732" w:type="dxa"/>
            <w:tcBorders>
              <w:right w:val="single" w:color="auto" w:sz="4" w:space="0"/>
            </w:tcBorders>
            <w:noWrap w:val="0"/>
            <w:vAlign w:val="center"/>
          </w:tcPr>
          <w:p w14:paraId="35E3D731">
            <w:pP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6368" w:type="dxa"/>
            <w:tcBorders>
              <w:right w:val="single" w:color="auto" w:sz="4" w:space="0"/>
            </w:tcBorders>
            <w:noWrap w:val="0"/>
            <w:vAlign w:val="center"/>
          </w:tcPr>
          <w:p w14:paraId="304301E6">
            <w:pPr>
              <w:numPr>
                <w:ilvl w:val="0"/>
                <w:numId w:val="3"/>
              </w:numPr>
              <w:rPr>
                <w:rFonts w:hint="eastAsia" w:ascii="宋体" w:hAnsi="宋体" w:eastAsia="宋体" w:cs="宋体"/>
                <w:color w:val="auto"/>
                <w:sz w:val="24"/>
                <w:szCs w:val="24"/>
              </w:rPr>
            </w:pP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提供的货物在保修期内因货物本身的质量问题发生故障或达不到技术要求的，</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应负责免费更换或提供免费技术服务和维修。在保修期内，</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应对货物出现的质量及安全问题负责处理解决并承担一切费用。</w:t>
            </w:r>
          </w:p>
          <w:p w14:paraId="18199079">
            <w:pPr>
              <w:numPr>
                <w:ilvl w:val="0"/>
                <w:numId w:val="3"/>
              </w:numPr>
              <w:rPr>
                <w:rFonts w:hint="eastAsia" w:ascii="宋体" w:hAnsi="宋体" w:eastAsia="宋体" w:cs="宋体"/>
                <w:color w:val="auto"/>
                <w:sz w:val="24"/>
                <w:szCs w:val="24"/>
              </w:rPr>
            </w:pPr>
            <w:r>
              <w:rPr>
                <w:rFonts w:hint="eastAsia" w:ascii="宋体" w:hAnsi="宋体" w:eastAsia="宋体" w:cs="宋体"/>
                <w:color w:val="auto"/>
                <w:sz w:val="24"/>
                <w:szCs w:val="24"/>
              </w:rPr>
              <w:t>在设备使用期内，</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应确保设备的正常使用。提供7×24小时服务支持，服务响应时间小于1小时，维修响应时间小于8小时，24小时内解决问题。通过电话等远程无法解决的，须8小时内到达现场处理，在24小时内对设备无法修复的，须提供性能相当的产品供用户使用或可操作的应急方案。</w:t>
            </w:r>
          </w:p>
          <w:p w14:paraId="4711CD78">
            <w:pPr>
              <w:numPr>
                <w:ilvl w:val="0"/>
                <w:numId w:val="3"/>
              </w:numPr>
              <w:rPr>
                <w:rFonts w:hint="eastAsia" w:ascii="宋体" w:hAnsi="宋体" w:eastAsia="宋体" w:cs="宋体"/>
                <w:color w:val="auto"/>
                <w:sz w:val="24"/>
                <w:szCs w:val="24"/>
              </w:rPr>
            </w:pPr>
            <w:r>
              <w:rPr>
                <w:rFonts w:hint="eastAsia" w:ascii="宋体" w:hAnsi="宋体" w:eastAsia="宋体" w:cs="宋体"/>
                <w:color w:val="auto"/>
                <w:sz w:val="24"/>
                <w:szCs w:val="24"/>
              </w:rPr>
              <w:t>保修期内提供至少每年2次的上门维护保养服务，并保证设备开机率≥95%，开机率因维修原因达不到以上开机率要求，则停机每超过1天保修期延长10天。</w:t>
            </w:r>
          </w:p>
          <w:p w14:paraId="18C92890">
            <w:pPr>
              <w:numPr>
                <w:ilvl w:val="0"/>
                <w:numId w:val="3"/>
              </w:numPr>
              <w:rPr>
                <w:rFonts w:hint="eastAsia" w:ascii="宋体" w:hAnsi="宋体" w:eastAsia="宋体" w:cs="宋体"/>
                <w:color w:val="auto"/>
                <w:sz w:val="24"/>
                <w:szCs w:val="24"/>
              </w:rPr>
            </w:pPr>
            <w:r>
              <w:rPr>
                <w:rFonts w:hint="eastAsia" w:ascii="宋体" w:hAnsi="宋体" w:eastAsia="宋体" w:cs="宋体"/>
                <w:color w:val="auto"/>
                <w:sz w:val="24"/>
                <w:szCs w:val="24"/>
              </w:rPr>
              <w:t>保证零配件供应8年以上。保修期后维修不收任何非技术服务费用，如差旅费、上门费等。设备终生维护，软件终生升级。</w:t>
            </w:r>
          </w:p>
          <w:p w14:paraId="56077704">
            <w:pPr>
              <w:numPr>
                <w:ilvl w:val="0"/>
                <w:numId w:val="3"/>
              </w:numPr>
              <w:rPr>
                <w:rFonts w:hint="eastAsia" w:ascii="宋体" w:hAnsi="宋体" w:eastAsia="宋体" w:cs="宋体"/>
                <w:color w:val="auto"/>
                <w:sz w:val="24"/>
                <w:szCs w:val="24"/>
              </w:rPr>
            </w:pPr>
            <w:r>
              <w:rPr>
                <w:rFonts w:hint="eastAsia" w:ascii="宋体" w:hAnsi="宋体" w:eastAsia="宋体" w:cs="宋体"/>
                <w:color w:val="auto"/>
                <w:sz w:val="24"/>
                <w:szCs w:val="24"/>
              </w:rPr>
              <w:t>提供出保后的保修方案及价格，承诺出保后的保修合同价格不高于此价格。</w:t>
            </w:r>
          </w:p>
        </w:tc>
      </w:tr>
      <w:tr w14:paraId="01264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437EB5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732" w:type="dxa"/>
            <w:tcBorders>
              <w:right w:val="single" w:color="auto" w:sz="4" w:space="0"/>
            </w:tcBorders>
            <w:noWrap w:val="0"/>
            <w:vAlign w:val="center"/>
          </w:tcPr>
          <w:p w14:paraId="0D100197">
            <w:pPr>
              <w:rPr>
                <w:rFonts w:hint="eastAsia" w:ascii="宋体" w:hAnsi="宋体" w:eastAsia="宋体" w:cs="宋体"/>
                <w:color w:val="auto"/>
                <w:sz w:val="24"/>
                <w:szCs w:val="24"/>
              </w:rPr>
            </w:pPr>
            <w:r>
              <w:rPr>
                <w:rFonts w:hint="eastAsia" w:ascii="宋体" w:hAnsi="宋体" w:eastAsia="宋体" w:cs="宋体"/>
                <w:color w:val="auto"/>
                <w:sz w:val="24"/>
                <w:szCs w:val="24"/>
              </w:rPr>
              <w:t>易耗品及维修备件</w:t>
            </w:r>
          </w:p>
        </w:tc>
        <w:tc>
          <w:tcPr>
            <w:tcW w:w="6368" w:type="dxa"/>
            <w:tcBorders>
              <w:right w:val="single" w:color="auto" w:sz="4" w:space="0"/>
            </w:tcBorders>
            <w:noWrap w:val="0"/>
            <w:vAlign w:val="center"/>
          </w:tcPr>
          <w:p w14:paraId="7D218AAC">
            <w:pPr>
              <w:rPr>
                <w:rFonts w:hint="eastAsia" w:ascii="宋体" w:hAnsi="宋体" w:eastAsia="宋体" w:cs="宋体"/>
                <w:color w:val="auto"/>
                <w:sz w:val="24"/>
                <w:szCs w:val="24"/>
              </w:rPr>
            </w:pPr>
            <w:r>
              <w:rPr>
                <w:rFonts w:hint="eastAsia" w:ascii="宋体" w:hAnsi="宋体" w:eastAsia="宋体" w:cs="宋体"/>
                <w:color w:val="auto"/>
                <w:sz w:val="24"/>
                <w:szCs w:val="24"/>
              </w:rPr>
              <w:t>投标时标明所有易耗品及维修备件的清单和最低报价，此项作为评标重要依据。</w:t>
            </w:r>
          </w:p>
        </w:tc>
      </w:tr>
      <w:tr w14:paraId="5AE51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104" w:type="dxa"/>
            <w:noWrap w:val="0"/>
            <w:vAlign w:val="center"/>
          </w:tcPr>
          <w:p w14:paraId="42AB419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732" w:type="dxa"/>
            <w:tcBorders>
              <w:right w:val="single" w:color="auto" w:sz="4" w:space="0"/>
            </w:tcBorders>
            <w:noWrap w:val="0"/>
            <w:vAlign w:val="center"/>
          </w:tcPr>
          <w:p w14:paraId="60762A2C">
            <w:pPr>
              <w:rPr>
                <w:rFonts w:hint="eastAsia" w:ascii="宋体" w:hAnsi="宋体" w:eastAsia="宋体" w:cs="宋体"/>
                <w:color w:val="auto"/>
                <w:sz w:val="24"/>
                <w:szCs w:val="24"/>
              </w:rPr>
            </w:pPr>
            <w:r>
              <w:rPr>
                <w:rFonts w:hint="eastAsia" w:ascii="宋体" w:hAnsi="宋体" w:eastAsia="宋体" w:cs="宋体"/>
                <w:color w:val="auto"/>
                <w:sz w:val="24"/>
                <w:szCs w:val="24"/>
              </w:rPr>
              <w:t>培训</w:t>
            </w:r>
          </w:p>
        </w:tc>
        <w:tc>
          <w:tcPr>
            <w:tcW w:w="6368" w:type="dxa"/>
            <w:tcBorders>
              <w:right w:val="single" w:color="auto" w:sz="4" w:space="0"/>
            </w:tcBorders>
            <w:noWrap w:val="0"/>
            <w:vAlign w:val="center"/>
          </w:tcPr>
          <w:p w14:paraId="670C1E4A">
            <w:pPr>
              <w:numPr>
                <w:ilvl w:val="0"/>
                <w:numId w:val="4"/>
              </w:numPr>
              <w:rPr>
                <w:rFonts w:hint="eastAsia" w:ascii="宋体" w:hAnsi="宋体" w:eastAsia="宋体" w:cs="宋体"/>
                <w:color w:val="auto"/>
                <w:sz w:val="24"/>
                <w:szCs w:val="24"/>
              </w:rPr>
            </w:pP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提供至少主刀1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人次，助手1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人次，护士4人次培训，培训方式、地点、人数、时间在响应文件中详细说明。</w:t>
            </w:r>
          </w:p>
          <w:p w14:paraId="36971BC9">
            <w:pPr>
              <w:numPr>
                <w:ilvl w:val="0"/>
                <w:numId w:val="4"/>
              </w:numPr>
              <w:rPr>
                <w:rFonts w:hint="eastAsia" w:ascii="宋体" w:hAnsi="宋体" w:eastAsia="宋体" w:cs="宋体"/>
                <w:color w:val="auto"/>
                <w:sz w:val="24"/>
                <w:szCs w:val="24"/>
              </w:rPr>
            </w:pPr>
            <w:r>
              <w:rPr>
                <w:rFonts w:hint="eastAsia" w:ascii="宋体" w:hAnsi="宋体" w:eastAsia="宋体" w:cs="宋体"/>
                <w:color w:val="auto"/>
                <w:sz w:val="24"/>
                <w:szCs w:val="24"/>
              </w:rPr>
              <w:t>操作应用培训：</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应对操作人员进行操作和临床应用培训，使其熟练掌握设备的操作规程及临床应用。</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须提供涵盖上述内容的培训资料，包括但不限于操作教学视频、操作规程等。</w:t>
            </w:r>
          </w:p>
          <w:p w14:paraId="64884EBF">
            <w:pPr>
              <w:numPr>
                <w:ilvl w:val="0"/>
                <w:numId w:val="4"/>
              </w:numPr>
              <w:rPr>
                <w:rFonts w:hint="eastAsia" w:ascii="宋体" w:hAnsi="宋体" w:eastAsia="宋体" w:cs="宋体"/>
                <w:color w:val="auto"/>
                <w:sz w:val="24"/>
                <w:szCs w:val="24"/>
              </w:rPr>
            </w:pPr>
            <w:r>
              <w:rPr>
                <w:rFonts w:hint="eastAsia" w:ascii="宋体" w:hAnsi="宋体" w:eastAsia="宋体" w:cs="宋体"/>
                <w:color w:val="auto"/>
                <w:sz w:val="24"/>
                <w:szCs w:val="24"/>
              </w:rPr>
              <w:t>维修保养培训：</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应对维修人员提供培训，使其掌握设备参数设置、日常维护保养、常见故障排除和维修等技能。</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须提供涵盖上述内容的培训资料，包括但不限于维修手册、维修图纸、维修密码、维护规程等。</w:t>
            </w:r>
          </w:p>
          <w:p w14:paraId="64BDE6CA">
            <w:pPr>
              <w:numPr>
                <w:ilvl w:val="0"/>
                <w:numId w:val="4"/>
              </w:numPr>
              <w:rPr>
                <w:rFonts w:hint="eastAsia"/>
              </w:rPr>
            </w:pP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须提供详细培训记录，培训记录应包含培训内容、参加人员、培训地点、培训时间等。</w:t>
            </w:r>
          </w:p>
          <w:p w14:paraId="51AB4A87">
            <w:pPr>
              <w:pStyle w:val="39"/>
              <w:widowControl w:val="0"/>
              <w:numPr>
                <w:ilvl w:val="0"/>
                <w:numId w:val="0"/>
              </w:numPr>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培训完成后，</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lang w:eastAsia="zh-CN"/>
              </w:rPr>
              <w:t>提供试题进行相应的考核，并提供考核记录，考核记录应包含考核内容、参加人员、考核地点、考核时间、考核情况等。</w:t>
            </w:r>
          </w:p>
          <w:p w14:paraId="18A4D86B">
            <w:pPr>
              <w:numPr>
                <w:ilvl w:val="0"/>
                <w:numId w:val="0"/>
              </w:numPr>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培训及考核产生的一切费用包含在投标总价中。</w:t>
            </w:r>
          </w:p>
        </w:tc>
      </w:tr>
      <w:tr w14:paraId="13258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4" w:type="dxa"/>
            <w:noWrap w:val="0"/>
            <w:vAlign w:val="center"/>
          </w:tcPr>
          <w:p w14:paraId="14A45B9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8100" w:type="dxa"/>
            <w:gridSpan w:val="2"/>
            <w:tcBorders>
              <w:right w:val="single" w:color="auto" w:sz="4" w:space="0"/>
            </w:tcBorders>
            <w:noWrap w:val="0"/>
            <w:vAlign w:val="center"/>
          </w:tcPr>
          <w:p w14:paraId="21045D81">
            <w:pPr>
              <w:rPr>
                <w:rFonts w:hint="eastAsia" w:ascii="宋体" w:hAnsi="宋体" w:eastAsia="宋体" w:cs="宋体"/>
                <w:color w:val="auto"/>
                <w:sz w:val="24"/>
                <w:szCs w:val="24"/>
              </w:rPr>
            </w:pPr>
            <w:r>
              <w:rPr>
                <w:rFonts w:hint="eastAsia" w:ascii="宋体" w:hAnsi="宋体" w:eastAsia="宋体" w:cs="宋体"/>
                <w:color w:val="auto"/>
                <w:sz w:val="24"/>
                <w:szCs w:val="24"/>
              </w:rPr>
              <w:t>提供所投设备的配套、总体质量性能说明并提供相关证明材料（如设备彩页；检测报告；原厂技术参数表；专利证明；系统功能截图等）</w:t>
            </w:r>
          </w:p>
        </w:tc>
      </w:tr>
      <w:tr w14:paraId="24612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104" w:type="dxa"/>
            <w:noWrap w:val="0"/>
            <w:vAlign w:val="center"/>
          </w:tcPr>
          <w:p w14:paraId="1C8B9AC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8100" w:type="dxa"/>
            <w:gridSpan w:val="2"/>
            <w:tcBorders>
              <w:right w:val="single" w:color="auto" w:sz="4" w:space="0"/>
            </w:tcBorders>
            <w:noWrap w:val="0"/>
            <w:vAlign w:val="center"/>
          </w:tcPr>
          <w:p w14:paraId="529CE3BA">
            <w:pPr>
              <w:rPr>
                <w:rFonts w:hint="eastAsia" w:ascii="宋体" w:hAnsi="宋体" w:eastAsia="宋体" w:cs="宋体"/>
                <w:color w:val="auto"/>
                <w:sz w:val="24"/>
                <w:szCs w:val="24"/>
              </w:rPr>
            </w:pPr>
            <w:r>
              <w:rPr>
                <w:rFonts w:hint="eastAsia" w:ascii="宋体" w:hAnsi="宋体" w:eastAsia="宋体" w:cs="宋体"/>
                <w:color w:val="auto"/>
                <w:sz w:val="24"/>
                <w:szCs w:val="24"/>
              </w:rPr>
              <w:t>运行、维修成本：提供全保、人工保等各种保修方案及价格，设备配件价格，维修服务费，消耗品或易耗品的使用周期、价格等</w:t>
            </w:r>
          </w:p>
        </w:tc>
      </w:tr>
    </w:tbl>
    <w:p w14:paraId="270953FB">
      <w:pPr>
        <w:pStyle w:val="10"/>
        <w:spacing w:before="156" w:after="156" w:line="360" w:lineRule="auto"/>
        <w:ind w:firstLine="2891" w:firstLineChars="800"/>
        <w:jc w:val="both"/>
        <w:outlineLvl w:val="0"/>
        <w:rPr>
          <w:rFonts w:hint="eastAsia" w:hAnsi="宋体"/>
          <w:b/>
          <w:color w:val="auto"/>
          <w:sz w:val="36"/>
          <w:szCs w:val="36"/>
        </w:rPr>
      </w:pPr>
    </w:p>
    <w:p w14:paraId="6773509A">
      <w:pPr>
        <w:pStyle w:val="10"/>
        <w:spacing w:before="156" w:after="156" w:line="360" w:lineRule="auto"/>
        <w:ind w:firstLine="2891" w:firstLineChars="800"/>
        <w:jc w:val="both"/>
        <w:outlineLvl w:val="0"/>
        <w:rPr>
          <w:rFonts w:hint="eastAsia" w:hAnsi="宋体"/>
          <w:b/>
          <w:color w:val="auto"/>
          <w:sz w:val="36"/>
          <w:szCs w:val="36"/>
        </w:rPr>
      </w:pPr>
    </w:p>
    <w:p w14:paraId="1795C176">
      <w:pPr>
        <w:pStyle w:val="10"/>
        <w:spacing w:before="156" w:after="156" w:line="360" w:lineRule="auto"/>
        <w:ind w:firstLine="2891" w:firstLineChars="800"/>
        <w:jc w:val="both"/>
        <w:outlineLvl w:val="0"/>
        <w:rPr>
          <w:rFonts w:hint="eastAsia" w:hAnsi="宋体"/>
          <w:b/>
          <w:color w:val="auto"/>
          <w:sz w:val="36"/>
          <w:szCs w:val="36"/>
        </w:rPr>
      </w:pPr>
    </w:p>
    <w:p w14:paraId="1EC7B7C9">
      <w:pPr>
        <w:pStyle w:val="10"/>
        <w:spacing w:before="156" w:after="156" w:line="360" w:lineRule="auto"/>
        <w:ind w:firstLine="2891" w:firstLineChars="800"/>
        <w:jc w:val="both"/>
        <w:outlineLvl w:val="0"/>
        <w:rPr>
          <w:rFonts w:hint="eastAsia" w:hAnsi="宋体"/>
          <w:b/>
          <w:color w:val="auto"/>
          <w:sz w:val="36"/>
          <w:szCs w:val="36"/>
        </w:rPr>
      </w:pPr>
    </w:p>
    <w:p w14:paraId="2D625386">
      <w:pPr>
        <w:pStyle w:val="10"/>
        <w:spacing w:before="156" w:after="156" w:line="360" w:lineRule="auto"/>
        <w:ind w:firstLine="2891" w:firstLineChars="800"/>
        <w:jc w:val="both"/>
        <w:outlineLvl w:val="0"/>
        <w:rPr>
          <w:rFonts w:hint="eastAsia" w:hAnsi="宋体"/>
          <w:b/>
          <w:color w:val="auto"/>
          <w:sz w:val="36"/>
          <w:szCs w:val="36"/>
        </w:rPr>
      </w:pPr>
    </w:p>
    <w:p w14:paraId="00BC374F">
      <w:pPr>
        <w:pStyle w:val="10"/>
        <w:spacing w:before="156" w:after="156" w:line="360" w:lineRule="auto"/>
        <w:ind w:firstLine="2891" w:firstLineChars="800"/>
        <w:jc w:val="both"/>
        <w:outlineLvl w:val="0"/>
        <w:rPr>
          <w:rFonts w:hint="eastAsia" w:hAnsi="宋体"/>
          <w:b/>
          <w:color w:val="auto"/>
          <w:sz w:val="36"/>
          <w:szCs w:val="36"/>
        </w:rPr>
      </w:pPr>
    </w:p>
    <w:p w14:paraId="41EED15B">
      <w:pPr>
        <w:pStyle w:val="10"/>
        <w:spacing w:before="156" w:after="156" w:line="360" w:lineRule="auto"/>
        <w:ind w:firstLine="2891" w:firstLineChars="800"/>
        <w:jc w:val="both"/>
        <w:outlineLvl w:val="0"/>
        <w:rPr>
          <w:rFonts w:hint="eastAsia" w:hAnsi="宋体"/>
          <w:b/>
          <w:color w:val="auto"/>
          <w:sz w:val="36"/>
          <w:szCs w:val="36"/>
        </w:rPr>
      </w:pPr>
    </w:p>
    <w:p w14:paraId="2DE934DE">
      <w:pPr>
        <w:rPr>
          <w:rFonts w:hint="eastAsia"/>
        </w:rPr>
      </w:pPr>
    </w:p>
    <w:p w14:paraId="60EB89E5">
      <w:pPr>
        <w:pStyle w:val="10"/>
        <w:spacing w:before="156" w:after="156" w:line="360" w:lineRule="auto"/>
        <w:ind w:firstLine="2891" w:firstLineChars="800"/>
        <w:jc w:val="both"/>
        <w:outlineLvl w:val="0"/>
        <w:rPr>
          <w:rFonts w:hint="eastAsia" w:hAnsi="宋体"/>
          <w:b/>
          <w:color w:val="auto"/>
          <w:sz w:val="36"/>
          <w:szCs w:val="36"/>
        </w:rPr>
      </w:pPr>
    </w:p>
    <w:p w14:paraId="58E33578">
      <w:pPr>
        <w:pStyle w:val="10"/>
        <w:spacing w:before="156" w:after="156" w:line="360" w:lineRule="auto"/>
        <w:ind w:firstLine="2530" w:firstLineChars="700"/>
        <w:jc w:val="both"/>
        <w:outlineLvl w:val="0"/>
        <w:rPr>
          <w:color w:val="auto"/>
        </w:rPr>
      </w:pPr>
      <w:r>
        <w:rPr>
          <w:rFonts w:hint="eastAsia" w:hAnsi="宋体"/>
          <w:b/>
          <w:color w:val="auto"/>
          <w:sz w:val="36"/>
          <w:szCs w:val="36"/>
        </w:rPr>
        <w:t xml:space="preserve">第三章  投标人须知 </w:t>
      </w:r>
    </w:p>
    <w:p w14:paraId="731893E1">
      <w:pPr>
        <w:pStyle w:val="2"/>
        <w:ind w:firstLine="600"/>
        <w:jc w:val="center"/>
        <w:rPr>
          <w:rFonts w:ascii="仿宋" w:hAnsi="仿宋" w:eastAsia="仿宋_GB2312"/>
          <w:color w:val="auto"/>
          <w:sz w:val="30"/>
          <w:szCs w:val="30"/>
        </w:rPr>
      </w:pPr>
      <w:r>
        <w:rPr>
          <w:rFonts w:hint="eastAsia" w:ascii="仿宋" w:hAnsi="仿宋" w:eastAsia="仿宋_GB2312"/>
          <w:color w:val="auto"/>
          <w:sz w:val="30"/>
          <w:szCs w:val="30"/>
        </w:rPr>
        <w:t>前附表</w:t>
      </w:r>
    </w:p>
    <w:tbl>
      <w:tblPr>
        <w:tblStyle w:val="22"/>
        <w:tblW w:w="10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69"/>
        <w:gridCol w:w="1814"/>
        <w:gridCol w:w="7776"/>
      </w:tblGrid>
      <w:tr w14:paraId="04411A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14:paraId="50A95815">
            <w:pPr>
              <w:spacing w:line="400" w:lineRule="atLeast"/>
              <w:jc w:val="center"/>
              <w:rPr>
                <w:rFonts w:ascii="宋体" w:cs="宋体"/>
                <w:color w:val="auto"/>
                <w:sz w:val="22"/>
              </w:rPr>
            </w:pPr>
            <w:r>
              <w:rPr>
                <w:rFonts w:hint="eastAsia" w:ascii="宋体" w:cs="宋体"/>
                <w:color w:val="auto"/>
                <w:sz w:val="22"/>
              </w:rPr>
              <w:t>序号</w:t>
            </w:r>
          </w:p>
        </w:tc>
        <w:tc>
          <w:tcPr>
            <w:tcW w:w="1814" w:type="dxa"/>
            <w:vAlign w:val="center"/>
          </w:tcPr>
          <w:p w14:paraId="2EA9EDC8">
            <w:pPr>
              <w:spacing w:line="400" w:lineRule="atLeast"/>
              <w:jc w:val="center"/>
              <w:rPr>
                <w:rFonts w:ascii="宋体" w:cs="宋体"/>
                <w:color w:val="auto"/>
                <w:sz w:val="22"/>
              </w:rPr>
            </w:pPr>
            <w:r>
              <w:rPr>
                <w:rFonts w:hint="eastAsia" w:ascii="宋体" w:cs="宋体"/>
                <w:color w:val="auto"/>
                <w:sz w:val="22"/>
              </w:rPr>
              <w:t>内容</w:t>
            </w:r>
          </w:p>
        </w:tc>
        <w:tc>
          <w:tcPr>
            <w:tcW w:w="7776" w:type="dxa"/>
            <w:vAlign w:val="center"/>
          </w:tcPr>
          <w:p w14:paraId="38D14F99">
            <w:pPr>
              <w:spacing w:line="400" w:lineRule="atLeast"/>
              <w:jc w:val="center"/>
              <w:rPr>
                <w:rFonts w:ascii="宋体" w:cs="宋体"/>
                <w:color w:val="auto"/>
                <w:sz w:val="22"/>
              </w:rPr>
            </w:pPr>
            <w:r>
              <w:rPr>
                <w:rFonts w:hint="eastAsia" w:ascii="宋体" w:cs="宋体"/>
                <w:color w:val="auto"/>
                <w:sz w:val="22"/>
              </w:rPr>
              <w:t>说明与要求</w:t>
            </w:r>
          </w:p>
        </w:tc>
      </w:tr>
      <w:tr w14:paraId="778E6E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14:paraId="1AB498FD">
            <w:pPr>
              <w:autoSpaceDE w:val="0"/>
              <w:autoSpaceDN w:val="0"/>
              <w:adjustRightInd w:val="0"/>
              <w:snapToGrid w:val="0"/>
              <w:spacing w:line="430" w:lineRule="atLeast"/>
              <w:jc w:val="center"/>
              <w:rPr>
                <w:rFonts w:ascii="宋体" w:cs="宋体"/>
                <w:color w:val="auto"/>
                <w:sz w:val="22"/>
                <w:lang w:val="zh-CN"/>
              </w:rPr>
            </w:pPr>
            <w:r>
              <w:rPr>
                <w:rFonts w:hint="eastAsia" w:ascii="宋体" w:cs="宋体"/>
                <w:color w:val="auto"/>
                <w:sz w:val="22"/>
                <w:lang w:val="zh-CN"/>
              </w:rPr>
              <w:t>1</w:t>
            </w:r>
          </w:p>
        </w:tc>
        <w:tc>
          <w:tcPr>
            <w:tcW w:w="1814" w:type="dxa"/>
            <w:vAlign w:val="center"/>
          </w:tcPr>
          <w:p w14:paraId="4A642E74">
            <w:pPr>
              <w:rPr>
                <w:rFonts w:ascii="宋体" w:cs="宋体"/>
                <w:color w:val="auto"/>
                <w:sz w:val="22"/>
              </w:rPr>
            </w:pPr>
            <w:r>
              <w:rPr>
                <w:rFonts w:hint="eastAsia" w:ascii="宋体" w:cs="宋体"/>
                <w:color w:val="auto"/>
                <w:sz w:val="22"/>
              </w:rPr>
              <w:t>项目名称</w:t>
            </w:r>
          </w:p>
        </w:tc>
        <w:tc>
          <w:tcPr>
            <w:tcW w:w="7776" w:type="dxa"/>
            <w:vAlign w:val="center"/>
          </w:tcPr>
          <w:p w14:paraId="7CC5BC42">
            <w:pPr>
              <w:jc w:val="left"/>
              <w:rPr>
                <w:rFonts w:ascii="宋体" w:cs="宋体"/>
                <w:color w:val="auto"/>
                <w:sz w:val="22"/>
              </w:rPr>
            </w:pPr>
            <w:r>
              <w:rPr>
                <w:rFonts w:hint="eastAsia" w:ascii="宋体" w:cs="宋体"/>
                <w:color w:val="auto"/>
                <w:sz w:val="22"/>
              </w:rPr>
              <w:t>金华市</w:t>
            </w:r>
            <w:r>
              <w:rPr>
                <w:rFonts w:hint="eastAsia" w:ascii="宋体" w:cs="宋体"/>
                <w:color w:val="auto"/>
                <w:sz w:val="22"/>
                <w:lang w:eastAsia="zh-CN"/>
              </w:rPr>
              <w:t>中心医院腹腔内窥镜手术系统（手术机器人）</w:t>
            </w:r>
          </w:p>
        </w:tc>
      </w:tr>
      <w:tr w14:paraId="47723D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14:paraId="7E20A7F0">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2</w:t>
            </w:r>
          </w:p>
        </w:tc>
        <w:tc>
          <w:tcPr>
            <w:tcW w:w="1814" w:type="dxa"/>
            <w:vAlign w:val="center"/>
          </w:tcPr>
          <w:p w14:paraId="31CD4C08">
            <w:pPr>
              <w:rPr>
                <w:rFonts w:ascii="宋体" w:cs="宋体"/>
                <w:color w:val="auto"/>
                <w:sz w:val="22"/>
              </w:rPr>
            </w:pPr>
            <w:r>
              <w:rPr>
                <w:rFonts w:hint="eastAsia" w:ascii="宋体" w:cs="宋体"/>
                <w:color w:val="auto"/>
                <w:sz w:val="22"/>
              </w:rPr>
              <w:t>采购数量及单位</w:t>
            </w:r>
          </w:p>
        </w:tc>
        <w:tc>
          <w:tcPr>
            <w:tcW w:w="7776" w:type="dxa"/>
            <w:vAlign w:val="center"/>
          </w:tcPr>
          <w:p w14:paraId="0C2872F2">
            <w:pPr>
              <w:rPr>
                <w:rFonts w:ascii="宋体" w:cs="宋体"/>
                <w:color w:val="auto"/>
                <w:sz w:val="22"/>
              </w:rPr>
            </w:pPr>
            <w:r>
              <w:rPr>
                <w:rFonts w:hint="eastAsia" w:ascii="宋体" w:cs="宋体"/>
                <w:color w:val="auto"/>
                <w:sz w:val="22"/>
              </w:rPr>
              <w:t>见采购需求</w:t>
            </w:r>
          </w:p>
        </w:tc>
      </w:tr>
      <w:tr w14:paraId="73A7DA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14:paraId="19B71FA1">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3</w:t>
            </w:r>
          </w:p>
        </w:tc>
        <w:tc>
          <w:tcPr>
            <w:tcW w:w="1814" w:type="dxa"/>
            <w:vAlign w:val="center"/>
          </w:tcPr>
          <w:p w14:paraId="33A8D547">
            <w:pPr>
              <w:rPr>
                <w:rFonts w:ascii="宋体" w:cs="宋体"/>
                <w:color w:val="auto"/>
                <w:sz w:val="22"/>
              </w:rPr>
            </w:pPr>
            <w:r>
              <w:rPr>
                <w:rFonts w:hint="eastAsia" w:ascii="宋体" w:cs="宋体"/>
                <w:color w:val="auto"/>
                <w:sz w:val="22"/>
              </w:rPr>
              <w:t>资金来源</w:t>
            </w:r>
          </w:p>
        </w:tc>
        <w:tc>
          <w:tcPr>
            <w:tcW w:w="7776" w:type="dxa"/>
            <w:vAlign w:val="center"/>
          </w:tcPr>
          <w:p w14:paraId="315D4D4C">
            <w:pPr>
              <w:rPr>
                <w:rFonts w:ascii="宋体" w:cs="宋体"/>
                <w:color w:val="auto"/>
                <w:sz w:val="22"/>
              </w:rPr>
            </w:pPr>
            <w:r>
              <w:rPr>
                <w:rFonts w:hint="eastAsia" w:ascii="宋体" w:cs="宋体"/>
                <w:color w:val="auto"/>
                <w:sz w:val="22"/>
              </w:rPr>
              <w:t>财政性资金</w:t>
            </w:r>
          </w:p>
        </w:tc>
      </w:tr>
      <w:tr w14:paraId="1C0B2D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14:paraId="708AE78C">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4</w:t>
            </w:r>
          </w:p>
        </w:tc>
        <w:tc>
          <w:tcPr>
            <w:tcW w:w="1814" w:type="dxa"/>
            <w:vAlign w:val="center"/>
          </w:tcPr>
          <w:p w14:paraId="644FB4B7">
            <w:pPr>
              <w:rPr>
                <w:rFonts w:ascii="宋体" w:cs="宋体"/>
                <w:color w:val="auto"/>
                <w:sz w:val="22"/>
              </w:rPr>
            </w:pPr>
            <w:r>
              <w:rPr>
                <w:rFonts w:hint="eastAsia" w:ascii="宋体" w:cs="宋体"/>
                <w:color w:val="auto"/>
                <w:sz w:val="22"/>
              </w:rPr>
              <w:t>采购方式</w:t>
            </w:r>
          </w:p>
        </w:tc>
        <w:tc>
          <w:tcPr>
            <w:tcW w:w="7776" w:type="dxa"/>
            <w:vAlign w:val="center"/>
          </w:tcPr>
          <w:p w14:paraId="520B7C9F">
            <w:pPr>
              <w:rPr>
                <w:rFonts w:ascii="宋体" w:cs="宋体"/>
                <w:color w:val="auto"/>
                <w:sz w:val="22"/>
              </w:rPr>
            </w:pPr>
            <w:r>
              <w:rPr>
                <w:rFonts w:hint="eastAsia" w:ascii="宋体" w:cs="宋体"/>
                <w:color w:val="auto"/>
                <w:sz w:val="22"/>
              </w:rPr>
              <w:t>公开招标</w:t>
            </w:r>
          </w:p>
        </w:tc>
      </w:tr>
      <w:tr w14:paraId="4230C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14:paraId="188E034F">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5</w:t>
            </w:r>
          </w:p>
        </w:tc>
        <w:tc>
          <w:tcPr>
            <w:tcW w:w="1814" w:type="dxa"/>
            <w:vAlign w:val="center"/>
          </w:tcPr>
          <w:p w14:paraId="6B32A61B">
            <w:pPr>
              <w:adjustRightInd w:val="0"/>
              <w:rPr>
                <w:rFonts w:ascii="宋体" w:cs="宋体"/>
                <w:color w:val="auto"/>
                <w:sz w:val="22"/>
              </w:rPr>
            </w:pPr>
            <w:r>
              <w:rPr>
                <w:rFonts w:hint="eastAsia" w:ascii="宋体" w:cs="宋体"/>
                <w:color w:val="auto"/>
                <w:sz w:val="22"/>
              </w:rPr>
              <w:t>采购人</w:t>
            </w:r>
          </w:p>
        </w:tc>
        <w:tc>
          <w:tcPr>
            <w:tcW w:w="7776" w:type="dxa"/>
            <w:vAlign w:val="center"/>
          </w:tcPr>
          <w:p w14:paraId="38D5C71C">
            <w:pPr>
              <w:adjustRightInd w:val="0"/>
              <w:rPr>
                <w:rFonts w:ascii="宋体" w:cs="宋体"/>
                <w:color w:val="auto"/>
                <w:sz w:val="22"/>
              </w:rPr>
            </w:pPr>
            <w:r>
              <w:rPr>
                <w:rFonts w:hint="eastAsia" w:ascii="宋体"/>
                <w:color w:val="auto"/>
                <w:sz w:val="22"/>
              </w:rPr>
              <w:t>名称：</w:t>
            </w:r>
            <w:r>
              <w:rPr>
                <w:rFonts w:hint="eastAsia" w:ascii="宋体" w:cs="宋体"/>
                <w:color w:val="auto"/>
                <w:sz w:val="22"/>
                <w:lang w:eastAsia="zh-CN"/>
              </w:rPr>
              <w:t>金华市中心医院</w:t>
            </w:r>
          </w:p>
          <w:p w14:paraId="072B2083">
            <w:pPr>
              <w:adjustRightInd w:val="0"/>
              <w:rPr>
                <w:rFonts w:hint="eastAsia" w:ascii="宋体" w:eastAsia="宋体"/>
                <w:color w:val="auto"/>
                <w:sz w:val="22"/>
                <w:lang w:eastAsia="zh-CN"/>
              </w:rPr>
            </w:pPr>
            <w:r>
              <w:rPr>
                <w:rFonts w:hint="eastAsia" w:ascii="宋体"/>
                <w:color w:val="auto"/>
                <w:sz w:val="22"/>
              </w:rPr>
              <w:t>联系人：</w:t>
            </w:r>
            <w:r>
              <w:rPr>
                <w:rFonts w:hint="eastAsia" w:ascii="宋体"/>
                <w:color w:val="auto"/>
                <w:sz w:val="22"/>
                <w:lang w:eastAsia="zh-CN"/>
              </w:rPr>
              <w:t>许先生</w:t>
            </w:r>
          </w:p>
          <w:p w14:paraId="5437D5AB">
            <w:pPr>
              <w:adjustRightInd w:val="0"/>
              <w:rPr>
                <w:rFonts w:hint="default" w:ascii="宋体" w:eastAsia="宋体" w:cs="宋体"/>
                <w:color w:val="auto"/>
                <w:sz w:val="22"/>
                <w:lang w:val="en-US" w:eastAsia="zh-CN"/>
              </w:rPr>
            </w:pPr>
            <w:r>
              <w:rPr>
                <w:rFonts w:hint="eastAsia" w:ascii="宋体"/>
                <w:color w:val="auto"/>
                <w:sz w:val="22"/>
              </w:rPr>
              <w:t>电话：</w:t>
            </w:r>
            <w:r>
              <w:rPr>
                <w:rFonts w:hint="eastAsia" w:ascii="宋体"/>
                <w:color w:val="auto"/>
                <w:sz w:val="22"/>
                <w:lang w:val="en-US" w:eastAsia="zh-CN"/>
              </w:rPr>
              <w:t>0579-82559077</w:t>
            </w:r>
          </w:p>
        </w:tc>
      </w:tr>
      <w:tr w14:paraId="323681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14:paraId="7A162BD4">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6</w:t>
            </w:r>
          </w:p>
        </w:tc>
        <w:tc>
          <w:tcPr>
            <w:tcW w:w="1814" w:type="dxa"/>
            <w:vAlign w:val="center"/>
          </w:tcPr>
          <w:p w14:paraId="7CA2F319">
            <w:pPr>
              <w:rPr>
                <w:rFonts w:ascii="宋体" w:cs="宋体"/>
                <w:color w:val="auto"/>
                <w:sz w:val="22"/>
              </w:rPr>
            </w:pPr>
            <w:r>
              <w:rPr>
                <w:rFonts w:hint="eastAsia" w:ascii="宋体" w:cs="宋体"/>
                <w:color w:val="auto"/>
                <w:sz w:val="22"/>
              </w:rPr>
              <w:t>采购机构</w:t>
            </w:r>
          </w:p>
        </w:tc>
        <w:tc>
          <w:tcPr>
            <w:tcW w:w="7776" w:type="dxa"/>
            <w:vAlign w:val="center"/>
          </w:tcPr>
          <w:p w14:paraId="6D393751">
            <w:pPr>
              <w:adjustRightInd w:val="0"/>
              <w:rPr>
                <w:rFonts w:ascii="宋体" w:cs="宋体"/>
                <w:color w:val="auto"/>
                <w:sz w:val="22"/>
              </w:rPr>
            </w:pPr>
            <w:r>
              <w:rPr>
                <w:rFonts w:hint="eastAsia" w:ascii="宋体" w:cs="宋体"/>
                <w:color w:val="auto"/>
                <w:sz w:val="22"/>
              </w:rPr>
              <w:t>名称：金华市政府采购中心</w:t>
            </w:r>
          </w:p>
          <w:p w14:paraId="46795AA4">
            <w:pPr>
              <w:adjustRightInd w:val="0"/>
              <w:rPr>
                <w:rFonts w:hint="eastAsia" w:ascii="宋体" w:eastAsia="宋体" w:cs="宋体"/>
                <w:color w:val="auto"/>
                <w:sz w:val="22"/>
                <w:lang w:eastAsia="zh-CN"/>
              </w:rPr>
            </w:pPr>
            <w:r>
              <w:rPr>
                <w:rFonts w:hint="eastAsia" w:ascii="宋体" w:cs="宋体"/>
                <w:color w:val="auto"/>
                <w:sz w:val="22"/>
              </w:rPr>
              <w:t>项目负责人：</w:t>
            </w:r>
            <w:r>
              <w:rPr>
                <w:rFonts w:ascii="宋体" w:cs="宋体"/>
                <w:color w:val="auto"/>
                <w:sz w:val="22"/>
              </w:rPr>
              <w:t xml:space="preserve"> </w:t>
            </w:r>
            <w:r>
              <w:rPr>
                <w:rFonts w:hint="eastAsia" w:ascii="宋体" w:cs="宋体"/>
                <w:color w:val="auto"/>
                <w:sz w:val="22"/>
                <w:lang w:eastAsia="zh-CN"/>
              </w:rPr>
              <w:t>徐女士</w:t>
            </w:r>
          </w:p>
          <w:p w14:paraId="312FF6B8">
            <w:pPr>
              <w:adjustRightInd w:val="0"/>
              <w:rPr>
                <w:rFonts w:hint="default" w:ascii="宋体" w:eastAsia="宋体" w:cs="宋体"/>
                <w:color w:val="auto"/>
                <w:sz w:val="22"/>
                <w:lang w:val="en-US" w:eastAsia="zh-CN"/>
              </w:rPr>
            </w:pPr>
            <w:r>
              <w:rPr>
                <w:rFonts w:hint="eastAsia" w:ascii="宋体" w:cs="宋体"/>
                <w:color w:val="auto"/>
                <w:sz w:val="22"/>
              </w:rPr>
              <w:t>联系电话：</w:t>
            </w:r>
            <w:r>
              <w:rPr>
                <w:rFonts w:hint="eastAsia" w:ascii="宋体" w:cs="宋体"/>
                <w:color w:val="auto"/>
                <w:sz w:val="22"/>
                <w:lang w:val="en-US" w:eastAsia="zh-CN"/>
              </w:rPr>
              <w:t>0579-83171503</w:t>
            </w:r>
          </w:p>
        </w:tc>
      </w:tr>
      <w:tr w14:paraId="01387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14:paraId="0DB746A6">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7</w:t>
            </w:r>
          </w:p>
        </w:tc>
        <w:tc>
          <w:tcPr>
            <w:tcW w:w="1814" w:type="dxa"/>
            <w:vAlign w:val="center"/>
          </w:tcPr>
          <w:p w14:paraId="740D03FE">
            <w:pPr>
              <w:rPr>
                <w:rFonts w:ascii="宋体" w:cs="宋体"/>
                <w:color w:val="auto"/>
                <w:sz w:val="22"/>
              </w:rPr>
            </w:pPr>
            <w:r>
              <w:rPr>
                <w:rFonts w:hint="eastAsia" w:ascii="宋体" w:cs="宋体"/>
                <w:color w:val="auto"/>
                <w:sz w:val="22"/>
              </w:rPr>
              <w:t>招标内容</w:t>
            </w:r>
          </w:p>
        </w:tc>
        <w:tc>
          <w:tcPr>
            <w:tcW w:w="7776" w:type="dxa"/>
            <w:vAlign w:val="center"/>
          </w:tcPr>
          <w:p w14:paraId="5D6C6240">
            <w:pPr>
              <w:adjustRightInd w:val="0"/>
              <w:rPr>
                <w:rFonts w:ascii="宋体" w:cs="宋体"/>
                <w:color w:val="auto"/>
                <w:sz w:val="22"/>
              </w:rPr>
            </w:pPr>
            <w:r>
              <w:rPr>
                <w:rFonts w:hint="eastAsia" w:ascii="宋体" w:cs="宋体"/>
                <w:color w:val="auto"/>
                <w:sz w:val="22"/>
              </w:rPr>
              <w:t>具体内容见招标文件。</w:t>
            </w:r>
          </w:p>
        </w:tc>
      </w:tr>
      <w:tr w14:paraId="53F645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14:paraId="2D086C30">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8</w:t>
            </w:r>
          </w:p>
        </w:tc>
        <w:tc>
          <w:tcPr>
            <w:tcW w:w="1814" w:type="dxa"/>
            <w:vAlign w:val="center"/>
          </w:tcPr>
          <w:p w14:paraId="70C5E482">
            <w:pPr>
              <w:rPr>
                <w:rFonts w:ascii="宋体" w:cs="宋体"/>
                <w:color w:val="auto"/>
                <w:sz w:val="22"/>
              </w:rPr>
            </w:pPr>
            <w:r>
              <w:rPr>
                <w:rFonts w:hint="eastAsia" w:ascii="宋体" w:cs="宋体"/>
                <w:color w:val="auto"/>
                <w:sz w:val="22"/>
              </w:rPr>
              <w:t>评标办法</w:t>
            </w:r>
          </w:p>
        </w:tc>
        <w:tc>
          <w:tcPr>
            <w:tcW w:w="7776" w:type="dxa"/>
            <w:vAlign w:val="center"/>
          </w:tcPr>
          <w:p w14:paraId="7143DFEB">
            <w:pPr>
              <w:adjustRightInd w:val="0"/>
              <w:rPr>
                <w:rFonts w:ascii="宋体" w:cs="宋体"/>
                <w:color w:val="auto"/>
                <w:sz w:val="22"/>
              </w:rPr>
            </w:pPr>
            <w:r>
              <w:rPr>
                <w:rFonts w:hint="eastAsia" w:ascii="宋体" w:cs="宋体"/>
                <w:color w:val="auto"/>
                <w:sz w:val="22"/>
              </w:rPr>
              <w:t>综合评分法</w:t>
            </w:r>
          </w:p>
        </w:tc>
      </w:tr>
      <w:tr w14:paraId="25A4A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14:paraId="77BE1798">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9</w:t>
            </w:r>
          </w:p>
        </w:tc>
        <w:tc>
          <w:tcPr>
            <w:tcW w:w="1814" w:type="dxa"/>
            <w:vAlign w:val="center"/>
          </w:tcPr>
          <w:p w14:paraId="7FDBABC1">
            <w:pPr>
              <w:rPr>
                <w:rFonts w:ascii="宋体" w:cs="宋体"/>
                <w:color w:val="auto"/>
                <w:sz w:val="22"/>
              </w:rPr>
            </w:pPr>
            <w:r>
              <w:rPr>
                <w:rFonts w:hint="eastAsia" w:ascii="宋体" w:cs="宋体"/>
                <w:color w:val="auto"/>
                <w:sz w:val="22"/>
              </w:rPr>
              <w:t>投标供应商</w:t>
            </w:r>
          </w:p>
          <w:p w14:paraId="6DAD7F82">
            <w:pPr>
              <w:rPr>
                <w:rFonts w:ascii="宋体" w:cs="宋体"/>
                <w:color w:val="auto"/>
                <w:sz w:val="22"/>
              </w:rPr>
            </w:pPr>
            <w:r>
              <w:rPr>
                <w:rFonts w:hint="eastAsia" w:ascii="宋体" w:cs="宋体"/>
                <w:color w:val="auto"/>
                <w:sz w:val="22"/>
              </w:rPr>
              <w:t>资格要求</w:t>
            </w:r>
          </w:p>
        </w:tc>
        <w:tc>
          <w:tcPr>
            <w:tcW w:w="7776" w:type="dxa"/>
            <w:vAlign w:val="center"/>
          </w:tcPr>
          <w:p w14:paraId="763EDA1F">
            <w:pPr>
              <w:adjustRightInd w:val="0"/>
              <w:rPr>
                <w:rFonts w:ascii="宋体" w:cs="宋体"/>
                <w:color w:val="auto"/>
                <w:kern w:val="28"/>
                <w:sz w:val="22"/>
              </w:rPr>
            </w:pPr>
            <w:r>
              <w:rPr>
                <w:rFonts w:hint="eastAsia" w:ascii="宋体" w:cs="宋体"/>
                <w:color w:val="auto"/>
                <w:sz w:val="22"/>
              </w:rPr>
              <w:t>见第一章采购公告</w:t>
            </w:r>
          </w:p>
        </w:tc>
      </w:tr>
      <w:tr w14:paraId="6EE55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14:paraId="740A4A52">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10</w:t>
            </w:r>
          </w:p>
        </w:tc>
        <w:tc>
          <w:tcPr>
            <w:tcW w:w="1814" w:type="dxa"/>
            <w:vAlign w:val="center"/>
          </w:tcPr>
          <w:p w14:paraId="0968CA3D">
            <w:pPr>
              <w:adjustRightInd w:val="0"/>
              <w:rPr>
                <w:rFonts w:ascii="宋体" w:cs="宋体"/>
                <w:color w:val="auto"/>
                <w:sz w:val="22"/>
              </w:rPr>
            </w:pPr>
            <w:r>
              <w:rPr>
                <w:rFonts w:hint="eastAsia" w:ascii="宋体" w:cs="宋体"/>
                <w:color w:val="auto"/>
                <w:sz w:val="22"/>
              </w:rPr>
              <w:t>是否接受联合体投标</w:t>
            </w:r>
          </w:p>
        </w:tc>
        <w:tc>
          <w:tcPr>
            <w:tcW w:w="7776" w:type="dxa"/>
            <w:vAlign w:val="center"/>
          </w:tcPr>
          <w:p w14:paraId="78C80CF2">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color w:val="auto"/>
                <w:sz w:val="22"/>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2"/>
                    <w:lang w:val="en-US" w:eastAsia="zh-CN" w:bidi="ar-SA"/>
                  </w:rPr>
                  <w:t>þ</w:t>
                </w:r>
              </w:sdtContent>
            </w:sdt>
            <w:r>
              <w:rPr>
                <w:rFonts w:hint="eastAsia" w:ascii="宋体" w:cs="宋体"/>
                <w:color w:val="auto"/>
                <w:sz w:val="22"/>
              </w:rPr>
              <w:t>不接受</w:t>
            </w:r>
          </w:p>
          <w:p w14:paraId="3525A384">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color w:val="auto"/>
                <w:sz w:val="22"/>
              </w:rPr>
            </w:pPr>
            <w:sdt>
              <w:sdtPr>
                <w:rPr>
                  <w:rFonts w:hint="eastAsia" w:ascii="仿宋_GB2312" w:hAnsi="仿宋" w:eastAsia="仿宋_GB2312" w:cs="Arial"/>
                  <w:color w:val="auto"/>
                  <w:kern w:val="0"/>
                  <w:sz w:val="24"/>
                </w:rPr>
                <w:id w:val="-182842570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2"/>
                    <w:lang w:val="en-US" w:eastAsia="zh-CN" w:bidi="ar-SA"/>
                  </w:rPr>
                  <w:t>☐</w:t>
                </w:r>
              </w:sdtContent>
            </w:sdt>
            <w:r>
              <w:rPr>
                <w:rFonts w:hint="eastAsia" w:ascii="宋体" w:cs="宋体"/>
                <w:color w:val="auto"/>
                <w:sz w:val="22"/>
              </w:rPr>
              <w:t>接受</w:t>
            </w:r>
          </w:p>
        </w:tc>
      </w:tr>
      <w:tr w14:paraId="1D650E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14:paraId="1B5A7C5D">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11</w:t>
            </w:r>
          </w:p>
        </w:tc>
        <w:tc>
          <w:tcPr>
            <w:tcW w:w="1814" w:type="dxa"/>
            <w:vAlign w:val="center"/>
          </w:tcPr>
          <w:p w14:paraId="301C6A7F">
            <w:pPr>
              <w:adjustRightInd w:val="0"/>
              <w:rPr>
                <w:rFonts w:ascii="宋体" w:cs="宋体"/>
                <w:color w:val="auto"/>
                <w:sz w:val="22"/>
              </w:rPr>
            </w:pPr>
            <w:r>
              <w:rPr>
                <w:rFonts w:hint="eastAsia" w:ascii="宋体" w:cs="宋体"/>
                <w:color w:val="auto"/>
                <w:sz w:val="22"/>
              </w:rPr>
              <w:t>踏勘现场</w:t>
            </w:r>
          </w:p>
        </w:tc>
        <w:tc>
          <w:tcPr>
            <w:tcW w:w="7776" w:type="dxa"/>
            <w:vAlign w:val="center"/>
          </w:tcPr>
          <w:p w14:paraId="4E3AA03F">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color w:val="auto"/>
                <w:sz w:val="22"/>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2"/>
                    <w:lang w:val="en-US" w:eastAsia="zh-CN" w:bidi="ar-SA"/>
                  </w:rPr>
                  <w:t>þ</w:t>
                </w:r>
              </w:sdtContent>
            </w:sdt>
            <w:r>
              <w:rPr>
                <w:rFonts w:hint="eastAsia" w:ascii="宋体" w:cs="宋体"/>
                <w:color w:val="auto"/>
                <w:sz w:val="22"/>
              </w:rPr>
              <w:t>不组织</w:t>
            </w:r>
          </w:p>
          <w:p w14:paraId="6604E1BB">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color w:val="auto"/>
                <w:sz w:val="22"/>
              </w:rPr>
            </w:pPr>
            <w:sdt>
              <w:sdtPr>
                <w:rPr>
                  <w:rFonts w:hint="eastAsia" w:ascii="仿宋_GB2312" w:hAnsi="仿宋" w:eastAsia="仿宋_GB2312" w:cs="Arial"/>
                  <w:color w:val="auto"/>
                  <w:kern w:val="0"/>
                  <w:sz w:val="24"/>
                </w:rPr>
                <w:id w:val="-182842570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2"/>
                    <w:lang w:val="en-US" w:eastAsia="zh-CN" w:bidi="ar-SA"/>
                  </w:rPr>
                  <w:t>☐</w:t>
                </w:r>
              </w:sdtContent>
            </w:sdt>
            <w:r>
              <w:rPr>
                <w:rFonts w:hint="eastAsia" w:ascii="宋体" w:cs="宋体"/>
                <w:color w:val="auto"/>
                <w:sz w:val="22"/>
              </w:rPr>
              <w:t xml:space="preserve">组织   </w:t>
            </w:r>
          </w:p>
        </w:tc>
      </w:tr>
      <w:tr w14:paraId="385C78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14:paraId="7C6DFA4E">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12</w:t>
            </w:r>
          </w:p>
        </w:tc>
        <w:tc>
          <w:tcPr>
            <w:tcW w:w="1814" w:type="dxa"/>
            <w:vAlign w:val="center"/>
          </w:tcPr>
          <w:p w14:paraId="0E627B4C">
            <w:pPr>
              <w:adjustRightInd w:val="0"/>
              <w:rPr>
                <w:rFonts w:ascii="宋体" w:cs="宋体"/>
                <w:color w:val="auto"/>
                <w:sz w:val="22"/>
              </w:rPr>
            </w:pPr>
            <w:r>
              <w:rPr>
                <w:rFonts w:hint="eastAsia" w:ascii="宋体" w:cs="宋体"/>
                <w:color w:val="auto"/>
                <w:sz w:val="22"/>
              </w:rPr>
              <w:t>是否允许递交备选投标方案</w:t>
            </w:r>
          </w:p>
        </w:tc>
        <w:tc>
          <w:tcPr>
            <w:tcW w:w="7776" w:type="dxa"/>
            <w:vAlign w:val="center"/>
          </w:tcPr>
          <w:p w14:paraId="2D751A1C">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color w:val="auto"/>
                <w:sz w:val="22"/>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2"/>
                    <w:lang w:val="en-US" w:eastAsia="zh-CN" w:bidi="ar-SA"/>
                  </w:rPr>
                  <w:t>þ</w:t>
                </w:r>
              </w:sdtContent>
            </w:sdt>
            <w:r>
              <w:rPr>
                <w:rFonts w:hint="eastAsia" w:ascii="宋体" w:cs="宋体"/>
                <w:color w:val="auto"/>
                <w:sz w:val="22"/>
              </w:rPr>
              <w:t>不允许</w:t>
            </w:r>
          </w:p>
          <w:p w14:paraId="48066E5E">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color w:val="auto"/>
                <w:sz w:val="22"/>
              </w:rPr>
            </w:pPr>
            <w:sdt>
              <w:sdtPr>
                <w:rPr>
                  <w:rFonts w:hint="eastAsia" w:ascii="仿宋_GB2312" w:hAnsi="仿宋" w:eastAsia="仿宋_GB2312" w:cs="Arial"/>
                  <w:color w:val="auto"/>
                  <w:kern w:val="0"/>
                  <w:sz w:val="24"/>
                </w:rPr>
                <w:id w:val="-182842570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2"/>
                    <w:lang w:val="en-US" w:eastAsia="zh-CN" w:bidi="ar-SA"/>
                  </w:rPr>
                  <w:t>☐</w:t>
                </w:r>
              </w:sdtContent>
            </w:sdt>
            <w:r>
              <w:rPr>
                <w:rFonts w:hint="eastAsia" w:ascii="宋体" w:cs="宋体"/>
                <w:color w:val="auto"/>
                <w:sz w:val="22"/>
              </w:rPr>
              <w:t>允许</w:t>
            </w:r>
          </w:p>
        </w:tc>
      </w:tr>
      <w:tr w14:paraId="24D8AA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14:paraId="0E3121E5">
            <w:pPr>
              <w:autoSpaceDE w:val="0"/>
              <w:autoSpaceDN w:val="0"/>
              <w:adjustRightInd w:val="0"/>
              <w:snapToGrid w:val="0"/>
              <w:spacing w:line="430" w:lineRule="atLeast"/>
              <w:jc w:val="center"/>
              <w:rPr>
                <w:rFonts w:hint="default" w:ascii="宋体" w:eastAsia="宋体" w:cs="宋体"/>
                <w:color w:val="auto"/>
                <w:sz w:val="22"/>
                <w:lang w:val="en-US" w:eastAsia="zh-CN"/>
              </w:rPr>
            </w:pPr>
            <w:r>
              <w:rPr>
                <w:rFonts w:hint="eastAsia" w:ascii="宋体" w:cs="宋体"/>
                <w:color w:val="auto"/>
                <w:sz w:val="22"/>
                <w:lang w:val="en-US" w:eastAsia="zh-CN"/>
              </w:rPr>
              <w:t>13</w:t>
            </w:r>
          </w:p>
        </w:tc>
        <w:tc>
          <w:tcPr>
            <w:tcW w:w="1814" w:type="dxa"/>
            <w:vAlign w:val="center"/>
          </w:tcPr>
          <w:p w14:paraId="67167D02">
            <w:pPr>
              <w:adjustRightInd w:val="0"/>
              <w:rPr>
                <w:rFonts w:hint="eastAsia" w:ascii="宋体" w:cs="宋体"/>
                <w:color w:val="auto"/>
                <w:sz w:val="22"/>
              </w:rPr>
            </w:pPr>
            <w:r>
              <w:rPr>
                <w:rFonts w:hint="eastAsia" w:ascii="宋体" w:cs="宋体"/>
                <w:color w:val="auto"/>
                <w:sz w:val="22"/>
              </w:rPr>
              <w:t>是否允许采购进口产品</w:t>
            </w:r>
          </w:p>
        </w:tc>
        <w:tc>
          <w:tcPr>
            <w:tcW w:w="7776" w:type="dxa"/>
            <w:vAlign w:val="center"/>
          </w:tcPr>
          <w:p w14:paraId="2F49BA2B">
            <w:pPr>
              <w:keepNext w:val="0"/>
              <w:keepLines w:val="0"/>
              <w:pageBreakBefore w:val="0"/>
              <w:widowControl w:val="0"/>
              <w:kinsoku/>
              <w:wordWrap/>
              <w:overflowPunct/>
              <w:topLinePunct w:val="0"/>
              <w:autoSpaceDE/>
              <w:autoSpaceDN/>
              <w:bidi w:val="0"/>
              <w:snapToGrid/>
              <w:spacing w:line="300" w:lineRule="exact"/>
              <w:textAlignment w:val="auto"/>
              <w:rPr>
                <w:rFonts w:ascii="仿宋_GB2312" w:hAnsi="仿宋" w:eastAsia="仿宋_GB2312" w:cs="Arial"/>
                <w:color w:val="auto"/>
                <w:kern w:val="0"/>
                <w:sz w:val="24"/>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hint="eastAsia" w:ascii="宋体" w:cs="宋体"/>
                <w:color w:val="auto"/>
                <w:sz w:val="22"/>
              </w:rPr>
              <w:t>本项目不允许采购进口产品。</w:t>
            </w:r>
          </w:p>
          <w:p w14:paraId="270C72E5">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ascii="宋体" w:cs="宋体"/>
                <w:color w:val="auto"/>
                <w:sz w:val="22"/>
              </w:rPr>
            </w:pPr>
            <w:sdt>
              <w:sdtPr>
                <w:rPr>
                  <w:rFonts w:hint="eastAsia" w:ascii="仿宋_GB2312" w:hAnsi="仿宋" w:eastAsia="仿宋_GB2312" w:cs="Arial"/>
                  <w:color w:val="auto"/>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Theme="minorEastAsia" w:hAnsiTheme="minorEastAsia" w:eastAsiaTheme="minorEastAsia" w:cstheme="minorEastAsia"/>
                <w:color w:val="auto"/>
                <w:kern w:val="0"/>
                <w:sz w:val="24"/>
              </w:rPr>
              <w:t>可</w:t>
            </w:r>
            <w:r>
              <w:rPr>
                <w:rFonts w:hint="eastAsia" w:ascii="宋体" w:cs="宋体"/>
                <w:color w:val="auto"/>
                <w:sz w:val="22"/>
              </w:rPr>
              <w:t>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r>
              <w:rPr>
                <w:rFonts w:hint="eastAsia" w:ascii="仿宋_GB2312" w:hAnsi="仿宋" w:eastAsia="仿宋_GB2312" w:cs="Arial"/>
                <w:color w:val="auto"/>
                <w:kern w:val="0"/>
                <w:sz w:val="24"/>
              </w:rPr>
              <w:t>。</w:t>
            </w:r>
          </w:p>
        </w:tc>
      </w:tr>
      <w:tr w14:paraId="3B9A7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669" w:type="dxa"/>
            <w:vAlign w:val="center"/>
          </w:tcPr>
          <w:p w14:paraId="7B5D79AC">
            <w:pPr>
              <w:autoSpaceDE w:val="0"/>
              <w:autoSpaceDN w:val="0"/>
              <w:adjustRightInd w:val="0"/>
              <w:snapToGrid w:val="0"/>
              <w:spacing w:line="430" w:lineRule="atLeast"/>
              <w:jc w:val="center"/>
              <w:rPr>
                <w:rFonts w:hint="eastAsia" w:ascii="宋体" w:eastAsia="宋体" w:cs="宋体"/>
                <w:color w:val="auto"/>
                <w:sz w:val="22"/>
                <w:lang w:eastAsia="zh-CN"/>
              </w:rPr>
            </w:pPr>
            <w:r>
              <w:rPr>
                <w:rFonts w:hint="eastAsia" w:ascii="宋体" w:cs="宋体"/>
                <w:color w:val="auto"/>
                <w:sz w:val="22"/>
              </w:rPr>
              <w:t>1</w:t>
            </w:r>
            <w:r>
              <w:rPr>
                <w:rFonts w:hint="eastAsia" w:ascii="宋体" w:cs="宋体"/>
                <w:color w:val="auto"/>
                <w:sz w:val="22"/>
                <w:lang w:val="en-US" w:eastAsia="zh-CN"/>
              </w:rPr>
              <w:t>4</w:t>
            </w:r>
          </w:p>
        </w:tc>
        <w:tc>
          <w:tcPr>
            <w:tcW w:w="1814" w:type="dxa"/>
            <w:vAlign w:val="center"/>
          </w:tcPr>
          <w:p w14:paraId="40791CC2">
            <w:pPr>
              <w:adjustRightInd w:val="0"/>
              <w:rPr>
                <w:rFonts w:ascii="宋体" w:cs="宋体"/>
                <w:color w:val="auto"/>
                <w:sz w:val="22"/>
              </w:rPr>
            </w:pPr>
            <w:r>
              <w:rPr>
                <w:rFonts w:hint="eastAsia" w:ascii="宋体" w:cs="宋体"/>
                <w:color w:val="auto"/>
                <w:sz w:val="22"/>
              </w:rPr>
              <w:t>投标货币</w:t>
            </w:r>
          </w:p>
        </w:tc>
        <w:tc>
          <w:tcPr>
            <w:tcW w:w="7776" w:type="dxa"/>
            <w:vAlign w:val="center"/>
          </w:tcPr>
          <w:p w14:paraId="57C8176E">
            <w:pPr>
              <w:adjustRightInd w:val="0"/>
              <w:rPr>
                <w:rFonts w:ascii="宋体" w:cs="宋体"/>
                <w:color w:val="auto"/>
                <w:sz w:val="22"/>
              </w:rPr>
            </w:pPr>
            <w:r>
              <w:rPr>
                <w:rFonts w:hint="eastAsia" w:ascii="宋体" w:cs="宋体"/>
                <w:color w:val="auto"/>
                <w:sz w:val="22"/>
              </w:rPr>
              <w:t>人民币</w:t>
            </w:r>
          </w:p>
        </w:tc>
      </w:tr>
      <w:tr w14:paraId="0BCB85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669" w:type="dxa"/>
            <w:vAlign w:val="center"/>
          </w:tcPr>
          <w:p w14:paraId="12417C9C">
            <w:pPr>
              <w:autoSpaceDE w:val="0"/>
              <w:autoSpaceDN w:val="0"/>
              <w:adjustRightInd w:val="0"/>
              <w:snapToGrid w:val="0"/>
              <w:spacing w:line="300" w:lineRule="exact"/>
              <w:jc w:val="center"/>
              <w:rPr>
                <w:rFonts w:hint="eastAsia" w:ascii="宋体" w:eastAsia="宋体" w:cs="宋体"/>
                <w:color w:val="auto"/>
                <w:sz w:val="22"/>
                <w:lang w:val="en-US" w:eastAsia="zh-CN"/>
              </w:rPr>
            </w:pPr>
            <w:r>
              <w:rPr>
                <w:rFonts w:hint="eastAsia" w:ascii="宋体" w:cs="宋体"/>
                <w:color w:val="auto"/>
                <w:sz w:val="22"/>
              </w:rPr>
              <w:t>1</w:t>
            </w:r>
            <w:r>
              <w:rPr>
                <w:rFonts w:hint="eastAsia" w:ascii="宋体" w:cs="宋体"/>
                <w:color w:val="auto"/>
                <w:sz w:val="22"/>
                <w:lang w:val="en-US" w:eastAsia="zh-CN"/>
              </w:rPr>
              <w:t>5</w:t>
            </w:r>
          </w:p>
        </w:tc>
        <w:tc>
          <w:tcPr>
            <w:tcW w:w="1814" w:type="dxa"/>
            <w:vAlign w:val="center"/>
          </w:tcPr>
          <w:p w14:paraId="4D1D1252">
            <w:pPr>
              <w:adjustRightInd w:val="0"/>
              <w:spacing w:line="300" w:lineRule="exact"/>
              <w:rPr>
                <w:rFonts w:ascii="宋体" w:cs="宋体"/>
                <w:color w:val="auto"/>
                <w:sz w:val="22"/>
              </w:rPr>
            </w:pPr>
            <w:r>
              <w:rPr>
                <w:rFonts w:hint="eastAsia" w:ascii="宋体" w:cs="宋体"/>
                <w:color w:val="auto"/>
                <w:sz w:val="22"/>
              </w:rPr>
              <w:t>投标语言</w:t>
            </w:r>
          </w:p>
        </w:tc>
        <w:tc>
          <w:tcPr>
            <w:tcW w:w="7776" w:type="dxa"/>
            <w:vAlign w:val="center"/>
          </w:tcPr>
          <w:p w14:paraId="6AB6F3F8">
            <w:pPr>
              <w:adjustRightInd w:val="0"/>
              <w:spacing w:line="300" w:lineRule="exact"/>
              <w:rPr>
                <w:rFonts w:ascii="宋体" w:cs="宋体"/>
                <w:color w:val="auto"/>
                <w:sz w:val="22"/>
              </w:rPr>
            </w:pPr>
            <w:r>
              <w:rPr>
                <w:rFonts w:hint="eastAsia" w:ascii="宋体" w:cs="宋体"/>
                <w:color w:val="auto"/>
                <w:sz w:val="22"/>
              </w:rPr>
              <w:t>中文</w:t>
            </w:r>
          </w:p>
        </w:tc>
      </w:tr>
      <w:tr w14:paraId="703142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5710EC5D">
            <w:pPr>
              <w:autoSpaceDE w:val="0"/>
              <w:autoSpaceDN w:val="0"/>
              <w:adjustRightInd w:val="0"/>
              <w:snapToGrid w:val="0"/>
              <w:spacing w:line="300" w:lineRule="exact"/>
              <w:jc w:val="center"/>
              <w:rPr>
                <w:rFonts w:hint="eastAsia" w:ascii="宋体" w:eastAsia="宋体" w:cs="宋体"/>
                <w:color w:val="auto"/>
                <w:sz w:val="22"/>
                <w:lang w:eastAsia="zh-CN"/>
              </w:rPr>
            </w:pPr>
            <w:r>
              <w:rPr>
                <w:rFonts w:hint="eastAsia" w:ascii="宋体" w:cs="宋体"/>
                <w:color w:val="auto"/>
                <w:sz w:val="22"/>
              </w:rPr>
              <w:t>1</w:t>
            </w:r>
            <w:r>
              <w:rPr>
                <w:rFonts w:hint="eastAsia" w:ascii="宋体" w:cs="宋体"/>
                <w:color w:val="auto"/>
                <w:sz w:val="22"/>
                <w:lang w:val="en-US" w:eastAsia="zh-CN"/>
              </w:rPr>
              <w:t>6</w:t>
            </w:r>
          </w:p>
        </w:tc>
        <w:tc>
          <w:tcPr>
            <w:tcW w:w="1814" w:type="dxa"/>
            <w:vAlign w:val="center"/>
          </w:tcPr>
          <w:p w14:paraId="4C0E85A6">
            <w:pPr>
              <w:spacing w:line="300" w:lineRule="exact"/>
              <w:rPr>
                <w:rFonts w:ascii="宋体" w:cs="宋体"/>
                <w:color w:val="auto"/>
                <w:sz w:val="22"/>
              </w:rPr>
            </w:pPr>
            <w:r>
              <w:rPr>
                <w:rFonts w:hint="eastAsia" w:ascii="宋体" w:cs="宋体"/>
                <w:color w:val="auto"/>
                <w:sz w:val="22"/>
              </w:rPr>
              <w:t>投标有效期</w:t>
            </w:r>
          </w:p>
        </w:tc>
        <w:tc>
          <w:tcPr>
            <w:tcW w:w="7776" w:type="dxa"/>
            <w:vAlign w:val="center"/>
          </w:tcPr>
          <w:p w14:paraId="73A4617E">
            <w:pPr>
              <w:spacing w:line="300" w:lineRule="exact"/>
              <w:rPr>
                <w:rFonts w:ascii="宋体" w:cs="宋体"/>
                <w:color w:val="auto"/>
                <w:sz w:val="22"/>
              </w:rPr>
            </w:pPr>
            <w:r>
              <w:rPr>
                <w:rFonts w:hint="eastAsia" w:ascii="宋体" w:cs="宋体"/>
                <w:color w:val="auto"/>
                <w:sz w:val="22"/>
              </w:rPr>
              <w:t>提交投标文件截止时间起90天。</w:t>
            </w:r>
          </w:p>
        </w:tc>
      </w:tr>
      <w:tr w14:paraId="66D24A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3006C5D0">
            <w:pPr>
              <w:autoSpaceDE w:val="0"/>
              <w:autoSpaceDN w:val="0"/>
              <w:adjustRightInd w:val="0"/>
              <w:snapToGrid w:val="0"/>
              <w:spacing w:line="300" w:lineRule="exact"/>
              <w:jc w:val="center"/>
              <w:rPr>
                <w:rFonts w:hint="eastAsia" w:ascii="宋体" w:eastAsia="宋体" w:cs="宋体"/>
                <w:color w:val="auto"/>
                <w:sz w:val="22"/>
                <w:lang w:val="zh-CN" w:eastAsia="zh-CN"/>
              </w:rPr>
            </w:pPr>
            <w:r>
              <w:rPr>
                <w:rFonts w:hint="eastAsia" w:ascii="宋体" w:cs="宋体"/>
                <w:color w:val="auto"/>
                <w:sz w:val="22"/>
                <w:lang w:val="zh-CN"/>
              </w:rPr>
              <w:t>1</w:t>
            </w:r>
            <w:r>
              <w:rPr>
                <w:rFonts w:hint="eastAsia" w:ascii="宋体" w:cs="宋体"/>
                <w:color w:val="auto"/>
                <w:sz w:val="22"/>
                <w:lang w:val="en-US" w:eastAsia="zh-CN"/>
              </w:rPr>
              <w:t>7</w:t>
            </w:r>
          </w:p>
        </w:tc>
        <w:tc>
          <w:tcPr>
            <w:tcW w:w="1814" w:type="dxa"/>
            <w:vAlign w:val="center"/>
          </w:tcPr>
          <w:p w14:paraId="7123467C">
            <w:pPr>
              <w:adjustRightInd w:val="0"/>
              <w:snapToGrid w:val="0"/>
              <w:spacing w:line="300" w:lineRule="exact"/>
              <w:rPr>
                <w:rFonts w:ascii="宋体"/>
                <w:snapToGrid w:val="0"/>
                <w:color w:val="auto"/>
                <w:sz w:val="22"/>
              </w:rPr>
            </w:pPr>
            <w:r>
              <w:rPr>
                <w:rFonts w:hint="eastAsia" w:ascii="宋体"/>
                <w:snapToGrid w:val="0"/>
                <w:color w:val="auto"/>
                <w:sz w:val="22"/>
              </w:rPr>
              <w:t>投标文件的形式</w:t>
            </w:r>
          </w:p>
        </w:tc>
        <w:tc>
          <w:tcPr>
            <w:tcW w:w="7776" w:type="dxa"/>
            <w:vAlign w:val="center"/>
          </w:tcPr>
          <w:p w14:paraId="30056B0A">
            <w:pPr>
              <w:spacing w:line="300" w:lineRule="exact"/>
              <w:rPr>
                <w:rFonts w:ascii="宋体"/>
                <w:snapToGrid w:val="0"/>
                <w:color w:val="auto"/>
                <w:sz w:val="22"/>
              </w:rPr>
            </w:pPr>
            <w:r>
              <w:rPr>
                <w:rFonts w:hint="eastAsia" w:ascii="宋体"/>
                <w:snapToGrid w:val="0"/>
                <w:color w:val="auto"/>
                <w:sz w:val="22"/>
              </w:rPr>
              <w:t>投标供应商应准备电子投标文件。</w:t>
            </w:r>
          </w:p>
          <w:p w14:paraId="5B5AF254">
            <w:pPr>
              <w:spacing w:line="300" w:lineRule="exact"/>
              <w:rPr>
                <w:rFonts w:ascii="宋体"/>
                <w:snapToGrid w:val="0"/>
                <w:color w:val="auto"/>
                <w:sz w:val="22"/>
              </w:rPr>
            </w:pPr>
            <w:r>
              <w:rPr>
                <w:rFonts w:hint="eastAsia" w:ascii="宋体"/>
                <w:snapToGrid w:val="0"/>
                <w:color w:val="auto"/>
                <w:sz w:val="22"/>
              </w:rPr>
              <w:t>电子投标文件是指通过“政采云电子交易客户端”完成投标文件编制后生成并加密的数据电文形式的电子加密投标文件。</w:t>
            </w:r>
          </w:p>
        </w:tc>
      </w:tr>
      <w:tr w14:paraId="0FEC6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235779DD">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1</w:t>
            </w:r>
            <w:r>
              <w:rPr>
                <w:rFonts w:hint="eastAsia" w:ascii="宋体" w:cs="宋体"/>
                <w:color w:val="auto"/>
                <w:sz w:val="22"/>
                <w:lang w:val="en-US" w:eastAsia="zh-CN"/>
              </w:rPr>
              <w:t>8</w:t>
            </w:r>
          </w:p>
        </w:tc>
        <w:tc>
          <w:tcPr>
            <w:tcW w:w="1814" w:type="dxa"/>
            <w:vAlign w:val="center"/>
          </w:tcPr>
          <w:p w14:paraId="3DAABE79">
            <w:pPr>
              <w:adjustRightInd w:val="0"/>
              <w:snapToGrid w:val="0"/>
              <w:spacing w:line="300" w:lineRule="exact"/>
              <w:rPr>
                <w:rFonts w:ascii="宋体"/>
                <w:snapToGrid w:val="0"/>
                <w:color w:val="auto"/>
                <w:sz w:val="22"/>
              </w:rPr>
            </w:pPr>
            <w:r>
              <w:rPr>
                <w:rFonts w:hint="eastAsia" w:ascii="宋体"/>
                <w:snapToGrid w:val="0"/>
                <w:color w:val="auto"/>
                <w:sz w:val="22"/>
              </w:rPr>
              <w:t>投标文件的编制</w:t>
            </w:r>
          </w:p>
        </w:tc>
        <w:tc>
          <w:tcPr>
            <w:tcW w:w="7776" w:type="dxa"/>
            <w:vAlign w:val="center"/>
          </w:tcPr>
          <w:p w14:paraId="3FB24416">
            <w:pPr>
              <w:spacing w:line="300" w:lineRule="exact"/>
              <w:rPr>
                <w:rFonts w:ascii="宋体"/>
                <w:snapToGrid w:val="0"/>
                <w:color w:val="auto"/>
                <w:sz w:val="22"/>
              </w:rPr>
            </w:pPr>
            <w:r>
              <w:rPr>
                <w:rFonts w:hint="eastAsia" w:ascii="宋体"/>
                <w:snapToGrid w:val="0"/>
                <w:color w:val="auto"/>
                <w:sz w:val="22"/>
              </w:rPr>
              <w:t>供应商应先安装“政采云电子交易客户端”，并按照本招标文件和“政府采购云平台”的要求，通过“政采云电子交易客户端”编制并加密投标文件。</w:t>
            </w:r>
          </w:p>
        </w:tc>
      </w:tr>
      <w:tr w14:paraId="131D25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54EEC40F">
            <w:pPr>
              <w:widowControl/>
              <w:tabs>
                <w:tab w:val="left" w:pos="420"/>
                <w:tab w:val="left" w:pos="1145"/>
              </w:tabs>
              <w:spacing w:line="300" w:lineRule="exact"/>
              <w:jc w:val="center"/>
              <w:rPr>
                <w:rFonts w:hint="eastAsia" w:ascii="宋体" w:eastAsia="宋体" w:cs="宋体"/>
                <w:color w:val="auto"/>
                <w:sz w:val="22"/>
                <w:lang w:val="en-US" w:eastAsia="zh-CN"/>
              </w:rPr>
            </w:pPr>
            <w:r>
              <w:rPr>
                <w:rFonts w:hint="eastAsia" w:ascii="宋体" w:cs="宋体"/>
                <w:color w:val="auto"/>
                <w:sz w:val="22"/>
              </w:rPr>
              <w:t>1</w:t>
            </w:r>
            <w:r>
              <w:rPr>
                <w:rFonts w:hint="eastAsia" w:ascii="宋体" w:cs="宋体"/>
                <w:color w:val="auto"/>
                <w:sz w:val="22"/>
                <w:lang w:val="en-US" w:eastAsia="zh-CN"/>
              </w:rPr>
              <w:t>9</w:t>
            </w:r>
          </w:p>
        </w:tc>
        <w:tc>
          <w:tcPr>
            <w:tcW w:w="1814" w:type="dxa"/>
            <w:vAlign w:val="center"/>
          </w:tcPr>
          <w:p w14:paraId="6A959DD6">
            <w:pPr>
              <w:adjustRightInd w:val="0"/>
              <w:snapToGrid w:val="0"/>
              <w:spacing w:line="300" w:lineRule="exact"/>
              <w:rPr>
                <w:rFonts w:ascii="宋体"/>
                <w:snapToGrid w:val="0"/>
                <w:color w:val="auto"/>
                <w:sz w:val="22"/>
              </w:rPr>
            </w:pPr>
            <w:r>
              <w:rPr>
                <w:rFonts w:hint="eastAsia" w:ascii="宋体"/>
                <w:snapToGrid w:val="0"/>
                <w:color w:val="auto"/>
                <w:sz w:val="22"/>
              </w:rPr>
              <w:t>投标文件组成</w:t>
            </w:r>
          </w:p>
        </w:tc>
        <w:tc>
          <w:tcPr>
            <w:tcW w:w="7776" w:type="dxa"/>
            <w:vAlign w:val="center"/>
          </w:tcPr>
          <w:p w14:paraId="45656EB8">
            <w:pPr>
              <w:spacing w:line="300" w:lineRule="exact"/>
              <w:rPr>
                <w:rFonts w:ascii="宋体"/>
                <w:snapToGrid w:val="0"/>
                <w:color w:val="auto"/>
                <w:sz w:val="22"/>
              </w:rPr>
            </w:pPr>
            <w:r>
              <w:rPr>
                <w:rFonts w:hint="eastAsia" w:ascii="宋体"/>
                <w:bCs/>
                <w:snapToGrid w:val="0"/>
                <w:color w:val="auto"/>
                <w:sz w:val="22"/>
              </w:rPr>
              <w:t>由“资格文件”、“报价文件”和“商务技术文件”三个部分组成。</w:t>
            </w:r>
          </w:p>
        </w:tc>
      </w:tr>
      <w:tr w14:paraId="1A6C41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2F0AC3DC">
            <w:pPr>
              <w:widowControl/>
              <w:tabs>
                <w:tab w:val="left" w:pos="420"/>
                <w:tab w:val="left" w:pos="1145"/>
              </w:tabs>
              <w:spacing w:line="300" w:lineRule="exact"/>
              <w:jc w:val="center"/>
              <w:rPr>
                <w:rFonts w:hint="default" w:ascii="宋体" w:eastAsia="宋体" w:cs="宋体"/>
                <w:color w:val="auto"/>
                <w:sz w:val="22"/>
                <w:lang w:val="en-US" w:eastAsia="zh-CN"/>
              </w:rPr>
            </w:pPr>
            <w:r>
              <w:rPr>
                <w:rFonts w:hint="eastAsia" w:ascii="宋体" w:cs="宋体"/>
                <w:color w:val="auto"/>
                <w:sz w:val="22"/>
                <w:lang w:val="en-US" w:eastAsia="zh-CN"/>
              </w:rPr>
              <w:t>20</w:t>
            </w:r>
          </w:p>
        </w:tc>
        <w:tc>
          <w:tcPr>
            <w:tcW w:w="1814" w:type="dxa"/>
            <w:vAlign w:val="center"/>
          </w:tcPr>
          <w:p w14:paraId="6C3F863E">
            <w:pPr>
              <w:adjustRightInd w:val="0"/>
              <w:snapToGrid w:val="0"/>
              <w:spacing w:line="300" w:lineRule="exact"/>
              <w:rPr>
                <w:rFonts w:ascii="宋体"/>
                <w:snapToGrid w:val="0"/>
                <w:color w:val="auto"/>
                <w:sz w:val="22"/>
              </w:rPr>
            </w:pPr>
            <w:r>
              <w:rPr>
                <w:rFonts w:hint="eastAsia" w:ascii="宋体"/>
                <w:snapToGrid w:val="0"/>
                <w:color w:val="auto"/>
                <w:sz w:val="22"/>
              </w:rPr>
              <w:t>投标文件的盖章</w:t>
            </w:r>
          </w:p>
        </w:tc>
        <w:tc>
          <w:tcPr>
            <w:tcW w:w="7776" w:type="dxa"/>
            <w:vAlign w:val="center"/>
          </w:tcPr>
          <w:p w14:paraId="447ACFA6">
            <w:pPr>
              <w:spacing w:line="300" w:lineRule="exact"/>
              <w:rPr>
                <w:rFonts w:ascii="宋体"/>
                <w:snapToGrid w:val="0"/>
                <w:color w:val="auto"/>
                <w:sz w:val="22"/>
              </w:rPr>
            </w:pPr>
            <w:r>
              <w:rPr>
                <w:rFonts w:hint="eastAsia" w:ascii="宋体"/>
                <w:snapToGrid w:val="0"/>
                <w:color w:val="auto"/>
                <w:sz w:val="22"/>
              </w:rPr>
              <w:t>投标文件中所涉及的加盖公章均采用CA电子签章。</w:t>
            </w:r>
          </w:p>
        </w:tc>
      </w:tr>
      <w:tr w14:paraId="63F1C3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5F329A43">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2</w:t>
            </w:r>
            <w:r>
              <w:rPr>
                <w:rFonts w:hint="eastAsia" w:ascii="宋体" w:cs="宋体"/>
                <w:color w:val="auto"/>
                <w:sz w:val="22"/>
                <w:lang w:val="en-US" w:eastAsia="zh-CN"/>
              </w:rPr>
              <w:t>1</w:t>
            </w:r>
          </w:p>
        </w:tc>
        <w:tc>
          <w:tcPr>
            <w:tcW w:w="1814" w:type="dxa"/>
            <w:vAlign w:val="center"/>
          </w:tcPr>
          <w:p w14:paraId="3135CE84">
            <w:pPr>
              <w:adjustRightInd w:val="0"/>
              <w:snapToGrid w:val="0"/>
              <w:spacing w:line="300" w:lineRule="exact"/>
              <w:rPr>
                <w:rFonts w:ascii="宋体"/>
                <w:snapToGrid w:val="0"/>
                <w:color w:val="auto"/>
                <w:sz w:val="22"/>
              </w:rPr>
            </w:pPr>
            <w:r>
              <w:rPr>
                <w:rFonts w:hint="eastAsia" w:ascii="宋体"/>
                <w:snapToGrid w:val="0"/>
                <w:color w:val="auto"/>
                <w:sz w:val="22"/>
              </w:rPr>
              <w:t>法定代表人或其授权代表签字或盖章</w:t>
            </w:r>
          </w:p>
        </w:tc>
        <w:tc>
          <w:tcPr>
            <w:tcW w:w="7776" w:type="dxa"/>
            <w:vAlign w:val="center"/>
          </w:tcPr>
          <w:p w14:paraId="4C11D0A3">
            <w:pPr>
              <w:spacing w:line="300" w:lineRule="exact"/>
              <w:rPr>
                <w:rFonts w:ascii="宋体"/>
                <w:snapToGrid w:val="0"/>
                <w:color w:val="auto"/>
                <w:sz w:val="22"/>
              </w:rPr>
            </w:pPr>
            <w:r>
              <w:rPr>
                <w:rFonts w:hint="eastAsia" w:ascii="宋体"/>
                <w:snapToGrid w:val="0"/>
                <w:color w:val="auto"/>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4AD7A2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23F0EFC6">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2</w:t>
            </w:r>
            <w:r>
              <w:rPr>
                <w:rFonts w:hint="eastAsia" w:ascii="宋体" w:cs="宋体"/>
                <w:color w:val="auto"/>
                <w:sz w:val="22"/>
                <w:lang w:val="en-US" w:eastAsia="zh-CN"/>
              </w:rPr>
              <w:t>2</w:t>
            </w:r>
          </w:p>
        </w:tc>
        <w:tc>
          <w:tcPr>
            <w:tcW w:w="1814" w:type="dxa"/>
            <w:vAlign w:val="center"/>
          </w:tcPr>
          <w:p w14:paraId="4D4E6259">
            <w:pPr>
              <w:adjustRightInd w:val="0"/>
              <w:snapToGrid w:val="0"/>
              <w:spacing w:line="300" w:lineRule="exact"/>
              <w:rPr>
                <w:rFonts w:ascii="宋体"/>
                <w:snapToGrid w:val="0"/>
                <w:color w:val="auto"/>
                <w:sz w:val="22"/>
              </w:rPr>
            </w:pPr>
            <w:r>
              <w:rPr>
                <w:rFonts w:hint="eastAsia" w:ascii="宋体"/>
                <w:snapToGrid w:val="0"/>
                <w:color w:val="auto"/>
                <w:sz w:val="22"/>
              </w:rPr>
              <w:t>投标文件份数</w:t>
            </w:r>
          </w:p>
        </w:tc>
        <w:tc>
          <w:tcPr>
            <w:tcW w:w="7776" w:type="dxa"/>
            <w:vAlign w:val="center"/>
          </w:tcPr>
          <w:p w14:paraId="0656FD13">
            <w:pPr>
              <w:spacing w:line="300" w:lineRule="exact"/>
              <w:rPr>
                <w:rFonts w:ascii="宋体"/>
                <w:snapToGrid w:val="0"/>
                <w:color w:val="auto"/>
                <w:sz w:val="22"/>
              </w:rPr>
            </w:pPr>
            <w:r>
              <w:rPr>
                <w:rFonts w:hint="eastAsia" w:ascii="宋体"/>
                <w:snapToGrid w:val="0"/>
                <w:color w:val="auto"/>
                <w:sz w:val="22"/>
              </w:rPr>
              <w:t>电子加密投标文件在线上传递交一份。</w:t>
            </w:r>
          </w:p>
        </w:tc>
      </w:tr>
      <w:tr w14:paraId="5E20E4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51E01130">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2</w:t>
            </w:r>
            <w:r>
              <w:rPr>
                <w:rFonts w:hint="eastAsia" w:ascii="宋体" w:cs="宋体"/>
                <w:color w:val="auto"/>
                <w:sz w:val="22"/>
                <w:lang w:val="en-US" w:eastAsia="zh-CN"/>
              </w:rPr>
              <w:t>3</w:t>
            </w:r>
          </w:p>
        </w:tc>
        <w:tc>
          <w:tcPr>
            <w:tcW w:w="1814" w:type="dxa"/>
            <w:vAlign w:val="center"/>
          </w:tcPr>
          <w:p w14:paraId="664B920C">
            <w:pPr>
              <w:adjustRightInd w:val="0"/>
              <w:snapToGrid w:val="0"/>
              <w:spacing w:line="300" w:lineRule="exact"/>
              <w:rPr>
                <w:rFonts w:ascii="宋体"/>
                <w:snapToGrid w:val="0"/>
                <w:color w:val="auto"/>
                <w:sz w:val="22"/>
              </w:rPr>
            </w:pPr>
            <w:r>
              <w:rPr>
                <w:rFonts w:hint="eastAsia" w:ascii="宋体"/>
                <w:snapToGrid w:val="0"/>
                <w:color w:val="auto"/>
                <w:sz w:val="22"/>
              </w:rPr>
              <w:t>投标文件的上传和递交</w:t>
            </w:r>
          </w:p>
        </w:tc>
        <w:tc>
          <w:tcPr>
            <w:tcW w:w="7776" w:type="dxa"/>
            <w:vAlign w:val="center"/>
          </w:tcPr>
          <w:p w14:paraId="30EC3D1C">
            <w:pPr>
              <w:spacing w:line="300" w:lineRule="exact"/>
              <w:rPr>
                <w:rFonts w:ascii="宋体"/>
                <w:snapToGrid w:val="0"/>
                <w:color w:val="auto"/>
                <w:sz w:val="22"/>
              </w:rPr>
            </w:pPr>
            <w:r>
              <w:rPr>
                <w:rFonts w:hint="eastAsia" w:ascii="宋体"/>
                <w:snapToGrid w:val="0"/>
                <w:color w:val="auto"/>
                <w:sz w:val="22"/>
              </w:rPr>
              <w:t>本项目通过“政府采购云平台（</w:t>
            </w:r>
            <w:r>
              <w:rPr>
                <w:rFonts w:ascii="宋体"/>
                <w:snapToGrid w:val="0"/>
                <w:color w:val="auto"/>
                <w:sz w:val="22"/>
              </w:rPr>
              <w:t>www.zcygov.cn）”实行在线投标响应（电子投标），投标供应商应当在投标截止时间前，将生成的“电子加密投标文件”上传递交至“政府采购云平台”。</w:t>
            </w:r>
          </w:p>
          <w:p w14:paraId="43686BD1">
            <w:pPr>
              <w:spacing w:line="300" w:lineRule="exact"/>
              <w:rPr>
                <w:rFonts w:ascii="宋体"/>
                <w:snapToGrid w:val="0"/>
                <w:color w:val="auto"/>
                <w:sz w:val="22"/>
              </w:rPr>
            </w:pPr>
            <w:r>
              <w:rPr>
                <w:rFonts w:hint="eastAsia" w:ascii="宋体"/>
                <w:snapToGrid w:val="0"/>
                <w:color w:val="auto"/>
                <w:sz w:val="22"/>
              </w:rPr>
              <w:t>“电子加密投标文件”的上传、递交：</w:t>
            </w:r>
          </w:p>
          <w:p w14:paraId="348BB66F">
            <w:pPr>
              <w:spacing w:line="300" w:lineRule="exact"/>
              <w:rPr>
                <w:rFonts w:ascii="宋体"/>
                <w:snapToGrid w:val="0"/>
                <w:color w:val="auto"/>
                <w:sz w:val="22"/>
              </w:rPr>
            </w:pPr>
            <w:r>
              <w:rPr>
                <w:rFonts w:hint="eastAsia" w:ascii="宋体"/>
                <w:snapToGrid w:val="0"/>
                <w:color w:val="auto"/>
                <w:sz w:val="22"/>
                <w:lang w:val="en-US" w:eastAsia="zh-CN"/>
              </w:rPr>
              <w:t>1</w:t>
            </w:r>
            <w:r>
              <w:rPr>
                <w:rFonts w:hint="eastAsia" w:ascii="宋体"/>
                <w:snapToGrid w:val="0"/>
                <w:color w:val="auto"/>
                <w:sz w:val="22"/>
                <w:lang w:eastAsia="zh-CN"/>
              </w:rPr>
              <w:t>、</w:t>
            </w:r>
            <w:r>
              <w:rPr>
                <w:rFonts w:hint="eastAsia" w:ascii="宋体"/>
                <w:snapToGrid w:val="0"/>
                <w:color w:val="auto"/>
                <w:sz w:val="22"/>
              </w:rPr>
              <w:t>投标供应商应在投标截止时间前将“电子加密投标文件”成功上传递交至“政府采购云平台”，否则投标无效。</w:t>
            </w:r>
          </w:p>
          <w:p w14:paraId="4E117139">
            <w:pPr>
              <w:spacing w:line="300" w:lineRule="exact"/>
              <w:rPr>
                <w:rFonts w:ascii="宋体"/>
                <w:snapToGrid w:val="0"/>
                <w:color w:val="auto"/>
                <w:sz w:val="22"/>
              </w:rPr>
            </w:pPr>
            <w:r>
              <w:rPr>
                <w:rFonts w:hint="eastAsia" w:ascii="宋体"/>
                <w:snapToGrid w:val="0"/>
                <w:color w:val="auto"/>
                <w:sz w:val="22"/>
                <w:lang w:val="en-US" w:eastAsia="zh-CN"/>
              </w:rPr>
              <w:t>2</w:t>
            </w:r>
            <w:r>
              <w:rPr>
                <w:rFonts w:hint="eastAsia" w:ascii="宋体"/>
                <w:snapToGrid w:val="0"/>
                <w:color w:val="auto"/>
                <w:sz w:val="22"/>
                <w:lang w:eastAsia="zh-CN"/>
              </w:rPr>
              <w:t>、</w:t>
            </w:r>
            <w:r>
              <w:rPr>
                <w:rFonts w:hint="eastAsia" w:ascii="宋体"/>
                <w:snapToGrid w:val="0"/>
                <w:color w:val="auto"/>
                <w:sz w:val="22"/>
              </w:rPr>
              <w:t>“电子加密投标文件”成功上传递交后，供应商可自行打印投标文件接收回执。</w:t>
            </w:r>
          </w:p>
        </w:tc>
      </w:tr>
      <w:tr w14:paraId="06B3D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54F6019C">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2</w:t>
            </w:r>
            <w:r>
              <w:rPr>
                <w:rFonts w:hint="eastAsia" w:ascii="宋体" w:cs="宋体"/>
                <w:color w:val="auto"/>
                <w:sz w:val="22"/>
                <w:lang w:val="en-US" w:eastAsia="zh-CN"/>
              </w:rPr>
              <w:t>4</w:t>
            </w:r>
          </w:p>
        </w:tc>
        <w:tc>
          <w:tcPr>
            <w:tcW w:w="1814" w:type="dxa"/>
            <w:vAlign w:val="center"/>
          </w:tcPr>
          <w:p w14:paraId="3C7A7D19">
            <w:pPr>
              <w:adjustRightInd w:val="0"/>
              <w:snapToGrid w:val="0"/>
              <w:spacing w:line="300" w:lineRule="exact"/>
              <w:rPr>
                <w:rFonts w:ascii="宋体"/>
                <w:snapToGrid w:val="0"/>
                <w:color w:val="auto"/>
                <w:sz w:val="22"/>
              </w:rPr>
            </w:pPr>
            <w:r>
              <w:rPr>
                <w:rFonts w:hint="eastAsia" w:ascii="宋体"/>
                <w:snapToGrid w:val="0"/>
                <w:color w:val="auto"/>
                <w:sz w:val="22"/>
                <w:lang w:val="en-US" w:eastAsia="zh-CN"/>
              </w:rPr>
              <w:t>投标文件</w:t>
            </w:r>
            <w:r>
              <w:rPr>
                <w:rFonts w:hint="eastAsia" w:ascii="宋体"/>
                <w:snapToGrid w:val="0"/>
                <w:color w:val="auto"/>
                <w:sz w:val="22"/>
              </w:rPr>
              <w:t>加密解密</w:t>
            </w:r>
          </w:p>
        </w:tc>
        <w:tc>
          <w:tcPr>
            <w:tcW w:w="7776" w:type="dxa"/>
            <w:vAlign w:val="center"/>
          </w:tcPr>
          <w:p w14:paraId="7276D212">
            <w:pPr>
              <w:spacing w:line="300" w:lineRule="exact"/>
              <w:rPr>
                <w:rFonts w:ascii="宋体"/>
                <w:snapToGrid w:val="0"/>
                <w:color w:val="auto"/>
                <w:sz w:val="22"/>
              </w:rPr>
            </w:pPr>
            <w:r>
              <w:rPr>
                <w:rFonts w:hint="eastAsia" w:ascii="宋体"/>
                <w:snapToGrid w:val="0"/>
                <w:color w:val="auto"/>
                <w:sz w:val="22"/>
              </w:rPr>
              <w:t>1、开标后，采购组织机构将向各投标供应商发出“电子加密投标文件”的解密通知，各投标供应商代表应当在接到解密通知后30分钟内自行完成“电子加密投标文件”的在线解密。</w:t>
            </w:r>
          </w:p>
          <w:p w14:paraId="1C736E64">
            <w:pPr>
              <w:spacing w:line="300" w:lineRule="exact"/>
              <w:rPr>
                <w:rFonts w:ascii="宋体"/>
                <w:snapToGrid w:val="0"/>
                <w:color w:val="auto"/>
                <w:sz w:val="22"/>
              </w:rPr>
            </w:pPr>
            <w:r>
              <w:rPr>
                <w:rFonts w:ascii="宋体"/>
                <w:snapToGrid w:val="0"/>
                <w:color w:val="auto"/>
                <w:sz w:val="22"/>
              </w:rPr>
              <w:t>2、通过“政府采购云平台”成功上传递交的“电子加密投标文件”无法按时解密的，</w:t>
            </w:r>
            <w:r>
              <w:rPr>
                <w:rFonts w:hint="eastAsia" w:ascii="宋体"/>
                <w:snapToGrid w:val="0"/>
                <w:color w:val="auto"/>
                <w:sz w:val="22"/>
              </w:rPr>
              <w:t>其投标文件按拒收处理</w:t>
            </w:r>
            <w:r>
              <w:rPr>
                <w:rFonts w:ascii="宋体"/>
                <w:snapToGrid w:val="0"/>
                <w:color w:val="auto"/>
                <w:sz w:val="22"/>
              </w:rPr>
              <w:t>。</w:t>
            </w:r>
          </w:p>
        </w:tc>
      </w:tr>
      <w:tr w14:paraId="7C9AC3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14:paraId="20D53A94">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2</w:t>
            </w:r>
            <w:r>
              <w:rPr>
                <w:rFonts w:hint="eastAsia" w:ascii="宋体" w:cs="宋体"/>
                <w:color w:val="auto"/>
                <w:sz w:val="22"/>
                <w:lang w:val="en-US" w:eastAsia="zh-CN"/>
              </w:rPr>
              <w:t>5</w:t>
            </w:r>
          </w:p>
        </w:tc>
        <w:tc>
          <w:tcPr>
            <w:tcW w:w="1814" w:type="dxa"/>
            <w:vAlign w:val="center"/>
          </w:tcPr>
          <w:p w14:paraId="36749F50">
            <w:pPr>
              <w:spacing w:line="300" w:lineRule="exact"/>
              <w:jc w:val="center"/>
              <w:rPr>
                <w:rFonts w:ascii="宋体" w:cs="宋体"/>
                <w:color w:val="auto"/>
                <w:sz w:val="22"/>
              </w:rPr>
            </w:pPr>
            <w:r>
              <w:rPr>
                <w:rFonts w:hint="eastAsia" w:ascii="宋体" w:cs="宋体"/>
                <w:color w:val="auto"/>
                <w:sz w:val="22"/>
              </w:rPr>
              <w:t>投标样品</w:t>
            </w:r>
          </w:p>
        </w:tc>
        <w:tc>
          <w:tcPr>
            <w:tcW w:w="7776" w:type="dxa"/>
            <w:vAlign w:val="center"/>
          </w:tcPr>
          <w:p w14:paraId="75C00485">
            <w:pPr>
              <w:spacing w:line="300" w:lineRule="exact"/>
              <w:rPr>
                <w:rFonts w:ascii="宋体" w:cs="宋体"/>
                <w:color w:val="auto"/>
                <w:sz w:val="22"/>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2"/>
                    <w:lang w:val="en-US" w:eastAsia="zh-CN" w:bidi="ar-SA"/>
                  </w:rPr>
                  <w:t>þ</w:t>
                </w:r>
              </w:sdtContent>
            </w:sdt>
            <w:r>
              <w:rPr>
                <w:rFonts w:hint="eastAsia" w:ascii="宋体" w:cs="宋体"/>
                <w:color w:val="auto"/>
                <w:sz w:val="22"/>
              </w:rPr>
              <w:t>不需要</w:t>
            </w:r>
          </w:p>
          <w:p w14:paraId="1243A411">
            <w:pPr>
              <w:spacing w:line="300" w:lineRule="exact"/>
              <w:rPr>
                <w:rFonts w:ascii="宋体" w:cs="宋体"/>
                <w:color w:val="auto"/>
                <w:sz w:val="22"/>
              </w:rPr>
            </w:pPr>
            <w:sdt>
              <w:sdtPr>
                <w:rPr>
                  <w:rFonts w:hint="eastAsia" w:ascii="仿宋_GB2312" w:hAnsi="仿宋" w:eastAsia="仿宋_GB2312" w:cs="Arial"/>
                  <w:color w:val="auto"/>
                  <w:kern w:val="0"/>
                  <w:sz w:val="24"/>
                </w:rPr>
                <w:id w:val="-182842570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2"/>
                    <w:lang w:val="en-US" w:eastAsia="zh-CN" w:bidi="ar-SA"/>
                  </w:rPr>
                  <w:t>☐</w:t>
                </w:r>
              </w:sdtContent>
            </w:sdt>
            <w:r>
              <w:rPr>
                <w:rFonts w:hint="eastAsia" w:ascii="宋体" w:cs="宋体"/>
                <w:color w:val="auto"/>
                <w:sz w:val="22"/>
              </w:rPr>
              <w:t>需要</w:t>
            </w:r>
          </w:p>
        </w:tc>
      </w:tr>
      <w:tr w14:paraId="0BBC2A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9" w:hRule="atLeast"/>
          <w:jc w:val="center"/>
        </w:trPr>
        <w:tc>
          <w:tcPr>
            <w:tcW w:w="669" w:type="dxa"/>
            <w:vAlign w:val="center"/>
          </w:tcPr>
          <w:p w14:paraId="289AEFA7">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2</w:t>
            </w:r>
            <w:r>
              <w:rPr>
                <w:rFonts w:hint="eastAsia" w:ascii="宋体" w:cs="宋体"/>
                <w:color w:val="auto"/>
                <w:sz w:val="22"/>
                <w:lang w:val="en-US" w:eastAsia="zh-CN"/>
              </w:rPr>
              <w:t>6</w:t>
            </w:r>
          </w:p>
        </w:tc>
        <w:tc>
          <w:tcPr>
            <w:tcW w:w="1814" w:type="dxa"/>
            <w:vAlign w:val="center"/>
          </w:tcPr>
          <w:p w14:paraId="2D83E000">
            <w:pPr>
              <w:spacing w:line="300" w:lineRule="exact"/>
              <w:jc w:val="center"/>
              <w:rPr>
                <w:rFonts w:ascii="宋体" w:cs="宋体"/>
                <w:color w:val="auto"/>
                <w:sz w:val="22"/>
              </w:rPr>
            </w:pPr>
            <w:r>
              <w:rPr>
                <w:rFonts w:hint="eastAsia" w:ascii="宋体" w:cs="宋体"/>
                <w:color w:val="auto"/>
                <w:sz w:val="22"/>
              </w:rPr>
              <w:t>投标保证金</w:t>
            </w:r>
          </w:p>
        </w:tc>
        <w:tc>
          <w:tcPr>
            <w:tcW w:w="7776" w:type="dxa"/>
            <w:vAlign w:val="center"/>
          </w:tcPr>
          <w:p w14:paraId="677B0640">
            <w:pPr>
              <w:spacing w:line="300" w:lineRule="exact"/>
              <w:rPr>
                <w:rFonts w:ascii="宋体" w:cs="宋体"/>
                <w:color w:val="auto"/>
                <w:sz w:val="22"/>
              </w:rPr>
            </w:pPr>
            <w:r>
              <w:rPr>
                <w:rFonts w:hint="eastAsia" w:ascii="宋体" w:cs="宋体"/>
                <w:bCs/>
                <w:color w:val="auto"/>
                <w:sz w:val="22"/>
              </w:rPr>
              <w:t>无</w:t>
            </w:r>
          </w:p>
        </w:tc>
      </w:tr>
      <w:tr w14:paraId="17193C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669" w:type="dxa"/>
            <w:vAlign w:val="center"/>
          </w:tcPr>
          <w:p w14:paraId="11EEA946">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2</w:t>
            </w:r>
            <w:r>
              <w:rPr>
                <w:rFonts w:hint="eastAsia" w:ascii="宋体" w:cs="宋体"/>
                <w:color w:val="auto"/>
                <w:sz w:val="22"/>
                <w:lang w:val="en-US" w:eastAsia="zh-CN"/>
              </w:rPr>
              <w:t>7</w:t>
            </w:r>
          </w:p>
        </w:tc>
        <w:tc>
          <w:tcPr>
            <w:tcW w:w="1814" w:type="dxa"/>
            <w:vAlign w:val="center"/>
          </w:tcPr>
          <w:p w14:paraId="5CB87F83">
            <w:pPr>
              <w:adjustRightInd w:val="0"/>
              <w:spacing w:line="300" w:lineRule="exact"/>
              <w:jc w:val="center"/>
              <w:rPr>
                <w:rFonts w:ascii="宋体" w:cs="宋体"/>
                <w:color w:val="auto"/>
                <w:sz w:val="22"/>
              </w:rPr>
            </w:pPr>
            <w:r>
              <w:rPr>
                <w:rFonts w:hint="eastAsia" w:ascii="宋体" w:cs="宋体"/>
                <w:color w:val="auto"/>
                <w:sz w:val="22"/>
              </w:rPr>
              <w:t>履约担保</w:t>
            </w:r>
          </w:p>
        </w:tc>
        <w:tc>
          <w:tcPr>
            <w:tcW w:w="7776" w:type="dxa"/>
            <w:vAlign w:val="center"/>
          </w:tcPr>
          <w:p w14:paraId="428DE24B">
            <w:pPr>
              <w:spacing w:line="300" w:lineRule="exact"/>
              <w:rPr>
                <w:rFonts w:hint="default"/>
                <w:color w:val="auto"/>
                <w:lang w:val="en-US" w:eastAsia="zh-CN"/>
              </w:rPr>
            </w:pPr>
            <w:r>
              <w:rPr>
                <w:rFonts w:hint="eastAsia" w:ascii="宋体"/>
                <w:snapToGrid w:val="0"/>
                <w:color w:val="auto"/>
                <w:sz w:val="22"/>
                <w:lang w:val="en-US" w:eastAsia="zh-CN"/>
              </w:rPr>
              <w:t>履约保证金的收取：无。</w:t>
            </w:r>
          </w:p>
        </w:tc>
      </w:tr>
      <w:tr w14:paraId="6BA47C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9" w:type="dxa"/>
            <w:vAlign w:val="center"/>
          </w:tcPr>
          <w:p w14:paraId="1079E386">
            <w:pPr>
              <w:widowControl/>
              <w:tabs>
                <w:tab w:val="left" w:pos="420"/>
                <w:tab w:val="left" w:pos="1145"/>
              </w:tabs>
              <w:spacing w:line="300" w:lineRule="exact"/>
              <w:jc w:val="center"/>
              <w:rPr>
                <w:rFonts w:hint="default" w:ascii="宋体" w:eastAsia="宋体" w:cs="宋体"/>
                <w:color w:val="auto"/>
                <w:sz w:val="22"/>
                <w:lang w:val="en-US" w:eastAsia="zh-CN"/>
              </w:rPr>
            </w:pPr>
            <w:r>
              <w:rPr>
                <w:rFonts w:hint="eastAsia" w:ascii="宋体" w:cs="宋体"/>
                <w:color w:val="auto"/>
                <w:sz w:val="22"/>
              </w:rPr>
              <w:t>2</w:t>
            </w:r>
            <w:r>
              <w:rPr>
                <w:rFonts w:hint="eastAsia" w:ascii="宋体" w:cs="宋体"/>
                <w:color w:val="auto"/>
                <w:sz w:val="22"/>
                <w:lang w:val="en-US" w:eastAsia="zh-CN"/>
              </w:rPr>
              <w:t>8</w:t>
            </w:r>
          </w:p>
        </w:tc>
        <w:tc>
          <w:tcPr>
            <w:tcW w:w="1814" w:type="dxa"/>
            <w:vAlign w:val="center"/>
          </w:tcPr>
          <w:p w14:paraId="226F68FF">
            <w:pPr>
              <w:spacing w:line="300" w:lineRule="exact"/>
              <w:jc w:val="center"/>
              <w:rPr>
                <w:rFonts w:ascii="宋体" w:cs="Courier New"/>
                <w:color w:val="auto"/>
                <w:sz w:val="22"/>
              </w:rPr>
            </w:pPr>
            <w:r>
              <w:rPr>
                <w:rFonts w:hint="eastAsia" w:ascii="宋体" w:cs="Courier New"/>
                <w:color w:val="auto"/>
                <w:sz w:val="22"/>
              </w:rPr>
              <w:t>投标截止时间</w:t>
            </w:r>
          </w:p>
          <w:p w14:paraId="2F6BB26A">
            <w:pPr>
              <w:spacing w:line="300" w:lineRule="exact"/>
              <w:jc w:val="center"/>
              <w:rPr>
                <w:rFonts w:ascii="宋体"/>
                <w:color w:val="auto"/>
              </w:rPr>
            </w:pPr>
            <w:r>
              <w:rPr>
                <w:rFonts w:hint="eastAsia" w:ascii="宋体" w:cs="Courier New"/>
                <w:color w:val="auto"/>
                <w:sz w:val="22"/>
              </w:rPr>
              <w:t>投标地点</w:t>
            </w:r>
          </w:p>
        </w:tc>
        <w:tc>
          <w:tcPr>
            <w:tcW w:w="7776" w:type="dxa"/>
            <w:vAlign w:val="center"/>
          </w:tcPr>
          <w:p w14:paraId="09585419">
            <w:pPr>
              <w:spacing w:line="300" w:lineRule="exact"/>
              <w:rPr>
                <w:rFonts w:ascii="宋体" w:cs="Courier New"/>
                <w:color w:val="auto"/>
                <w:sz w:val="22"/>
              </w:rPr>
            </w:pPr>
            <w:r>
              <w:rPr>
                <w:rFonts w:hint="eastAsia" w:ascii="宋体" w:cs="Courier New"/>
                <w:color w:val="auto"/>
                <w:sz w:val="22"/>
                <w:lang w:eastAsia="zh-CN"/>
              </w:rPr>
              <w:t>202</w:t>
            </w:r>
            <w:r>
              <w:rPr>
                <w:rFonts w:hint="eastAsia" w:ascii="宋体" w:cs="Courier New"/>
                <w:color w:val="auto"/>
                <w:sz w:val="22"/>
                <w:lang w:val="en-US" w:eastAsia="zh-CN"/>
              </w:rPr>
              <w:t>4</w:t>
            </w:r>
            <w:r>
              <w:rPr>
                <w:rFonts w:hint="eastAsia" w:ascii="宋体" w:cs="Courier New"/>
                <w:color w:val="auto"/>
                <w:sz w:val="22"/>
                <w:lang w:eastAsia="zh-CN"/>
              </w:rPr>
              <w:t>-</w:t>
            </w:r>
            <w:r>
              <w:rPr>
                <w:rFonts w:hint="eastAsia" w:ascii="宋体" w:cs="Courier New"/>
                <w:color w:val="auto"/>
                <w:sz w:val="22"/>
                <w:lang w:val="en-US" w:eastAsia="zh-CN"/>
              </w:rPr>
              <w:t>09</w:t>
            </w:r>
            <w:r>
              <w:rPr>
                <w:rFonts w:hint="eastAsia" w:ascii="宋体" w:cs="Courier New"/>
                <w:color w:val="auto"/>
                <w:sz w:val="22"/>
                <w:lang w:eastAsia="zh-CN"/>
              </w:rPr>
              <w:t>-</w:t>
            </w:r>
            <w:r>
              <w:rPr>
                <w:rFonts w:hint="eastAsia" w:ascii="宋体" w:cs="Courier New"/>
                <w:color w:val="auto"/>
                <w:sz w:val="22"/>
                <w:lang w:val="en-US" w:eastAsia="zh-CN"/>
              </w:rPr>
              <w:t>12</w:t>
            </w:r>
            <w:r>
              <w:rPr>
                <w:rFonts w:hint="eastAsia" w:ascii="宋体" w:cs="Courier New"/>
                <w:color w:val="auto"/>
                <w:sz w:val="22"/>
              </w:rPr>
              <w:t>上午09:</w:t>
            </w:r>
            <w:r>
              <w:rPr>
                <w:rFonts w:hint="eastAsia" w:ascii="宋体" w:cs="Courier New"/>
                <w:color w:val="auto"/>
                <w:sz w:val="22"/>
                <w:lang w:val="en-US" w:eastAsia="zh-CN"/>
              </w:rPr>
              <w:t>3</w:t>
            </w:r>
            <w:r>
              <w:rPr>
                <w:rFonts w:hint="eastAsia" w:ascii="宋体" w:cs="Courier New"/>
                <w:color w:val="auto"/>
                <w:sz w:val="22"/>
              </w:rPr>
              <w:t>0截止(北京时间)。</w:t>
            </w:r>
          </w:p>
          <w:p w14:paraId="4B2F2549">
            <w:pPr>
              <w:spacing w:line="300" w:lineRule="exact"/>
              <w:rPr>
                <w:rFonts w:ascii="宋体"/>
                <w:color w:val="auto"/>
              </w:rPr>
            </w:pPr>
            <w:r>
              <w:rPr>
                <w:rFonts w:hint="eastAsia" w:ascii="宋体" w:cs="Courier New"/>
                <w:color w:val="auto"/>
                <w:sz w:val="22"/>
              </w:rPr>
              <w:t>投标地点：金华市双龙南街858号财富大厦4楼</w:t>
            </w:r>
            <w:r>
              <w:rPr>
                <w:rFonts w:hint="eastAsia" w:ascii="宋体"/>
                <w:color w:val="auto"/>
                <w:sz w:val="22"/>
              </w:rPr>
              <w:t>（本项目采用在线投标方式，投标供应商无须前往投标现场。）</w:t>
            </w:r>
          </w:p>
        </w:tc>
      </w:tr>
      <w:tr w14:paraId="66A038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07" w:hRule="atLeast"/>
          <w:jc w:val="center"/>
        </w:trPr>
        <w:tc>
          <w:tcPr>
            <w:tcW w:w="669" w:type="dxa"/>
            <w:vAlign w:val="center"/>
          </w:tcPr>
          <w:p w14:paraId="6D93CC74">
            <w:pPr>
              <w:widowControl/>
              <w:tabs>
                <w:tab w:val="left" w:pos="420"/>
                <w:tab w:val="left" w:pos="1145"/>
              </w:tabs>
              <w:spacing w:line="300" w:lineRule="exact"/>
              <w:jc w:val="center"/>
              <w:rPr>
                <w:rFonts w:hint="eastAsia" w:ascii="宋体" w:eastAsia="宋体" w:cs="宋体"/>
                <w:color w:val="auto"/>
                <w:sz w:val="22"/>
                <w:lang w:val="en-US" w:eastAsia="zh-CN"/>
              </w:rPr>
            </w:pPr>
            <w:r>
              <w:rPr>
                <w:rFonts w:hint="eastAsia" w:ascii="宋体" w:cs="宋体"/>
                <w:color w:val="auto"/>
                <w:sz w:val="22"/>
              </w:rPr>
              <w:t>2</w:t>
            </w:r>
            <w:r>
              <w:rPr>
                <w:rFonts w:hint="eastAsia" w:ascii="宋体" w:cs="宋体"/>
                <w:color w:val="auto"/>
                <w:sz w:val="22"/>
                <w:lang w:val="en-US" w:eastAsia="zh-CN"/>
              </w:rPr>
              <w:t>9</w:t>
            </w:r>
          </w:p>
        </w:tc>
        <w:tc>
          <w:tcPr>
            <w:tcW w:w="1814" w:type="dxa"/>
            <w:vAlign w:val="center"/>
          </w:tcPr>
          <w:p w14:paraId="74AE678F">
            <w:pPr>
              <w:spacing w:line="300" w:lineRule="exact"/>
              <w:jc w:val="center"/>
              <w:rPr>
                <w:rFonts w:ascii="宋体" w:cs="宋体"/>
                <w:color w:val="auto"/>
                <w:sz w:val="22"/>
              </w:rPr>
            </w:pPr>
            <w:r>
              <w:rPr>
                <w:rFonts w:hint="eastAsia" w:ascii="宋体" w:cs="宋体"/>
                <w:color w:val="auto"/>
                <w:sz w:val="22"/>
              </w:rPr>
              <w:t>开标时间</w:t>
            </w:r>
          </w:p>
          <w:p w14:paraId="33591C09">
            <w:pPr>
              <w:spacing w:line="300" w:lineRule="exact"/>
              <w:jc w:val="center"/>
              <w:rPr>
                <w:rFonts w:ascii="宋体" w:cs="宋体"/>
                <w:color w:val="auto"/>
                <w:sz w:val="22"/>
              </w:rPr>
            </w:pPr>
            <w:r>
              <w:rPr>
                <w:rFonts w:hint="eastAsia" w:ascii="宋体" w:cs="宋体"/>
                <w:color w:val="auto"/>
                <w:sz w:val="22"/>
              </w:rPr>
              <w:t>开标地点</w:t>
            </w:r>
          </w:p>
        </w:tc>
        <w:tc>
          <w:tcPr>
            <w:tcW w:w="7776" w:type="dxa"/>
            <w:vAlign w:val="center"/>
          </w:tcPr>
          <w:p w14:paraId="03298BD7">
            <w:pPr>
              <w:spacing w:line="300" w:lineRule="exact"/>
              <w:rPr>
                <w:rFonts w:ascii="宋体" w:cs="宋体"/>
                <w:color w:val="auto"/>
                <w:sz w:val="22"/>
              </w:rPr>
            </w:pPr>
            <w:r>
              <w:rPr>
                <w:rFonts w:hint="eastAsia" w:ascii="宋体" w:cs="宋体"/>
                <w:color w:val="auto"/>
                <w:sz w:val="22"/>
              </w:rPr>
              <w:t>开标时间：</w:t>
            </w:r>
            <w:r>
              <w:rPr>
                <w:rFonts w:hint="eastAsia" w:ascii="宋体" w:cs="宋体"/>
                <w:color w:val="auto"/>
                <w:sz w:val="22"/>
                <w:lang w:eastAsia="zh-CN"/>
              </w:rPr>
              <w:t>202</w:t>
            </w:r>
            <w:r>
              <w:rPr>
                <w:rFonts w:hint="eastAsia" w:ascii="宋体" w:cs="宋体"/>
                <w:color w:val="auto"/>
                <w:sz w:val="22"/>
                <w:lang w:val="en-US" w:eastAsia="zh-CN"/>
              </w:rPr>
              <w:t>4</w:t>
            </w:r>
            <w:r>
              <w:rPr>
                <w:rFonts w:hint="eastAsia" w:ascii="宋体" w:cs="宋体"/>
                <w:color w:val="auto"/>
                <w:sz w:val="22"/>
                <w:lang w:eastAsia="zh-CN"/>
              </w:rPr>
              <w:t>-</w:t>
            </w:r>
            <w:r>
              <w:rPr>
                <w:rFonts w:hint="eastAsia" w:ascii="宋体" w:cs="宋体"/>
                <w:color w:val="auto"/>
                <w:sz w:val="22"/>
                <w:lang w:val="en-US" w:eastAsia="zh-CN"/>
              </w:rPr>
              <w:t>09</w:t>
            </w:r>
            <w:r>
              <w:rPr>
                <w:rFonts w:hint="eastAsia" w:ascii="宋体" w:cs="宋体"/>
                <w:color w:val="auto"/>
                <w:sz w:val="22"/>
                <w:lang w:eastAsia="zh-CN"/>
              </w:rPr>
              <w:t>-</w:t>
            </w:r>
            <w:r>
              <w:rPr>
                <w:rFonts w:hint="eastAsia" w:ascii="宋体" w:cs="宋体"/>
                <w:color w:val="auto"/>
                <w:sz w:val="22"/>
                <w:lang w:val="en-US" w:eastAsia="zh-CN"/>
              </w:rPr>
              <w:t>12</w:t>
            </w:r>
            <w:r>
              <w:rPr>
                <w:rFonts w:hint="eastAsia" w:ascii="宋体" w:cs="宋体"/>
                <w:color w:val="auto"/>
                <w:sz w:val="22"/>
              </w:rPr>
              <w:t>上午9:</w:t>
            </w:r>
            <w:r>
              <w:rPr>
                <w:rFonts w:hint="eastAsia" w:ascii="宋体" w:cs="宋体"/>
                <w:color w:val="auto"/>
                <w:sz w:val="22"/>
                <w:lang w:val="en-US" w:eastAsia="zh-CN"/>
              </w:rPr>
              <w:t>3</w:t>
            </w:r>
            <w:r>
              <w:rPr>
                <w:rFonts w:hint="eastAsia" w:ascii="宋体" w:cs="宋体"/>
                <w:color w:val="auto"/>
                <w:sz w:val="22"/>
              </w:rPr>
              <w:t>0  (北京时间)</w:t>
            </w:r>
          </w:p>
          <w:p w14:paraId="5AE65A98">
            <w:pPr>
              <w:spacing w:line="300" w:lineRule="exact"/>
              <w:rPr>
                <w:rFonts w:ascii="宋体" w:cs="宋体"/>
                <w:color w:val="auto"/>
                <w:sz w:val="22"/>
              </w:rPr>
            </w:pPr>
            <w:r>
              <w:rPr>
                <w:rFonts w:hint="eastAsia" w:ascii="宋体" w:cs="宋体"/>
                <w:color w:val="auto"/>
                <w:sz w:val="22"/>
              </w:rPr>
              <w:t>开标地点：</w:t>
            </w:r>
            <w:r>
              <w:rPr>
                <w:rFonts w:hint="eastAsia" w:ascii="宋体"/>
                <w:color w:val="auto"/>
                <w:sz w:val="22"/>
              </w:rPr>
              <w:t>金华市双龙南街858号财富大厦4楼（本项目采用在线投标方式，投标供应商无须前往开标现场。）</w:t>
            </w:r>
          </w:p>
        </w:tc>
      </w:tr>
      <w:tr w14:paraId="34534F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14:paraId="0F17CE1C">
            <w:pPr>
              <w:widowControl/>
              <w:tabs>
                <w:tab w:val="left" w:pos="420"/>
                <w:tab w:val="left" w:pos="1145"/>
              </w:tabs>
              <w:spacing w:line="300" w:lineRule="exact"/>
              <w:jc w:val="center"/>
              <w:rPr>
                <w:rFonts w:hint="default" w:ascii="宋体" w:eastAsia="宋体" w:cs="宋体"/>
                <w:color w:val="auto"/>
                <w:sz w:val="22"/>
                <w:lang w:val="en-US" w:eastAsia="zh-CN"/>
              </w:rPr>
            </w:pPr>
            <w:r>
              <w:rPr>
                <w:rFonts w:hint="eastAsia" w:ascii="宋体" w:cs="宋体"/>
                <w:color w:val="auto"/>
                <w:sz w:val="22"/>
                <w:lang w:val="en-US" w:eastAsia="zh-CN"/>
              </w:rPr>
              <w:t>30</w:t>
            </w:r>
          </w:p>
        </w:tc>
        <w:tc>
          <w:tcPr>
            <w:tcW w:w="1814" w:type="dxa"/>
            <w:vAlign w:val="center"/>
          </w:tcPr>
          <w:p w14:paraId="16DEBB69">
            <w:pPr>
              <w:spacing w:line="300" w:lineRule="exact"/>
              <w:jc w:val="center"/>
              <w:rPr>
                <w:rFonts w:ascii="宋体" w:cs="宋体"/>
                <w:color w:val="auto"/>
                <w:sz w:val="22"/>
              </w:rPr>
            </w:pPr>
            <w:r>
              <w:rPr>
                <w:rFonts w:hint="eastAsia" w:ascii="宋体" w:cs="宋体"/>
                <w:color w:val="auto"/>
                <w:sz w:val="22"/>
              </w:rPr>
              <w:t>评审委员会的</w:t>
            </w:r>
          </w:p>
          <w:p w14:paraId="034628E9">
            <w:pPr>
              <w:spacing w:line="300" w:lineRule="exact"/>
              <w:jc w:val="center"/>
              <w:rPr>
                <w:rFonts w:ascii="宋体" w:cs="宋体"/>
                <w:color w:val="auto"/>
                <w:sz w:val="22"/>
              </w:rPr>
            </w:pPr>
            <w:r>
              <w:rPr>
                <w:rFonts w:hint="eastAsia" w:ascii="宋体" w:cs="宋体"/>
                <w:color w:val="auto"/>
                <w:sz w:val="22"/>
              </w:rPr>
              <w:t>组建</w:t>
            </w:r>
          </w:p>
        </w:tc>
        <w:tc>
          <w:tcPr>
            <w:tcW w:w="7776" w:type="dxa"/>
            <w:vAlign w:val="center"/>
          </w:tcPr>
          <w:p w14:paraId="5295DD86">
            <w:pPr>
              <w:spacing w:line="300" w:lineRule="exact"/>
              <w:rPr>
                <w:rFonts w:ascii="宋体" w:cs="宋体"/>
                <w:color w:val="auto"/>
                <w:sz w:val="22"/>
              </w:rPr>
            </w:pPr>
            <w:r>
              <w:rPr>
                <w:rFonts w:hint="eastAsia" w:ascii="宋体" w:cs="宋体"/>
                <w:color w:val="auto"/>
                <w:sz w:val="22"/>
              </w:rPr>
              <w:t>评审委员会构成： 由采购人代表以及有关技术、经济等方面的专家组成，成员为5人及以上单数，其中技术、经济类专家不得少于总人数的2/3；评标专家确定方式：按相关规定从专家库中抽取。</w:t>
            </w:r>
          </w:p>
        </w:tc>
      </w:tr>
      <w:tr w14:paraId="75FFB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669" w:type="dxa"/>
            <w:vAlign w:val="center"/>
          </w:tcPr>
          <w:p w14:paraId="3F8E7B90">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3</w:t>
            </w:r>
            <w:r>
              <w:rPr>
                <w:rFonts w:hint="eastAsia" w:ascii="宋体" w:cs="宋体"/>
                <w:color w:val="auto"/>
                <w:sz w:val="22"/>
                <w:lang w:val="en-US" w:eastAsia="zh-CN"/>
              </w:rPr>
              <w:t>1</w:t>
            </w:r>
          </w:p>
        </w:tc>
        <w:tc>
          <w:tcPr>
            <w:tcW w:w="1814" w:type="dxa"/>
            <w:vAlign w:val="center"/>
          </w:tcPr>
          <w:p w14:paraId="75B630F6">
            <w:pPr>
              <w:adjustRightInd w:val="0"/>
              <w:spacing w:line="300" w:lineRule="exact"/>
              <w:jc w:val="center"/>
              <w:rPr>
                <w:rFonts w:ascii="宋体" w:cs="宋体"/>
                <w:color w:val="auto"/>
                <w:sz w:val="22"/>
              </w:rPr>
            </w:pPr>
            <w:r>
              <w:rPr>
                <w:rFonts w:hint="eastAsia" w:ascii="宋体" w:cs="宋体"/>
                <w:color w:val="auto"/>
                <w:sz w:val="22"/>
              </w:rPr>
              <w:t>政府采购</w:t>
            </w:r>
          </w:p>
          <w:p w14:paraId="4AB0F8AF">
            <w:pPr>
              <w:adjustRightInd w:val="0"/>
              <w:spacing w:line="300" w:lineRule="exact"/>
              <w:jc w:val="center"/>
              <w:rPr>
                <w:rFonts w:ascii="宋体" w:cs="宋体"/>
                <w:color w:val="auto"/>
                <w:sz w:val="22"/>
              </w:rPr>
            </w:pPr>
            <w:r>
              <w:rPr>
                <w:rFonts w:hint="eastAsia" w:ascii="宋体" w:cs="宋体"/>
                <w:color w:val="auto"/>
                <w:sz w:val="22"/>
              </w:rPr>
              <w:t>扶持政策</w:t>
            </w:r>
          </w:p>
        </w:tc>
        <w:tc>
          <w:tcPr>
            <w:tcW w:w="7776" w:type="dxa"/>
            <w:vAlign w:val="center"/>
          </w:tcPr>
          <w:p w14:paraId="37CEAD9A">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1、扶持中小企业（监狱企业、残疾人福利性单位）：</w:t>
            </w:r>
          </w:p>
          <w:p w14:paraId="3BC6361C">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3E6A843">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（1）项目预算：</w:t>
            </w:r>
            <w:r>
              <w:rPr>
                <w:rFonts w:hint="eastAsia" w:ascii="宋体" w:hAnsi="宋体" w:eastAsia="宋体" w:cs="宋体"/>
                <w:color w:val="auto"/>
                <w:sz w:val="22"/>
                <w:u w:val="single"/>
                <w:lang w:val="en-US" w:eastAsia="zh-CN"/>
              </w:rPr>
              <w:t xml:space="preserve">  </w:t>
            </w:r>
            <w:r>
              <w:rPr>
                <w:rFonts w:hint="eastAsia" w:ascii="宋体" w:hAnsi="宋体" w:cs="宋体"/>
                <w:color w:val="auto"/>
                <w:sz w:val="22"/>
                <w:u w:val="single"/>
                <w:lang w:val="en-US" w:eastAsia="zh-CN"/>
              </w:rPr>
              <w:t>2400</w:t>
            </w:r>
            <w:r>
              <w:rPr>
                <w:rFonts w:hint="eastAsia" w:ascii="宋体" w:hAnsi="宋体" w:eastAsia="宋体" w:cs="宋体"/>
                <w:color w:val="auto"/>
                <w:sz w:val="22"/>
                <w:u w:val="single"/>
                <w:lang w:val="en-US" w:eastAsia="zh-CN"/>
              </w:rPr>
              <w:t> </w:t>
            </w:r>
            <w:r>
              <w:rPr>
                <w:rFonts w:hint="eastAsia" w:ascii="宋体" w:hAnsi="宋体" w:eastAsia="宋体" w:cs="宋体"/>
                <w:color w:val="auto"/>
                <w:sz w:val="22"/>
                <w:lang w:val="en-US" w:eastAsia="zh-CN"/>
              </w:rPr>
              <w:t>万元</w:t>
            </w:r>
          </w:p>
          <w:p w14:paraId="5AEE7C4D">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（2）项目属性：</w:t>
            </w:r>
            <w:r>
              <w:rPr>
                <w:rFonts w:hint="eastAsia" w:ascii="宋体" w:hAnsi="宋体" w:eastAsia="宋体" w:cs="宋体"/>
                <w:color w:val="auto"/>
                <w:sz w:val="22"/>
                <w:u w:val="single"/>
                <w:lang w:val="en-US" w:eastAsia="zh-CN"/>
              </w:rPr>
              <w:t>①货物类 </w:t>
            </w:r>
            <w:r>
              <w:rPr>
                <w:rFonts w:hint="eastAsia" w:ascii="宋体" w:hAnsi="宋体" w:eastAsia="宋体" w:cs="宋体"/>
                <w:color w:val="auto"/>
                <w:sz w:val="22"/>
                <w:lang w:val="en-US" w:eastAsia="zh-CN"/>
              </w:rPr>
              <w:t>（①货物类/②服务类/③工程类）</w:t>
            </w:r>
          </w:p>
          <w:p w14:paraId="476A4212">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（3）项目对应的中小企业划分标准所属行业：</w:t>
            </w:r>
            <w:r>
              <w:rPr>
                <w:rFonts w:hint="eastAsia" w:ascii="宋体" w:hAnsi="宋体" w:eastAsia="宋体" w:cs="宋体"/>
                <w:color w:val="auto"/>
                <w:sz w:val="22"/>
                <w:u w:val="single"/>
                <w:lang w:val="en-US" w:eastAsia="zh-CN"/>
              </w:rPr>
              <w:t> </w:t>
            </w:r>
            <w:r>
              <w:rPr>
                <w:rFonts w:hint="eastAsia" w:ascii="宋体" w:hAnsi="宋体" w:cs="宋体"/>
                <w:color w:val="auto"/>
                <w:sz w:val="22"/>
                <w:u w:val="single"/>
                <w:lang w:val="en-US" w:eastAsia="zh-CN"/>
              </w:rPr>
              <w:t>工业</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lang w:val="en-US" w:eastAsia="zh-CN"/>
              </w:rPr>
              <w:t>（具体根据工信部联企业〔2011〕300号《中小企业划型标准规定》执行）</w:t>
            </w:r>
          </w:p>
          <w:p w14:paraId="0AA676EC">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1D6FB409">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 xml:space="preserve">（4）本项目 </w:t>
            </w:r>
            <w:r>
              <w:rPr>
                <w:rFonts w:hint="eastAsia" w:ascii="宋体" w:hAnsi="宋体" w:eastAsia="宋体" w:cs="宋体"/>
                <w:color w:val="auto"/>
                <w:sz w:val="22"/>
                <w:u w:val="single"/>
                <w:lang w:val="en-US" w:eastAsia="zh-CN"/>
              </w:rPr>
              <w:t xml:space="preserve"> </w:t>
            </w:r>
            <w:r>
              <w:rPr>
                <w:rFonts w:hint="eastAsia" w:ascii="宋体" w:hAnsi="宋体" w:cs="宋体"/>
                <w:color w:val="auto"/>
                <w:sz w:val="22"/>
                <w:u w:val="single"/>
                <w:lang w:val="en-US" w:eastAsia="zh-CN"/>
              </w:rPr>
              <w:t xml:space="preserve">否 </w:t>
            </w:r>
            <w:r>
              <w:rPr>
                <w:rFonts w:hint="eastAsia" w:ascii="宋体" w:hAnsi="宋体" w:eastAsia="宋体" w:cs="宋体"/>
                <w:color w:val="auto"/>
                <w:sz w:val="22"/>
                <w:lang w:val="en-US" w:eastAsia="zh-CN"/>
              </w:rPr>
              <w:t>（是/否）属于预留份额专门面向中小企业采购的项目。</w:t>
            </w:r>
          </w:p>
          <w:p w14:paraId="4BDC5CB2">
            <w:pPr>
              <w:spacing w:line="300" w:lineRule="exact"/>
              <w:rPr>
                <w:rFonts w:hint="default" w:ascii="宋体" w:cs="宋体"/>
                <w:color w:val="auto"/>
                <w:sz w:val="22"/>
                <w:lang w:val="en-US" w:eastAsia="zh-CN"/>
              </w:rPr>
            </w:pPr>
            <w:r>
              <w:rPr>
                <w:rFonts w:hint="default" w:ascii="宋体" w:cs="宋体"/>
                <w:color w:val="auto"/>
                <w:sz w:val="22"/>
                <w:lang w:val="en-US" w:eastAsia="zh-CN"/>
              </w:rPr>
              <w:t>（5）上述第4项中确定为“是”的采购项目，预留份额通过（</w:t>
            </w:r>
            <w:r>
              <w:rPr>
                <w:rFonts w:hint="eastAsia" w:ascii="宋体" w:cs="宋体"/>
                <w:color w:val="auto"/>
                <w:sz w:val="22"/>
                <w:lang w:val="en-US" w:eastAsia="zh-CN"/>
              </w:rPr>
              <w:t xml:space="preserve">  </w:t>
            </w:r>
            <w:r>
              <w:rPr>
                <w:rFonts w:hint="default" w:ascii="宋体" w:cs="宋体"/>
                <w:color w:val="auto"/>
                <w:sz w:val="22"/>
                <w:lang w:val="en-US" w:eastAsia="zh-CN"/>
              </w:rPr>
              <w:t>）措施进行：</w:t>
            </w:r>
          </w:p>
          <w:p w14:paraId="5A9EC71B">
            <w:pPr>
              <w:spacing w:line="300" w:lineRule="exact"/>
              <w:rPr>
                <w:rFonts w:hint="default" w:ascii="宋体" w:cs="宋体"/>
                <w:color w:val="auto"/>
                <w:sz w:val="22"/>
                <w:lang w:val="en-US" w:eastAsia="zh-CN"/>
              </w:rPr>
            </w:pPr>
            <w:r>
              <w:rPr>
                <w:rFonts w:hint="default" w:ascii="宋体" w:cs="宋体"/>
                <w:color w:val="auto"/>
                <w:sz w:val="22"/>
                <w:lang w:val="en-US" w:eastAsia="zh-CN"/>
              </w:rPr>
              <w:t xml:space="preserve">①将采购项目整体或者设置采购包专门面向中小企业采购； </w:t>
            </w:r>
          </w:p>
          <w:p w14:paraId="273CDE76">
            <w:pPr>
              <w:spacing w:line="300" w:lineRule="exact"/>
              <w:rPr>
                <w:rFonts w:hint="default" w:ascii="宋体" w:cs="宋体"/>
                <w:color w:val="auto"/>
                <w:sz w:val="22"/>
                <w:lang w:val="en-US" w:eastAsia="zh-CN"/>
              </w:rPr>
            </w:pPr>
            <w:r>
              <w:rPr>
                <w:rFonts w:hint="default" w:ascii="宋体" w:cs="宋体"/>
                <w:color w:val="auto"/>
                <w:sz w:val="22"/>
                <w:lang w:val="en-US" w:eastAsia="zh-CN"/>
              </w:rPr>
              <w:t xml:space="preserve">②要求供应商以联合体形式参加采购活动，且联合体中中小企业承担的部分达到 / (比例)； </w:t>
            </w:r>
          </w:p>
          <w:p w14:paraId="7FB196D7">
            <w:pPr>
              <w:spacing w:line="300" w:lineRule="exact"/>
              <w:rPr>
                <w:rFonts w:hint="default" w:ascii="宋体" w:cs="宋体"/>
                <w:color w:val="auto"/>
                <w:sz w:val="22"/>
                <w:lang w:val="en-US" w:eastAsia="zh-CN"/>
              </w:rPr>
            </w:pPr>
            <w:r>
              <w:rPr>
                <w:rFonts w:hint="default" w:ascii="宋体" w:cs="宋体"/>
                <w:color w:val="auto"/>
                <w:sz w:val="22"/>
                <w:lang w:val="en-US" w:eastAsia="zh-CN"/>
              </w:rPr>
              <w:t>③要求获得采购合同的供应商将采购项目中的</w:t>
            </w:r>
            <w:r>
              <w:rPr>
                <w:rFonts w:hint="default" w:ascii="宋体" w:cs="宋体"/>
                <w:color w:val="auto"/>
                <w:sz w:val="22"/>
                <w:u w:val="single"/>
                <w:lang w:val="en-US" w:eastAsia="zh-CN"/>
              </w:rPr>
              <w:t xml:space="preserve"> / </w:t>
            </w:r>
            <w:r>
              <w:rPr>
                <w:rFonts w:hint="default" w:ascii="宋体" w:cs="宋体"/>
                <w:color w:val="auto"/>
                <w:sz w:val="22"/>
                <w:lang w:val="en-US" w:eastAsia="zh-CN"/>
              </w:rPr>
              <w:t>(比例)分包给一家或者多家中小企业。</w:t>
            </w:r>
          </w:p>
          <w:p w14:paraId="21B5B74A">
            <w:pPr>
              <w:spacing w:line="300" w:lineRule="exact"/>
              <w:rPr>
                <w:rFonts w:hint="eastAsia" w:ascii="宋体" w:hAnsi="宋体" w:eastAsia="宋体" w:cs="宋体"/>
                <w:color w:val="auto"/>
                <w:sz w:val="22"/>
                <w:lang w:val="en-US" w:eastAsia="zh-CN"/>
              </w:rPr>
            </w:pPr>
            <w:r>
              <w:rPr>
                <w:rFonts w:hint="eastAsia" w:ascii="宋体" w:cs="宋体"/>
                <w:color w:val="auto"/>
                <w:sz w:val="22"/>
                <w:lang w:val="en-US" w:eastAsia="zh-CN"/>
              </w:rPr>
              <w:t>（6）</w:t>
            </w:r>
            <w:r>
              <w:rPr>
                <w:rFonts w:hint="default" w:ascii="宋体" w:cs="宋体"/>
                <w:color w:val="auto"/>
                <w:sz w:val="22"/>
                <w:lang w:val="en-US" w:eastAsia="zh-CN"/>
              </w:rPr>
              <w:t>专门面向中小企业采购的项目或者标项，不再执行价格评审优惠的扶持政策。</w:t>
            </w:r>
          </w:p>
          <w:p w14:paraId="6216CBC2">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2、节能产品、环境标志产品的强制采购政策</w:t>
            </w:r>
          </w:p>
          <w:p w14:paraId="4107B7A3">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139F436B">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3、节能产品、环境标志产品的优先采购政策</w:t>
            </w:r>
          </w:p>
          <w:p w14:paraId="110D72AB">
            <w:pPr>
              <w:spacing w:line="300" w:lineRule="exact"/>
              <w:rPr>
                <w:rFonts w:hint="default" w:ascii="宋体" w:eastAsia="宋体" w:cs="宋体"/>
                <w:color w:val="auto"/>
                <w:sz w:val="22"/>
                <w:lang w:val="en-US" w:eastAsia="zh-CN"/>
              </w:rPr>
            </w:pPr>
            <w:r>
              <w:rPr>
                <w:rFonts w:hint="eastAsia" w:ascii="宋体" w:hAnsi="宋体" w:eastAsia="宋体" w:cs="宋体"/>
                <w:color w:val="auto"/>
                <w:sz w:val="22"/>
                <w:lang w:val="en-US"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68B977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14:paraId="7BB4F446">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3</w:t>
            </w:r>
            <w:r>
              <w:rPr>
                <w:rFonts w:hint="eastAsia" w:ascii="宋体" w:cs="宋体"/>
                <w:color w:val="auto"/>
                <w:sz w:val="22"/>
                <w:lang w:val="en-US" w:eastAsia="zh-CN"/>
              </w:rPr>
              <w:t>2</w:t>
            </w:r>
          </w:p>
        </w:tc>
        <w:tc>
          <w:tcPr>
            <w:tcW w:w="1814" w:type="dxa"/>
            <w:vAlign w:val="center"/>
          </w:tcPr>
          <w:p w14:paraId="2A4F4E30">
            <w:pPr>
              <w:spacing w:line="300" w:lineRule="exact"/>
              <w:jc w:val="center"/>
              <w:rPr>
                <w:rFonts w:ascii="宋体" w:cs="宋体"/>
                <w:color w:val="auto"/>
                <w:sz w:val="22"/>
              </w:rPr>
            </w:pPr>
            <w:r>
              <w:rPr>
                <w:rFonts w:hint="eastAsia" w:ascii="宋体" w:cs="宋体"/>
                <w:color w:val="auto"/>
                <w:sz w:val="22"/>
              </w:rPr>
              <w:t>投标供应商</w:t>
            </w:r>
          </w:p>
          <w:p w14:paraId="7F907975">
            <w:pPr>
              <w:spacing w:line="300" w:lineRule="exact"/>
              <w:jc w:val="center"/>
              <w:rPr>
                <w:rFonts w:ascii="宋体" w:cs="宋体"/>
                <w:color w:val="auto"/>
                <w:sz w:val="22"/>
              </w:rPr>
            </w:pPr>
            <w:r>
              <w:rPr>
                <w:rFonts w:hint="eastAsia" w:ascii="宋体" w:cs="宋体"/>
                <w:color w:val="auto"/>
                <w:sz w:val="22"/>
              </w:rPr>
              <w:t>信用查询</w:t>
            </w:r>
          </w:p>
        </w:tc>
        <w:tc>
          <w:tcPr>
            <w:tcW w:w="7776" w:type="dxa"/>
            <w:vAlign w:val="center"/>
          </w:tcPr>
          <w:p w14:paraId="3C7BF283">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根据《关于在政府采购活动中查询及使用信用记录有关问题的通知》财库[2016]125号的规定：</w:t>
            </w:r>
          </w:p>
          <w:p w14:paraId="3F4EC53C">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（1）招标人或采购代理机构将对本项目供应商的信用记录进行查询。查询渠道为信用中国网站（www.creditchina.gov.cn）、中国政府采购网（www.ccgp.gov.cn）；</w:t>
            </w:r>
          </w:p>
          <w:p w14:paraId="67074FBD">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（2）截止时点：提交投标文件（响应文件）截止时间前3年内；</w:t>
            </w:r>
          </w:p>
          <w:p w14:paraId="5BF94E89">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（3）查询记录和证据的留存：信用信息查询记录和证据以网页截图等方式留存。</w:t>
            </w:r>
          </w:p>
          <w:p w14:paraId="1D9349B7">
            <w:pPr>
              <w:spacing w:line="300" w:lineRule="exact"/>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（4）使用规则：被列入失信被执行人、重大税收违法案件当事人名单、政府采购严重违法失信行为记录名单及其它不符合《中华人民共和国政府采购法》第二十二条规定条件的，其投标将被拒绝。</w:t>
            </w:r>
          </w:p>
          <w:p w14:paraId="5CCB7C07">
            <w:pPr>
              <w:spacing w:line="300" w:lineRule="exact"/>
              <w:rPr>
                <w:rFonts w:ascii="宋体" w:cs="宋体"/>
                <w:color w:val="auto"/>
                <w:sz w:val="22"/>
              </w:rPr>
            </w:pPr>
            <w:r>
              <w:rPr>
                <w:rFonts w:hint="eastAsia" w:ascii="宋体" w:hAnsi="宋体" w:eastAsia="宋体" w:cs="宋体"/>
                <w:color w:val="auto"/>
                <w:sz w:val="22"/>
                <w:lang w:val="en-US" w:eastAsia="zh-CN"/>
              </w:rPr>
              <w:t>（5）联合体成员任意一方存在不良信用记录的，视同联合体存在不良信用记录。</w:t>
            </w:r>
          </w:p>
        </w:tc>
      </w:tr>
      <w:tr w14:paraId="5F79BA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14:paraId="6D8DABE2">
            <w:pPr>
              <w:widowControl/>
              <w:tabs>
                <w:tab w:val="left" w:pos="420"/>
                <w:tab w:val="left" w:pos="1145"/>
              </w:tabs>
              <w:spacing w:line="300" w:lineRule="exact"/>
              <w:jc w:val="center"/>
              <w:rPr>
                <w:rFonts w:hint="eastAsia" w:ascii="宋体" w:cs="宋体"/>
                <w:color w:val="auto"/>
                <w:sz w:val="22"/>
              </w:rPr>
            </w:pPr>
            <w:r>
              <w:rPr>
                <w:rFonts w:hint="eastAsia" w:ascii="宋体" w:cs="宋体"/>
                <w:color w:val="auto"/>
                <w:sz w:val="22"/>
                <w:lang w:val="en-US" w:eastAsia="zh-CN"/>
              </w:rPr>
              <w:t>33</w:t>
            </w:r>
          </w:p>
        </w:tc>
        <w:tc>
          <w:tcPr>
            <w:tcW w:w="1814" w:type="dxa"/>
            <w:vAlign w:val="center"/>
          </w:tcPr>
          <w:p w14:paraId="2148722F">
            <w:pPr>
              <w:pStyle w:val="42"/>
              <w:spacing w:line="360" w:lineRule="auto"/>
              <w:ind w:left="0" w:leftChars="0" w:firstLine="0" w:firstLineChars="0"/>
              <w:rPr>
                <w:rFonts w:hint="eastAsia" w:ascii="宋体" w:cs="宋体"/>
                <w:color w:val="auto"/>
                <w:sz w:val="22"/>
              </w:rPr>
            </w:pPr>
            <w:r>
              <w:rPr>
                <w:rFonts w:hint="eastAsia" w:ascii="仿宋_GB2312" w:hAnsi="仿宋_GB2312" w:eastAsia="仿宋_GB2312" w:cs="仿宋_GB2312"/>
                <w:b w:val="0"/>
                <w:bCs w:val="0"/>
                <w:snapToGrid w:val="0"/>
                <w:color w:val="auto"/>
                <w:kern w:val="0"/>
                <w:sz w:val="24"/>
                <w:szCs w:val="24"/>
                <w:highlight w:val="none"/>
                <w:lang w:val="en-US" w:eastAsia="zh-CN" w:bidi="ar-SA"/>
              </w:rPr>
              <w:t>节能产品</w:t>
            </w:r>
          </w:p>
        </w:tc>
        <w:tc>
          <w:tcPr>
            <w:tcW w:w="7776" w:type="dxa"/>
            <w:vAlign w:val="center"/>
          </w:tcPr>
          <w:p w14:paraId="6C0E88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强制采购节能产品</w:t>
            </w:r>
          </w:p>
          <w:p w14:paraId="57F0200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xml:space="preserve"> 优先采购节能产品</w:t>
            </w:r>
          </w:p>
          <w:p w14:paraId="0D049B8D">
            <w:pPr>
              <w:snapToGrid w:val="0"/>
              <w:spacing w:line="360" w:lineRule="auto"/>
              <w:rPr>
                <w:rFonts w:hint="eastAsia" w:ascii="宋体" w:cs="宋体"/>
                <w:color w:val="auto"/>
                <w:sz w:val="22"/>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 不适用</w:t>
            </w:r>
          </w:p>
        </w:tc>
      </w:tr>
      <w:tr w14:paraId="282EA0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14:paraId="013165A6">
            <w:pPr>
              <w:widowControl/>
              <w:tabs>
                <w:tab w:val="left" w:pos="420"/>
                <w:tab w:val="left" w:pos="1145"/>
              </w:tabs>
              <w:spacing w:line="300" w:lineRule="exact"/>
              <w:jc w:val="center"/>
              <w:rPr>
                <w:rFonts w:hint="eastAsia" w:ascii="宋体" w:hAnsi="Times New Roman" w:eastAsia="宋体" w:cs="宋体"/>
                <w:color w:val="auto"/>
                <w:kern w:val="2"/>
                <w:sz w:val="22"/>
                <w:szCs w:val="22"/>
                <w:lang w:val="en-US" w:eastAsia="zh-CN" w:bidi="ar-SA"/>
              </w:rPr>
            </w:pPr>
            <w:r>
              <w:rPr>
                <w:rFonts w:hint="eastAsia" w:ascii="宋体" w:cs="宋体"/>
                <w:color w:val="auto"/>
                <w:sz w:val="22"/>
              </w:rPr>
              <w:t>3</w:t>
            </w:r>
            <w:r>
              <w:rPr>
                <w:rFonts w:hint="eastAsia" w:ascii="宋体" w:cs="宋体"/>
                <w:color w:val="auto"/>
                <w:sz w:val="22"/>
                <w:lang w:val="en-US" w:eastAsia="zh-CN"/>
              </w:rPr>
              <w:t>4</w:t>
            </w:r>
          </w:p>
        </w:tc>
        <w:tc>
          <w:tcPr>
            <w:tcW w:w="1814" w:type="dxa"/>
            <w:vAlign w:val="center"/>
          </w:tcPr>
          <w:p w14:paraId="795D3A62">
            <w:pPr>
              <w:pStyle w:val="42"/>
              <w:spacing w:line="360" w:lineRule="auto"/>
              <w:ind w:left="0" w:leftChars="0" w:firstLine="0" w:firstLineChars="0"/>
              <w:rPr>
                <w:rFonts w:hint="eastAsia" w:ascii="宋体" w:hAnsi="Courier New" w:eastAsia="宋体" w:cs="宋体"/>
                <w:color w:val="auto"/>
                <w:kern w:val="0"/>
                <w:sz w:val="22"/>
                <w:szCs w:val="21"/>
                <w:lang w:val="en-US" w:eastAsia="zh-CN" w:bidi="ar-SA"/>
              </w:rPr>
            </w:pPr>
            <w:r>
              <w:rPr>
                <w:rFonts w:hint="eastAsia" w:ascii="仿宋_GB2312" w:hAnsi="仿宋_GB2312" w:eastAsia="仿宋_GB2312" w:cs="仿宋_GB2312"/>
                <w:b w:val="0"/>
                <w:bCs w:val="0"/>
                <w:snapToGrid w:val="0"/>
                <w:color w:val="auto"/>
                <w:kern w:val="0"/>
                <w:sz w:val="24"/>
                <w:szCs w:val="24"/>
                <w:highlight w:val="none"/>
                <w:lang w:val="en-US" w:eastAsia="zh-CN" w:bidi="ar-SA"/>
              </w:rPr>
              <w:t>环境标志产品</w:t>
            </w:r>
          </w:p>
        </w:tc>
        <w:tc>
          <w:tcPr>
            <w:tcW w:w="7776" w:type="dxa"/>
            <w:vAlign w:val="center"/>
          </w:tcPr>
          <w:p w14:paraId="3343B63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xml:space="preserve"> 优先采购环境标志产品</w:t>
            </w:r>
          </w:p>
          <w:p w14:paraId="28A2ABCE">
            <w:pPr>
              <w:snapToGrid w:val="0"/>
              <w:spacing w:line="360" w:lineRule="auto"/>
              <w:rPr>
                <w:rFonts w:hint="eastAsia" w:ascii="宋体" w:hAnsi="Times New Roman" w:eastAsia="宋体" w:cs="宋体"/>
                <w:color w:val="auto"/>
                <w:kern w:val="2"/>
                <w:sz w:val="22"/>
                <w:szCs w:val="22"/>
                <w:lang w:val="en-US" w:eastAsia="zh-CN" w:bidi="ar-SA"/>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 不适用</w:t>
            </w:r>
          </w:p>
        </w:tc>
      </w:tr>
      <w:tr w14:paraId="27ECC4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14:paraId="0C0C8112">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3</w:t>
            </w:r>
            <w:r>
              <w:rPr>
                <w:rFonts w:hint="eastAsia" w:ascii="宋体" w:cs="宋体"/>
                <w:color w:val="auto"/>
                <w:sz w:val="22"/>
                <w:lang w:val="en-US" w:eastAsia="zh-CN"/>
              </w:rPr>
              <w:t>5</w:t>
            </w:r>
          </w:p>
        </w:tc>
        <w:tc>
          <w:tcPr>
            <w:tcW w:w="1814" w:type="dxa"/>
            <w:vAlign w:val="center"/>
          </w:tcPr>
          <w:p w14:paraId="5B929BC7">
            <w:pPr>
              <w:spacing w:line="300" w:lineRule="exact"/>
              <w:jc w:val="center"/>
              <w:rPr>
                <w:rFonts w:ascii="宋体" w:cs="宋体"/>
                <w:color w:val="auto"/>
                <w:sz w:val="22"/>
              </w:rPr>
            </w:pPr>
            <w:r>
              <w:rPr>
                <w:rFonts w:hint="eastAsia" w:ascii="宋体" w:cs="宋体"/>
                <w:color w:val="auto"/>
                <w:sz w:val="22"/>
              </w:rPr>
              <w:t>合同备案</w:t>
            </w:r>
          </w:p>
        </w:tc>
        <w:tc>
          <w:tcPr>
            <w:tcW w:w="7776" w:type="dxa"/>
            <w:vAlign w:val="center"/>
          </w:tcPr>
          <w:p w14:paraId="2DE84558">
            <w:pPr>
              <w:spacing w:line="300" w:lineRule="exact"/>
              <w:rPr>
                <w:rFonts w:hint="eastAsia" w:ascii="宋体" w:cs="宋体"/>
                <w:color w:val="auto"/>
                <w:sz w:val="22"/>
              </w:rPr>
            </w:pPr>
            <w:r>
              <w:rPr>
                <w:rFonts w:hint="eastAsia" w:ascii="宋体" w:cs="宋体"/>
                <w:color w:val="auto"/>
                <w:sz w:val="22"/>
                <w:lang w:val="en-US" w:eastAsia="zh-CN"/>
              </w:rPr>
              <w:t>1.</w:t>
            </w:r>
            <w:r>
              <w:rPr>
                <w:rFonts w:hint="eastAsia" w:ascii="宋体" w:cs="宋体"/>
                <w:color w:val="auto"/>
                <w:sz w:val="22"/>
              </w:rPr>
              <w:t>除不可抗力等特殊情况外，采购人原则上应当在中标通知书发出之日起20日内，与成交人按照采购文件确定的事项签订政府采购合同，中标供应商与采购人签订合同后，2天内将</w:t>
            </w:r>
            <w:r>
              <w:rPr>
                <w:rFonts w:hint="eastAsia" w:ascii="宋体" w:cs="宋体"/>
                <w:b/>
                <w:bCs/>
                <w:color w:val="auto"/>
                <w:sz w:val="22"/>
              </w:rPr>
              <w:t>合同原件</w:t>
            </w:r>
            <w:r>
              <w:rPr>
                <w:rFonts w:hint="eastAsia" w:ascii="宋体" w:cs="宋体"/>
                <w:color w:val="auto"/>
                <w:sz w:val="22"/>
              </w:rPr>
              <w:t>送至采购人及采购机构处</w:t>
            </w:r>
            <w:r>
              <w:rPr>
                <w:rFonts w:hint="eastAsia" w:ascii="宋体" w:cs="宋体"/>
                <w:color w:val="auto"/>
                <w:sz w:val="22"/>
                <w:lang w:eastAsia="zh-CN"/>
              </w:rPr>
              <w:t>，</w:t>
            </w:r>
            <w:r>
              <w:rPr>
                <w:rFonts w:hint="eastAsia" w:ascii="宋体" w:cs="宋体"/>
                <w:color w:val="auto"/>
                <w:sz w:val="22"/>
              </w:rPr>
              <w:t>并在签订之日起2个工作日内将政府采购合同在浙江政府采购网上公告。</w:t>
            </w:r>
          </w:p>
          <w:p w14:paraId="7B183C5E">
            <w:pPr>
              <w:spacing w:line="300" w:lineRule="exact"/>
              <w:rPr>
                <w:rFonts w:hint="eastAsia" w:ascii="宋体" w:cs="宋体"/>
                <w:color w:val="auto"/>
                <w:sz w:val="22"/>
              </w:rPr>
            </w:pPr>
            <w:r>
              <w:rPr>
                <w:rFonts w:hint="eastAsia" w:ascii="宋体" w:cs="宋体"/>
                <w:color w:val="auto"/>
                <w:sz w:val="22"/>
                <w:lang w:val="en-US" w:eastAsia="zh-CN"/>
              </w:rPr>
              <w:t>2.</w:t>
            </w:r>
            <w:r>
              <w:rPr>
                <w:rFonts w:hint="eastAsia" w:ascii="宋体" w:cs="宋体"/>
                <w:color w:val="auto"/>
                <w:sz w:val="22"/>
              </w:rPr>
              <w:t>成交人按规定的日期、时间、地点，由法定代表人或其授权代表与采购人代表签订合同。如成交人为联合体的，由联合体成员各方法定代表人或其授权代表与采购人代表签订合同。</w:t>
            </w:r>
          </w:p>
          <w:p w14:paraId="36F75867">
            <w:pPr>
              <w:spacing w:line="300" w:lineRule="exact"/>
              <w:rPr>
                <w:rFonts w:hint="eastAsia" w:ascii="宋体" w:cs="宋体"/>
                <w:color w:val="auto"/>
                <w:sz w:val="22"/>
              </w:rPr>
            </w:pPr>
            <w:r>
              <w:rPr>
                <w:rFonts w:hint="eastAsia" w:ascii="宋体" w:cs="宋体"/>
                <w:color w:val="auto"/>
                <w:sz w:val="22"/>
                <w:lang w:val="en-US" w:eastAsia="zh-CN"/>
              </w:rPr>
              <w:t>3.</w:t>
            </w:r>
            <w:r>
              <w:rPr>
                <w:rFonts w:hint="eastAsia" w:ascii="宋体" w:cs="宋体"/>
                <w:color w:val="auto"/>
                <w:sz w:val="22"/>
              </w:rPr>
              <w:t>如签订合同并生效后，供应商无故拒绝或延期，除按照合同条款处理外，列入不良行为记录一次，并给予通报。</w:t>
            </w:r>
          </w:p>
          <w:p w14:paraId="22D57156">
            <w:pPr>
              <w:spacing w:line="300" w:lineRule="exact"/>
              <w:rPr>
                <w:rFonts w:hint="eastAsia" w:ascii="宋体" w:cs="宋体"/>
                <w:color w:val="auto"/>
                <w:sz w:val="22"/>
              </w:rPr>
            </w:pPr>
            <w:r>
              <w:rPr>
                <w:rFonts w:hint="eastAsia" w:ascii="宋体" w:cs="宋体"/>
                <w:color w:val="auto"/>
                <w:sz w:val="22"/>
                <w:lang w:val="en-US" w:eastAsia="zh-CN"/>
              </w:rPr>
              <w:t>4.</w:t>
            </w:r>
            <w:r>
              <w:rPr>
                <w:rFonts w:hint="eastAsia" w:ascii="宋体" w:cs="宋体"/>
                <w:color w:val="auto"/>
                <w:sz w:val="22"/>
              </w:rPr>
              <w:t>成交人拒绝与采购人签订合同的，采购人可以按照评审报告推荐的中标或者成交候选人名单排序，确定下一候选人为成交人，也可以重新开展政府采购活动。</w:t>
            </w:r>
          </w:p>
          <w:p w14:paraId="5ACE1FD3">
            <w:pPr>
              <w:spacing w:line="300" w:lineRule="exact"/>
              <w:rPr>
                <w:rFonts w:ascii="宋体" w:cs="宋体"/>
                <w:color w:val="auto"/>
                <w:sz w:val="22"/>
              </w:rPr>
            </w:pPr>
            <w:r>
              <w:rPr>
                <w:rFonts w:hint="eastAsia" w:ascii="宋体" w:cs="宋体"/>
                <w:color w:val="auto"/>
                <w:sz w:val="22"/>
                <w:lang w:val="en-US" w:eastAsia="zh-CN"/>
              </w:rPr>
              <w:t>5.</w:t>
            </w:r>
            <w:r>
              <w:rPr>
                <w:rFonts w:hint="eastAsia" w:ascii="宋体" w:cs="宋体"/>
                <w:color w:val="auto"/>
                <w:sz w:val="22"/>
              </w:rPr>
              <w:t>采购合同由采购人与成交人根据采购文件、磋商响应文件等内容通过政府采购电子交易平台在线签订，自动备案。</w:t>
            </w:r>
          </w:p>
        </w:tc>
      </w:tr>
      <w:tr w14:paraId="664CAE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14:paraId="1AE9A6D4">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3</w:t>
            </w:r>
            <w:r>
              <w:rPr>
                <w:rFonts w:hint="eastAsia" w:ascii="宋体" w:cs="宋体"/>
                <w:color w:val="auto"/>
                <w:sz w:val="22"/>
                <w:lang w:val="en-US" w:eastAsia="zh-CN"/>
              </w:rPr>
              <w:t>6</w:t>
            </w:r>
          </w:p>
        </w:tc>
        <w:tc>
          <w:tcPr>
            <w:tcW w:w="1814" w:type="dxa"/>
            <w:vAlign w:val="center"/>
          </w:tcPr>
          <w:p w14:paraId="1E23961F">
            <w:pPr>
              <w:spacing w:line="300" w:lineRule="exact"/>
              <w:jc w:val="center"/>
              <w:rPr>
                <w:rFonts w:ascii="宋体" w:cs="宋体"/>
                <w:color w:val="auto"/>
                <w:sz w:val="22"/>
              </w:rPr>
            </w:pPr>
            <w:r>
              <w:rPr>
                <w:rFonts w:hint="eastAsia" w:ascii="宋体" w:cs="宋体"/>
                <w:color w:val="auto"/>
                <w:sz w:val="22"/>
              </w:rPr>
              <w:t>合同履约管理</w:t>
            </w:r>
          </w:p>
        </w:tc>
        <w:tc>
          <w:tcPr>
            <w:tcW w:w="7776" w:type="dxa"/>
            <w:vAlign w:val="center"/>
          </w:tcPr>
          <w:p w14:paraId="4B305CF8">
            <w:pPr>
              <w:spacing w:line="300" w:lineRule="exact"/>
              <w:rPr>
                <w:rFonts w:ascii="宋体" w:cs="宋体"/>
                <w:color w:val="auto"/>
                <w:sz w:val="22"/>
              </w:rPr>
            </w:pPr>
            <w:r>
              <w:rPr>
                <w:rFonts w:hint="eastAsia" w:ascii="宋体" w:cs="宋体"/>
                <w:color w:val="auto"/>
                <w:sz w:val="22"/>
              </w:rPr>
              <w:t>合同签订后，采购人依法加强对合同履约进行管理，并在中标单位服务、项目验收等重要关节，如实填写《合同验收报告》，并及时向同级财政部门报告验收过程中遇到的问题。</w:t>
            </w:r>
          </w:p>
        </w:tc>
      </w:tr>
      <w:tr w14:paraId="5E430A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38" w:hRule="atLeast"/>
          <w:jc w:val="center"/>
        </w:trPr>
        <w:tc>
          <w:tcPr>
            <w:tcW w:w="669" w:type="dxa"/>
            <w:vAlign w:val="center"/>
          </w:tcPr>
          <w:p w14:paraId="13F5A08F">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3</w:t>
            </w:r>
            <w:r>
              <w:rPr>
                <w:rFonts w:hint="eastAsia" w:ascii="宋体" w:cs="宋体"/>
                <w:color w:val="auto"/>
                <w:sz w:val="22"/>
                <w:lang w:val="en-US" w:eastAsia="zh-CN"/>
              </w:rPr>
              <w:t>7</w:t>
            </w:r>
          </w:p>
        </w:tc>
        <w:tc>
          <w:tcPr>
            <w:tcW w:w="1814" w:type="dxa"/>
            <w:vAlign w:val="center"/>
          </w:tcPr>
          <w:p w14:paraId="63F05535">
            <w:pPr>
              <w:spacing w:line="300" w:lineRule="exact"/>
              <w:jc w:val="center"/>
              <w:rPr>
                <w:rFonts w:ascii="宋体" w:cs="宋体"/>
                <w:color w:val="auto"/>
                <w:sz w:val="22"/>
              </w:rPr>
            </w:pPr>
            <w:r>
              <w:rPr>
                <w:rFonts w:hint="eastAsia" w:ascii="宋体" w:cs="宋体"/>
                <w:color w:val="auto"/>
                <w:sz w:val="22"/>
              </w:rPr>
              <w:t>免责声明</w:t>
            </w:r>
          </w:p>
        </w:tc>
        <w:tc>
          <w:tcPr>
            <w:tcW w:w="7776" w:type="dxa"/>
            <w:vAlign w:val="center"/>
          </w:tcPr>
          <w:p w14:paraId="3A9CD0C3">
            <w:pPr>
              <w:spacing w:line="300" w:lineRule="exact"/>
              <w:rPr>
                <w:rFonts w:ascii="宋体" w:cs="宋体"/>
                <w:color w:val="auto"/>
                <w:sz w:val="22"/>
              </w:rPr>
            </w:pPr>
            <w:r>
              <w:rPr>
                <w:rFonts w:hint="eastAsia" w:ascii="宋体" w:cs="宋体"/>
                <w:color w:val="auto"/>
                <w:sz w:val="22"/>
              </w:rPr>
              <w:t>1、投标供应商自行承担投标过程中产生的费用。无论何种因素导致采购项目延期开标、废标（流标）、投标供应商未中标、项目终止采购的，采购人与采购机构均不承担供应商投标费用。</w:t>
            </w:r>
          </w:p>
          <w:p w14:paraId="6C610645">
            <w:pPr>
              <w:spacing w:line="300" w:lineRule="exact"/>
              <w:rPr>
                <w:rFonts w:ascii="宋体" w:cs="宋体"/>
                <w:color w:val="auto"/>
                <w:sz w:val="22"/>
              </w:rPr>
            </w:pPr>
            <w:r>
              <w:rPr>
                <w:rFonts w:hint="eastAsia" w:ascii="宋体" w:cs="宋体"/>
                <w:color w:val="auto"/>
                <w:sz w:val="22"/>
              </w:rPr>
              <w:t>2、投标供应商在投标、合同履行过程中必须做好安全保障工作，不因项目实施而危及自身及第三方人员、财产安全。若发生任何安全事故，由中标供应商自行承担一切责任并赔偿损失。</w:t>
            </w:r>
          </w:p>
        </w:tc>
      </w:tr>
      <w:tr w14:paraId="303CC1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8" w:hRule="atLeast"/>
          <w:jc w:val="center"/>
        </w:trPr>
        <w:tc>
          <w:tcPr>
            <w:tcW w:w="669" w:type="dxa"/>
            <w:vAlign w:val="center"/>
          </w:tcPr>
          <w:p w14:paraId="1377AA07">
            <w:pPr>
              <w:widowControl/>
              <w:tabs>
                <w:tab w:val="left" w:pos="420"/>
                <w:tab w:val="left" w:pos="1145"/>
              </w:tabs>
              <w:spacing w:line="300" w:lineRule="exact"/>
              <w:jc w:val="center"/>
              <w:rPr>
                <w:rFonts w:hint="eastAsia" w:ascii="宋体" w:eastAsia="宋体" w:cs="宋体"/>
                <w:color w:val="auto"/>
                <w:sz w:val="22"/>
                <w:lang w:eastAsia="zh-CN"/>
              </w:rPr>
            </w:pPr>
            <w:r>
              <w:rPr>
                <w:rFonts w:hint="eastAsia" w:ascii="宋体" w:cs="宋体"/>
                <w:color w:val="auto"/>
                <w:sz w:val="22"/>
              </w:rPr>
              <w:t>3</w:t>
            </w:r>
            <w:r>
              <w:rPr>
                <w:rFonts w:hint="eastAsia" w:ascii="宋体" w:cs="宋体"/>
                <w:color w:val="auto"/>
                <w:sz w:val="22"/>
                <w:lang w:val="en-US" w:eastAsia="zh-CN"/>
              </w:rPr>
              <w:t>8</w:t>
            </w:r>
          </w:p>
        </w:tc>
        <w:tc>
          <w:tcPr>
            <w:tcW w:w="1814" w:type="dxa"/>
            <w:vAlign w:val="center"/>
          </w:tcPr>
          <w:p w14:paraId="13E79F57">
            <w:pPr>
              <w:spacing w:line="300" w:lineRule="exact"/>
              <w:jc w:val="center"/>
              <w:rPr>
                <w:rFonts w:ascii="宋体" w:cs="宋体"/>
                <w:color w:val="auto"/>
                <w:sz w:val="22"/>
              </w:rPr>
            </w:pPr>
            <w:r>
              <w:rPr>
                <w:rFonts w:hint="eastAsia" w:ascii="宋体" w:cs="宋体"/>
                <w:color w:val="auto"/>
                <w:sz w:val="22"/>
              </w:rPr>
              <w:t>招标文件质疑截止时间</w:t>
            </w:r>
          </w:p>
        </w:tc>
        <w:tc>
          <w:tcPr>
            <w:tcW w:w="7776" w:type="dxa"/>
            <w:vAlign w:val="center"/>
          </w:tcPr>
          <w:p w14:paraId="5C6B3526">
            <w:pPr>
              <w:spacing w:line="300" w:lineRule="exact"/>
              <w:rPr>
                <w:rFonts w:ascii="宋体" w:cs="宋体"/>
                <w:color w:val="auto"/>
                <w:sz w:val="22"/>
              </w:rPr>
            </w:pPr>
            <w:r>
              <w:rPr>
                <w:rFonts w:hint="eastAsia" w:ascii="宋体"/>
                <w:color w:val="auto"/>
                <w:sz w:val="22"/>
              </w:rPr>
              <w:t>招标公告期限届满之日七个工作日</w:t>
            </w:r>
            <w:r>
              <w:rPr>
                <w:rFonts w:ascii="宋体"/>
                <w:color w:val="auto"/>
                <w:sz w:val="22"/>
              </w:rPr>
              <w:t>，逾期不予受理及答复。</w:t>
            </w:r>
          </w:p>
        </w:tc>
      </w:tr>
      <w:tr w14:paraId="790C3C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14:paraId="2A18D73D">
            <w:pPr>
              <w:widowControl/>
              <w:tabs>
                <w:tab w:val="left" w:pos="420"/>
                <w:tab w:val="left" w:pos="1145"/>
              </w:tabs>
              <w:spacing w:line="300" w:lineRule="exact"/>
              <w:jc w:val="center"/>
              <w:rPr>
                <w:rFonts w:hint="default" w:ascii="宋体" w:eastAsia="宋体" w:cs="宋体"/>
                <w:color w:val="auto"/>
                <w:sz w:val="22"/>
                <w:lang w:val="en-US" w:eastAsia="zh-CN"/>
              </w:rPr>
            </w:pPr>
            <w:r>
              <w:rPr>
                <w:rFonts w:hint="eastAsia" w:ascii="宋体" w:cs="宋体"/>
                <w:color w:val="auto"/>
                <w:sz w:val="22"/>
              </w:rPr>
              <w:t>3</w:t>
            </w:r>
            <w:r>
              <w:rPr>
                <w:rFonts w:hint="eastAsia" w:ascii="宋体" w:cs="宋体"/>
                <w:color w:val="auto"/>
                <w:sz w:val="22"/>
                <w:lang w:val="en-US" w:eastAsia="zh-CN"/>
              </w:rPr>
              <w:t>9</w:t>
            </w:r>
          </w:p>
        </w:tc>
        <w:tc>
          <w:tcPr>
            <w:tcW w:w="1814" w:type="dxa"/>
            <w:vAlign w:val="center"/>
          </w:tcPr>
          <w:p w14:paraId="73363992">
            <w:pPr>
              <w:spacing w:line="300" w:lineRule="exact"/>
              <w:jc w:val="center"/>
              <w:rPr>
                <w:rFonts w:ascii="宋体" w:cs="宋体"/>
                <w:color w:val="auto"/>
                <w:sz w:val="22"/>
              </w:rPr>
            </w:pPr>
            <w:r>
              <w:rPr>
                <w:rFonts w:hint="eastAsia" w:ascii="宋体" w:cs="宋体"/>
                <w:color w:val="auto"/>
                <w:sz w:val="22"/>
              </w:rPr>
              <w:t>解释权</w:t>
            </w:r>
          </w:p>
        </w:tc>
        <w:tc>
          <w:tcPr>
            <w:tcW w:w="7776" w:type="dxa"/>
            <w:vAlign w:val="center"/>
          </w:tcPr>
          <w:p w14:paraId="14FDC061">
            <w:pPr>
              <w:spacing w:line="300" w:lineRule="exact"/>
              <w:rPr>
                <w:rFonts w:ascii="宋体" w:cs="宋体"/>
                <w:color w:val="auto"/>
                <w:sz w:val="22"/>
              </w:rPr>
            </w:pPr>
            <w:r>
              <w:rPr>
                <w:rFonts w:hint="eastAsia" w:ascii="宋体" w:cs="宋体"/>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2E167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14:paraId="50235E0F">
            <w:pPr>
              <w:widowControl/>
              <w:tabs>
                <w:tab w:val="left" w:pos="420"/>
                <w:tab w:val="left" w:pos="1145"/>
              </w:tabs>
              <w:spacing w:line="300" w:lineRule="exact"/>
              <w:jc w:val="center"/>
              <w:rPr>
                <w:rFonts w:hint="default" w:ascii="宋体" w:eastAsia="宋体" w:cs="宋体"/>
                <w:color w:val="auto"/>
                <w:sz w:val="22"/>
                <w:lang w:val="en-US" w:eastAsia="zh-CN"/>
              </w:rPr>
            </w:pPr>
            <w:r>
              <w:rPr>
                <w:rFonts w:hint="eastAsia" w:ascii="宋体" w:cs="宋体"/>
                <w:color w:val="auto"/>
                <w:sz w:val="22"/>
                <w:lang w:val="en-US" w:eastAsia="zh-CN"/>
              </w:rPr>
              <w:t>40</w:t>
            </w:r>
          </w:p>
        </w:tc>
        <w:tc>
          <w:tcPr>
            <w:tcW w:w="1814" w:type="dxa"/>
            <w:vAlign w:val="center"/>
          </w:tcPr>
          <w:p w14:paraId="70D72E10">
            <w:pPr>
              <w:spacing w:line="300" w:lineRule="exact"/>
              <w:jc w:val="center"/>
              <w:rPr>
                <w:rFonts w:ascii="宋体" w:cs="Courier New"/>
                <w:color w:val="auto"/>
                <w:sz w:val="22"/>
              </w:rPr>
            </w:pPr>
            <w:r>
              <w:rPr>
                <w:rFonts w:hint="eastAsia" w:ascii="宋体"/>
                <w:color w:val="auto"/>
                <w:sz w:val="22"/>
              </w:rPr>
              <w:t>注意事项</w:t>
            </w:r>
          </w:p>
        </w:tc>
        <w:tc>
          <w:tcPr>
            <w:tcW w:w="7776" w:type="dxa"/>
            <w:vAlign w:val="center"/>
          </w:tcPr>
          <w:p w14:paraId="1E9154BE">
            <w:pPr>
              <w:spacing w:line="300" w:lineRule="exact"/>
              <w:rPr>
                <w:rFonts w:ascii="宋体" w:cs="Courier New"/>
                <w:color w:val="auto"/>
                <w:sz w:val="22"/>
              </w:rPr>
            </w:pPr>
            <w:r>
              <w:rPr>
                <w:rFonts w:hint="eastAsia" w:ascii="宋体" w:cs="Courier New"/>
                <w:color w:val="auto"/>
                <w:sz w:val="22"/>
              </w:rPr>
              <w:t>1.请务必确保投标文件制作客户端为最新版本，旧版本可能导致投标文件解密失败。</w:t>
            </w:r>
          </w:p>
          <w:p w14:paraId="55362C85">
            <w:pPr>
              <w:spacing w:line="300" w:lineRule="exact"/>
              <w:rPr>
                <w:rFonts w:ascii="宋体"/>
                <w:color w:val="auto"/>
                <w:sz w:val="22"/>
              </w:rPr>
            </w:pPr>
            <w:r>
              <w:rPr>
                <w:rFonts w:hint="eastAsia" w:ascii="宋体" w:cs="Courier New"/>
                <w:color w:val="auto"/>
                <w:sz w:val="22"/>
              </w:rPr>
              <w:t>2.请务必确保投标文件制作时所用的 CA 锁与投标文件解密时的 CA 锁为同一把，否则可能导致投标文件解密失败。</w:t>
            </w:r>
          </w:p>
        </w:tc>
      </w:tr>
    </w:tbl>
    <w:p w14:paraId="39335F75">
      <w:pPr>
        <w:numPr>
          <w:ilvl w:val="0"/>
          <w:numId w:val="0"/>
        </w:numPr>
        <w:snapToGrid w:val="0"/>
        <w:spacing w:line="460" w:lineRule="atLeast"/>
        <w:rPr>
          <w:rFonts w:hint="eastAsia" w:ascii="宋体"/>
          <w:b/>
          <w:bCs/>
          <w:color w:val="auto"/>
          <w:sz w:val="22"/>
          <w:lang w:eastAsia="zh-CN"/>
        </w:rPr>
      </w:pPr>
      <w:r>
        <w:rPr>
          <w:rFonts w:hint="eastAsia" w:ascii="宋体"/>
          <w:b/>
          <w:bCs/>
          <w:color w:val="auto"/>
          <w:sz w:val="22"/>
          <w:lang w:eastAsia="zh-CN"/>
        </w:rPr>
        <w:t>一、说明</w:t>
      </w:r>
    </w:p>
    <w:p w14:paraId="000331AD">
      <w:pPr>
        <w:numPr>
          <w:ilvl w:val="0"/>
          <w:numId w:val="0"/>
        </w:numPr>
        <w:snapToGrid w:val="0"/>
        <w:spacing w:line="460" w:lineRule="atLeast"/>
        <w:rPr>
          <w:rFonts w:ascii="宋体"/>
          <w:color w:val="auto"/>
          <w:sz w:val="22"/>
        </w:rPr>
      </w:pPr>
      <w:r>
        <w:rPr>
          <w:rFonts w:hint="eastAsia" w:ascii="宋体"/>
          <w:color w:val="auto"/>
          <w:sz w:val="22"/>
        </w:rPr>
        <w:t>1、本次采购工作是按照《中华人民共和国政府采购法》及相关法律规章组织和实施。</w:t>
      </w:r>
    </w:p>
    <w:p w14:paraId="3FA8CFBD">
      <w:pPr>
        <w:autoSpaceDE w:val="0"/>
        <w:autoSpaceDN w:val="0"/>
        <w:adjustRightInd w:val="0"/>
        <w:snapToGrid w:val="0"/>
        <w:spacing w:line="460" w:lineRule="atLeast"/>
        <w:textAlignment w:val="bottom"/>
        <w:rPr>
          <w:rFonts w:ascii="宋体"/>
          <w:color w:val="auto"/>
          <w:sz w:val="22"/>
        </w:rPr>
      </w:pPr>
      <w:r>
        <w:rPr>
          <w:rFonts w:hint="eastAsia" w:ascii="宋体"/>
          <w:color w:val="auto"/>
          <w:sz w:val="22"/>
        </w:rPr>
        <w:t>2、</w:t>
      </w:r>
      <w:r>
        <w:rPr>
          <w:rFonts w:hint="eastAsia" w:ascii="宋体"/>
          <w:bCs/>
          <w:color w:val="auto"/>
          <w:sz w:val="22"/>
        </w:rPr>
        <w:t>投标供应商必须针对本项目全部内容进行投标，否则按无效投标处理。</w:t>
      </w:r>
    </w:p>
    <w:p w14:paraId="67193F64">
      <w:pPr>
        <w:autoSpaceDE w:val="0"/>
        <w:autoSpaceDN w:val="0"/>
        <w:adjustRightInd w:val="0"/>
        <w:snapToGrid w:val="0"/>
        <w:spacing w:line="460" w:lineRule="atLeast"/>
        <w:textAlignment w:val="bottom"/>
        <w:rPr>
          <w:rFonts w:ascii="宋体"/>
          <w:color w:val="auto"/>
          <w:sz w:val="22"/>
          <w:u w:val="single"/>
        </w:rPr>
      </w:pPr>
      <w:r>
        <w:rPr>
          <w:rFonts w:hint="eastAsia" w:ascii="宋体"/>
          <w:color w:val="auto"/>
          <w:sz w:val="22"/>
        </w:rPr>
        <w:t>3、无论投标过程中的作法和结果如何，投标供应商自行承担投标活动中所发生的全部费用。</w:t>
      </w:r>
    </w:p>
    <w:p w14:paraId="60963BE7">
      <w:pPr>
        <w:autoSpaceDE w:val="0"/>
        <w:autoSpaceDN w:val="0"/>
        <w:adjustRightInd w:val="0"/>
        <w:snapToGrid w:val="0"/>
        <w:spacing w:line="460" w:lineRule="atLeast"/>
        <w:textAlignment w:val="bottom"/>
        <w:rPr>
          <w:rFonts w:ascii="宋体"/>
          <w:color w:val="auto"/>
          <w:sz w:val="22"/>
        </w:rPr>
      </w:pPr>
      <w:r>
        <w:rPr>
          <w:rFonts w:hint="eastAsia" w:ascii="宋体"/>
          <w:color w:val="auto"/>
          <w:sz w:val="22"/>
          <w:lang w:val="zh-CN"/>
        </w:rPr>
        <w:t>4、</w:t>
      </w:r>
      <w:r>
        <w:rPr>
          <w:rFonts w:hint="eastAsia" w:ascii="宋体"/>
          <w:color w:val="auto"/>
          <w:sz w:val="22"/>
        </w:rPr>
        <w:t>本次采购如果某个（些）投标供应商投标报价超出采购预算的，则拒绝接受其投标报价，按无效标处理。</w:t>
      </w:r>
    </w:p>
    <w:p w14:paraId="2E121C46">
      <w:pPr>
        <w:autoSpaceDE w:val="0"/>
        <w:autoSpaceDN w:val="0"/>
        <w:adjustRightInd w:val="0"/>
        <w:snapToGrid w:val="0"/>
        <w:spacing w:line="460" w:lineRule="atLeast"/>
        <w:textAlignment w:val="bottom"/>
        <w:rPr>
          <w:rFonts w:ascii="宋体"/>
          <w:color w:val="auto"/>
          <w:sz w:val="22"/>
        </w:rPr>
      </w:pPr>
      <w:r>
        <w:rPr>
          <w:rFonts w:hint="eastAsia" w:ascii="宋体"/>
          <w:color w:val="auto"/>
          <w:sz w:val="22"/>
        </w:rPr>
        <w:t>5、投标供应商须自行勘察现场，确认采购人的实际需求，取得准确的报价依据。投标供应商中标后不得以各种理由提出增价要求，否则做投标违约处理，采购人有权终止合同。</w:t>
      </w:r>
    </w:p>
    <w:p w14:paraId="7010C25C">
      <w:pPr>
        <w:autoSpaceDE w:val="0"/>
        <w:autoSpaceDN w:val="0"/>
        <w:adjustRightInd w:val="0"/>
        <w:snapToGrid w:val="0"/>
        <w:spacing w:line="460" w:lineRule="atLeast"/>
        <w:textAlignment w:val="bottom"/>
        <w:rPr>
          <w:rFonts w:ascii="宋体"/>
          <w:color w:val="auto"/>
          <w:sz w:val="22"/>
        </w:rPr>
      </w:pPr>
      <w:r>
        <w:rPr>
          <w:rFonts w:hint="eastAsia" w:ascii="宋体"/>
          <w:color w:val="auto"/>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14:paraId="7D724418">
      <w:pPr>
        <w:autoSpaceDE w:val="0"/>
        <w:autoSpaceDN w:val="0"/>
        <w:adjustRightInd w:val="0"/>
        <w:snapToGrid w:val="0"/>
        <w:spacing w:line="460" w:lineRule="atLeast"/>
        <w:textAlignment w:val="bottom"/>
        <w:rPr>
          <w:rFonts w:ascii="宋体"/>
          <w:color w:val="auto"/>
          <w:sz w:val="22"/>
        </w:rPr>
      </w:pPr>
      <w:r>
        <w:rPr>
          <w:rFonts w:hint="eastAsia" w:ascii="宋体"/>
          <w:color w:val="auto"/>
          <w:sz w:val="22"/>
        </w:rPr>
        <w:t>7、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rFonts w:ascii="宋体"/>
          <w:color w:val="auto"/>
          <w:sz w:val="22"/>
        </w:rPr>
        <w:t>中标供应商的工作人员出现意外事故导致人员伤亡的情况，均由中标供应商自负责任</w:t>
      </w:r>
      <w:r>
        <w:rPr>
          <w:rFonts w:hint="eastAsia" w:ascii="宋体"/>
          <w:color w:val="auto"/>
          <w:sz w:val="22"/>
        </w:rPr>
        <w:t>，</w:t>
      </w:r>
      <w:r>
        <w:rPr>
          <w:rFonts w:ascii="宋体"/>
          <w:color w:val="auto"/>
          <w:sz w:val="22"/>
        </w:rPr>
        <w:t>各投标供应商须在报价中考虑风险。</w:t>
      </w:r>
    </w:p>
    <w:p w14:paraId="3B959505">
      <w:pPr>
        <w:autoSpaceDE w:val="0"/>
        <w:autoSpaceDN w:val="0"/>
        <w:adjustRightInd w:val="0"/>
        <w:snapToGrid w:val="0"/>
        <w:spacing w:line="460" w:lineRule="atLeast"/>
        <w:textAlignment w:val="bottom"/>
        <w:rPr>
          <w:rFonts w:ascii="宋体"/>
          <w:color w:val="auto"/>
          <w:sz w:val="22"/>
        </w:rPr>
      </w:pPr>
      <w:r>
        <w:rPr>
          <w:rFonts w:hint="eastAsia" w:ascii="宋体"/>
          <w:color w:val="auto"/>
          <w:sz w:val="22"/>
        </w:rPr>
        <w:t>8、本次采购所涉及的人员食、宿、交通均由投标供应商自行解决，相关费用包含在总价中。</w:t>
      </w:r>
    </w:p>
    <w:p w14:paraId="09D04B00">
      <w:pPr>
        <w:pStyle w:val="2"/>
        <w:spacing w:line="360" w:lineRule="auto"/>
        <w:ind w:left="0" w:leftChars="0" w:firstLine="0" w:firstLineChars="0"/>
        <w:rPr>
          <w:rFonts w:ascii="宋体"/>
          <w:b w:val="0"/>
          <w:bCs/>
          <w:color w:val="auto"/>
          <w:sz w:val="22"/>
        </w:rPr>
      </w:pPr>
      <w:r>
        <w:rPr>
          <w:rFonts w:hint="eastAsia" w:ascii="宋体"/>
          <w:color w:val="auto"/>
          <w:sz w:val="22"/>
        </w:rPr>
        <w:t xml:space="preserve">9、 </w:t>
      </w:r>
      <w:r>
        <w:rPr>
          <w:rFonts w:hint="eastAsia" w:ascii="宋体"/>
          <w:b w:val="0"/>
          <w:bCs/>
          <w:color w:val="auto"/>
          <w:sz w:val="22"/>
        </w:rPr>
        <w:t>《政府采购货物和服务招标投标管理办法》（财政部令第87号）：第三十一条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E1CF68">
      <w:pPr>
        <w:pStyle w:val="2"/>
        <w:spacing w:line="360" w:lineRule="auto"/>
        <w:ind w:left="0" w:leftChars="0" w:firstLine="0" w:firstLineChars="0"/>
        <w:rPr>
          <w:rFonts w:ascii="宋体"/>
          <w:b w:val="0"/>
          <w:bCs/>
          <w:color w:val="auto"/>
          <w:sz w:val="22"/>
        </w:rPr>
      </w:pPr>
      <w:r>
        <w:rPr>
          <w:rFonts w:hint="eastAsia" w:ascii="宋体"/>
          <w:b w:val="0"/>
          <w:bCs/>
          <w:color w:val="auto"/>
          <w:sz w:val="22"/>
        </w:rPr>
        <w:t xml:space="preserve">  </w:t>
      </w:r>
      <w:r>
        <w:rPr>
          <w:rFonts w:hint="eastAsia" w:ascii="宋体"/>
          <w:b w:val="0"/>
          <w:bCs/>
          <w:color w:val="auto"/>
          <w:sz w:val="22"/>
          <w:lang w:val="en-US" w:eastAsia="zh-CN"/>
        </w:rPr>
        <w:t xml:space="preserve"> </w:t>
      </w:r>
      <w:r>
        <w:rPr>
          <w:rFonts w:hint="eastAsia" w:ascii="宋体"/>
          <w:b w:val="0"/>
          <w:bCs/>
          <w:color w:val="auto"/>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836D5D">
      <w:pPr>
        <w:pStyle w:val="2"/>
        <w:spacing w:line="360" w:lineRule="auto"/>
        <w:ind w:left="0" w:leftChars="0" w:firstLine="440" w:firstLineChars="200"/>
        <w:rPr>
          <w:rFonts w:hint="eastAsia" w:ascii="宋体"/>
          <w:b w:val="0"/>
          <w:bCs/>
          <w:color w:val="auto"/>
          <w:sz w:val="22"/>
        </w:rPr>
      </w:pPr>
      <w:r>
        <w:rPr>
          <w:rFonts w:hint="eastAsia" w:ascii="宋体"/>
          <w:b w:val="0"/>
          <w:bCs/>
          <w:color w:val="auto"/>
          <w:sz w:val="22"/>
        </w:rPr>
        <w:t>非单一产品采购项目，采购人应当根据采购项目技术构成、产品价格比重等合理确定核心产品，并在招标文件中载明。多家投标人提供的核心产品品牌相同的，按前两款规定处理。</w:t>
      </w:r>
    </w:p>
    <w:p w14:paraId="6AD21E13">
      <w:pPr>
        <w:pStyle w:val="2"/>
        <w:numPr>
          <w:ilvl w:val="0"/>
          <w:numId w:val="5"/>
        </w:numPr>
        <w:spacing w:line="360" w:lineRule="auto"/>
        <w:ind w:left="0" w:leftChars="0" w:firstLine="0" w:firstLineChars="0"/>
        <w:rPr>
          <w:rFonts w:ascii="宋体"/>
          <w:color w:val="auto"/>
          <w:sz w:val="22"/>
        </w:rPr>
      </w:pPr>
      <w:r>
        <w:rPr>
          <w:rFonts w:ascii="宋体"/>
          <w:color w:val="auto"/>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73E7288D">
      <w:pPr>
        <w:pStyle w:val="2"/>
        <w:numPr>
          <w:ilvl w:val="0"/>
          <w:numId w:val="0"/>
        </w:numPr>
        <w:spacing w:line="360" w:lineRule="auto"/>
        <w:ind w:leftChars="0" w:firstLine="440" w:firstLineChars="200"/>
        <w:rPr>
          <w:rFonts w:hint="eastAsia" w:ascii="宋体"/>
          <w:color w:val="auto"/>
          <w:sz w:val="22"/>
        </w:rPr>
      </w:pPr>
      <w:r>
        <w:rPr>
          <w:rFonts w:hint="eastAsia" w:ascii="宋体"/>
          <w:color w:val="auto"/>
          <w:sz w:val="22"/>
        </w:rPr>
        <w:t>除单一来源采购项目外，为采购项目提供整体设计、规范编制或者项目管理、监理、检测等服务的供应商，不得再参加该采购项目的其他采购活动。</w:t>
      </w:r>
    </w:p>
    <w:p w14:paraId="059A64CC">
      <w:pPr>
        <w:pStyle w:val="2"/>
        <w:numPr>
          <w:ilvl w:val="0"/>
          <w:numId w:val="0"/>
        </w:numPr>
        <w:spacing w:line="360" w:lineRule="auto"/>
        <w:rPr>
          <w:rFonts w:ascii="宋体" w:cs="Verdana"/>
          <w:color w:val="auto"/>
          <w:sz w:val="22"/>
        </w:rPr>
      </w:pPr>
      <w:r>
        <w:rPr>
          <w:rFonts w:hint="eastAsia" w:ascii="宋体" w:cs="Verdana"/>
          <w:color w:val="auto"/>
          <w:sz w:val="22"/>
        </w:rPr>
        <w:t>11、本项目采用在线投标响应方式，执行《浙江省财政厅关于印发浙江省政府采购项目电子交易管理暂行办法的通知》（浙财采监〔</w:t>
      </w:r>
      <w:r>
        <w:rPr>
          <w:rFonts w:ascii="宋体" w:cs="Verdana"/>
          <w:color w:val="auto"/>
          <w:sz w:val="22"/>
        </w:rPr>
        <w:t>2019〕10 号）等相关规定。</w:t>
      </w:r>
    </w:p>
    <w:p w14:paraId="7FBDAAE2">
      <w:pPr>
        <w:pStyle w:val="2"/>
        <w:spacing w:line="360" w:lineRule="auto"/>
        <w:ind w:left="0" w:leftChars="0" w:firstLine="0" w:firstLineChars="0"/>
        <w:rPr>
          <w:color w:val="auto"/>
        </w:rPr>
      </w:pPr>
      <w:r>
        <w:rPr>
          <w:rFonts w:hint="eastAsia" w:ascii="宋体" w:cs="Verdana"/>
          <w:bCs/>
          <w:color w:val="auto"/>
          <w:sz w:val="22"/>
          <w:szCs w:val="22"/>
        </w:rPr>
        <w:t>12、</w:t>
      </w:r>
      <w:r>
        <w:rPr>
          <w:rFonts w:hint="eastAsia" w:ascii="宋体" w:cs="Verdana"/>
          <w:color w:val="auto"/>
          <w:sz w:val="22"/>
          <w:szCs w:val="22"/>
        </w:rPr>
        <w:t>本项目在线开评标进行时，供应商法定代表人或其授权代表需自行关注平台提示信息，期间如有发出“询标</w:t>
      </w:r>
      <w:r>
        <w:rPr>
          <w:rFonts w:ascii="宋体" w:cs="Verdana"/>
          <w:color w:val="auto"/>
          <w:sz w:val="22"/>
          <w:szCs w:val="22"/>
        </w:rPr>
        <w:t>/澄清函”等相关线上函件时，因供应商自身原因逾期/错过回复时间，由此造成的后果由供应商自行承担</w:t>
      </w:r>
      <w:r>
        <w:rPr>
          <w:rFonts w:ascii="宋体" w:cs="Verdana"/>
          <w:bCs/>
          <w:color w:val="auto"/>
          <w:sz w:val="22"/>
          <w:szCs w:val="22"/>
        </w:rPr>
        <w:t>。</w:t>
      </w:r>
    </w:p>
    <w:p w14:paraId="6C210D35">
      <w:pPr>
        <w:snapToGrid w:val="0"/>
        <w:spacing w:line="460" w:lineRule="atLeast"/>
        <w:ind w:firstLine="442" w:firstLineChars="200"/>
        <w:rPr>
          <w:rFonts w:ascii="宋体"/>
          <w:b/>
          <w:bCs/>
          <w:color w:val="auto"/>
          <w:sz w:val="22"/>
        </w:rPr>
      </w:pPr>
      <w:r>
        <w:rPr>
          <w:rFonts w:hint="eastAsia" w:ascii="宋体"/>
          <w:b/>
          <w:bCs/>
          <w:color w:val="auto"/>
          <w:sz w:val="22"/>
        </w:rPr>
        <w:t>二、招标文件</w:t>
      </w:r>
    </w:p>
    <w:p w14:paraId="4522F68D">
      <w:pPr>
        <w:autoSpaceDE w:val="0"/>
        <w:autoSpaceDN w:val="0"/>
        <w:adjustRightInd w:val="0"/>
        <w:snapToGrid w:val="0"/>
        <w:spacing w:line="460" w:lineRule="atLeast"/>
        <w:ind w:firstLine="426"/>
        <w:rPr>
          <w:rFonts w:ascii="宋体"/>
          <w:color w:val="auto"/>
          <w:sz w:val="22"/>
          <w:lang w:val="zh-CN"/>
        </w:rPr>
      </w:pPr>
      <w:r>
        <w:rPr>
          <w:rFonts w:hint="eastAsia" w:ascii="宋体"/>
          <w:color w:val="auto"/>
          <w:sz w:val="22"/>
          <w:lang w:val="zh-CN"/>
        </w:rPr>
        <w:t>1、招标文件</w:t>
      </w:r>
    </w:p>
    <w:p w14:paraId="04DC8633">
      <w:pPr>
        <w:autoSpaceDE w:val="0"/>
        <w:autoSpaceDN w:val="0"/>
        <w:adjustRightInd w:val="0"/>
        <w:snapToGrid w:val="0"/>
        <w:spacing w:line="440" w:lineRule="exact"/>
        <w:ind w:firstLine="440" w:firstLineChars="200"/>
        <w:rPr>
          <w:rFonts w:ascii="宋体"/>
          <w:color w:val="auto"/>
          <w:sz w:val="22"/>
          <w:lang w:val="zh-CN"/>
        </w:rPr>
      </w:pPr>
      <w:r>
        <w:rPr>
          <w:rFonts w:hint="eastAsia" w:ascii="宋体"/>
          <w:color w:val="auto"/>
          <w:sz w:val="22"/>
          <w:lang w:val="zh-CN"/>
        </w:rPr>
        <w:t>1.1、招标文件获取</w:t>
      </w:r>
    </w:p>
    <w:p w14:paraId="26D94BA6">
      <w:pPr>
        <w:autoSpaceDE w:val="0"/>
        <w:autoSpaceDN w:val="0"/>
        <w:adjustRightInd w:val="0"/>
        <w:snapToGrid w:val="0"/>
        <w:spacing w:line="460" w:lineRule="atLeast"/>
        <w:ind w:firstLine="440" w:firstLineChars="200"/>
        <w:rPr>
          <w:rFonts w:ascii="宋体"/>
          <w:color w:val="auto"/>
          <w:sz w:val="22"/>
          <w:lang w:val="zh-CN"/>
        </w:rPr>
      </w:pPr>
      <w:r>
        <w:rPr>
          <w:rFonts w:hint="eastAsia" w:ascii="宋体" w:cs="宋体"/>
          <w:bCs/>
          <w:color w:val="auto"/>
          <w:sz w:val="22"/>
        </w:rPr>
        <w:t>本项目招标文件实行“政府采购云平台”在线获取，不提供招标文件纸质版。</w:t>
      </w:r>
    </w:p>
    <w:p w14:paraId="0B7521BC">
      <w:pPr>
        <w:autoSpaceDE w:val="0"/>
        <w:autoSpaceDN w:val="0"/>
        <w:adjustRightInd w:val="0"/>
        <w:snapToGrid w:val="0"/>
        <w:spacing w:line="460" w:lineRule="atLeast"/>
        <w:ind w:firstLine="440" w:firstLineChars="200"/>
        <w:rPr>
          <w:rFonts w:ascii="宋体"/>
          <w:color w:val="auto"/>
          <w:sz w:val="22"/>
          <w:lang w:val="zh-CN"/>
        </w:rPr>
      </w:pPr>
      <w:r>
        <w:rPr>
          <w:rFonts w:hint="eastAsia" w:ascii="宋体"/>
          <w:color w:val="auto"/>
          <w:sz w:val="22"/>
          <w:lang w:val="zh-CN"/>
        </w:rPr>
        <w:t>1.2、招标文件约束力</w:t>
      </w:r>
    </w:p>
    <w:p w14:paraId="1066081B">
      <w:pPr>
        <w:autoSpaceDE w:val="0"/>
        <w:autoSpaceDN w:val="0"/>
        <w:adjustRightInd w:val="0"/>
        <w:snapToGrid w:val="0"/>
        <w:spacing w:line="460" w:lineRule="atLeast"/>
        <w:ind w:firstLine="431" w:firstLineChars="196"/>
        <w:rPr>
          <w:rFonts w:ascii="宋体"/>
          <w:color w:val="auto"/>
          <w:sz w:val="22"/>
          <w:lang w:val="zh-CN"/>
        </w:rPr>
      </w:pPr>
      <w:r>
        <w:rPr>
          <w:rFonts w:hint="eastAsia" w:ascii="宋体"/>
          <w:color w:val="auto"/>
          <w:sz w:val="22"/>
          <w:lang w:val="zh-CN"/>
        </w:rPr>
        <w:t>投标供应商</w:t>
      </w:r>
      <w:r>
        <w:rPr>
          <w:rFonts w:hint="eastAsia" w:ascii="宋体"/>
          <w:color w:val="auto"/>
          <w:sz w:val="22"/>
        </w:rPr>
        <w:t>参加投标，即被认为接受了本招标文件中所有条款和规定。</w:t>
      </w:r>
    </w:p>
    <w:p w14:paraId="75E254CC">
      <w:pPr>
        <w:autoSpaceDE w:val="0"/>
        <w:autoSpaceDN w:val="0"/>
        <w:adjustRightInd w:val="0"/>
        <w:snapToGrid w:val="0"/>
        <w:spacing w:line="460" w:lineRule="atLeast"/>
        <w:ind w:firstLine="440" w:firstLineChars="200"/>
        <w:rPr>
          <w:rFonts w:ascii="宋体"/>
          <w:color w:val="auto"/>
          <w:sz w:val="22"/>
          <w:lang w:val="zh-CN"/>
        </w:rPr>
      </w:pPr>
      <w:r>
        <w:rPr>
          <w:rFonts w:hint="eastAsia" w:ascii="宋体"/>
          <w:color w:val="auto"/>
          <w:sz w:val="22"/>
          <w:lang w:val="zh-CN"/>
        </w:rPr>
        <w:t>2、招标文件的澄清</w:t>
      </w:r>
    </w:p>
    <w:p w14:paraId="2CACFD5E">
      <w:pPr>
        <w:autoSpaceDE w:val="0"/>
        <w:autoSpaceDN w:val="0"/>
        <w:adjustRightInd w:val="0"/>
        <w:snapToGrid w:val="0"/>
        <w:spacing w:line="460" w:lineRule="atLeast"/>
        <w:ind w:firstLine="440" w:firstLineChars="200"/>
        <w:rPr>
          <w:rFonts w:ascii="宋体"/>
          <w:color w:val="auto"/>
          <w:sz w:val="22"/>
          <w:lang w:val="zh-CN"/>
        </w:rPr>
      </w:pPr>
      <w:r>
        <w:rPr>
          <w:rFonts w:hint="eastAsia" w:ascii="宋体"/>
          <w:color w:val="auto"/>
          <w:sz w:val="22"/>
          <w:lang w:val="zh-CN"/>
        </w:rPr>
        <w:t>投标供应商对招标文件如有疑点要求澄清，或认为有必要与采购人进行技术交流，可用书面形式通知采购人。</w:t>
      </w:r>
    </w:p>
    <w:p w14:paraId="5DD5825D">
      <w:pPr>
        <w:autoSpaceDE w:val="0"/>
        <w:autoSpaceDN w:val="0"/>
        <w:adjustRightInd w:val="0"/>
        <w:snapToGrid w:val="0"/>
        <w:spacing w:line="460" w:lineRule="atLeast"/>
        <w:ind w:firstLine="440" w:firstLineChars="200"/>
        <w:rPr>
          <w:rFonts w:ascii="宋体"/>
          <w:color w:val="auto"/>
          <w:sz w:val="22"/>
          <w:lang w:val="zh-CN"/>
        </w:rPr>
      </w:pPr>
      <w:r>
        <w:rPr>
          <w:rFonts w:hint="eastAsia" w:ascii="宋体"/>
          <w:color w:val="auto"/>
          <w:sz w:val="22"/>
          <w:lang w:val="zh-CN"/>
        </w:rPr>
        <w:t>3、招标文件的修改</w:t>
      </w:r>
    </w:p>
    <w:p w14:paraId="1BB6059B">
      <w:pPr>
        <w:autoSpaceDE w:val="0"/>
        <w:autoSpaceDN w:val="0"/>
        <w:adjustRightInd w:val="0"/>
        <w:snapToGrid w:val="0"/>
        <w:spacing w:line="460" w:lineRule="atLeast"/>
        <w:ind w:firstLine="440" w:firstLineChars="200"/>
        <w:rPr>
          <w:rFonts w:ascii="宋体"/>
          <w:color w:val="auto"/>
          <w:sz w:val="22"/>
          <w:lang w:val="zh-CN"/>
        </w:rPr>
      </w:pPr>
      <w:r>
        <w:rPr>
          <w:rFonts w:hint="eastAsia" w:ascii="宋体"/>
          <w:color w:val="auto"/>
          <w:sz w:val="22"/>
          <w:lang w:val="zh-CN"/>
        </w:rPr>
        <w:t>3.1、在投标截止时间前，采购人或采购机构有权修改招标文件，并通知投标供应商。补充文件作为招标文件的补充和组成部分，对所有投标供应商均有约束力。</w:t>
      </w:r>
    </w:p>
    <w:p w14:paraId="1F5B4905">
      <w:pPr>
        <w:autoSpaceDE w:val="0"/>
        <w:autoSpaceDN w:val="0"/>
        <w:adjustRightInd w:val="0"/>
        <w:snapToGrid w:val="0"/>
        <w:spacing w:line="460" w:lineRule="atLeast"/>
        <w:ind w:firstLine="440" w:firstLineChars="200"/>
        <w:rPr>
          <w:rFonts w:ascii="宋体"/>
          <w:color w:val="auto"/>
          <w:sz w:val="22"/>
          <w:lang w:val="zh-CN"/>
        </w:rPr>
      </w:pPr>
      <w:r>
        <w:rPr>
          <w:rFonts w:hint="eastAsia" w:ascii="宋体"/>
          <w:color w:val="auto"/>
          <w:sz w:val="22"/>
          <w:lang w:val="zh-CN"/>
        </w:rPr>
        <w:t>3.2、为使投标供应商有足够的时间按招标文件要求修正投标文件，采购人可酌情推迟投标截止时间和开标时间，并将此变更通知投标供应商。</w:t>
      </w:r>
    </w:p>
    <w:p w14:paraId="7F610003">
      <w:pPr>
        <w:autoSpaceDE w:val="0"/>
        <w:autoSpaceDN w:val="0"/>
        <w:adjustRightInd w:val="0"/>
        <w:snapToGrid w:val="0"/>
        <w:spacing w:line="460" w:lineRule="atLeast"/>
        <w:ind w:firstLine="440" w:firstLineChars="200"/>
        <w:rPr>
          <w:rFonts w:ascii="宋体"/>
          <w:color w:val="auto"/>
          <w:sz w:val="22"/>
          <w:lang w:val="zh-CN"/>
        </w:rPr>
      </w:pPr>
      <w:r>
        <w:rPr>
          <w:rFonts w:hint="eastAsia" w:ascii="宋体"/>
          <w:color w:val="auto"/>
          <w:sz w:val="22"/>
          <w:lang w:val="zh-CN"/>
        </w:rPr>
        <w:t>3.3、</w:t>
      </w:r>
      <w:r>
        <w:rPr>
          <w:rFonts w:hint="eastAsia" w:ascii="宋体" w:cs="仿宋_GB2312"/>
          <w:color w:val="auto"/>
          <w:sz w:val="22"/>
          <w:lang w:val="zh-CN"/>
        </w:rPr>
        <w:t>本项目招标文件如有补充、更正、澄清均见浙江政府采购网。投标供应商须在投标截止前自行查看是否有补充、更正、澄清文件，并按补充、更正、澄清文件要求投标，否则责任自负。</w:t>
      </w:r>
    </w:p>
    <w:p w14:paraId="72405913">
      <w:pPr>
        <w:snapToGrid w:val="0"/>
        <w:spacing w:line="460" w:lineRule="atLeast"/>
        <w:ind w:firstLine="442" w:firstLineChars="200"/>
        <w:rPr>
          <w:rFonts w:ascii="宋体"/>
          <w:b/>
          <w:bCs/>
          <w:color w:val="auto"/>
          <w:sz w:val="22"/>
        </w:rPr>
      </w:pPr>
      <w:r>
        <w:rPr>
          <w:rFonts w:hint="eastAsia" w:ascii="宋体"/>
          <w:b/>
          <w:bCs/>
          <w:color w:val="auto"/>
          <w:sz w:val="22"/>
        </w:rPr>
        <w:t>三、投标文件</w:t>
      </w:r>
    </w:p>
    <w:p w14:paraId="7B5BDBF6">
      <w:pPr>
        <w:snapToGrid w:val="0"/>
        <w:spacing w:line="460" w:lineRule="atLeast"/>
        <w:ind w:firstLine="440" w:firstLineChars="200"/>
        <w:rPr>
          <w:rFonts w:ascii="宋体"/>
          <w:color w:val="auto"/>
          <w:sz w:val="22"/>
        </w:rPr>
      </w:pPr>
      <w:r>
        <w:rPr>
          <w:rFonts w:hint="eastAsia" w:ascii="宋体"/>
          <w:color w:val="auto"/>
          <w:sz w:val="22"/>
        </w:rPr>
        <w:t>1、投标文件</w:t>
      </w:r>
    </w:p>
    <w:p w14:paraId="796CD1FD">
      <w:pPr>
        <w:autoSpaceDE w:val="0"/>
        <w:autoSpaceDN w:val="0"/>
        <w:adjustRightInd w:val="0"/>
        <w:snapToGrid w:val="0"/>
        <w:spacing w:line="460" w:lineRule="atLeast"/>
        <w:ind w:firstLine="440" w:firstLineChars="200"/>
        <w:rPr>
          <w:rFonts w:ascii="宋体"/>
          <w:color w:val="auto"/>
          <w:sz w:val="22"/>
          <w:lang w:val="zh-CN"/>
        </w:rPr>
      </w:pPr>
      <w:r>
        <w:rPr>
          <w:rFonts w:ascii="宋体"/>
          <w:color w:val="auto"/>
          <w:sz w:val="22"/>
          <w:lang w:val="zh-CN"/>
        </w:rPr>
        <w:t>1.1</w:t>
      </w:r>
      <w:r>
        <w:rPr>
          <w:rFonts w:hint="eastAsia" w:ascii="宋体"/>
          <w:color w:val="auto"/>
          <w:sz w:val="22"/>
          <w:lang w:val="zh-CN"/>
        </w:rPr>
        <w:t>、</w:t>
      </w:r>
      <w:r>
        <w:rPr>
          <w:rFonts w:ascii="宋体"/>
          <w:color w:val="auto"/>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14:paraId="6BBA3DB3">
      <w:pPr>
        <w:autoSpaceDE w:val="0"/>
        <w:autoSpaceDN w:val="0"/>
        <w:adjustRightInd w:val="0"/>
        <w:snapToGrid w:val="0"/>
        <w:spacing w:line="460" w:lineRule="atLeast"/>
        <w:ind w:firstLine="440" w:firstLineChars="200"/>
        <w:rPr>
          <w:rFonts w:ascii="宋体"/>
          <w:color w:val="auto"/>
          <w:sz w:val="22"/>
          <w:lang w:val="zh-CN"/>
        </w:rPr>
      </w:pPr>
      <w:r>
        <w:rPr>
          <w:rFonts w:ascii="宋体"/>
          <w:color w:val="auto"/>
          <w:sz w:val="22"/>
          <w:lang w:val="zh-CN"/>
        </w:rPr>
        <w:t>1.2</w:t>
      </w:r>
      <w:r>
        <w:rPr>
          <w:rFonts w:hint="eastAsia" w:ascii="宋体"/>
          <w:color w:val="auto"/>
          <w:sz w:val="22"/>
          <w:lang w:val="zh-CN"/>
        </w:rPr>
        <w:t>、</w:t>
      </w:r>
      <w:r>
        <w:rPr>
          <w:rFonts w:ascii="宋体"/>
          <w:color w:val="auto"/>
          <w:sz w:val="22"/>
          <w:lang w:val="zh-CN"/>
        </w:rPr>
        <w:t>投标供应商提交的投标文件报价均采用人民币报价。</w:t>
      </w:r>
    </w:p>
    <w:p w14:paraId="3984C88A">
      <w:pPr>
        <w:autoSpaceDE w:val="0"/>
        <w:autoSpaceDN w:val="0"/>
        <w:adjustRightInd w:val="0"/>
        <w:snapToGrid w:val="0"/>
        <w:spacing w:line="460" w:lineRule="atLeast"/>
        <w:ind w:firstLine="440" w:firstLineChars="200"/>
        <w:rPr>
          <w:rFonts w:ascii="宋体"/>
          <w:color w:val="auto"/>
          <w:sz w:val="22"/>
          <w:lang w:val="zh-CN"/>
        </w:rPr>
      </w:pPr>
      <w:r>
        <w:rPr>
          <w:rFonts w:ascii="宋体"/>
          <w:color w:val="auto"/>
          <w:sz w:val="22"/>
          <w:lang w:val="zh-CN"/>
        </w:rPr>
        <w:t>1.3</w:t>
      </w:r>
      <w:r>
        <w:rPr>
          <w:rFonts w:hint="eastAsia" w:ascii="宋体"/>
          <w:color w:val="auto"/>
          <w:sz w:val="22"/>
          <w:lang w:val="zh-CN"/>
        </w:rPr>
        <w:t>、</w:t>
      </w:r>
      <w:r>
        <w:rPr>
          <w:rFonts w:ascii="宋体"/>
          <w:color w:val="auto"/>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227A9FF8">
      <w:pPr>
        <w:autoSpaceDE w:val="0"/>
        <w:autoSpaceDN w:val="0"/>
        <w:adjustRightInd w:val="0"/>
        <w:snapToGrid w:val="0"/>
        <w:spacing w:line="460" w:lineRule="atLeast"/>
        <w:ind w:firstLine="440" w:firstLineChars="200"/>
        <w:rPr>
          <w:rFonts w:ascii="宋体"/>
          <w:color w:val="auto"/>
          <w:sz w:val="22"/>
          <w:lang w:val="zh-CN"/>
        </w:rPr>
      </w:pPr>
      <w:r>
        <w:rPr>
          <w:rFonts w:ascii="宋体"/>
          <w:color w:val="auto"/>
          <w:sz w:val="22"/>
          <w:lang w:val="zh-CN"/>
        </w:rPr>
        <w:t>1.4</w:t>
      </w:r>
      <w:r>
        <w:rPr>
          <w:rFonts w:hint="eastAsia" w:ascii="宋体"/>
          <w:color w:val="auto"/>
          <w:sz w:val="22"/>
          <w:lang w:val="zh-CN"/>
        </w:rPr>
        <w:t>、</w:t>
      </w:r>
      <w:r>
        <w:rPr>
          <w:rFonts w:ascii="宋体"/>
          <w:color w:val="auto"/>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2A0A0A2">
      <w:pPr>
        <w:autoSpaceDE w:val="0"/>
        <w:autoSpaceDN w:val="0"/>
        <w:adjustRightInd w:val="0"/>
        <w:snapToGrid w:val="0"/>
        <w:spacing w:line="460" w:lineRule="atLeast"/>
        <w:ind w:firstLine="440" w:firstLineChars="200"/>
        <w:rPr>
          <w:rFonts w:ascii="宋体"/>
          <w:color w:val="auto"/>
          <w:sz w:val="22"/>
          <w:lang w:val="zh-CN"/>
        </w:rPr>
      </w:pPr>
      <w:r>
        <w:rPr>
          <w:rFonts w:ascii="宋体"/>
          <w:color w:val="auto"/>
          <w:sz w:val="22"/>
          <w:lang w:val="zh-CN"/>
        </w:rPr>
        <w:t>1.5</w:t>
      </w:r>
      <w:r>
        <w:rPr>
          <w:rFonts w:hint="eastAsia" w:ascii="宋体"/>
          <w:color w:val="auto"/>
          <w:sz w:val="22"/>
          <w:lang w:val="zh-CN"/>
        </w:rPr>
        <w:t>、</w:t>
      </w:r>
      <w:r>
        <w:rPr>
          <w:rFonts w:ascii="宋体"/>
          <w:color w:val="auto"/>
          <w:sz w:val="22"/>
          <w:lang w:val="zh-CN"/>
        </w:rPr>
        <w:t>投标供应商应仔细阅读招标文件中的所有内容，按照招标文件要求，详细编制投标文件，所有文件资料必须是针对本次投标。不按招标文件的要求提供的投标文件可能导致被拒绝。</w:t>
      </w:r>
    </w:p>
    <w:p w14:paraId="43FC4FDC">
      <w:pPr>
        <w:autoSpaceDE w:val="0"/>
        <w:autoSpaceDN w:val="0"/>
        <w:adjustRightInd w:val="0"/>
        <w:snapToGrid w:val="0"/>
        <w:spacing w:line="460" w:lineRule="atLeast"/>
        <w:rPr>
          <w:rFonts w:ascii="宋体"/>
          <w:color w:val="auto"/>
          <w:sz w:val="22"/>
          <w:lang w:val="zh-CN"/>
        </w:rPr>
      </w:pPr>
    </w:p>
    <w:p w14:paraId="0A795205">
      <w:pPr>
        <w:autoSpaceDE w:val="0"/>
        <w:autoSpaceDN w:val="0"/>
        <w:adjustRightInd w:val="0"/>
        <w:snapToGrid w:val="0"/>
        <w:spacing w:line="460" w:lineRule="atLeast"/>
        <w:ind w:firstLine="440" w:firstLineChars="200"/>
        <w:rPr>
          <w:rFonts w:ascii="宋体"/>
          <w:b w:val="0"/>
          <w:bCs w:val="0"/>
          <w:color w:val="auto"/>
          <w:sz w:val="22"/>
          <w:lang w:val="zh-CN"/>
        </w:rPr>
      </w:pPr>
      <w:r>
        <w:rPr>
          <w:rFonts w:hint="eastAsia" w:ascii="宋体"/>
          <w:b w:val="0"/>
          <w:bCs w:val="0"/>
          <w:color w:val="auto"/>
          <w:sz w:val="22"/>
          <w:lang w:val="zh-CN"/>
        </w:rPr>
        <w:t>2、投标文件的组成</w:t>
      </w:r>
    </w:p>
    <w:p w14:paraId="1ECB9A29">
      <w:pPr>
        <w:autoSpaceDE w:val="0"/>
        <w:autoSpaceDN w:val="0"/>
        <w:adjustRightInd w:val="0"/>
        <w:snapToGrid w:val="0"/>
        <w:spacing w:line="440" w:lineRule="exact"/>
        <w:ind w:firstLine="440" w:firstLineChars="200"/>
        <w:rPr>
          <w:rFonts w:ascii="宋体"/>
          <w:color w:val="auto"/>
          <w:sz w:val="22"/>
          <w:u w:val="single"/>
        </w:rPr>
      </w:pPr>
      <w:r>
        <w:rPr>
          <w:rFonts w:hint="eastAsia" w:ascii="宋体"/>
          <w:color w:val="auto"/>
          <w:sz w:val="22"/>
          <w:u w:val="single"/>
        </w:rPr>
        <w:t>投标文件由“资格文件”、“报价文件”和“商务技术文件”组成。资格文件、商务技术文件不得含报价，否则投标将被拒绝。</w:t>
      </w:r>
    </w:p>
    <w:p w14:paraId="0EC36E4C">
      <w:pPr>
        <w:autoSpaceDE w:val="0"/>
        <w:autoSpaceDN w:val="0"/>
        <w:adjustRightInd w:val="0"/>
        <w:snapToGrid w:val="0"/>
        <w:spacing w:line="460" w:lineRule="atLeast"/>
        <w:ind w:firstLine="440" w:firstLineChars="200"/>
        <w:rPr>
          <w:rFonts w:ascii="宋体" w:hAnsi="宋体"/>
          <w:b w:val="0"/>
          <w:bCs/>
          <w:color w:val="auto"/>
          <w:kern w:val="0"/>
          <w:sz w:val="22"/>
        </w:rPr>
      </w:pPr>
      <w:r>
        <w:rPr>
          <w:rFonts w:hint="eastAsia" w:ascii="宋体" w:hAnsi="宋体"/>
          <w:b w:val="0"/>
          <w:bCs/>
          <w:color w:val="auto"/>
          <w:kern w:val="0"/>
          <w:sz w:val="22"/>
        </w:rPr>
        <w:t>2.1、资格文件组成</w:t>
      </w:r>
    </w:p>
    <w:tbl>
      <w:tblPr>
        <w:tblStyle w:val="2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833"/>
      </w:tblGrid>
      <w:tr w14:paraId="34E8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noWrap w:val="0"/>
            <w:vAlign w:val="center"/>
          </w:tcPr>
          <w:p w14:paraId="4DDAEFFF">
            <w:pPr>
              <w:autoSpaceDE w:val="0"/>
              <w:autoSpaceDN w:val="0"/>
              <w:adjustRightInd w:val="0"/>
              <w:snapToGrid w:val="0"/>
              <w:spacing w:line="430" w:lineRule="atLeast"/>
              <w:jc w:val="center"/>
              <w:rPr>
                <w:rFonts w:ascii="宋体" w:hAnsi="宋体" w:cs="Courier New"/>
                <w:color w:val="auto"/>
                <w:kern w:val="0"/>
                <w:sz w:val="22"/>
                <w:szCs w:val="20"/>
                <w:lang w:val="zh-CN"/>
              </w:rPr>
            </w:pPr>
            <w:r>
              <w:rPr>
                <w:rFonts w:hint="eastAsia" w:ascii="宋体" w:hAnsi="宋体" w:cs="Courier New"/>
                <w:color w:val="auto"/>
                <w:kern w:val="0"/>
                <w:sz w:val="22"/>
                <w:szCs w:val="20"/>
                <w:lang w:val="zh-CN"/>
              </w:rPr>
              <w:t>序号</w:t>
            </w:r>
          </w:p>
        </w:tc>
        <w:tc>
          <w:tcPr>
            <w:tcW w:w="7833" w:type="dxa"/>
            <w:noWrap w:val="0"/>
            <w:vAlign w:val="top"/>
          </w:tcPr>
          <w:p w14:paraId="61BD4549">
            <w:pPr>
              <w:autoSpaceDE w:val="0"/>
              <w:autoSpaceDN w:val="0"/>
              <w:adjustRightInd w:val="0"/>
              <w:snapToGrid w:val="0"/>
              <w:spacing w:line="430" w:lineRule="atLeast"/>
              <w:rPr>
                <w:rFonts w:ascii="宋体" w:hAnsi="宋体" w:cs="Courier New"/>
                <w:color w:val="auto"/>
                <w:kern w:val="0"/>
                <w:sz w:val="22"/>
                <w:szCs w:val="20"/>
                <w:lang w:val="zh-CN"/>
              </w:rPr>
            </w:pPr>
            <w:r>
              <w:rPr>
                <w:rFonts w:hint="eastAsia" w:ascii="宋体" w:hAnsi="宋体" w:cs="Courier New"/>
                <w:color w:val="auto"/>
                <w:kern w:val="0"/>
                <w:sz w:val="22"/>
                <w:szCs w:val="20"/>
                <w:lang w:val="zh-CN"/>
              </w:rPr>
              <w:t>内容（</w:t>
            </w:r>
            <w:r>
              <w:rPr>
                <w:rFonts w:hint="eastAsia" w:ascii="宋体" w:hAnsi="宋体" w:cs="Courier New"/>
                <w:b/>
                <w:color w:val="auto"/>
                <w:kern w:val="0"/>
                <w:sz w:val="22"/>
                <w:szCs w:val="20"/>
                <w:lang w:val="zh-CN"/>
              </w:rPr>
              <w:t>以下1-</w:t>
            </w:r>
            <w:r>
              <w:rPr>
                <w:rFonts w:hint="eastAsia" w:ascii="宋体" w:hAnsi="宋体" w:cs="Courier New"/>
                <w:b/>
                <w:color w:val="auto"/>
                <w:kern w:val="0"/>
                <w:sz w:val="22"/>
                <w:szCs w:val="20"/>
                <w:lang w:val="en-US" w:eastAsia="zh-CN"/>
              </w:rPr>
              <w:t>6</w:t>
            </w:r>
            <w:r>
              <w:rPr>
                <w:rFonts w:hint="eastAsia" w:ascii="宋体" w:hAnsi="宋体" w:cs="Courier New"/>
                <w:b/>
                <w:color w:val="auto"/>
                <w:kern w:val="0"/>
                <w:sz w:val="22"/>
                <w:szCs w:val="20"/>
                <w:lang w:val="zh-CN"/>
              </w:rPr>
              <w:t>项内容投标供应商必需提供，否则不能通过资格审查。</w:t>
            </w:r>
            <w:r>
              <w:rPr>
                <w:rFonts w:hint="eastAsia" w:ascii="宋体" w:hAnsi="宋体" w:cs="Courier New"/>
                <w:color w:val="auto"/>
                <w:kern w:val="0"/>
                <w:sz w:val="22"/>
                <w:szCs w:val="20"/>
                <w:lang w:val="zh-CN"/>
              </w:rPr>
              <w:t>）</w:t>
            </w:r>
          </w:p>
        </w:tc>
      </w:tr>
      <w:tr w14:paraId="01B0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noWrap w:val="0"/>
            <w:vAlign w:val="center"/>
          </w:tcPr>
          <w:p w14:paraId="1DECA7E0">
            <w:pPr>
              <w:autoSpaceDE w:val="0"/>
              <w:autoSpaceDN w:val="0"/>
              <w:adjustRightInd w:val="0"/>
              <w:snapToGrid w:val="0"/>
              <w:spacing w:line="430" w:lineRule="atLeast"/>
              <w:jc w:val="center"/>
              <w:rPr>
                <w:rFonts w:hint="default" w:ascii="宋体" w:hAnsi="宋体" w:cs="宋体"/>
                <w:color w:val="auto"/>
                <w:kern w:val="0"/>
                <w:sz w:val="22"/>
                <w:szCs w:val="20"/>
                <w:lang w:val="en-US" w:eastAsia="zh-CN"/>
              </w:rPr>
            </w:pPr>
            <w:r>
              <w:rPr>
                <w:rFonts w:hint="eastAsia" w:ascii="宋体" w:hAnsi="宋体" w:cs="宋体"/>
                <w:color w:val="auto"/>
                <w:kern w:val="0"/>
                <w:sz w:val="22"/>
                <w:szCs w:val="20"/>
                <w:lang w:val="en-US" w:eastAsia="zh-CN"/>
              </w:rPr>
              <w:t>1</w:t>
            </w:r>
          </w:p>
        </w:tc>
        <w:tc>
          <w:tcPr>
            <w:tcW w:w="7833" w:type="dxa"/>
            <w:noWrap w:val="0"/>
            <w:vAlign w:val="center"/>
          </w:tcPr>
          <w:p w14:paraId="5A715E38">
            <w:pPr>
              <w:autoSpaceDE w:val="0"/>
              <w:autoSpaceDN w:val="0"/>
              <w:adjustRightInd w:val="0"/>
              <w:snapToGrid w:val="0"/>
              <w:spacing w:line="360" w:lineRule="exact"/>
              <w:rPr>
                <w:rFonts w:hint="eastAsia" w:ascii="宋体" w:hAnsi="宋体" w:cs="宋体"/>
                <w:color w:val="auto"/>
                <w:kern w:val="0"/>
                <w:sz w:val="22"/>
                <w:szCs w:val="20"/>
              </w:rPr>
            </w:pPr>
            <w:r>
              <w:rPr>
                <w:rFonts w:hint="eastAsia" w:ascii="宋体" w:hAnsi="宋体" w:cs="Courier New"/>
                <w:color w:val="auto"/>
                <w:kern w:val="0"/>
                <w:sz w:val="22"/>
                <w:szCs w:val="20"/>
              </w:rPr>
              <w:t>投标供应商的营业执照、税务登记证（如为多证合一仅需提供营业执照，扫描件加盖公章）</w:t>
            </w:r>
          </w:p>
        </w:tc>
      </w:tr>
      <w:tr w14:paraId="5D64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noWrap w:val="0"/>
            <w:vAlign w:val="center"/>
          </w:tcPr>
          <w:p w14:paraId="7E5209CB">
            <w:pPr>
              <w:autoSpaceDE w:val="0"/>
              <w:autoSpaceDN w:val="0"/>
              <w:adjustRightInd w:val="0"/>
              <w:snapToGrid w:val="0"/>
              <w:spacing w:line="430" w:lineRule="atLeast"/>
              <w:jc w:val="center"/>
              <w:rPr>
                <w:rFonts w:hint="eastAsia" w:ascii="宋体" w:hAnsi="宋体" w:eastAsia="宋体" w:cs="Courier New"/>
                <w:color w:val="auto"/>
                <w:kern w:val="0"/>
                <w:sz w:val="22"/>
                <w:szCs w:val="20"/>
                <w:lang w:val="zh-CN" w:eastAsia="zh-CN"/>
              </w:rPr>
            </w:pPr>
            <w:r>
              <w:rPr>
                <w:rFonts w:hint="eastAsia" w:ascii="宋体" w:hAnsi="宋体" w:cs="宋体"/>
                <w:color w:val="auto"/>
                <w:kern w:val="0"/>
                <w:sz w:val="22"/>
                <w:szCs w:val="20"/>
                <w:lang w:val="en-US" w:eastAsia="zh-CN"/>
              </w:rPr>
              <w:t>2</w:t>
            </w:r>
          </w:p>
        </w:tc>
        <w:tc>
          <w:tcPr>
            <w:tcW w:w="7833" w:type="dxa"/>
            <w:noWrap w:val="0"/>
            <w:vAlign w:val="center"/>
          </w:tcPr>
          <w:p w14:paraId="69B8B321">
            <w:pPr>
              <w:autoSpaceDE w:val="0"/>
              <w:autoSpaceDN w:val="0"/>
              <w:adjustRightInd w:val="0"/>
              <w:snapToGrid w:val="0"/>
              <w:spacing w:line="360" w:lineRule="exact"/>
              <w:rPr>
                <w:rFonts w:hint="eastAsia" w:ascii="宋体" w:hAnsi="宋体" w:cs="Courier New"/>
                <w:color w:val="auto"/>
                <w:kern w:val="0"/>
                <w:sz w:val="22"/>
                <w:szCs w:val="20"/>
              </w:rPr>
            </w:pPr>
            <w:r>
              <w:rPr>
                <w:rFonts w:hint="eastAsia" w:ascii="宋体" w:hAnsi="宋体" w:cs="宋体"/>
                <w:color w:val="auto"/>
                <w:kern w:val="0"/>
                <w:sz w:val="22"/>
                <w:szCs w:val="20"/>
              </w:rPr>
              <w:t>供应商参加政府采购活动应当具备的一般条件的承诺函（附件</w:t>
            </w:r>
            <w:r>
              <w:rPr>
                <w:rFonts w:hint="eastAsia" w:ascii="宋体" w:hAnsi="宋体" w:cs="宋体"/>
                <w:color w:val="auto"/>
                <w:kern w:val="0"/>
                <w:sz w:val="22"/>
                <w:szCs w:val="20"/>
                <w:lang w:eastAsia="zh-CN"/>
              </w:rPr>
              <w:t>一</w:t>
            </w:r>
            <w:r>
              <w:rPr>
                <w:rFonts w:hint="eastAsia" w:ascii="宋体" w:hAnsi="宋体" w:cs="宋体"/>
                <w:color w:val="auto"/>
                <w:kern w:val="0"/>
                <w:sz w:val="22"/>
                <w:szCs w:val="20"/>
              </w:rPr>
              <w:t>）</w:t>
            </w:r>
          </w:p>
        </w:tc>
      </w:tr>
      <w:tr w14:paraId="5967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noWrap w:val="0"/>
            <w:vAlign w:val="center"/>
          </w:tcPr>
          <w:p w14:paraId="427E1A22">
            <w:pPr>
              <w:autoSpaceDE w:val="0"/>
              <w:autoSpaceDN w:val="0"/>
              <w:adjustRightInd w:val="0"/>
              <w:snapToGrid w:val="0"/>
              <w:spacing w:line="430" w:lineRule="atLeast"/>
              <w:jc w:val="center"/>
              <w:rPr>
                <w:rFonts w:hint="default" w:ascii="宋体" w:hAnsi="宋体" w:cs="宋体"/>
                <w:color w:val="auto"/>
                <w:kern w:val="0"/>
                <w:sz w:val="22"/>
                <w:szCs w:val="20"/>
                <w:lang w:val="en-US" w:eastAsia="zh-CN"/>
              </w:rPr>
            </w:pPr>
            <w:r>
              <w:rPr>
                <w:rFonts w:hint="eastAsia" w:ascii="宋体" w:hAnsi="宋体" w:cs="宋体"/>
                <w:color w:val="auto"/>
                <w:kern w:val="0"/>
                <w:sz w:val="22"/>
                <w:szCs w:val="20"/>
                <w:lang w:val="en-US" w:eastAsia="zh-CN"/>
              </w:rPr>
              <w:t>3</w:t>
            </w:r>
          </w:p>
        </w:tc>
        <w:tc>
          <w:tcPr>
            <w:tcW w:w="7833" w:type="dxa"/>
            <w:noWrap w:val="0"/>
            <w:vAlign w:val="center"/>
          </w:tcPr>
          <w:p w14:paraId="6D54D9DF">
            <w:pPr>
              <w:autoSpaceDE w:val="0"/>
              <w:autoSpaceDN w:val="0"/>
              <w:adjustRightInd w:val="0"/>
              <w:snapToGrid w:val="0"/>
              <w:spacing w:line="360" w:lineRule="exact"/>
              <w:rPr>
                <w:rFonts w:hint="eastAsia" w:ascii="宋体" w:hAnsi="宋体" w:eastAsia="宋体" w:cs="宋体"/>
                <w:color w:val="auto"/>
                <w:kern w:val="0"/>
                <w:sz w:val="22"/>
                <w:szCs w:val="20"/>
                <w:lang w:eastAsia="zh-CN"/>
              </w:rPr>
            </w:pPr>
            <w:r>
              <w:rPr>
                <w:rFonts w:hint="eastAsia" w:ascii="宋体" w:hAnsi="宋体" w:cs="宋体"/>
                <w:color w:val="auto"/>
                <w:kern w:val="0"/>
                <w:sz w:val="22"/>
                <w:szCs w:val="20"/>
                <w:lang w:eastAsia="zh-CN"/>
              </w:rPr>
              <w:t>投标函（附件四）</w:t>
            </w:r>
          </w:p>
        </w:tc>
      </w:tr>
      <w:tr w14:paraId="213E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noWrap w:val="0"/>
            <w:vAlign w:val="center"/>
          </w:tcPr>
          <w:p w14:paraId="34DE9F1E">
            <w:pPr>
              <w:autoSpaceDE w:val="0"/>
              <w:autoSpaceDN w:val="0"/>
              <w:adjustRightInd w:val="0"/>
              <w:snapToGrid w:val="0"/>
              <w:spacing w:line="430" w:lineRule="atLeast"/>
              <w:jc w:val="center"/>
              <w:rPr>
                <w:rFonts w:hint="eastAsia" w:ascii="宋体" w:hAnsi="宋体" w:eastAsia="宋体" w:cs="Courier New"/>
                <w:color w:val="auto"/>
                <w:kern w:val="0"/>
                <w:sz w:val="22"/>
                <w:szCs w:val="20"/>
                <w:lang w:val="zh-CN" w:eastAsia="zh-CN"/>
              </w:rPr>
            </w:pPr>
            <w:r>
              <w:rPr>
                <w:rFonts w:hint="eastAsia" w:ascii="宋体" w:hAnsi="宋体" w:cs="宋体"/>
                <w:color w:val="auto"/>
                <w:kern w:val="0"/>
                <w:sz w:val="22"/>
                <w:szCs w:val="20"/>
                <w:lang w:val="en-US" w:eastAsia="zh-CN"/>
              </w:rPr>
              <w:t>4</w:t>
            </w:r>
          </w:p>
        </w:tc>
        <w:tc>
          <w:tcPr>
            <w:tcW w:w="7833" w:type="dxa"/>
            <w:noWrap w:val="0"/>
            <w:vAlign w:val="center"/>
          </w:tcPr>
          <w:p w14:paraId="0BBEC032">
            <w:pPr>
              <w:autoSpaceDE w:val="0"/>
              <w:autoSpaceDN w:val="0"/>
              <w:adjustRightInd w:val="0"/>
              <w:snapToGrid w:val="0"/>
              <w:spacing w:line="360" w:lineRule="exact"/>
              <w:rPr>
                <w:rFonts w:hint="eastAsia" w:ascii="宋体" w:hAnsi="宋体" w:cs="Courier New"/>
                <w:color w:val="auto"/>
                <w:kern w:val="0"/>
                <w:sz w:val="22"/>
                <w:szCs w:val="20"/>
              </w:rPr>
            </w:pPr>
            <w:r>
              <w:rPr>
                <w:rFonts w:hint="eastAsia" w:ascii="宋体" w:hAnsi="宋体" w:cs="宋体"/>
                <w:color w:val="auto"/>
                <w:kern w:val="0"/>
                <w:sz w:val="22"/>
                <w:szCs w:val="20"/>
              </w:rPr>
              <w:t>法定代表人授权书（附件</w:t>
            </w:r>
            <w:r>
              <w:rPr>
                <w:rFonts w:hint="eastAsia" w:ascii="宋体" w:hAnsi="宋体" w:cs="宋体"/>
                <w:color w:val="auto"/>
                <w:kern w:val="0"/>
                <w:sz w:val="22"/>
                <w:szCs w:val="20"/>
                <w:lang w:eastAsia="zh-CN"/>
              </w:rPr>
              <w:t>五</w:t>
            </w:r>
            <w:r>
              <w:rPr>
                <w:rFonts w:hint="eastAsia" w:ascii="宋体" w:hAnsi="宋体" w:cs="宋体"/>
                <w:color w:val="auto"/>
                <w:kern w:val="0"/>
                <w:sz w:val="22"/>
                <w:szCs w:val="20"/>
              </w:rPr>
              <w:t>），法定代表人参与投标的仅需提供法定代表人的身份证扫描件</w:t>
            </w:r>
          </w:p>
        </w:tc>
      </w:tr>
      <w:tr w14:paraId="440E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noWrap w:val="0"/>
            <w:vAlign w:val="center"/>
          </w:tcPr>
          <w:p w14:paraId="16A83D96">
            <w:pPr>
              <w:autoSpaceDE w:val="0"/>
              <w:autoSpaceDN w:val="0"/>
              <w:adjustRightInd w:val="0"/>
              <w:snapToGrid w:val="0"/>
              <w:spacing w:line="430" w:lineRule="atLeast"/>
              <w:jc w:val="center"/>
              <w:rPr>
                <w:rFonts w:hint="eastAsia" w:ascii="宋体" w:hAnsi="宋体" w:eastAsia="宋体" w:cs="Courier New"/>
                <w:color w:val="auto"/>
                <w:kern w:val="0"/>
                <w:sz w:val="22"/>
                <w:szCs w:val="20"/>
                <w:lang w:val="zh-CN" w:eastAsia="zh-CN"/>
              </w:rPr>
            </w:pPr>
            <w:r>
              <w:rPr>
                <w:rFonts w:hint="eastAsia" w:ascii="宋体" w:hAnsi="宋体" w:cs="宋体"/>
                <w:color w:val="auto"/>
                <w:kern w:val="0"/>
                <w:sz w:val="22"/>
                <w:szCs w:val="20"/>
                <w:lang w:val="en-US" w:eastAsia="zh-CN"/>
              </w:rPr>
              <w:t>5</w:t>
            </w:r>
          </w:p>
        </w:tc>
        <w:tc>
          <w:tcPr>
            <w:tcW w:w="7833" w:type="dxa"/>
            <w:noWrap w:val="0"/>
            <w:vAlign w:val="center"/>
          </w:tcPr>
          <w:p w14:paraId="1854C091">
            <w:pPr>
              <w:autoSpaceDE w:val="0"/>
              <w:autoSpaceDN w:val="0"/>
              <w:adjustRightInd w:val="0"/>
              <w:snapToGrid w:val="0"/>
              <w:spacing w:line="360" w:lineRule="exact"/>
              <w:rPr>
                <w:rFonts w:hint="eastAsia" w:ascii="宋体" w:hAnsi="宋体" w:cs="Courier New"/>
                <w:color w:val="auto"/>
                <w:kern w:val="0"/>
                <w:sz w:val="22"/>
                <w:szCs w:val="20"/>
              </w:rPr>
            </w:pPr>
            <w:r>
              <w:rPr>
                <w:rFonts w:hint="eastAsia" w:ascii="宋体" w:hAnsi="宋体" w:cs="宋体"/>
                <w:color w:val="auto"/>
                <w:kern w:val="0"/>
                <w:sz w:val="22"/>
                <w:szCs w:val="20"/>
              </w:rPr>
              <w:t>法定代表人诚信投标承诺书（附件</w:t>
            </w:r>
            <w:r>
              <w:rPr>
                <w:rFonts w:hint="eastAsia" w:ascii="宋体" w:hAnsi="宋体" w:cs="宋体"/>
                <w:color w:val="auto"/>
                <w:kern w:val="0"/>
                <w:sz w:val="22"/>
                <w:szCs w:val="20"/>
                <w:lang w:eastAsia="zh-CN"/>
              </w:rPr>
              <w:t>六</w:t>
            </w:r>
            <w:r>
              <w:rPr>
                <w:rFonts w:hint="eastAsia" w:ascii="宋体" w:hAnsi="宋体" w:cs="宋体"/>
                <w:color w:val="auto"/>
                <w:kern w:val="0"/>
                <w:sz w:val="22"/>
                <w:szCs w:val="20"/>
              </w:rPr>
              <w:t>）</w:t>
            </w:r>
          </w:p>
        </w:tc>
      </w:tr>
      <w:tr w14:paraId="77AC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14:paraId="274B8507">
            <w:pPr>
              <w:autoSpaceDE w:val="0"/>
              <w:autoSpaceDN w:val="0"/>
              <w:adjustRightInd w:val="0"/>
              <w:snapToGrid w:val="0"/>
              <w:spacing w:line="430" w:lineRule="atLeast"/>
              <w:jc w:val="center"/>
              <w:rPr>
                <w:rFonts w:hint="default" w:ascii="宋体" w:hAnsi="宋体" w:eastAsia="宋体" w:cs="Courier New"/>
                <w:color w:val="auto"/>
                <w:kern w:val="0"/>
                <w:sz w:val="22"/>
                <w:szCs w:val="20"/>
                <w:lang w:val="en-US" w:eastAsia="zh-CN"/>
              </w:rPr>
            </w:pPr>
            <w:r>
              <w:rPr>
                <w:rFonts w:hint="eastAsia" w:ascii="宋体" w:hAnsi="宋体" w:cs="Courier New"/>
                <w:color w:val="auto"/>
                <w:kern w:val="0"/>
                <w:sz w:val="22"/>
                <w:szCs w:val="20"/>
                <w:lang w:val="en-US" w:eastAsia="zh-CN"/>
              </w:rPr>
              <w:t>6</w:t>
            </w:r>
          </w:p>
        </w:tc>
        <w:tc>
          <w:tcPr>
            <w:tcW w:w="7833" w:type="dxa"/>
            <w:noWrap w:val="0"/>
            <w:vAlign w:val="top"/>
          </w:tcPr>
          <w:p w14:paraId="12F36207">
            <w:pPr>
              <w:autoSpaceDE w:val="0"/>
              <w:autoSpaceDN w:val="0"/>
              <w:adjustRightInd w:val="0"/>
              <w:snapToGrid w:val="0"/>
              <w:spacing w:line="430" w:lineRule="atLeast"/>
              <w:rPr>
                <w:rFonts w:ascii="宋体" w:hAnsi="宋体" w:cs="Courier New"/>
                <w:color w:val="auto"/>
                <w:kern w:val="0"/>
                <w:sz w:val="22"/>
                <w:szCs w:val="20"/>
              </w:rPr>
            </w:pPr>
            <w:r>
              <w:rPr>
                <w:rFonts w:hint="eastAsia" w:ascii="宋体" w:hAnsi="宋体" w:cs="Courier New"/>
                <w:color w:val="auto"/>
                <w:kern w:val="0"/>
                <w:sz w:val="22"/>
                <w:szCs w:val="20"/>
              </w:rPr>
              <w:t>投标供应商“信用中国”(www.creditchina.gov.cn)；“中国政府采购网”（www.ccgp.gov.cn）信用记录查询网页截图（招标公告发布之日至投标截止时间前）</w:t>
            </w:r>
          </w:p>
        </w:tc>
      </w:tr>
    </w:tbl>
    <w:p w14:paraId="7CB4C7DF">
      <w:pPr>
        <w:autoSpaceDE w:val="0"/>
        <w:autoSpaceDN w:val="0"/>
        <w:adjustRightInd w:val="0"/>
        <w:snapToGrid w:val="0"/>
        <w:spacing w:line="460" w:lineRule="atLeast"/>
        <w:ind w:firstLine="440" w:firstLineChars="200"/>
        <w:textAlignment w:val="bottom"/>
        <w:rPr>
          <w:rFonts w:ascii="宋体" w:hAnsi="宋体"/>
          <w:b w:val="0"/>
          <w:bCs w:val="0"/>
          <w:color w:val="auto"/>
          <w:kern w:val="0"/>
          <w:sz w:val="22"/>
        </w:rPr>
      </w:pPr>
      <w:r>
        <w:rPr>
          <w:rFonts w:hint="eastAsia" w:ascii="宋体" w:hAnsi="宋体"/>
          <w:b w:val="0"/>
          <w:bCs w:val="0"/>
          <w:color w:val="auto"/>
          <w:kern w:val="0"/>
          <w:sz w:val="22"/>
          <w:lang w:val="zh-CN"/>
        </w:rPr>
        <w:t>2.2、</w:t>
      </w:r>
      <w:r>
        <w:rPr>
          <w:rFonts w:hint="eastAsia" w:ascii="宋体" w:hAnsi="宋体"/>
          <w:b w:val="0"/>
          <w:bCs w:val="0"/>
          <w:color w:val="auto"/>
          <w:kern w:val="0"/>
          <w:sz w:val="22"/>
        </w:rPr>
        <w:t>商务技术文件组成</w:t>
      </w:r>
    </w:p>
    <w:tbl>
      <w:tblPr>
        <w:tblStyle w:val="2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833"/>
      </w:tblGrid>
      <w:tr w14:paraId="162D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top"/>
          </w:tcPr>
          <w:p w14:paraId="3260F89F">
            <w:pPr>
              <w:autoSpaceDE w:val="0"/>
              <w:autoSpaceDN w:val="0"/>
              <w:adjustRightInd w:val="0"/>
              <w:snapToGrid w:val="0"/>
              <w:spacing w:line="430" w:lineRule="atLeast"/>
              <w:rPr>
                <w:rFonts w:ascii="宋体" w:hAnsi="宋体" w:cs="宋体"/>
                <w:color w:val="auto"/>
                <w:kern w:val="0"/>
                <w:sz w:val="22"/>
                <w:szCs w:val="20"/>
                <w:lang w:val="zh-CN"/>
              </w:rPr>
            </w:pPr>
            <w:r>
              <w:rPr>
                <w:rFonts w:hint="eastAsia" w:ascii="宋体" w:hAnsi="宋体" w:cs="宋体"/>
                <w:color w:val="auto"/>
                <w:kern w:val="0"/>
                <w:sz w:val="22"/>
                <w:szCs w:val="20"/>
                <w:lang w:val="zh-CN"/>
              </w:rPr>
              <w:t>序号</w:t>
            </w:r>
          </w:p>
        </w:tc>
        <w:tc>
          <w:tcPr>
            <w:tcW w:w="7833" w:type="dxa"/>
            <w:noWrap w:val="0"/>
            <w:vAlign w:val="top"/>
          </w:tcPr>
          <w:p w14:paraId="46989AB7">
            <w:pPr>
              <w:autoSpaceDE w:val="0"/>
              <w:autoSpaceDN w:val="0"/>
              <w:adjustRightInd w:val="0"/>
              <w:snapToGrid w:val="0"/>
              <w:spacing w:line="430" w:lineRule="atLeast"/>
              <w:rPr>
                <w:rFonts w:ascii="宋体" w:hAnsi="宋体" w:cs="宋体"/>
                <w:color w:val="auto"/>
                <w:kern w:val="0"/>
                <w:sz w:val="22"/>
                <w:szCs w:val="20"/>
                <w:lang w:val="zh-CN"/>
              </w:rPr>
            </w:pPr>
            <w:r>
              <w:rPr>
                <w:rFonts w:hint="eastAsia" w:ascii="宋体" w:hAnsi="宋体" w:cs="宋体"/>
                <w:color w:val="auto"/>
                <w:kern w:val="0"/>
                <w:sz w:val="22"/>
                <w:szCs w:val="20"/>
                <w:lang w:val="zh-CN"/>
              </w:rPr>
              <w:t>内容</w:t>
            </w:r>
          </w:p>
        </w:tc>
      </w:tr>
      <w:tr w14:paraId="5B4C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noWrap w:val="0"/>
            <w:vAlign w:val="center"/>
          </w:tcPr>
          <w:p w14:paraId="3BC5F92F">
            <w:pPr>
              <w:autoSpaceDE w:val="0"/>
              <w:autoSpaceDN w:val="0"/>
              <w:adjustRightInd w:val="0"/>
              <w:snapToGrid w:val="0"/>
              <w:spacing w:line="430" w:lineRule="atLeast"/>
              <w:jc w:val="center"/>
              <w:rPr>
                <w:rFonts w:ascii="宋体" w:hAnsi="宋体" w:cs="宋体"/>
                <w:color w:val="auto"/>
                <w:kern w:val="0"/>
                <w:sz w:val="22"/>
                <w:szCs w:val="20"/>
                <w:lang w:val="zh-CN"/>
              </w:rPr>
            </w:pPr>
            <w:r>
              <w:rPr>
                <w:rFonts w:hint="eastAsia" w:ascii="宋体" w:hAnsi="宋体" w:cs="宋体"/>
                <w:color w:val="auto"/>
                <w:kern w:val="0"/>
                <w:sz w:val="22"/>
                <w:szCs w:val="20"/>
                <w:lang w:val="zh-CN"/>
              </w:rPr>
              <w:t>1</w:t>
            </w:r>
          </w:p>
        </w:tc>
        <w:tc>
          <w:tcPr>
            <w:tcW w:w="7833" w:type="dxa"/>
            <w:noWrap w:val="0"/>
            <w:vAlign w:val="center"/>
          </w:tcPr>
          <w:p w14:paraId="398EDEFF">
            <w:pPr>
              <w:autoSpaceDE w:val="0"/>
              <w:autoSpaceDN w:val="0"/>
              <w:adjustRightInd w:val="0"/>
              <w:snapToGrid w:val="0"/>
              <w:spacing w:line="360" w:lineRule="exact"/>
              <w:rPr>
                <w:rFonts w:ascii="宋体" w:hAnsi="宋体" w:cs="宋体"/>
                <w:color w:val="auto"/>
                <w:kern w:val="0"/>
                <w:sz w:val="22"/>
                <w:szCs w:val="20"/>
              </w:rPr>
            </w:pPr>
            <w:r>
              <w:rPr>
                <w:rFonts w:hint="eastAsia" w:ascii="宋体" w:hAnsi="宋体"/>
                <w:color w:val="auto"/>
                <w:kern w:val="0"/>
                <w:sz w:val="22"/>
              </w:rPr>
              <w:t>商务技术文件封面（格式自拟）</w:t>
            </w:r>
          </w:p>
        </w:tc>
      </w:tr>
      <w:tr w14:paraId="65C9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14:paraId="2957433F">
            <w:pPr>
              <w:autoSpaceDE w:val="0"/>
              <w:autoSpaceDN w:val="0"/>
              <w:adjustRightInd w:val="0"/>
              <w:snapToGrid w:val="0"/>
              <w:spacing w:line="430" w:lineRule="atLeast"/>
              <w:jc w:val="center"/>
              <w:rPr>
                <w:rFonts w:hint="eastAsia" w:ascii="宋体" w:hAnsi="宋体" w:eastAsia="宋体" w:cs="宋体"/>
                <w:color w:val="auto"/>
                <w:kern w:val="0"/>
                <w:sz w:val="22"/>
                <w:szCs w:val="20"/>
                <w:lang w:eastAsia="zh-CN"/>
              </w:rPr>
            </w:pPr>
            <w:r>
              <w:rPr>
                <w:rFonts w:hint="eastAsia" w:ascii="宋体" w:hAnsi="宋体" w:cs="宋体"/>
                <w:color w:val="auto"/>
                <w:kern w:val="0"/>
                <w:sz w:val="22"/>
                <w:szCs w:val="20"/>
                <w:lang w:val="en-US" w:eastAsia="zh-CN"/>
              </w:rPr>
              <w:t>2</w:t>
            </w:r>
          </w:p>
        </w:tc>
        <w:tc>
          <w:tcPr>
            <w:tcW w:w="7833" w:type="dxa"/>
            <w:noWrap w:val="0"/>
            <w:vAlign w:val="top"/>
          </w:tcPr>
          <w:p w14:paraId="06F13A02">
            <w:pPr>
              <w:autoSpaceDE w:val="0"/>
              <w:autoSpaceDN w:val="0"/>
              <w:adjustRightInd w:val="0"/>
              <w:snapToGrid w:val="0"/>
              <w:spacing w:line="430" w:lineRule="atLeast"/>
              <w:rPr>
                <w:rFonts w:ascii="宋体" w:hAnsi="宋体" w:cs="宋体"/>
                <w:color w:val="auto"/>
                <w:kern w:val="0"/>
                <w:sz w:val="22"/>
                <w:szCs w:val="20"/>
              </w:rPr>
            </w:pPr>
            <w:r>
              <w:rPr>
                <w:rFonts w:hint="eastAsia" w:ascii="宋体" w:hAnsi="宋体" w:cs="宋体"/>
                <w:color w:val="auto"/>
                <w:kern w:val="0"/>
                <w:sz w:val="22"/>
                <w:szCs w:val="20"/>
              </w:rPr>
              <w:t>投标供应商业绩（附件</w:t>
            </w:r>
            <w:r>
              <w:rPr>
                <w:rFonts w:hint="eastAsia" w:cs="Arial"/>
                <w:color w:val="auto"/>
                <w:sz w:val="22"/>
                <w:szCs w:val="22"/>
                <w:lang w:eastAsia="zh-CN"/>
              </w:rPr>
              <w:t>七</w:t>
            </w:r>
            <w:r>
              <w:rPr>
                <w:rFonts w:hint="eastAsia" w:ascii="宋体" w:hAnsi="宋体" w:cs="宋体"/>
                <w:color w:val="auto"/>
                <w:kern w:val="0"/>
                <w:sz w:val="22"/>
                <w:szCs w:val="20"/>
              </w:rPr>
              <w:t>）</w:t>
            </w:r>
          </w:p>
        </w:tc>
      </w:tr>
      <w:tr w14:paraId="58E9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14:paraId="26D4B32C">
            <w:pPr>
              <w:autoSpaceDE w:val="0"/>
              <w:autoSpaceDN w:val="0"/>
              <w:adjustRightInd w:val="0"/>
              <w:snapToGrid w:val="0"/>
              <w:spacing w:line="430" w:lineRule="atLeast"/>
              <w:jc w:val="center"/>
              <w:rPr>
                <w:rFonts w:hint="eastAsia" w:ascii="宋体" w:hAnsi="宋体" w:eastAsia="宋体" w:cs="宋体"/>
                <w:color w:val="auto"/>
                <w:kern w:val="0"/>
                <w:sz w:val="22"/>
                <w:szCs w:val="20"/>
                <w:lang w:eastAsia="zh-CN"/>
              </w:rPr>
            </w:pPr>
            <w:r>
              <w:rPr>
                <w:rFonts w:hint="eastAsia" w:ascii="宋体" w:hAnsi="宋体" w:cs="宋体"/>
                <w:color w:val="auto"/>
                <w:kern w:val="0"/>
                <w:sz w:val="22"/>
                <w:szCs w:val="20"/>
                <w:lang w:val="en-US" w:eastAsia="zh-CN"/>
              </w:rPr>
              <w:t>3</w:t>
            </w:r>
          </w:p>
        </w:tc>
        <w:tc>
          <w:tcPr>
            <w:tcW w:w="7833" w:type="dxa"/>
            <w:noWrap w:val="0"/>
            <w:vAlign w:val="top"/>
          </w:tcPr>
          <w:p w14:paraId="7B21D32B">
            <w:pPr>
              <w:autoSpaceDE w:val="0"/>
              <w:autoSpaceDN w:val="0"/>
              <w:adjustRightInd w:val="0"/>
              <w:snapToGrid w:val="0"/>
              <w:spacing w:line="430" w:lineRule="atLeast"/>
              <w:rPr>
                <w:rFonts w:ascii="宋体" w:hAnsi="宋体" w:cs="宋体"/>
                <w:color w:val="auto"/>
                <w:kern w:val="0"/>
                <w:sz w:val="22"/>
                <w:szCs w:val="20"/>
              </w:rPr>
            </w:pPr>
            <w:r>
              <w:rPr>
                <w:rFonts w:hint="eastAsia" w:ascii="宋体" w:hAnsi="宋体"/>
                <w:color w:val="auto"/>
                <w:kern w:val="0"/>
                <w:sz w:val="22"/>
                <w:szCs w:val="20"/>
              </w:rPr>
              <w:t>拟派本项目成员组成表（附件</w:t>
            </w:r>
            <w:r>
              <w:rPr>
                <w:rFonts w:hint="eastAsia" w:ascii="宋体" w:hAnsi="宋体"/>
                <w:color w:val="auto"/>
                <w:kern w:val="0"/>
                <w:sz w:val="22"/>
                <w:szCs w:val="20"/>
                <w:lang w:eastAsia="zh-CN"/>
              </w:rPr>
              <w:t>八</w:t>
            </w:r>
            <w:r>
              <w:rPr>
                <w:rFonts w:hint="eastAsia" w:ascii="宋体" w:hAnsi="宋体"/>
                <w:color w:val="auto"/>
                <w:kern w:val="0"/>
                <w:sz w:val="22"/>
                <w:szCs w:val="20"/>
              </w:rPr>
              <w:t>）</w:t>
            </w:r>
          </w:p>
        </w:tc>
      </w:tr>
      <w:tr w14:paraId="02E7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noWrap w:val="0"/>
            <w:vAlign w:val="center"/>
          </w:tcPr>
          <w:p w14:paraId="592FB49A">
            <w:pPr>
              <w:autoSpaceDE w:val="0"/>
              <w:autoSpaceDN w:val="0"/>
              <w:adjustRightInd w:val="0"/>
              <w:snapToGrid w:val="0"/>
              <w:spacing w:line="430" w:lineRule="atLeast"/>
              <w:jc w:val="center"/>
              <w:rPr>
                <w:rFonts w:hint="eastAsia" w:ascii="宋体" w:hAnsi="宋体" w:eastAsia="宋体" w:cs="宋体"/>
                <w:color w:val="auto"/>
                <w:kern w:val="0"/>
                <w:sz w:val="22"/>
                <w:szCs w:val="20"/>
                <w:lang w:val="en-US" w:eastAsia="zh-CN" w:bidi="ar-SA"/>
              </w:rPr>
            </w:pPr>
            <w:r>
              <w:rPr>
                <w:rFonts w:hint="eastAsia" w:ascii="宋体" w:hAnsi="宋体" w:cs="宋体"/>
                <w:color w:val="auto"/>
                <w:kern w:val="0"/>
                <w:sz w:val="22"/>
                <w:szCs w:val="20"/>
                <w:lang w:val="en-US" w:eastAsia="zh-CN"/>
              </w:rPr>
              <w:t>4</w:t>
            </w:r>
          </w:p>
        </w:tc>
        <w:tc>
          <w:tcPr>
            <w:tcW w:w="7833" w:type="dxa"/>
            <w:noWrap w:val="0"/>
            <w:vAlign w:val="center"/>
          </w:tcPr>
          <w:p w14:paraId="1B21B7FE">
            <w:pPr>
              <w:autoSpaceDE w:val="0"/>
              <w:autoSpaceDN w:val="0"/>
              <w:adjustRightInd w:val="0"/>
              <w:snapToGrid w:val="0"/>
              <w:spacing w:line="360" w:lineRule="exact"/>
              <w:rPr>
                <w:rFonts w:hint="eastAsia" w:ascii="宋体" w:hAnsi="宋体" w:eastAsia="宋体" w:cs="宋体"/>
                <w:color w:val="auto"/>
                <w:kern w:val="0"/>
                <w:sz w:val="22"/>
                <w:szCs w:val="20"/>
                <w:lang w:val="en-US" w:eastAsia="zh-CN" w:bidi="ar-SA"/>
              </w:rPr>
            </w:pPr>
            <w:r>
              <w:rPr>
                <w:rFonts w:hint="eastAsia" w:ascii="宋体" w:hAnsi="宋体" w:cs="宋体"/>
                <w:color w:val="auto"/>
                <w:kern w:val="0"/>
                <w:sz w:val="22"/>
                <w:szCs w:val="20"/>
              </w:rPr>
              <w:t>偏离表（附件</w:t>
            </w:r>
            <w:r>
              <w:rPr>
                <w:rFonts w:hint="eastAsia" w:ascii="宋体" w:hAnsi="宋体" w:cs="宋体"/>
                <w:color w:val="auto"/>
                <w:kern w:val="0"/>
                <w:sz w:val="22"/>
                <w:szCs w:val="20"/>
                <w:lang w:eastAsia="zh-CN"/>
              </w:rPr>
              <w:t>九</w:t>
            </w:r>
            <w:r>
              <w:rPr>
                <w:rFonts w:hint="eastAsia" w:ascii="宋体" w:hAnsi="宋体" w:cs="宋体"/>
                <w:color w:val="auto"/>
                <w:kern w:val="0"/>
                <w:sz w:val="22"/>
                <w:szCs w:val="20"/>
              </w:rPr>
              <w:t>）（如不填写，采购人有权视为完全响应招标文件的技术及商务要求）</w:t>
            </w:r>
          </w:p>
        </w:tc>
      </w:tr>
      <w:tr w14:paraId="4319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noWrap w:val="0"/>
            <w:vAlign w:val="center"/>
          </w:tcPr>
          <w:p w14:paraId="61711C46">
            <w:pPr>
              <w:autoSpaceDE w:val="0"/>
              <w:autoSpaceDN w:val="0"/>
              <w:adjustRightInd w:val="0"/>
              <w:snapToGrid w:val="0"/>
              <w:spacing w:line="430" w:lineRule="atLeast"/>
              <w:jc w:val="center"/>
              <w:rPr>
                <w:rFonts w:hint="eastAsia" w:ascii="宋体" w:hAnsi="宋体" w:eastAsia="宋体" w:cs="宋体"/>
                <w:color w:val="auto"/>
                <w:kern w:val="0"/>
                <w:sz w:val="22"/>
                <w:szCs w:val="20"/>
                <w:lang w:val="zh-CN" w:eastAsia="zh-CN"/>
              </w:rPr>
            </w:pPr>
            <w:r>
              <w:rPr>
                <w:rFonts w:hint="eastAsia" w:ascii="宋体" w:hAnsi="宋体" w:cs="宋体"/>
                <w:color w:val="auto"/>
                <w:kern w:val="0"/>
                <w:sz w:val="22"/>
                <w:szCs w:val="20"/>
                <w:lang w:val="en-US" w:eastAsia="zh-CN"/>
              </w:rPr>
              <w:t>5</w:t>
            </w:r>
          </w:p>
        </w:tc>
        <w:tc>
          <w:tcPr>
            <w:tcW w:w="7833" w:type="dxa"/>
            <w:noWrap w:val="0"/>
            <w:vAlign w:val="center"/>
          </w:tcPr>
          <w:p w14:paraId="6E41D6EF">
            <w:pPr>
              <w:autoSpaceDE w:val="0"/>
              <w:autoSpaceDN w:val="0"/>
              <w:adjustRightInd w:val="0"/>
              <w:snapToGrid w:val="0"/>
              <w:spacing w:line="360" w:lineRule="exact"/>
              <w:rPr>
                <w:rFonts w:ascii="宋体" w:hAnsi="宋体" w:cs="宋体"/>
                <w:color w:val="auto"/>
                <w:kern w:val="0"/>
                <w:sz w:val="22"/>
                <w:szCs w:val="20"/>
              </w:rPr>
            </w:pPr>
            <w:r>
              <w:rPr>
                <w:rFonts w:hint="eastAsia" w:ascii="宋体" w:hAnsi="宋体" w:cs="宋体"/>
                <w:color w:val="auto"/>
                <w:kern w:val="0"/>
                <w:sz w:val="22"/>
                <w:szCs w:val="20"/>
              </w:rPr>
              <w:t>所投货物的品牌型号</w:t>
            </w:r>
            <w:r>
              <w:rPr>
                <w:rFonts w:hint="eastAsia" w:ascii="宋体" w:hAnsi="宋体" w:cs="宋体"/>
                <w:color w:val="auto"/>
                <w:kern w:val="0"/>
                <w:sz w:val="22"/>
                <w:szCs w:val="20"/>
                <w:lang w:val="en-US" w:eastAsia="zh-CN"/>
              </w:rPr>
              <w:t>[货物类]</w:t>
            </w:r>
            <w:r>
              <w:rPr>
                <w:rFonts w:hint="eastAsia" w:ascii="宋体" w:hAnsi="宋体" w:cs="宋体"/>
                <w:color w:val="auto"/>
                <w:kern w:val="0"/>
                <w:sz w:val="22"/>
                <w:szCs w:val="20"/>
              </w:rPr>
              <w:t>（附件</w:t>
            </w:r>
            <w:r>
              <w:rPr>
                <w:rFonts w:hint="eastAsia" w:ascii="宋体" w:hAnsi="宋体" w:cs="宋体"/>
                <w:color w:val="auto"/>
                <w:kern w:val="0"/>
                <w:sz w:val="22"/>
                <w:szCs w:val="20"/>
                <w:lang w:eastAsia="zh-CN"/>
              </w:rPr>
              <w:t>十</w:t>
            </w:r>
            <w:r>
              <w:rPr>
                <w:rFonts w:hint="eastAsia" w:ascii="宋体" w:hAnsi="宋体" w:cs="宋体"/>
                <w:color w:val="auto"/>
                <w:kern w:val="0"/>
                <w:sz w:val="22"/>
                <w:szCs w:val="20"/>
              </w:rPr>
              <w:t>）</w:t>
            </w:r>
          </w:p>
        </w:tc>
      </w:tr>
      <w:tr w14:paraId="6E28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14:paraId="037ABD54">
            <w:pPr>
              <w:autoSpaceDE w:val="0"/>
              <w:autoSpaceDN w:val="0"/>
              <w:adjustRightInd w:val="0"/>
              <w:snapToGrid w:val="0"/>
              <w:spacing w:line="430" w:lineRule="atLeast"/>
              <w:jc w:val="center"/>
              <w:rPr>
                <w:rFonts w:hint="eastAsia" w:ascii="宋体" w:hAnsi="宋体" w:eastAsia="宋体" w:cs="宋体"/>
                <w:color w:val="auto"/>
                <w:kern w:val="0"/>
                <w:sz w:val="22"/>
                <w:szCs w:val="20"/>
                <w:lang w:val="zh-CN" w:eastAsia="zh-CN"/>
              </w:rPr>
            </w:pPr>
            <w:r>
              <w:rPr>
                <w:rFonts w:hint="eastAsia" w:ascii="宋体" w:hAnsi="宋体" w:cs="宋体"/>
                <w:color w:val="auto"/>
                <w:kern w:val="0"/>
                <w:sz w:val="22"/>
                <w:szCs w:val="20"/>
                <w:lang w:val="en-US" w:eastAsia="zh-CN"/>
              </w:rPr>
              <w:t>6</w:t>
            </w:r>
          </w:p>
        </w:tc>
        <w:tc>
          <w:tcPr>
            <w:tcW w:w="7833" w:type="dxa"/>
            <w:noWrap w:val="0"/>
            <w:vAlign w:val="top"/>
          </w:tcPr>
          <w:p w14:paraId="2BF7A52B">
            <w:pPr>
              <w:autoSpaceDE w:val="0"/>
              <w:autoSpaceDN w:val="0"/>
              <w:adjustRightInd w:val="0"/>
              <w:snapToGrid w:val="0"/>
              <w:spacing w:line="430" w:lineRule="atLeast"/>
              <w:rPr>
                <w:rFonts w:ascii="宋体" w:hAnsi="宋体" w:cs="宋体"/>
                <w:color w:val="auto"/>
                <w:kern w:val="0"/>
                <w:sz w:val="22"/>
                <w:szCs w:val="20"/>
              </w:rPr>
            </w:pPr>
            <w:r>
              <w:rPr>
                <w:rFonts w:hint="eastAsia" w:ascii="宋体" w:hAnsi="宋体" w:cs="宋体"/>
                <w:color w:val="auto"/>
                <w:kern w:val="0"/>
                <w:sz w:val="22"/>
                <w:szCs w:val="20"/>
              </w:rPr>
              <w:t>根据招标文件需要提供的其它文件和资料（如有则提供）</w:t>
            </w:r>
          </w:p>
        </w:tc>
      </w:tr>
    </w:tbl>
    <w:p w14:paraId="516FDC6A">
      <w:pPr>
        <w:autoSpaceDE w:val="0"/>
        <w:autoSpaceDN w:val="0"/>
        <w:adjustRightInd w:val="0"/>
        <w:snapToGrid w:val="0"/>
        <w:spacing w:line="460" w:lineRule="atLeast"/>
        <w:ind w:firstLine="440" w:firstLineChars="200"/>
        <w:rPr>
          <w:rFonts w:ascii="宋体" w:hAnsi="宋体"/>
          <w:b w:val="0"/>
          <w:bCs w:val="0"/>
          <w:color w:val="auto"/>
          <w:kern w:val="0"/>
          <w:sz w:val="22"/>
          <w:lang w:val="zh-CN"/>
        </w:rPr>
      </w:pPr>
      <w:r>
        <w:rPr>
          <w:rFonts w:hint="eastAsia" w:ascii="宋体" w:hAnsi="宋体"/>
          <w:b w:val="0"/>
          <w:bCs w:val="0"/>
          <w:color w:val="auto"/>
          <w:kern w:val="0"/>
          <w:sz w:val="22"/>
        </w:rPr>
        <w:t>2.3、报价文件</w:t>
      </w:r>
      <w:r>
        <w:rPr>
          <w:rFonts w:hint="eastAsia" w:ascii="宋体" w:hAnsi="宋体"/>
          <w:b w:val="0"/>
          <w:bCs w:val="0"/>
          <w:color w:val="auto"/>
          <w:kern w:val="0"/>
          <w:sz w:val="22"/>
          <w:lang w:val="zh-CN"/>
        </w:rPr>
        <w:t>组成</w:t>
      </w:r>
    </w:p>
    <w:tbl>
      <w:tblPr>
        <w:tblStyle w:val="2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15"/>
      </w:tblGrid>
      <w:tr w14:paraId="5CB5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015BC1C3">
            <w:pPr>
              <w:autoSpaceDE w:val="0"/>
              <w:autoSpaceDN w:val="0"/>
              <w:adjustRightInd w:val="0"/>
              <w:snapToGrid w:val="0"/>
              <w:spacing w:line="430" w:lineRule="atLeast"/>
              <w:jc w:val="center"/>
              <w:rPr>
                <w:rFonts w:ascii="宋体" w:hAnsi="宋体" w:cs="宋体"/>
                <w:color w:val="auto"/>
                <w:kern w:val="0"/>
                <w:sz w:val="22"/>
                <w:szCs w:val="20"/>
                <w:lang w:val="zh-CN"/>
              </w:rPr>
            </w:pPr>
            <w:r>
              <w:rPr>
                <w:rFonts w:hint="eastAsia" w:ascii="宋体" w:hAnsi="宋体" w:cs="宋体"/>
                <w:color w:val="auto"/>
                <w:kern w:val="0"/>
                <w:sz w:val="22"/>
                <w:szCs w:val="20"/>
                <w:lang w:val="zh-CN"/>
              </w:rPr>
              <w:t>序号</w:t>
            </w:r>
          </w:p>
        </w:tc>
        <w:tc>
          <w:tcPr>
            <w:tcW w:w="7815" w:type="dxa"/>
            <w:noWrap w:val="0"/>
            <w:vAlign w:val="top"/>
          </w:tcPr>
          <w:p w14:paraId="38C112D0">
            <w:pPr>
              <w:autoSpaceDE w:val="0"/>
              <w:autoSpaceDN w:val="0"/>
              <w:adjustRightInd w:val="0"/>
              <w:snapToGrid w:val="0"/>
              <w:spacing w:line="430" w:lineRule="atLeast"/>
              <w:rPr>
                <w:rFonts w:ascii="宋体" w:hAnsi="宋体" w:cs="宋体"/>
                <w:color w:val="auto"/>
                <w:kern w:val="0"/>
                <w:sz w:val="22"/>
                <w:szCs w:val="20"/>
                <w:lang w:val="zh-CN"/>
              </w:rPr>
            </w:pPr>
            <w:r>
              <w:rPr>
                <w:rFonts w:hint="eastAsia" w:ascii="宋体" w:hAnsi="宋体" w:cs="宋体"/>
                <w:color w:val="auto"/>
                <w:kern w:val="0"/>
                <w:sz w:val="22"/>
                <w:szCs w:val="20"/>
                <w:lang w:val="zh-CN"/>
              </w:rPr>
              <w:t>内容（</w:t>
            </w:r>
            <w:r>
              <w:rPr>
                <w:rFonts w:hint="eastAsia" w:ascii="宋体" w:hAnsi="宋体" w:cs="宋体"/>
                <w:b/>
                <w:color w:val="auto"/>
                <w:kern w:val="0"/>
                <w:sz w:val="22"/>
                <w:szCs w:val="20"/>
                <w:lang w:val="zh-CN"/>
              </w:rPr>
              <w:t>序号2-3项投标供应商必需提供，否则不能通过符合性审查。</w:t>
            </w:r>
            <w:r>
              <w:rPr>
                <w:rFonts w:hint="eastAsia" w:ascii="宋体" w:hAnsi="宋体" w:cs="宋体"/>
                <w:color w:val="auto"/>
                <w:kern w:val="0"/>
                <w:sz w:val="22"/>
                <w:szCs w:val="20"/>
                <w:lang w:val="zh-CN"/>
              </w:rPr>
              <w:t>）</w:t>
            </w:r>
          </w:p>
        </w:tc>
      </w:tr>
      <w:tr w14:paraId="3CA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37B9F917">
            <w:pPr>
              <w:autoSpaceDE w:val="0"/>
              <w:autoSpaceDN w:val="0"/>
              <w:adjustRightInd w:val="0"/>
              <w:snapToGrid w:val="0"/>
              <w:spacing w:line="430" w:lineRule="atLeast"/>
              <w:jc w:val="center"/>
              <w:rPr>
                <w:rFonts w:ascii="宋体" w:hAnsi="宋体" w:cs="宋体"/>
                <w:color w:val="auto"/>
                <w:kern w:val="0"/>
                <w:sz w:val="22"/>
                <w:szCs w:val="20"/>
                <w:lang w:val="zh-CN"/>
              </w:rPr>
            </w:pPr>
            <w:r>
              <w:rPr>
                <w:rFonts w:hint="eastAsia" w:ascii="宋体" w:hAnsi="宋体" w:cs="宋体"/>
                <w:color w:val="auto"/>
                <w:kern w:val="0"/>
                <w:sz w:val="22"/>
                <w:szCs w:val="20"/>
                <w:lang w:val="zh-CN"/>
              </w:rPr>
              <w:t>1</w:t>
            </w:r>
          </w:p>
        </w:tc>
        <w:tc>
          <w:tcPr>
            <w:tcW w:w="7815" w:type="dxa"/>
            <w:noWrap w:val="0"/>
            <w:vAlign w:val="top"/>
          </w:tcPr>
          <w:p w14:paraId="73E59B1D">
            <w:pPr>
              <w:autoSpaceDE w:val="0"/>
              <w:autoSpaceDN w:val="0"/>
              <w:adjustRightInd w:val="0"/>
              <w:snapToGrid w:val="0"/>
              <w:spacing w:line="430" w:lineRule="atLeast"/>
              <w:rPr>
                <w:rFonts w:ascii="宋体" w:hAnsi="宋体" w:cs="宋体"/>
                <w:color w:val="auto"/>
                <w:kern w:val="0"/>
                <w:sz w:val="22"/>
                <w:szCs w:val="20"/>
                <w:lang w:val="zh-CN"/>
              </w:rPr>
            </w:pPr>
            <w:r>
              <w:rPr>
                <w:rFonts w:hint="eastAsia" w:ascii="宋体" w:hAnsi="宋体"/>
                <w:color w:val="auto"/>
                <w:kern w:val="0"/>
                <w:sz w:val="22"/>
              </w:rPr>
              <w:t>报价文件封面（格式自拟）</w:t>
            </w:r>
          </w:p>
        </w:tc>
      </w:tr>
      <w:tr w14:paraId="1EC5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1FAD8C4C">
            <w:pPr>
              <w:autoSpaceDE w:val="0"/>
              <w:autoSpaceDN w:val="0"/>
              <w:adjustRightInd w:val="0"/>
              <w:snapToGrid w:val="0"/>
              <w:spacing w:line="430" w:lineRule="atLeast"/>
              <w:jc w:val="center"/>
              <w:rPr>
                <w:rFonts w:ascii="宋体" w:hAnsi="宋体" w:cs="宋体"/>
                <w:color w:val="auto"/>
                <w:kern w:val="0"/>
                <w:sz w:val="22"/>
                <w:szCs w:val="20"/>
                <w:lang w:val="zh-CN"/>
              </w:rPr>
            </w:pPr>
            <w:r>
              <w:rPr>
                <w:rFonts w:hint="eastAsia" w:ascii="宋体" w:hAnsi="宋体" w:cs="宋体"/>
                <w:color w:val="auto"/>
                <w:kern w:val="0"/>
                <w:sz w:val="22"/>
                <w:szCs w:val="20"/>
                <w:lang w:val="zh-CN"/>
              </w:rPr>
              <w:t>2</w:t>
            </w:r>
          </w:p>
        </w:tc>
        <w:tc>
          <w:tcPr>
            <w:tcW w:w="7815" w:type="dxa"/>
            <w:noWrap w:val="0"/>
            <w:vAlign w:val="top"/>
          </w:tcPr>
          <w:p w14:paraId="624E05A0">
            <w:pPr>
              <w:autoSpaceDE w:val="0"/>
              <w:autoSpaceDN w:val="0"/>
              <w:adjustRightInd w:val="0"/>
              <w:spacing w:line="430" w:lineRule="atLeast"/>
              <w:textAlignment w:val="bottom"/>
              <w:rPr>
                <w:rFonts w:ascii="宋体" w:hAnsi="宋体" w:cs="宋体"/>
                <w:color w:val="auto"/>
                <w:kern w:val="0"/>
                <w:sz w:val="22"/>
                <w:szCs w:val="20"/>
              </w:rPr>
            </w:pPr>
            <w:r>
              <w:rPr>
                <w:rFonts w:hint="eastAsia" w:ascii="宋体" w:hAnsi="宋体" w:cs="宋体"/>
                <w:color w:val="auto"/>
                <w:kern w:val="0"/>
                <w:sz w:val="22"/>
                <w:szCs w:val="20"/>
              </w:rPr>
              <w:t>开标一览表（附件</w:t>
            </w:r>
            <w:r>
              <w:rPr>
                <w:rFonts w:hint="eastAsia" w:ascii="宋体" w:hAnsi="宋体" w:cs="宋体"/>
                <w:color w:val="auto"/>
                <w:kern w:val="0"/>
                <w:sz w:val="22"/>
                <w:szCs w:val="20"/>
                <w:lang w:eastAsia="zh-CN"/>
              </w:rPr>
              <w:t>二</w:t>
            </w:r>
            <w:r>
              <w:rPr>
                <w:rFonts w:hint="eastAsia" w:ascii="宋体" w:hAnsi="宋体" w:cs="宋体"/>
                <w:color w:val="auto"/>
                <w:kern w:val="0"/>
                <w:sz w:val="22"/>
                <w:szCs w:val="20"/>
              </w:rPr>
              <w:t>）</w:t>
            </w:r>
          </w:p>
        </w:tc>
      </w:tr>
      <w:tr w14:paraId="3530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12DFDE50">
            <w:pPr>
              <w:autoSpaceDE w:val="0"/>
              <w:autoSpaceDN w:val="0"/>
              <w:adjustRightInd w:val="0"/>
              <w:snapToGrid w:val="0"/>
              <w:spacing w:line="430" w:lineRule="atLeast"/>
              <w:jc w:val="center"/>
              <w:rPr>
                <w:rFonts w:ascii="宋体" w:hAnsi="宋体" w:cs="宋体"/>
                <w:color w:val="auto"/>
                <w:kern w:val="0"/>
                <w:sz w:val="22"/>
                <w:szCs w:val="20"/>
                <w:lang w:val="zh-CN"/>
              </w:rPr>
            </w:pPr>
            <w:r>
              <w:rPr>
                <w:rFonts w:hint="eastAsia" w:ascii="宋体" w:hAnsi="宋体" w:cs="宋体"/>
                <w:color w:val="auto"/>
                <w:kern w:val="0"/>
                <w:sz w:val="22"/>
                <w:szCs w:val="20"/>
                <w:lang w:val="zh-CN"/>
              </w:rPr>
              <w:t>3</w:t>
            </w:r>
          </w:p>
        </w:tc>
        <w:tc>
          <w:tcPr>
            <w:tcW w:w="7815" w:type="dxa"/>
            <w:noWrap w:val="0"/>
            <w:vAlign w:val="top"/>
          </w:tcPr>
          <w:p w14:paraId="6E207940">
            <w:pPr>
              <w:autoSpaceDE w:val="0"/>
              <w:autoSpaceDN w:val="0"/>
              <w:adjustRightInd w:val="0"/>
              <w:spacing w:line="430" w:lineRule="atLeast"/>
              <w:textAlignment w:val="bottom"/>
              <w:rPr>
                <w:rFonts w:ascii="宋体" w:hAnsi="宋体" w:cs="宋体"/>
                <w:color w:val="auto"/>
                <w:kern w:val="0"/>
                <w:sz w:val="22"/>
                <w:szCs w:val="20"/>
                <w:lang w:val="zh-CN"/>
              </w:rPr>
            </w:pPr>
            <w:r>
              <w:rPr>
                <w:rFonts w:hint="eastAsia" w:ascii="宋体" w:hAnsi="宋体" w:cs="宋体"/>
                <w:color w:val="auto"/>
                <w:kern w:val="0"/>
                <w:sz w:val="22"/>
                <w:szCs w:val="20"/>
              </w:rPr>
              <w:t>投标费用明细表（附件</w:t>
            </w:r>
            <w:r>
              <w:rPr>
                <w:rFonts w:hint="eastAsia" w:ascii="宋体" w:hAnsi="宋体" w:cs="宋体"/>
                <w:color w:val="auto"/>
                <w:kern w:val="0"/>
                <w:sz w:val="22"/>
                <w:szCs w:val="20"/>
                <w:lang w:eastAsia="zh-CN"/>
              </w:rPr>
              <w:t>三</w:t>
            </w:r>
            <w:r>
              <w:rPr>
                <w:rFonts w:hint="eastAsia" w:ascii="宋体" w:hAnsi="宋体" w:cs="宋体"/>
                <w:color w:val="auto"/>
                <w:kern w:val="0"/>
                <w:sz w:val="22"/>
                <w:szCs w:val="20"/>
              </w:rPr>
              <w:t>）</w:t>
            </w:r>
          </w:p>
        </w:tc>
      </w:tr>
      <w:tr w14:paraId="5989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67DB2B0D">
            <w:pPr>
              <w:autoSpaceDE w:val="0"/>
              <w:autoSpaceDN w:val="0"/>
              <w:adjustRightInd w:val="0"/>
              <w:snapToGrid w:val="0"/>
              <w:spacing w:line="430" w:lineRule="atLeast"/>
              <w:jc w:val="center"/>
              <w:rPr>
                <w:rFonts w:hint="default" w:ascii="宋体" w:hAnsi="宋体" w:eastAsia="宋体" w:cs="宋体"/>
                <w:color w:val="auto"/>
                <w:kern w:val="0"/>
                <w:sz w:val="22"/>
                <w:szCs w:val="20"/>
                <w:lang w:val="en-US" w:eastAsia="zh-CN"/>
              </w:rPr>
            </w:pPr>
            <w:r>
              <w:rPr>
                <w:rFonts w:hint="eastAsia" w:ascii="宋体" w:hAnsi="宋体" w:eastAsia="宋体" w:cs="宋体"/>
                <w:color w:val="auto"/>
                <w:kern w:val="0"/>
                <w:sz w:val="22"/>
                <w:szCs w:val="20"/>
                <w:lang w:val="en-US" w:eastAsia="zh-CN"/>
              </w:rPr>
              <w:t>4</w:t>
            </w:r>
          </w:p>
        </w:tc>
        <w:tc>
          <w:tcPr>
            <w:tcW w:w="7815" w:type="dxa"/>
            <w:noWrap w:val="0"/>
            <w:vAlign w:val="top"/>
          </w:tcPr>
          <w:p w14:paraId="3E032A67">
            <w:pPr>
              <w:autoSpaceDE w:val="0"/>
              <w:autoSpaceDN w:val="0"/>
              <w:adjustRightInd w:val="0"/>
              <w:spacing w:line="430" w:lineRule="atLeast"/>
              <w:textAlignment w:val="bottom"/>
              <w:rPr>
                <w:rFonts w:hint="default" w:ascii="宋体" w:hAnsi="宋体" w:eastAsia="宋体" w:cs="宋体"/>
                <w:color w:val="auto"/>
                <w:kern w:val="0"/>
                <w:sz w:val="22"/>
                <w:szCs w:val="20"/>
                <w:lang w:val="en-US" w:eastAsia="zh-CN"/>
              </w:rPr>
            </w:pPr>
            <w:r>
              <w:rPr>
                <w:rFonts w:hint="eastAsia" w:ascii="宋体" w:hAnsi="宋体" w:cs="Courier New"/>
                <w:color w:val="auto"/>
                <w:kern w:val="0"/>
                <w:sz w:val="22"/>
                <w:szCs w:val="20"/>
                <w:lang w:eastAsia="zh-CN"/>
              </w:rPr>
              <w:t>小微企业享受价格折扣证明材料（见第四章及附件）</w:t>
            </w:r>
            <w:r>
              <w:rPr>
                <w:rFonts w:hint="eastAsia" w:ascii="宋体" w:hAnsi="宋体" w:cs="宋体"/>
                <w:color w:val="auto"/>
                <w:kern w:val="0"/>
                <w:sz w:val="22"/>
                <w:szCs w:val="20"/>
                <w:lang w:eastAsia="zh-CN"/>
              </w:rPr>
              <w:t>（</w:t>
            </w:r>
            <w:r>
              <w:rPr>
                <w:rFonts w:hint="eastAsia" w:ascii="宋体" w:hAnsi="宋体" w:cs="宋体"/>
                <w:color w:val="auto"/>
                <w:kern w:val="0"/>
                <w:sz w:val="22"/>
                <w:szCs w:val="20"/>
              </w:rPr>
              <w:t>如有则提供）</w:t>
            </w:r>
          </w:p>
        </w:tc>
      </w:tr>
      <w:tr w14:paraId="6E19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4FA818B8">
            <w:pPr>
              <w:autoSpaceDE w:val="0"/>
              <w:autoSpaceDN w:val="0"/>
              <w:adjustRightInd w:val="0"/>
              <w:snapToGrid w:val="0"/>
              <w:spacing w:line="430" w:lineRule="atLeast"/>
              <w:jc w:val="center"/>
              <w:rPr>
                <w:rFonts w:hint="eastAsia" w:ascii="宋体" w:hAnsi="宋体" w:eastAsia="宋体" w:cs="宋体"/>
                <w:color w:val="auto"/>
                <w:kern w:val="0"/>
                <w:sz w:val="22"/>
                <w:szCs w:val="20"/>
                <w:lang w:val="en-US" w:eastAsia="zh-CN" w:bidi="ar-SA"/>
              </w:rPr>
            </w:pPr>
            <w:r>
              <w:rPr>
                <w:rFonts w:hint="eastAsia" w:ascii="宋体" w:hAnsi="宋体" w:cs="宋体"/>
                <w:color w:val="auto"/>
                <w:kern w:val="0"/>
                <w:sz w:val="22"/>
                <w:szCs w:val="20"/>
                <w:lang w:val="en-US" w:eastAsia="zh-CN"/>
              </w:rPr>
              <w:t>5</w:t>
            </w:r>
          </w:p>
        </w:tc>
        <w:tc>
          <w:tcPr>
            <w:tcW w:w="7815" w:type="dxa"/>
            <w:noWrap w:val="0"/>
            <w:vAlign w:val="top"/>
          </w:tcPr>
          <w:p w14:paraId="41A1A3AF">
            <w:pPr>
              <w:autoSpaceDE w:val="0"/>
              <w:autoSpaceDN w:val="0"/>
              <w:adjustRightInd w:val="0"/>
              <w:spacing w:line="430" w:lineRule="atLeast"/>
              <w:textAlignment w:val="bottom"/>
              <w:rPr>
                <w:rFonts w:hint="eastAsia" w:ascii="宋体" w:hAnsi="宋体" w:eastAsia="宋体" w:cs="宋体"/>
                <w:color w:val="auto"/>
                <w:kern w:val="0"/>
                <w:sz w:val="22"/>
                <w:szCs w:val="20"/>
                <w:lang w:val="en-US" w:eastAsia="zh-CN" w:bidi="ar-SA"/>
              </w:rPr>
            </w:pPr>
            <w:r>
              <w:rPr>
                <w:rFonts w:hint="eastAsia" w:ascii="宋体" w:hAnsi="宋体" w:cs="宋体"/>
                <w:color w:val="auto"/>
                <w:kern w:val="0"/>
                <w:sz w:val="22"/>
                <w:szCs w:val="20"/>
              </w:rPr>
              <w:t>其他</w:t>
            </w:r>
            <w:r>
              <w:rPr>
                <w:rFonts w:hint="eastAsia" w:ascii="宋体" w:hAnsi="宋体" w:cs="宋体"/>
                <w:color w:val="auto"/>
                <w:kern w:val="0"/>
                <w:sz w:val="22"/>
                <w:szCs w:val="20"/>
                <w:lang w:eastAsia="zh-CN"/>
              </w:rPr>
              <w:t>需</w:t>
            </w:r>
            <w:r>
              <w:rPr>
                <w:rFonts w:hint="eastAsia" w:ascii="宋体" w:hAnsi="宋体" w:cs="宋体"/>
                <w:color w:val="auto"/>
                <w:kern w:val="0"/>
                <w:sz w:val="22"/>
                <w:szCs w:val="20"/>
              </w:rPr>
              <w:t>说明的资料（如有则提供）</w:t>
            </w:r>
          </w:p>
        </w:tc>
      </w:tr>
    </w:tbl>
    <w:p w14:paraId="757B4923">
      <w:pPr>
        <w:autoSpaceDE w:val="0"/>
        <w:autoSpaceDN w:val="0"/>
        <w:adjustRightInd w:val="0"/>
        <w:snapToGrid w:val="0"/>
        <w:ind w:firstLine="422"/>
        <w:textAlignment w:val="bottom"/>
        <w:rPr>
          <w:rFonts w:hint="eastAsia" w:ascii="宋体"/>
          <w:b/>
          <w:bCs/>
          <w:color w:val="auto"/>
          <w:sz w:val="22"/>
        </w:rPr>
      </w:pPr>
    </w:p>
    <w:p w14:paraId="15C38620">
      <w:pPr>
        <w:pStyle w:val="10"/>
        <w:adjustRightInd w:val="0"/>
        <w:snapToGrid w:val="0"/>
        <w:spacing w:before="156" w:after="156" w:line="240" w:lineRule="auto"/>
        <w:ind w:firstLine="440" w:firstLineChars="200"/>
        <w:rPr>
          <w:rFonts w:hint="eastAsia" w:ascii="宋体" w:hAnsi="Times New Roman" w:eastAsia="宋体" w:cs="Times New Roman"/>
          <w:color w:val="auto"/>
          <w:kern w:val="2"/>
          <w:sz w:val="22"/>
          <w:szCs w:val="22"/>
          <w:lang w:val="zh-CN" w:eastAsia="zh-CN" w:bidi="ar-SA"/>
        </w:rPr>
      </w:pPr>
      <w:r>
        <w:rPr>
          <w:rFonts w:hint="eastAsia" w:ascii="宋体" w:hAnsi="Times New Roman" w:eastAsia="宋体" w:cs="Times New Roman"/>
          <w:color w:val="auto"/>
          <w:kern w:val="2"/>
          <w:sz w:val="22"/>
          <w:szCs w:val="22"/>
          <w:lang w:val="zh-CN" w:eastAsia="zh-CN" w:bidi="ar-SA"/>
        </w:rPr>
        <w:t>3、投标报价</w:t>
      </w:r>
    </w:p>
    <w:p w14:paraId="18DA52D1">
      <w:pPr>
        <w:pStyle w:val="10"/>
        <w:adjustRightInd w:val="0"/>
        <w:snapToGrid w:val="0"/>
        <w:spacing w:before="156" w:after="156" w:line="240" w:lineRule="auto"/>
        <w:ind w:firstLine="440" w:firstLineChars="200"/>
        <w:rPr>
          <w:rFonts w:hint="eastAsia" w:ascii="宋体" w:hAnsi="Times New Roman" w:eastAsia="宋体" w:cs="Times New Roman"/>
          <w:color w:val="auto"/>
          <w:kern w:val="2"/>
          <w:sz w:val="22"/>
          <w:szCs w:val="22"/>
          <w:lang w:val="zh-CN" w:eastAsia="zh-CN" w:bidi="ar-SA"/>
        </w:rPr>
      </w:pPr>
      <w:r>
        <w:rPr>
          <w:rFonts w:hint="eastAsia" w:ascii="宋体" w:hAnsi="Times New Roman" w:eastAsia="宋体" w:cs="Times New Roman"/>
          <w:color w:val="auto"/>
          <w:kern w:val="2"/>
          <w:sz w:val="22"/>
          <w:szCs w:val="22"/>
          <w:lang w:val="zh-CN" w:eastAsia="zh-CN" w:bidi="ar-SA"/>
        </w:rPr>
        <w:t>3.1、投标供应商应按招标文件中《开标一览表》填写投标总价。</w:t>
      </w:r>
    </w:p>
    <w:p w14:paraId="642FFCBE">
      <w:pPr>
        <w:pStyle w:val="10"/>
        <w:adjustRightInd w:val="0"/>
        <w:snapToGrid w:val="0"/>
        <w:spacing w:before="156" w:after="156" w:line="240" w:lineRule="auto"/>
        <w:ind w:firstLine="440" w:firstLineChars="200"/>
        <w:rPr>
          <w:rFonts w:hint="eastAsia" w:ascii="宋体" w:hAnsi="Times New Roman" w:eastAsia="宋体" w:cs="Times New Roman"/>
          <w:color w:val="auto"/>
          <w:kern w:val="2"/>
          <w:sz w:val="22"/>
          <w:szCs w:val="22"/>
          <w:lang w:val="zh-CN" w:eastAsia="zh-CN" w:bidi="ar-SA"/>
        </w:rPr>
      </w:pPr>
      <w:r>
        <w:rPr>
          <w:rFonts w:hint="eastAsia" w:ascii="宋体" w:hAnsi="Times New Roman" w:eastAsia="宋体" w:cs="Times New Roman"/>
          <w:color w:val="auto"/>
          <w:kern w:val="2"/>
          <w:sz w:val="22"/>
          <w:szCs w:val="22"/>
          <w:lang w:val="zh-CN" w:eastAsia="zh-CN" w:bidi="ar-SA"/>
        </w:rPr>
        <w:t>3.2、本次招标只允许有一个报价，有选择的报价将不予接受。</w:t>
      </w:r>
    </w:p>
    <w:p w14:paraId="441B8792">
      <w:pPr>
        <w:pStyle w:val="10"/>
        <w:adjustRightInd w:val="0"/>
        <w:snapToGrid w:val="0"/>
        <w:spacing w:before="156" w:after="156" w:line="240" w:lineRule="auto"/>
        <w:ind w:firstLine="440" w:firstLineChars="200"/>
        <w:rPr>
          <w:rFonts w:hint="eastAsia" w:ascii="宋体" w:hAnsi="Times New Roman" w:eastAsia="宋体" w:cs="Times New Roman"/>
          <w:color w:val="auto"/>
          <w:kern w:val="2"/>
          <w:sz w:val="22"/>
          <w:szCs w:val="22"/>
          <w:lang w:val="zh-CN" w:eastAsia="zh-CN" w:bidi="ar-SA"/>
        </w:rPr>
      </w:pPr>
      <w:r>
        <w:rPr>
          <w:rFonts w:hint="eastAsia" w:ascii="宋体" w:hAnsi="Times New Roman" w:eastAsia="宋体" w:cs="Times New Roman"/>
          <w:color w:val="auto"/>
          <w:kern w:val="2"/>
          <w:sz w:val="22"/>
          <w:szCs w:val="22"/>
          <w:lang w:val="zh-CN" w:eastAsia="zh-CN" w:bidi="ar-SA"/>
        </w:rPr>
        <w:t>3.3、投标供应商应考虑企业自身实力、经验及项目实施过程中的各种因素，自主确定报价。投标供应商应在各自技术和商务占优势的基础上并充分考虑本项目的重要性，提供对采购人最优惠的报价。</w:t>
      </w:r>
    </w:p>
    <w:p w14:paraId="1B3E11DA">
      <w:pPr>
        <w:pStyle w:val="10"/>
        <w:adjustRightInd w:val="0"/>
        <w:snapToGrid w:val="0"/>
        <w:spacing w:before="156" w:after="156" w:line="240" w:lineRule="auto"/>
        <w:ind w:firstLine="440" w:firstLineChars="200"/>
        <w:rPr>
          <w:rFonts w:hint="eastAsia" w:ascii="宋体" w:hAnsi="Times New Roman" w:eastAsia="宋体" w:cs="Times New Roman"/>
          <w:color w:val="auto"/>
          <w:kern w:val="2"/>
          <w:sz w:val="22"/>
          <w:szCs w:val="22"/>
          <w:lang w:val="zh-CN" w:eastAsia="zh-CN" w:bidi="ar-SA"/>
        </w:rPr>
      </w:pPr>
      <w:r>
        <w:rPr>
          <w:rFonts w:hint="eastAsia" w:ascii="宋体" w:hAnsi="Times New Roman" w:eastAsia="宋体" w:cs="Times New Roman"/>
          <w:color w:val="auto"/>
          <w:kern w:val="2"/>
          <w:sz w:val="22"/>
          <w:szCs w:val="22"/>
          <w:lang w:val="zh-CN" w:eastAsia="zh-CN" w:bidi="ar-SA"/>
        </w:rPr>
        <w:t>投标供应商在投标报价中应充分考虑所有可能发生的费用，否则采购人将视投标总价中已包括所有费用。</w:t>
      </w:r>
    </w:p>
    <w:p w14:paraId="5F1C92E3">
      <w:pPr>
        <w:pStyle w:val="10"/>
        <w:adjustRightInd w:val="0"/>
        <w:snapToGrid w:val="0"/>
        <w:spacing w:before="156" w:after="156" w:line="240" w:lineRule="auto"/>
        <w:ind w:firstLine="440" w:firstLineChars="200"/>
        <w:rPr>
          <w:rFonts w:hint="eastAsia" w:ascii="宋体" w:hAnsi="Times New Roman" w:eastAsia="宋体" w:cs="Times New Roman"/>
          <w:color w:val="auto"/>
          <w:kern w:val="2"/>
          <w:sz w:val="22"/>
          <w:szCs w:val="22"/>
          <w:lang w:val="zh-CN" w:eastAsia="zh-CN" w:bidi="ar-SA"/>
        </w:rPr>
      </w:pPr>
      <w:r>
        <w:rPr>
          <w:rFonts w:hint="eastAsia" w:ascii="宋体" w:hAnsi="Times New Roman" w:eastAsia="宋体" w:cs="Times New Roman"/>
          <w:color w:val="auto"/>
          <w:kern w:val="2"/>
          <w:sz w:val="22"/>
          <w:szCs w:val="22"/>
          <w:lang w:val="zh-CN" w:eastAsia="zh-CN" w:bidi="ar-SA"/>
        </w:rPr>
        <w:t>投标供应商对在合同执行中，除上述费用及招标文件规定的由中标供应商负责的工作范围以外需要采购人协调或提供便利的工作应当在投标文件中说明。</w:t>
      </w:r>
    </w:p>
    <w:p w14:paraId="62418A6A">
      <w:pPr>
        <w:pStyle w:val="10"/>
        <w:adjustRightInd w:val="0"/>
        <w:snapToGrid w:val="0"/>
        <w:spacing w:before="156" w:after="156" w:line="240" w:lineRule="auto"/>
        <w:ind w:firstLine="440" w:firstLineChars="200"/>
        <w:rPr>
          <w:rFonts w:hint="eastAsia" w:hAnsi="宋体"/>
          <w:color w:val="auto"/>
          <w:sz w:val="22"/>
          <w:szCs w:val="22"/>
        </w:rPr>
      </w:pPr>
    </w:p>
    <w:p w14:paraId="33EB2F31">
      <w:pPr>
        <w:autoSpaceDE w:val="0"/>
        <w:autoSpaceDN w:val="0"/>
        <w:adjustRightInd w:val="0"/>
        <w:snapToGrid w:val="0"/>
        <w:ind w:firstLine="440" w:firstLineChars="200"/>
        <w:textAlignment w:val="bottom"/>
        <w:rPr>
          <w:rFonts w:ascii="宋体"/>
          <w:b w:val="0"/>
          <w:bCs w:val="0"/>
          <w:color w:val="auto"/>
          <w:sz w:val="22"/>
        </w:rPr>
      </w:pPr>
      <w:r>
        <w:rPr>
          <w:rFonts w:hint="eastAsia" w:ascii="宋体"/>
          <w:b w:val="0"/>
          <w:bCs w:val="0"/>
          <w:color w:val="auto"/>
          <w:sz w:val="22"/>
        </w:rPr>
        <w:t>4、采购人要求分类报价是为了方便评标，但在任何情况下不限制采购人以其认为最合适的条款签订合同的权利。</w:t>
      </w:r>
    </w:p>
    <w:p w14:paraId="47E3D735">
      <w:pPr>
        <w:pStyle w:val="10"/>
        <w:adjustRightInd w:val="0"/>
        <w:snapToGrid w:val="0"/>
        <w:spacing w:before="156" w:after="156" w:line="240" w:lineRule="auto"/>
        <w:ind w:firstLine="440" w:firstLineChars="200"/>
        <w:rPr>
          <w:rFonts w:hAnsi="宋体"/>
          <w:b w:val="0"/>
          <w:bCs w:val="0"/>
          <w:color w:val="auto"/>
          <w:sz w:val="22"/>
          <w:szCs w:val="22"/>
        </w:rPr>
      </w:pPr>
      <w:bookmarkStart w:id="5" w:name="_Toc132122414"/>
      <w:bookmarkStart w:id="6" w:name="_Toc132122117"/>
      <w:r>
        <w:rPr>
          <w:rFonts w:hint="eastAsia" w:hAnsi="宋体"/>
          <w:b w:val="0"/>
          <w:bCs w:val="0"/>
          <w:color w:val="auto"/>
          <w:sz w:val="22"/>
          <w:szCs w:val="22"/>
        </w:rPr>
        <w:t>5、投标文件的有效期</w:t>
      </w:r>
      <w:bookmarkEnd w:id="5"/>
      <w:bookmarkEnd w:id="6"/>
    </w:p>
    <w:p w14:paraId="6B1F15B7">
      <w:pPr>
        <w:pStyle w:val="10"/>
        <w:adjustRightInd w:val="0"/>
        <w:snapToGrid w:val="0"/>
        <w:spacing w:before="156" w:after="156" w:line="240" w:lineRule="auto"/>
        <w:ind w:firstLine="440" w:firstLineChars="200"/>
        <w:rPr>
          <w:rFonts w:hAnsi="宋体"/>
          <w:color w:val="auto"/>
          <w:sz w:val="22"/>
          <w:szCs w:val="22"/>
        </w:rPr>
      </w:pPr>
      <w:r>
        <w:rPr>
          <w:rFonts w:hint="eastAsia" w:hAnsi="宋体"/>
          <w:color w:val="auto"/>
          <w:sz w:val="22"/>
          <w:szCs w:val="22"/>
        </w:rPr>
        <w:t>5.1、自</w:t>
      </w:r>
      <w:r>
        <w:rPr>
          <w:rFonts w:hint="eastAsia" w:hAnsi="宋体" w:cs="宋体"/>
          <w:color w:val="auto"/>
          <w:sz w:val="22"/>
        </w:rPr>
        <w:t>提交投标文件截止时间起90天</w:t>
      </w:r>
      <w:r>
        <w:rPr>
          <w:rFonts w:hint="eastAsia" w:hAnsi="宋体"/>
          <w:color w:val="auto"/>
          <w:sz w:val="22"/>
          <w:szCs w:val="22"/>
        </w:rPr>
        <w:t>，投标文件应保持有效。有效期短于这个规定期限的投标将被拒绝。</w:t>
      </w:r>
    </w:p>
    <w:p w14:paraId="0A8DEF67">
      <w:pPr>
        <w:pStyle w:val="10"/>
        <w:adjustRightInd w:val="0"/>
        <w:snapToGrid w:val="0"/>
        <w:spacing w:before="156" w:after="156" w:line="240" w:lineRule="auto"/>
        <w:ind w:firstLine="440" w:firstLineChars="200"/>
        <w:rPr>
          <w:rFonts w:hAnsi="宋体"/>
          <w:color w:val="auto"/>
          <w:sz w:val="22"/>
          <w:szCs w:val="22"/>
        </w:rPr>
      </w:pPr>
      <w:r>
        <w:rPr>
          <w:rFonts w:hint="eastAsia" w:hAnsi="宋体"/>
          <w:color w:val="auto"/>
          <w:sz w:val="22"/>
          <w:szCs w:val="22"/>
        </w:rPr>
        <w:t>5.2、在特殊情况下，采购人可与投标供应商协商延长投标文件的有效期，这种要求和答复均应以书面形式进行。</w:t>
      </w:r>
    </w:p>
    <w:p w14:paraId="358449AF">
      <w:pPr>
        <w:pStyle w:val="10"/>
        <w:adjustRightInd w:val="0"/>
        <w:snapToGrid w:val="0"/>
        <w:spacing w:before="156" w:after="156" w:line="240" w:lineRule="auto"/>
        <w:ind w:firstLine="440" w:firstLineChars="200"/>
        <w:rPr>
          <w:rFonts w:hAnsi="宋体"/>
          <w:color w:val="auto"/>
          <w:sz w:val="22"/>
          <w:szCs w:val="22"/>
        </w:rPr>
      </w:pPr>
      <w:r>
        <w:rPr>
          <w:rFonts w:hint="eastAsia" w:hAnsi="宋体"/>
          <w:color w:val="auto"/>
          <w:sz w:val="22"/>
          <w:szCs w:val="22"/>
        </w:rPr>
        <w:t>5.3、投标供应商可拒绝接受延期要求，同意延长有效期的投标供应商不能修改投标文件。</w:t>
      </w:r>
    </w:p>
    <w:p w14:paraId="7F5D325C">
      <w:pPr>
        <w:pStyle w:val="32"/>
        <w:spacing w:before="0" w:line="460" w:lineRule="exact"/>
        <w:ind w:firstLine="442"/>
        <w:rPr>
          <w:rFonts w:ascii="宋体" w:hAnsi="宋体" w:cs="仿宋_GB2312"/>
          <w:b w:val="0"/>
          <w:bCs w:val="0"/>
          <w:color w:val="auto"/>
          <w:kern w:val="0"/>
          <w:sz w:val="22"/>
        </w:rPr>
      </w:pPr>
      <w:r>
        <w:rPr>
          <w:rFonts w:hint="eastAsia" w:ascii="宋体" w:hAnsi="宋体"/>
          <w:b w:val="0"/>
          <w:bCs w:val="0"/>
          <w:color w:val="auto"/>
          <w:sz w:val="22"/>
        </w:rPr>
        <w:t>6、</w:t>
      </w:r>
      <w:r>
        <w:rPr>
          <w:rFonts w:hint="eastAsia" w:ascii="宋体" w:hAnsi="宋体" w:cs="仿宋_GB2312"/>
          <w:b w:val="0"/>
          <w:bCs w:val="0"/>
          <w:color w:val="auto"/>
          <w:kern w:val="0"/>
          <w:sz w:val="22"/>
          <w:lang w:val="zh-CN"/>
        </w:rPr>
        <w:t>投标文件编制</w:t>
      </w:r>
    </w:p>
    <w:p w14:paraId="057B19D5">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rPr>
        <w:t>6.1、</w:t>
      </w:r>
      <w:r>
        <w:rPr>
          <w:rFonts w:hint="eastAsia" w:ascii="宋体" w:hAnsi="宋体" w:cs="仿宋_GB2312"/>
          <w:color w:val="auto"/>
          <w:kern w:val="0"/>
          <w:sz w:val="22"/>
          <w:lang w:val="zh-CN"/>
        </w:rPr>
        <w:t>本项目通过</w:t>
      </w:r>
      <w:r>
        <w:rPr>
          <w:rFonts w:hint="eastAsia" w:ascii="宋体" w:hAnsi="宋体" w:cs="仿宋_GB2312"/>
          <w:color w:val="auto"/>
          <w:kern w:val="0"/>
          <w:sz w:val="22"/>
        </w:rPr>
        <w:t>“</w:t>
      </w:r>
      <w:r>
        <w:rPr>
          <w:rFonts w:hint="eastAsia" w:ascii="宋体" w:hAnsi="宋体" w:cs="仿宋_GB2312"/>
          <w:color w:val="auto"/>
          <w:kern w:val="0"/>
          <w:sz w:val="22"/>
          <w:lang w:val="zh-CN"/>
        </w:rPr>
        <w:t>政府采购云平台</w:t>
      </w:r>
      <w:r>
        <w:rPr>
          <w:rFonts w:hint="eastAsia" w:ascii="宋体" w:hAnsi="宋体" w:cs="仿宋_GB2312"/>
          <w:color w:val="auto"/>
          <w:kern w:val="0"/>
          <w:sz w:val="22"/>
        </w:rPr>
        <w:t>（www.zcygov.cn）”</w:t>
      </w:r>
      <w:r>
        <w:rPr>
          <w:rFonts w:hint="eastAsia" w:ascii="宋体" w:hAnsi="宋体" w:cs="仿宋_GB2312"/>
          <w:color w:val="auto"/>
          <w:kern w:val="0"/>
          <w:sz w:val="22"/>
          <w:lang w:val="zh-CN"/>
        </w:rPr>
        <w:t>实行在线投标响应</w:t>
      </w:r>
      <w:r>
        <w:rPr>
          <w:rFonts w:hint="eastAsia" w:ascii="宋体" w:hAnsi="宋体" w:cs="仿宋_GB2312"/>
          <w:color w:val="auto"/>
          <w:kern w:val="0"/>
          <w:sz w:val="22"/>
        </w:rPr>
        <w:t>（</w:t>
      </w:r>
      <w:r>
        <w:rPr>
          <w:rFonts w:hint="eastAsia" w:ascii="宋体" w:hAnsi="宋体" w:cs="仿宋_GB2312"/>
          <w:color w:val="auto"/>
          <w:kern w:val="0"/>
          <w:sz w:val="22"/>
          <w:lang w:val="zh-CN"/>
        </w:rPr>
        <w:t>电子投标</w:t>
      </w:r>
      <w:r>
        <w:rPr>
          <w:rFonts w:hint="eastAsia" w:ascii="宋体" w:hAnsi="宋体" w:cs="仿宋_GB2312"/>
          <w:color w:val="auto"/>
          <w:kern w:val="0"/>
          <w:sz w:val="22"/>
        </w:rPr>
        <w:t>）</w:t>
      </w:r>
      <w:r>
        <w:rPr>
          <w:rFonts w:hint="eastAsia" w:ascii="宋体" w:hAnsi="宋体" w:cs="仿宋_GB2312"/>
          <w:color w:val="auto"/>
          <w:kern w:val="0"/>
          <w:sz w:val="22"/>
          <w:lang w:val="zh-CN"/>
        </w:rPr>
        <w:t>。供应商应通过“政采云电子交易客户端”，并按照本招标文件和“政府采购云平台”的要求编制并加密投标文件。</w:t>
      </w:r>
    </w:p>
    <w:p w14:paraId="7772D142">
      <w:pPr>
        <w:pStyle w:val="32"/>
        <w:spacing w:before="0" w:line="460" w:lineRule="exact"/>
        <w:ind w:firstLine="440"/>
        <w:rPr>
          <w:rFonts w:ascii="宋体" w:hAnsi="宋体" w:cs="仿宋_GB2312"/>
          <w:b/>
          <w:bCs/>
          <w:color w:val="auto"/>
          <w:kern w:val="0"/>
          <w:sz w:val="22"/>
          <w:lang w:val="zh-CN"/>
        </w:rPr>
      </w:pPr>
      <w:r>
        <w:rPr>
          <w:rFonts w:hint="eastAsia" w:ascii="宋体" w:hAnsi="宋体" w:cs="仿宋_GB2312"/>
          <w:b/>
          <w:bCs/>
          <w:color w:val="auto"/>
          <w:kern w:val="0"/>
          <w:sz w:val="22"/>
        </w:rPr>
        <w:t>6</w:t>
      </w:r>
      <w:r>
        <w:rPr>
          <w:rFonts w:hint="eastAsia" w:ascii="宋体" w:hAnsi="宋体" w:cs="仿宋_GB2312"/>
          <w:b/>
          <w:bCs/>
          <w:color w:val="auto"/>
          <w:kern w:val="0"/>
          <w:sz w:val="22"/>
          <w:lang w:val="zh-CN"/>
        </w:rPr>
        <w:t>.2、投标人应根据“政采云供应商项目采购-电子招投标操作指南”及本招标文件规定的</w:t>
      </w:r>
      <w:r>
        <w:rPr>
          <w:rFonts w:hint="eastAsia" w:ascii="宋体" w:hAnsi="宋体" w:cs="仿宋_GB2312"/>
          <w:b/>
          <w:bCs/>
          <w:color w:val="auto"/>
          <w:kern w:val="0"/>
          <w:sz w:val="22"/>
        </w:rPr>
        <w:t>内容</w:t>
      </w:r>
      <w:r>
        <w:rPr>
          <w:rFonts w:hint="eastAsia" w:ascii="宋体" w:hAnsi="宋体" w:cs="仿宋_GB2312"/>
          <w:b/>
          <w:bCs/>
          <w:color w:val="auto"/>
          <w:kern w:val="0"/>
          <w:sz w:val="22"/>
          <w:lang w:val="zh-CN"/>
        </w:rPr>
        <w:t>和顺序编制电子投标文件并进行关联定位。</w:t>
      </w:r>
    </w:p>
    <w:p w14:paraId="315A57A3">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rPr>
        <w:t>6</w:t>
      </w:r>
      <w:r>
        <w:rPr>
          <w:rFonts w:hint="eastAsia" w:ascii="宋体" w:hAnsi="宋体" w:cs="仿宋_GB2312"/>
          <w:color w:val="auto"/>
          <w:kern w:val="0"/>
          <w:sz w:val="22"/>
          <w:lang w:val="zh-CN"/>
        </w:rPr>
        <w:t>.3、投标供应商没有按照本章节 “投标文件的组成”要求提供全部资料，或者没有仔细阅读招标文件，或者没有对招标文件在各方面的要求作出实质性响应是投标供应商的风险，由此造成的一切后果由投标供应商自行承担。</w:t>
      </w:r>
      <w:bookmarkStart w:id="7" w:name="_Hlt68072998"/>
      <w:bookmarkEnd w:id="7"/>
      <w:bookmarkStart w:id="8" w:name="_Hlt68073093"/>
      <w:bookmarkEnd w:id="8"/>
      <w:bookmarkStart w:id="9" w:name="_Hlt68403820"/>
      <w:bookmarkEnd w:id="9"/>
    </w:p>
    <w:p w14:paraId="42C41556">
      <w:pPr>
        <w:pStyle w:val="32"/>
        <w:spacing w:before="0" w:line="460" w:lineRule="exact"/>
        <w:ind w:firstLine="440"/>
        <w:rPr>
          <w:rFonts w:ascii="宋体" w:hAnsi="宋体" w:cs="仿宋_GB2312"/>
          <w:color w:val="auto"/>
          <w:kern w:val="0"/>
          <w:sz w:val="22"/>
          <w:lang w:val="zh-CN"/>
        </w:rPr>
      </w:pPr>
    </w:p>
    <w:p w14:paraId="2D3BDD9D">
      <w:pPr>
        <w:pStyle w:val="32"/>
        <w:spacing w:before="0" w:line="460" w:lineRule="exact"/>
        <w:ind w:firstLine="442"/>
        <w:rPr>
          <w:rFonts w:ascii="宋体" w:hAnsi="宋体" w:cs="仿宋_GB2312"/>
          <w:b w:val="0"/>
          <w:bCs w:val="0"/>
          <w:color w:val="auto"/>
          <w:kern w:val="0"/>
          <w:sz w:val="22"/>
          <w:lang w:val="zh-CN"/>
        </w:rPr>
      </w:pPr>
      <w:r>
        <w:rPr>
          <w:rFonts w:hint="eastAsia" w:ascii="宋体" w:hAnsi="宋体" w:cs="仿宋_GB2312"/>
          <w:b w:val="0"/>
          <w:bCs w:val="0"/>
          <w:color w:val="auto"/>
          <w:kern w:val="0"/>
          <w:sz w:val="22"/>
        </w:rPr>
        <w:t>7</w:t>
      </w:r>
      <w:r>
        <w:rPr>
          <w:rFonts w:hint="eastAsia" w:ascii="宋体" w:hAnsi="宋体" w:cs="仿宋_GB2312"/>
          <w:b w:val="0"/>
          <w:bCs w:val="0"/>
          <w:color w:val="auto"/>
          <w:kern w:val="0"/>
          <w:sz w:val="22"/>
          <w:lang w:val="zh-CN"/>
        </w:rPr>
        <w:t>、</w:t>
      </w:r>
      <w:r>
        <w:rPr>
          <w:rFonts w:hint="eastAsia"/>
          <w:b w:val="0"/>
          <w:bCs w:val="0"/>
          <w:color w:val="auto"/>
          <w:sz w:val="22"/>
        </w:rPr>
        <w:t xml:space="preserve"> </w:t>
      </w:r>
      <w:r>
        <w:rPr>
          <w:rFonts w:hint="eastAsia" w:ascii="宋体" w:hAnsi="宋体" w:cs="仿宋_GB2312"/>
          <w:b w:val="0"/>
          <w:bCs w:val="0"/>
          <w:color w:val="auto"/>
          <w:kern w:val="0"/>
          <w:sz w:val="22"/>
          <w:lang w:val="zh-CN"/>
        </w:rPr>
        <w:t>投标文件的签章</w:t>
      </w:r>
    </w:p>
    <w:p w14:paraId="76611DCD">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rPr>
        <w:t>7</w:t>
      </w:r>
      <w:r>
        <w:rPr>
          <w:rFonts w:hint="eastAsia" w:ascii="宋体" w:hAnsi="宋体" w:cs="仿宋_GB2312"/>
          <w:color w:val="auto"/>
          <w:kern w:val="0"/>
          <w:sz w:val="22"/>
          <w:lang w:val="zh-CN"/>
        </w:rPr>
        <w:t>.1、投标文件的签章：见《</w:t>
      </w:r>
      <w:r>
        <w:rPr>
          <w:rFonts w:ascii="宋体" w:hAnsi="宋体" w:cs="仿宋_GB2312"/>
          <w:color w:val="auto"/>
          <w:kern w:val="0"/>
          <w:sz w:val="22"/>
          <w:lang w:val="zh-CN"/>
        </w:rPr>
        <w:t>投标</w:t>
      </w:r>
      <w:r>
        <w:rPr>
          <w:rFonts w:hint="eastAsia" w:ascii="宋体" w:hAnsi="宋体" w:cs="仿宋_GB2312"/>
          <w:color w:val="auto"/>
          <w:kern w:val="0"/>
          <w:sz w:val="22"/>
        </w:rPr>
        <w:t>人</w:t>
      </w:r>
      <w:r>
        <w:rPr>
          <w:rFonts w:ascii="宋体" w:hAnsi="宋体" w:cs="仿宋_GB2312"/>
          <w:color w:val="auto"/>
          <w:kern w:val="0"/>
          <w:sz w:val="22"/>
          <w:lang w:val="zh-CN"/>
        </w:rPr>
        <w:t>须知前附表</w:t>
      </w:r>
      <w:r>
        <w:rPr>
          <w:rFonts w:hint="eastAsia" w:ascii="宋体" w:hAnsi="宋体" w:cs="仿宋_GB2312"/>
          <w:color w:val="auto"/>
          <w:kern w:val="0"/>
          <w:sz w:val="22"/>
          <w:lang w:val="zh-CN"/>
        </w:rPr>
        <w:t>》；</w:t>
      </w:r>
    </w:p>
    <w:p w14:paraId="6CEA5189">
      <w:pPr>
        <w:pStyle w:val="32"/>
        <w:spacing w:before="0" w:line="460" w:lineRule="exact"/>
        <w:ind w:firstLine="440"/>
        <w:rPr>
          <w:rFonts w:ascii="宋体" w:hAnsi="宋体"/>
          <w:color w:val="auto"/>
          <w:sz w:val="22"/>
        </w:rPr>
      </w:pPr>
      <w:r>
        <w:rPr>
          <w:rFonts w:hint="eastAsia" w:ascii="宋体" w:hAnsi="宋体" w:cs="仿宋_GB2312"/>
          <w:color w:val="auto"/>
          <w:kern w:val="0"/>
          <w:sz w:val="22"/>
        </w:rPr>
        <w:t>7</w:t>
      </w:r>
      <w:r>
        <w:rPr>
          <w:rFonts w:hint="eastAsia" w:ascii="宋体" w:hAnsi="宋体" w:cs="仿宋_GB2312"/>
          <w:color w:val="auto"/>
          <w:kern w:val="0"/>
          <w:sz w:val="22"/>
          <w:lang w:val="zh-CN"/>
        </w:rPr>
        <w:t>.2、</w:t>
      </w:r>
      <w:r>
        <w:rPr>
          <w:rFonts w:hint="eastAsia" w:ascii="宋体" w:hAnsi="宋体"/>
          <w:color w:val="auto"/>
          <w:sz w:val="22"/>
        </w:rPr>
        <w:t>CA</w:t>
      </w:r>
      <w:r>
        <w:rPr>
          <w:rFonts w:ascii="宋体" w:hAnsi="宋体"/>
          <w:color w:val="auto"/>
          <w:sz w:val="22"/>
        </w:rPr>
        <w:t>电子签章操作指南详见《</w:t>
      </w:r>
      <w:r>
        <w:rPr>
          <w:rFonts w:hint="eastAsia" w:ascii="宋体" w:hAnsi="宋体"/>
          <w:color w:val="auto"/>
          <w:sz w:val="22"/>
        </w:rPr>
        <w:t>供应商</w:t>
      </w:r>
      <w:r>
        <w:rPr>
          <w:rFonts w:ascii="宋体" w:hAnsi="宋体"/>
          <w:color w:val="auto"/>
          <w:sz w:val="22"/>
        </w:rPr>
        <w:t>-政府采购项目电子交易操作指南》（</w:t>
      </w:r>
      <w:r>
        <w:rPr>
          <w:color w:val="auto"/>
        </w:rPr>
        <w:fldChar w:fldCharType="begin"/>
      </w:r>
      <w:r>
        <w:rPr>
          <w:color w:val="auto"/>
        </w:rPr>
        <w:instrText xml:space="preserve"> HYPERLINK "https://help.zcygov.cn/web/site_2/2018/12-28/2573.html" </w:instrText>
      </w:r>
      <w:r>
        <w:rPr>
          <w:color w:val="auto"/>
        </w:rPr>
        <w:fldChar w:fldCharType="separate"/>
      </w:r>
      <w:r>
        <w:rPr>
          <w:rStyle w:val="27"/>
          <w:color w:val="auto"/>
          <w:sz w:val="22"/>
          <w:u w:val="none"/>
        </w:rPr>
        <w:t>https://help.zcygov.cn/web/site_2/2018/12-28/2573.html</w:t>
      </w:r>
      <w:r>
        <w:rPr>
          <w:rStyle w:val="27"/>
          <w:color w:val="auto"/>
          <w:sz w:val="22"/>
          <w:u w:val="none"/>
        </w:rPr>
        <w:fldChar w:fldCharType="end"/>
      </w:r>
      <w:r>
        <w:rPr>
          <w:rFonts w:ascii="宋体" w:hAnsi="宋体"/>
          <w:color w:val="auto"/>
          <w:sz w:val="22"/>
        </w:rPr>
        <w:t>）</w:t>
      </w:r>
      <w:r>
        <w:rPr>
          <w:rFonts w:hint="eastAsia" w:ascii="宋体" w:hAnsi="宋体"/>
          <w:color w:val="auto"/>
          <w:sz w:val="22"/>
        </w:rPr>
        <w:t>。</w:t>
      </w:r>
    </w:p>
    <w:p w14:paraId="359A56E4">
      <w:pPr>
        <w:pStyle w:val="32"/>
        <w:spacing w:before="0" w:line="460" w:lineRule="exact"/>
        <w:ind w:firstLine="440"/>
        <w:rPr>
          <w:rFonts w:ascii="宋体" w:hAnsi="宋体"/>
          <w:color w:val="auto"/>
          <w:sz w:val="22"/>
          <w:lang w:val="zh-CN"/>
        </w:rPr>
      </w:pPr>
    </w:p>
    <w:p w14:paraId="52AAF616">
      <w:pPr>
        <w:pStyle w:val="32"/>
        <w:spacing w:before="0" w:line="460" w:lineRule="exact"/>
        <w:ind w:firstLine="442"/>
        <w:rPr>
          <w:rFonts w:ascii="宋体" w:hAnsi="宋体" w:cs="仿宋_GB2312"/>
          <w:b w:val="0"/>
          <w:bCs w:val="0"/>
          <w:color w:val="auto"/>
          <w:kern w:val="0"/>
          <w:sz w:val="22"/>
          <w:lang w:val="zh-CN"/>
        </w:rPr>
      </w:pPr>
      <w:r>
        <w:rPr>
          <w:rFonts w:hint="eastAsia" w:ascii="宋体" w:hAnsi="宋体" w:cs="仿宋_GB2312"/>
          <w:b w:val="0"/>
          <w:bCs w:val="0"/>
          <w:color w:val="auto"/>
          <w:kern w:val="0"/>
          <w:sz w:val="22"/>
        </w:rPr>
        <w:t>8</w:t>
      </w:r>
      <w:r>
        <w:rPr>
          <w:rFonts w:hint="eastAsia" w:ascii="宋体" w:hAnsi="宋体" w:cs="仿宋_GB2312"/>
          <w:b w:val="0"/>
          <w:bCs w:val="0"/>
          <w:color w:val="auto"/>
          <w:kern w:val="0"/>
          <w:sz w:val="22"/>
          <w:lang w:val="zh-CN"/>
        </w:rPr>
        <w:t>、投标文件的形式</w:t>
      </w:r>
    </w:p>
    <w:p w14:paraId="1469CDDE">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rPr>
        <w:t>8</w:t>
      </w:r>
      <w:r>
        <w:rPr>
          <w:rFonts w:hint="eastAsia" w:ascii="宋体" w:hAnsi="宋体" w:cs="仿宋_GB2312"/>
          <w:color w:val="auto"/>
          <w:kern w:val="0"/>
          <w:sz w:val="22"/>
          <w:lang w:val="zh-CN"/>
        </w:rPr>
        <w:t>.1、投标文件的形式：见《</w:t>
      </w:r>
      <w:r>
        <w:rPr>
          <w:rFonts w:ascii="宋体" w:hAnsi="宋体" w:cs="仿宋_GB2312"/>
          <w:color w:val="auto"/>
          <w:kern w:val="0"/>
          <w:sz w:val="22"/>
          <w:lang w:val="zh-CN"/>
        </w:rPr>
        <w:t>投标</w:t>
      </w:r>
      <w:r>
        <w:rPr>
          <w:rFonts w:hint="eastAsia" w:ascii="宋体" w:hAnsi="宋体" w:cs="仿宋_GB2312"/>
          <w:color w:val="auto"/>
          <w:kern w:val="0"/>
          <w:sz w:val="22"/>
        </w:rPr>
        <w:t>人</w:t>
      </w:r>
      <w:r>
        <w:rPr>
          <w:rFonts w:ascii="宋体" w:hAnsi="宋体" w:cs="仿宋_GB2312"/>
          <w:color w:val="auto"/>
          <w:kern w:val="0"/>
          <w:sz w:val="22"/>
          <w:lang w:val="zh-CN"/>
        </w:rPr>
        <w:t>须知前附表</w:t>
      </w:r>
      <w:r>
        <w:rPr>
          <w:rFonts w:hint="eastAsia" w:ascii="宋体" w:hAnsi="宋体" w:cs="仿宋_GB2312"/>
          <w:color w:val="auto"/>
          <w:kern w:val="0"/>
          <w:sz w:val="22"/>
          <w:lang w:val="zh-CN"/>
        </w:rPr>
        <w:t>》；</w:t>
      </w:r>
    </w:p>
    <w:p w14:paraId="2891DE9A">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rPr>
        <w:t>8</w:t>
      </w:r>
      <w:r>
        <w:rPr>
          <w:rFonts w:hint="eastAsia" w:ascii="宋体" w:hAnsi="宋体" w:cs="仿宋_GB2312"/>
          <w:color w:val="auto"/>
          <w:kern w:val="0"/>
          <w:sz w:val="22"/>
          <w:lang w:val="zh-CN"/>
        </w:rPr>
        <w:t>.2、“电子加密投标文件”：“电子加密投标文件”是指通过“政采云电子交易客户端”完成投标文件编制后生成并加密的数据电文形式的投标文件。</w:t>
      </w:r>
    </w:p>
    <w:p w14:paraId="0E866D52">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rPr>
        <w:t>8</w:t>
      </w:r>
      <w:r>
        <w:rPr>
          <w:rFonts w:hint="eastAsia" w:ascii="宋体" w:hAnsi="宋体" w:cs="仿宋_GB2312"/>
          <w:color w:val="auto"/>
          <w:kern w:val="0"/>
          <w:sz w:val="22"/>
          <w:lang w:val="zh-CN"/>
        </w:rPr>
        <w:t>.3、</w:t>
      </w:r>
      <w:r>
        <w:rPr>
          <w:rFonts w:ascii="宋体" w:hAnsi="宋体" w:cs="仿宋_GB2312"/>
          <w:color w:val="auto"/>
          <w:kern w:val="0"/>
          <w:sz w:val="22"/>
          <w:lang w:val="zh-CN"/>
        </w:rPr>
        <w:t>投标文件的份数</w:t>
      </w:r>
    </w:p>
    <w:p w14:paraId="7ACE45A2">
      <w:pPr>
        <w:pStyle w:val="32"/>
        <w:spacing w:before="0" w:line="460" w:lineRule="exact"/>
        <w:ind w:firstLine="440"/>
        <w:rPr>
          <w:rFonts w:ascii="宋体" w:hAnsi="宋体"/>
          <w:color w:val="auto"/>
          <w:sz w:val="22"/>
        </w:rPr>
      </w:pPr>
      <w:r>
        <w:rPr>
          <w:rFonts w:ascii="宋体" w:hAnsi="宋体"/>
          <w:color w:val="auto"/>
          <w:sz w:val="22"/>
        </w:rPr>
        <w:t>投标文件的份数：见《</w:t>
      </w:r>
      <w:r>
        <w:rPr>
          <w:rFonts w:ascii="宋体" w:hAnsi="宋体" w:cs="仿宋_GB2312"/>
          <w:color w:val="auto"/>
          <w:kern w:val="0"/>
          <w:sz w:val="22"/>
          <w:lang w:val="zh-CN"/>
        </w:rPr>
        <w:t>投标</w:t>
      </w:r>
      <w:r>
        <w:rPr>
          <w:rFonts w:hint="eastAsia" w:ascii="宋体" w:hAnsi="宋体" w:cs="仿宋_GB2312"/>
          <w:color w:val="auto"/>
          <w:kern w:val="0"/>
          <w:sz w:val="22"/>
        </w:rPr>
        <w:t>人</w:t>
      </w:r>
      <w:r>
        <w:rPr>
          <w:rFonts w:ascii="宋体" w:hAnsi="宋体" w:cs="仿宋_GB2312"/>
          <w:color w:val="auto"/>
          <w:kern w:val="0"/>
          <w:sz w:val="22"/>
          <w:lang w:val="zh-CN"/>
        </w:rPr>
        <w:t>须知前附表</w:t>
      </w:r>
      <w:r>
        <w:rPr>
          <w:rFonts w:ascii="宋体" w:hAnsi="宋体"/>
          <w:color w:val="auto"/>
          <w:sz w:val="22"/>
        </w:rPr>
        <w:t>》。</w:t>
      </w:r>
    </w:p>
    <w:p w14:paraId="1E4D97FD">
      <w:pPr>
        <w:pStyle w:val="32"/>
        <w:spacing w:before="0" w:line="460" w:lineRule="exact"/>
        <w:ind w:firstLine="440"/>
        <w:rPr>
          <w:rFonts w:ascii="宋体" w:hAnsi="宋体"/>
          <w:color w:val="auto"/>
          <w:sz w:val="22"/>
        </w:rPr>
      </w:pPr>
    </w:p>
    <w:p w14:paraId="091C0DDB">
      <w:pPr>
        <w:pStyle w:val="32"/>
        <w:spacing w:before="0" w:line="460" w:lineRule="exact"/>
        <w:ind w:firstLine="442"/>
        <w:rPr>
          <w:rFonts w:ascii="宋体" w:hAnsi="宋体" w:cs="仿宋_GB2312"/>
          <w:b/>
          <w:bCs/>
          <w:color w:val="auto"/>
          <w:kern w:val="0"/>
          <w:sz w:val="22"/>
          <w:lang w:val="zh-CN"/>
        </w:rPr>
      </w:pPr>
      <w:r>
        <w:rPr>
          <w:rFonts w:hint="eastAsia" w:ascii="宋体" w:hAnsi="宋体" w:cs="仿宋_GB2312"/>
          <w:b/>
          <w:bCs/>
          <w:color w:val="auto"/>
          <w:kern w:val="0"/>
          <w:sz w:val="22"/>
          <w:lang w:val="zh-CN"/>
        </w:rPr>
        <w:t>四、投标</w:t>
      </w:r>
    </w:p>
    <w:p w14:paraId="6E779CB6">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lang w:val="zh-CN"/>
        </w:rPr>
        <w:t>1、投标文件的上传和递交</w:t>
      </w:r>
    </w:p>
    <w:p w14:paraId="2177F7E0">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lang w:val="zh-CN"/>
        </w:rPr>
        <w:t>“投标文件”的上传、递交：见《</w:t>
      </w:r>
      <w:r>
        <w:rPr>
          <w:rFonts w:ascii="宋体" w:hAnsi="宋体" w:cs="仿宋_GB2312"/>
          <w:color w:val="auto"/>
          <w:kern w:val="0"/>
          <w:sz w:val="22"/>
          <w:lang w:val="zh-CN"/>
        </w:rPr>
        <w:t>投标</w:t>
      </w:r>
      <w:r>
        <w:rPr>
          <w:rFonts w:hint="eastAsia" w:ascii="宋体" w:hAnsi="宋体" w:cs="仿宋_GB2312"/>
          <w:color w:val="auto"/>
          <w:kern w:val="0"/>
          <w:sz w:val="22"/>
        </w:rPr>
        <w:t>人</w:t>
      </w:r>
      <w:r>
        <w:rPr>
          <w:rFonts w:ascii="宋体" w:hAnsi="宋体" w:cs="仿宋_GB2312"/>
          <w:color w:val="auto"/>
          <w:kern w:val="0"/>
          <w:sz w:val="22"/>
          <w:lang w:val="zh-CN"/>
        </w:rPr>
        <w:t>须知前附表</w:t>
      </w:r>
      <w:r>
        <w:rPr>
          <w:rFonts w:hint="eastAsia" w:ascii="宋体" w:hAnsi="宋体" w:cs="仿宋_GB2312"/>
          <w:color w:val="auto"/>
          <w:kern w:val="0"/>
          <w:sz w:val="22"/>
          <w:lang w:val="zh-CN"/>
        </w:rPr>
        <w:t>》。</w:t>
      </w:r>
    </w:p>
    <w:p w14:paraId="4D3481B1">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lang w:val="zh-CN"/>
        </w:rPr>
        <w:t>2、“电子加密投标文件”解密</w:t>
      </w:r>
    </w:p>
    <w:p w14:paraId="67415C73">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lang w:val="zh-CN"/>
        </w:rPr>
        <w:t>“电子加密投标文件”解密：见《</w:t>
      </w:r>
      <w:r>
        <w:rPr>
          <w:rFonts w:ascii="宋体" w:hAnsi="宋体" w:cs="仿宋_GB2312"/>
          <w:color w:val="auto"/>
          <w:kern w:val="0"/>
          <w:sz w:val="22"/>
          <w:lang w:val="zh-CN"/>
        </w:rPr>
        <w:t>投标</w:t>
      </w:r>
      <w:r>
        <w:rPr>
          <w:rFonts w:hint="eastAsia" w:ascii="宋体" w:hAnsi="宋体" w:cs="仿宋_GB2312"/>
          <w:color w:val="auto"/>
          <w:kern w:val="0"/>
          <w:sz w:val="22"/>
        </w:rPr>
        <w:t>人</w:t>
      </w:r>
      <w:r>
        <w:rPr>
          <w:rFonts w:ascii="宋体" w:hAnsi="宋体" w:cs="仿宋_GB2312"/>
          <w:color w:val="auto"/>
          <w:kern w:val="0"/>
          <w:sz w:val="22"/>
          <w:lang w:val="zh-CN"/>
        </w:rPr>
        <w:t>须知前附表</w:t>
      </w:r>
      <w:r>
        <w:rPr>
          <w:rFonts w:hint="eastAsia" w:ascii="宋体" w:hAnsi="宋体" w:cs="仿宋_GB2312"/>
          <w:color w:val="auto"/>
          <w:kern w:val="0"/>
          <w:sz w:val="22"/>
          <w:lang w:val="zh-CN"/>
        </w:rPr>
        <w:t>》。</w:t>
      </w:r>
    </w:p>
    <w:p w14:paraId="55FB066C">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lang w:val="zh-CN"/>
        </w:rPr>
        <w:t>3、投标文件的补充、修改或撤回</w:t>
      </w:r>
    </w:p>
    <w:p w14:paraId="5B8668BF">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289F2D7">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lang w:val="zh-CN"/>
        </w:rPr>
        <w:t>3.2、投标截止时间后，投标供应商不得撤回、修改投标文件。</w:t>
      </w:r>
    </w:p>
    <w:p w14:paraId="4E158C6C">
      <w:pPr>
        <w:pStyle w:val="32"/>
        <w:spacing w:before="0" w:line="460" w:lineRule="exact"/>
        <w:ind w:firstLine="440"/>
        <w:rPr>
          <w:rFonts w:ascii="宋体" w:hAnsi="宋体" w:cs="仿宋_GB2312"/>
          <w:color w:val="auto"/>
          <w:kern w:val="0"/>
          <w:sz w:val="22"/>
          <w:lang w:val="zh-CN"/>
        </w:rPr>
      </w:pPr>
      <w:r>
        <w:rPr>
          <w:rFonts w:hint="eastAsia" w:ascii="宋体" w:hAnsi="宋体" w:cs="仿宋_GB2312"/>
          <w:color w:val="auto"/>
          <w:kern w:val="0"/>
          <w:sz w:val="22"/>
          <w:lang w:val="zh-CN"/>
        </w:rPr>
        <w:t>4、投标文件的备选方案</w:t>
      </w:r>
    </w:p>
    <w:p w14:paraId="28E5F10E">
      <w:pPr>
        <w:pStyle w:val="32"/>
        <w:spacing w:before="0" w:line="460" w:lineRule="exact"/>
        <w:ind w:firstLine="440"/>
        <w:rPr>
          <w:rFonts w:ascii="宋体" w:hAnsi="宋体" w:cs="仿宋_GB2312"/>
          <w:color w:val="auto"/>
          <w:kern w:val="0"/>
          <w:sz w:val="22"/>
          <w:lang w:val="zh-CN"/>
        </w:rPr>
      </w:pPr>
      <w:r>
        <w:rPr>
          <w:rFonts w:ascii="宋体" w:hAnsi="宋体" w:cs="仿宋_GB2312"/>
          <w:color w:val="auto"/>
          <w:kern w:val="0"/>
          <w:sz w:val="22"/>
          <w:lang w:val="zh-CN"/>
        </w:rPr>
        <w:t>投标供应商不得递交任何的投标备选（替代）方案，否则其投标文件将作无效标处理。</w:t>
      </w:r>
    </w:p>
    <w:p w14:paraId="3BC3400C">
      <w:pPr>
        <w:snapToGrid w:val="0"/>
        <w:spacing w:line="460" w:lineRule="atLeast"/>
        <w:ind w:firstLine="442" w:firstLineChars="200"/>
        <w:rPr>
          <w:rFonts w:ascii="宋体"/>
          <w:b/>
          <w:bCs/>
          <w:color w:val="auto"/>
          <w:sz w:val="22"/>
        </w:rPr>
      </w:pPr>
      <w:bookmarkStart w:id="10" w:name="_Toc132125984"/>
      <w:bookmarkStart w:id="11" w:name="_Toc132123635"/>
      <w:bookmarkStart w:id="12" w:name="_Toc132122120"/>
      <w:bookmarkStart w:id="13" w:name="_Toc132122417"/>
      <w:bookmarkStart w:id="14" w:name="_Toc132126155"/>
      <w:bookmarkStart w:id="15" w:name="_Toc132123440"/>
      <w:bookmarkStart w:id="16" w:name="_Toc132123839"/>
      <w:bookmarkStart w:id="17" w:name="_Toc132125152"/>
      <w:bookmarkStart w:id="18" w:name="_Toc132123548"/>
      <w:bookmarkStart w:id="19" w:name="_Toc132125038"/>
      <w:bookmarkStart w:id="20" w:name="_Toc132124595"/>
      <w:bookmarkStart w:id="21" w:name="_Toc132125096"/>
      <w:bookmarkStart w:id="22" w:name="_Toc132125575"/>
      <w:bookmarkStart w:id="23" w:name="_Toc132123882"/>
      <w:bookmarkStart w:id="24" w:name="_Toc132655777"/>
      <w:r>
        <w:rPr>
          <w:rFonts w:hint="eastAsia" w:ascii="宋体"/>
          <w:b/>
          <w:bCs/>
          <w:color w:val="auto"/>
          <w:sz w:val="22"/>
        </w:rPr>
        <w:t>五、开标和评标</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E01BF08">
      <w:pPr>
        <w:pStyle w:val="32"/>
        <w:spacing w:before="0" w:line="460" w:lineRule="exact"/>
        <w:ind w:firstLine="442"/>
        <w:rPr>
          <w:rFonts w:ascii="宋体" w:hAnsi="宋体" w:cs="仿宋_GB2312"/>
          <w:b/>
          <w:bCs/>
          <w:color w:val="auto"/>
          <w:kern w:val="0"/>
          <w:sz w:val="22"/>
          <w:lang w:val="zh-CN"/>
        </w:rPr>
      </w:pPr>
      <w:r>
        <w:rPr>
          <w:rFonts w:hint="eastAsia" w:ascii="宋体" w:hAnsi="宋体" w:cs="仿宋_GB2312"/>
          <w:b/>
          <w:bCs/>
          <w:color w:val="auto"/>
          <w:kern w:val="0"/>
          <w:sz w:val="22"/>
          <w:lang w:val="zh-CN"/>
        </w:rPr>
        <w:t>1、开标</w:t>
      </w:r>
    </w:p>
    <w:p w14:paraId="3ADC21A4">
      <w:pPr>
        <w:pStyle w:val="32"/>
        <w:spacing w:before="0" w:line="460" w:lineRule="exact"/>
        <w:ind w:firstLine="442"/>
        <w:rPr>
          <w:rFonts w:hint="eastAsia" w:ascii="宋体" w:hAnsi="宋体" w:cs="仿宋_GB2312"/>
          <w:b w:val="0"/>
          <w:bCs w:val="0"/>
          <w:color w:val="auto"/>
          <w:kern w:val="0"/>
          <w:sz w:val="22"/>
          <w:lang w:val="zh-CN"/>
        </w:rPr>
      </w:pPr>
      <w:r>
        <w:rPr>
          <w:rFonts w:hint="eastAsia" w:ascii="宋体" w:hAnsi="宋体" w:cs="仿宋_GB2312"/>
          <w:b w:val="0"/>
          <w:bCs w:val="0"/>
          <w:color w:val="auto"/>
          <w:kern w:val="0"/>
          <w:sz w:val="22"/>
          <w:lang w:val="zh-CN"/>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14:paraId="0771F040">
      <w:pPr>
        <w:pStyle w:val="32"/>
        <w:spacing w:before="0" w:line="460" w:lineRule="exact"/>
        <w:ind w:firstLine="442"/>
        <w:rPr>
          <w:rFonts w:hint="eastAsia" w:ascii="宋体" w:hAnsi="宋体" w:cs="仿宋_GB2312"/>
          <w:b w:val="0"/>
          <w:bCs w:val="0"/>
          <w:color w:val="auto"/>
          <w:kern w:val="0"/>
          <w:sz w:val="22"/>
          <w:lang w:val="zh-CN"/>
        </w:rPr>
      </w:pPr>
      <w:r>
        <w:rPr>
          <w:rFonts w:hint="eastAsia" w:ascii="宋体" w:hAnsi="宋体" w:cs="仿宋_GB2312"/>
          <w:b w:val="0"/>
          <w:bCs w:val="0"/>
          <w:color w:val="auto"/>
          <w:kern w:val="0"/>
          <w:sz w:val="22"/>
          <w:lang w:val="zh-CN"/>
        </w:rPr>
        <w:t>1.2、开标流程</w:t>
      </w:r>
    </w:p>
    <w:p w14:paraId="4DDDA23C">
      <w:pPr>
        <w:pStyle w:val="32"/>
        <w:spacing w:before="0" w:line="460" w:lineRule="exact"/>
        <w:ind w:firstLine="442"/>
        <w:rPr>
          <w:rFonts w:hint="eastAsia" w:ascii="宋体" w:hAnsi="宋体" w:cs="仿宋_GB2312"/>
          <w:b w:val="0"/>
          <w:bCs w:val="0"/>
          <w:color w:val="auto"/>
          <w:kern w:val="0"/>
          <w:sz w:val="22"/>
          <w:lang w:val="zh-CN"/>
        </w:rPr>
      </w:pPr>
      <w:r>
        <w:rPr>
          <w:rFonts w:hint="eastAsia" w:ascii="宋体" w:hAnsi="宋体" w:cs="仿宋_GB2312"/>
          <w:b w:val="0"/>
          <w:bCs w:val="0"/>
          <w:color w:val="auto"/>
          <w:kern w:val="0"/>
          <w:sz w:val="22"/>
          <w:lang w:val="zh-CN"/>
        </w:rPr>
        <w:t>（1）向各投标供应商发出电子加密投标文件【开始解密】通知，</w:t>
      </w:r>
      <w:r>
        <w:rPr>
          <w:rFonts w:hint="eastAsia" w:ascii="宋体" w:hAnsi="宋体" w:cs="仿宋_GB2312"/>
          <w:b w:val="0"/>
          <w:bCs w:val="0"/>
          <w:color w:val="auto"/>
          <w:kern w:val="0"/>
          <w:sz w:val="22"/>
          <w:u w:val="single"/>
          <w:lang w:val="zh-CN"/>
        </w:rPr>
        <w:t>由供应商按招标文件规定的时间内自行进行投标文件解密。</w:t>
      </w:r>
      <w:r>
        <w:rPr>
          <w:rFonts w:hint="eastAsia" w:ascii="宋体" w:hAnsi="宋体" w:cs="仿宋_GB2312"/>
          <w:b/>
          <w:bCs/>
          <w:color w:val="auto"/>
          <w:kern w:val="0"/>
          <w:sz w:val="22"/>
          <w:lang w:val="zh-CN"/>
        </w:rPr>
        <w:t>投标供应商在规定的时间内无法完成已递交的“电子加密投标文件”解密的，其投标文件按拒收处理。</w:t>
      </w:r>
    </w:p>
    <w:p w14:paraId="77112C69">
      <w:pPr>
        <w:pStyle w:val="32"/>
        <w:spacing w:before="0" w:line="460" w:lineRule="exact"/>
        <w:ind w:firstLine="442"/>
        <w:rPr>
          <w:rFonts w:hAnsi="宋体"/>
          <w:color w:val="auto"/>
          <w:sz w:val="22"/>
          <w:szCs w:val="22"/>
        </w:rPr>
      </w:pPr>
      <w:r>
        <w:rPr>
          <w:rFonts w:hint="eastAsia" w:ascii="宋体" w:hAnsi="宋体" w:cs="仿宋_GB2312"/>
          <w:b w:val="0"/>
          <w:bCs w:val="0"/>
          <w:color w:val="auto"/>
          <w:kern w:val="0"/>
          <w:sz w:val="22"/>
          <w:lang w:val="zh-CN"/>
        </w:rPr>
        <w:t>（2）投标文件解密结束，开启资格文件，进入资格审查环节，采购代理机构或者</w:t>
      </w:r>
      <w:r>
        <w:rPr>
          <w:rFonts w:hint="eastAsia" w:hAnsi="宋体"/>
          <w:color w:val="auto"/>
          <w:sz w:val="22"/>
          <w:szCs w:val="22"/>
        </w:rPr>
        <w:t>招标采购单位委托的公证机构</w:t>
      </w:r>
      <w:r>
        <w:rPr>
          <w:rFonts w:hAnsi="宋体"/>
          <w:color w:val="auto"/>
          <w:sz w:val="22"/>
          <w:szCs w:val="22"/>
        </w:rPr>
        <w:t>将依法对投标供应商的资格进行审查，具体见本章节“投标供应商资格审查”相关规定。</w:t>
      </w:r>
    </w:p>
    <w:p w14:paraId="64518423">
      <w:pPr>
        <w:pStyle w:val="10"/>
        <w:adjustRightInd w:val="0"/>
        <w:snapToGrid w:val="0"/>
        <w:spacing w:before="156" w:after="156" w:line="240" w:lineRule="auto"/>
        <w:ind w:firstLine="440" w:firstLineChars="200"/>
        <w:rPr>
          <w:rFonts w:hint="eastAsia" w:hAnsi="宋体" w:eastAsia="宋体"/>
          <w:color w:val="auto"/>
          <w:sz w:val="22"/>
          <w:szCs w:val="22"/>
          <w:lang w:val="en-US" w:eastAsia="zh-CN"/>
        </w:rPr>
      </w:pPr>
      <w:r>
        <w:rPr>
          <w:rFonts w:hAnsi="宋体"/>
          <w:color w:val="auto"/>
          <w:sz w:val="22"/>
          <w:szCs w:val="22"/>
        </w:rPr>
        <w:t>（3）开启资格审查通过的投标供应商的商务技术文件进入符合性审查及商务技术评审</w:t>
      </w:r>
      <w:r>
        <w:rPr>
          <w:rFonts w:hint="eastAsia" w:hAnsi="宋体"/>
          <w:color w:val="auto"/>
          <w:sz w:val="22"/>
          <w:szCs w:val="22"/>
          <w:lang w:eastAsia="zh-CN"/>
        </w:rPr>
        <w:t>。</w:t>
      </w:r>
    </w:p>
    <w:p w14:paraId="639C0F00">
      <w:pPr>
        <w:pStyle w:val="10"/>
        <w:adjustRightInd w:val="0"/>
        <w:snapToGrid w:val="0"/>
        <w:spacing w:before="156" w:after="156" w:line="240" w:lineRule="auto"/>
        <w:ind w:firstLine="440" w:firstLineChars="200"/>
        <w:rPr>
          <w:rFonts w:hAnsi="宋体"/>
          <w:color w:val="auto"/>
          <w:sz w:val="22"/>
          <w:szCs w:val="22"/>
        </w:rPr>
      </w:pPr>
      <w:r>
        <w:rPr>
          <w:rFonts w:hAnsi="宋体"/>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3F79A8D7">
      <w:pPr>
        <w:pStyle w:val="10"/>
        <w:adjustRightInd w:val="0"/>
        <w:snapToGrid w:val="0"/>
        <w:spacing w:before="156" w:after="156" w:line="240" w:lineRule="auto"/>
        <w:ind w:firstLine="330" w:firstLineChars="150"/>
        <w:rPr>
          <w:rFonts w:hAnsi="宋体"/>
          <w:color w:val="auto"/>
          <w:sz w:val="22"/>
          <w:szCs w:val="22"/>
        </w:rPr>
      </w:pPr>
      <w:r>
        <w:rPr>
          <w:rFonts w:hAnsi="宋体"/>
          <w:color w:val="auto"/>
          <w:sz w:val="22"/>
          <w:szCs w:val="22"/>
        </w:rPr>
        <w:t>开标时，报价文件中投标报价出现前后不一致的，按照下列规定修正：</w:t>
      </w:r>
    </w:p>
    <w:p w14:paraId="693FC2F3">
      <w:pPr>
        <w:pStyle w:val="10"/>
        <w:adjustRightInd w:val="0"/>
        <w:snapToGrid w:val="0"/>
        <w:spacing w:before="156" w:after="156" w:line="240" w:lineRule="auto"/>
        <w:ind w:firstLine="330" w:firstLineChars="150"/>
        <w:rPr>
          <w:rFonts w:hAnsi="宋体"/>
          <w:color w:val="auto"/>
          <w:sz w:val="22"/>
          <w:szCs w:val="22"/>
        </w:rPr>
      </w:pPr>
      <w:r>
        <w:rPr>
          <w:rFonts w:hint="eastAsia" w:hAnsi="宋体"/>
          <w:color w:val="auto"/>
          <w:sz w:val="22"/>
          <w:szCs w:val="22"/>
          <w:lang w:val="en-US" w:eastAsia="zh-CN"/>
        </w:rPr>
        <w:t>1</w:t>
      </w:r>
      <w:r>
        <w:rPr>
          <w:rFonts w:hAnsi="宋体"/>
          <w:color w:val="auto"/>
          <w:sz w:val="22"/>
          <w:szCs w:val="22"/>
        </w:rPr>
        <w:t>）投标文件中开标一览表内容与投标文件中相应内容不一致的，以开标一览表为准；</w:t>
      </w:r>
    </w:p>
    <w:p w14:paraId="6B1C7623">
      <w:pPr>
        <w:pStyle w:val="10"/>
        <w:adjustRightInd w:val="0"/>
        <w:snapToGrid w:val="0"/>
        <w:spacing w:before="156" w:after="156" w:line="240" w:lineRule="auto"/>
        <w:ind w:firstLine="330" w:firstLineChars="150"/>
        <w:rPr>
          <w:rFonts w:hAnsi="宋体"/>
          <w:color w:val="auto"/>
          <w:sz w:val="22"/>
          <w:szCs w:val="22"/>
        </w:rPr>
      </w:pPr>
      <w:r>
        <w:rPr>
          <w:rFonts w:hint="eastAsia" w:hAnsi="宋体"/>
          <w:color w:val="auto"/>
          <w:sz w:val="22"/>
          <w:szCs w:val="22"/>
          <w:lang w:val="en-US" w:eastAsia="zh-CN"/>
        </w:rPr>
        <w:t>2</w:t>
      </w:r>
      <w:r>
        <w:rPr>
          <w:rFonts w:hAnsi="宋体"/>
          <w:color w:val="auto"/>
          <w:sz w:val="22"/>
          <w:szCs w:val="22"/>
        </w:rPr>
        <w:t>）大写金额和小写金额不一致的，以大写金额为准；</w:t>
      </w:r>
    </w:p>
    <w:p w14:paraId="2CFDE2F8">
      <w:pPr>
        <w:pStyle w:val="10"/>
        <w:adjustRightInd w:val="0"/>
        <w:snapToGrid w:val="0"/>
        <w:spacing w:before="156" w:after="156" w:line="240" w:lineRule="auto"/>
        <w:ind w:firstLine="330" w:firstLineChars="150"/>
        <w:rPr>
          <w:rFonts w:hAnsi="宋体"/>
          <w:color w:val="auto"/>
          <w:sz w:val="22"/>
          <w:szCs w:val="22"/>
        </w:rPr>
      </w:pPr>
      <w:r>
        <w:rPr>
          <w:rFonts w:hint="eastAsia" w:hAnsi="宋体"/>
          <w:color w:val="auto"/>
          <w:sz w:val="22"/>
          <w:szCs w:val="22"/>
          <w:lang w:val="en-US" w:eastAsia="zh-CN"/>
        </w:rPr>
        <w:t>3</w:t>
      </w:r>
      <w:r>
        <w:rPr>
          <w:rFonts w:hAnsi="宋体"/>
          <w:color w:val="auto"/>
          <w:sz w:val="22"/>
          <w:szCs w:val="22"/>
        </w:rPr>
        <w:t>）单价金额小数点或者百分比有明显错位的，以开标一览表的总价为准，并修改单价；</w:t>
      </w:r>
    </w:p>
    <w:p w14:paraId="2A47B94B">
      <w:pPr>
        <w:pStyle w:val="10"/>
        <w:adjustRightInd w:val="0"/>
        <w:snapToGrid w:val="0"/>
        <w:spacing w:before="156" w:after="156" w:line="240" w:lineRule="auto"/>
        <w:ind w:firstLine="330" w:firstLineChars="150"/>
        <w:rPr>
          <w:rFonts w:hAnsi="宋体"/>
          <w:color w:val="auto"/>
          <w:sz w:val="22"/>
          <w:szCs w:val="22"/>
        </w:rPr>
      </w:pPr>
      <w:r>
        <w:rPr>
          <w:rFonts w:hint="eastAsia" w:hAnsi="宋体"/>
          <w:color w:val="auto"/>
          <w:sz w:val="22"/>
          <w:szCs w:val="22"/>
          <w:lang w:val="en-US" w:eastAsia="zh-CN"/>
        </w:rPr>
        <w:t>4</w:t>
      </w:r>
      <w:r>
        <w:rPr>
          <w:rFonts w:hAnsi="宋体"/>
          <w:color w:val="auto"/>
          <w:sz w:val="22"/>
          <w:szCs w:val="22"/>
        </w:rPr>
        <w:t>）总价金额与按单价汇总金额不一致的，以单价金额计算结果为准。</w:t>
      </w:r>
    </w:p>
    <w:p w14:paraId="1714A9E3">
      <w:pPr>
        <w:pStyle w:val="10"/>
        <w:adjustRightInd w:val="0"/>
        <w:snapToGrid w:val="0"/>
        <w:spacing w:before="156" w:after="156" w:line="240" w:lineRule="auto"/>
        <w:ind w:firstLine="440" w:firstLineChars="200"/>
        <w:rPr>
          <w:rFonts w:hAnsi="宋体"/>
          <w:color w:val="auto"/>
          <w:sz w:val="22"/>
          <w:szCs w:val="22"/>
        </w:rPr>
      </w:pPr>
      <w:r>
        <w:rPr>
          <w:rFonts w:hAnsi="宋体"/>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33569286">
      <w:pPr>
        <w:pStyle w:val="10"/>
        <w:adjustRightInd w:val="0"/>
        <w:snapToGrid w:val="0"/>
        <w:spacing w:before="156" w:after="156" w:line="240" w:lineRule="auto"/>
        <w:ind w:firstLine="440" w:firstLineChars="200"/>
        <w:rPr>
          <w:rFonts w:hAnsi="宋体"/>
          <w:color w:val="auto"/>
          <w:sz w:val="22"/>
          <w:szCs w:val="22"/>
        </w:rPr>
      </w:pPr>
      <w:r>
        <w:rPr>
          <w:rFonts w:hAnsi="宋体"/>
          <w:color w:val="auto"/>
          <w:sz w:val="22"/>
          <w:szCs w:val="22"/>
        </w:rPr>
        <w:t>（5）评审结束后，公布采购结果。</w:t>
      </w:r>
    </w:p>
    <w:p w14:paraId="730B6B39">
      <w:pPr>
        <w:pStyle w:val="10"/>
        <w:adjustRightInd w:val="0"/>
        <w:snapToGrid w:val="0"/>
        <w:spacing w:before="156" w:after="156" w:line="240" w:lineRule="auto"/>
        <w:ind w:firstLine="442" w:firstLineChars="200"/>
        <w:rPr>
          <w:rFonts w:hAnsi="宋体"/>
          <w:color w:val="auto"/>
          <w:sz w:val="22"/>
          <w:szCs w:val="22"/>
        </w:rPr>
      </w:pPr>
      <w:r>
        <w:rPr>
          <w:rFonts w:hAnsi="宋体"/>
          <w:b/>
          <w:bCs/>
          <w:color w:val="auto"/>
          <w:sz w:val="22"/>
          <w:szCs w:val="22"/>
        </w:rPr>
        <w:t>特别说明：如遇“政府采购云平台”电子化开标或评审程序调整的，按调整后程序执行。</w:t>
      </w:r>
    </w:p>
    <w:p w14:paraId="0698ECEE">
      <w:pPr>
        <w:pStyle w:val="10"/>
        <w:adjustRightInd w:val="0"/>
        <w:snapToGrid w:val="0"/>
        <w:spacing w:before="156" w:after="156" w:line="460" w:lineRule="atLeast"/>
        <w:ind w:firstLine="440" w:firstLineChars="200"/>
        <w:rPr>
          <w:rFonts w:hAnsi="宋体"/>
          <w:color w:val="auto"/>
          <w:sz w:val="22"/>
          <w:szCs w:val="22"/>
        </w:rPr>
      </w:pPr>
      <w:r>
        <w:rPr>
          <w:rFonts w:hAnsi="宋体"/>
          <w:color w:val="auto"/>
          <w:sz w:val="22"/>
          <w:szCs w:val="22"/>
        </w:rPr>
        <w:t>2、投标供应商资格审查</w:t>
      </w:r>
    </w:p>
    <w:p w14:paraId="7579A4CA">
      <w:pPr>
        <w:pStyle w:val="10"/>
        <w:keepNext w:val="0"/>
        <w:keepLines w:val="0"/>
        <w:pageBreakBefore w:val="0"/>
        <w:widowControl w:val="0"/>
        <w:kinsoku/>
        <w:wordWrap/>
        <w:overflowPunct/>
        <w:topLinePunct w:val="0"/>
        <w:autoSpaceDE/>
        <w:autoSpaceDN/>
        <w:bidi w:val="0"/>
        <w:adjustRightInd w:val="0"/>
        <w:snapToGrid w:val="0"/>
        <w:spacing w:before="156" w:after="156" w:line="360" w:lineRule="exact"/>
        <w:ind w:firstLine="440" w:firstLineChars="200"/>
        <w:textAlignment w:val="auto"/>
        <w:rPr>
          <w:rFonts w:hAnsi="宋体"/>
          <w:color w:val="auto"/>
          <w:sz w:val="22"/>
          <w:szCs w:val="22"/>
        </w:rPr>
      </w:pPr>
      <w:r>
        <w:rPr>
          <w:rFonts w:hAnsi="宋体"/>
          <w:color w:val="auto"/>
          <w:sz w:val="22"/>
          <w:szCs w:val="22"/>
        </w:rPr>
        <w:t>2.1、</w:t>
      </w:r>
      <w:r>
        <w:rPr>
          <w:rFonts w:hAnsi="宋体"/>
          <w:b/>
          <w:bCs/>
          <w:color w:val="auto"/>
          <w:sz w:val="22"/>
          <w:szCs w:val="22"/>
        </w:rPr>
        <w:t>开标后，采购人或者采购代理机构</w:t>
      </w:r>
      <w:r>
        <w:rPr>
          <w:rFonts w:hint="eastAsia" w:hAnsi="宋体"/>
          <w:b/>
          <w:bCs/>
          <w:color w:val="auto"/>
          <w:sz w:val="22"/>
          <w:szCs w:val="22"/>
        </w:rPr>
        <w:t>或评标委员会</w:t>
      </w:r>
      <w:r>
        <w:rPr>
          <w:rFonts w:hAnsi="宋体"/>
          <w:b/>
          <w:bCs/>
          <w:color w:val="auto"/>
          <w:sz w:val="22"/>
          <w:szCs w:val="22"/>
        </w:rPr>
        <w:t>应当依法对投标供应商的资格进行审查，审查各投标供应商的资格是否满足招标文件的要求。采购人或采购代理机构</w:t>
      </w:r>
      <w:r>
        <w:rPr>
          <w:rFonts w:hint="eastAsia" w:hAnsi="宋体"/>
          <w:b/>
          <w:bCs/>
          <w:color w:val="auto"/>
          <w:sz w:val="22"/>
          <w:szCs w:val="22"/>
        </w:rPr>
        <w:t>或评标委员会</w:t>
      </w:r>
      <w:r>
        <w:rPr>
          <w:rFonts w:hAnsi="宋体"/>
          <w:b/>
          <w:bCs/>
          <w:color w:val="auto"/>
          <w:sz w:val="22"/>
          <w:szCs w:val="22"/>
        </w:rPr>
        <w:t>对投标供应商所提交的资格证明材料仅负审核的责任。如发现投标供应商所提交的资格证明材料不合法或与事实不符，采购人可取消其中标资格并追究投标供应商的法律责任。</w:t>
      </w:r>
    </w:p>
    <w:p w14:paraId="3144CFDF">
      <w:pPr>
        <w:pStyle w:val="10"/>
        <w:adjustRightInd w:val="0"/>
        <w:snapToGrid w:val="0"/>
        <w:spacing w:before="156" w:after="156" w:line="460" w:lineRule="atLeast"/>
        <w:ind w:firstLine="440" w:firstLineChars="200"/>
        <w:rPr>
          <w:rFonts w:hAnsi="宋体"/>
          <w:color w:val="auto"/>
          <w:sz w:val="22"/>
          <w:szCs w:val="22"/>
        </w:rPr>
      </w:pPr>
      <w:r>
        <w:rPr>
          <w:rFonts w:hAnsi="宋体"/>
          <w:color w:val="auto"/>
          <w:sz w:val="22"/>
          <w:szCs w:val="22"/>
        </w:rPr>
        <w:t>2.2、</w:t>
      </w:r>
      <w:r>
        <w:rPr>
          <w:rFonts w:hAnsi="宋体"/>
          <w:b/>
          <w:bCs/>
          <w:color w:val="auto"/>
          <w:sz w:val="22"/>
          <w:szCs w:val="22"/>
        </w:rPr>
        <w:t>投标供应商提交的资格证明材料无法证明其符合招标文件规定的“投标供应商资格要求”的，采购人或采购代理机构</w:t>
      </w:r>
      <w:r>
        <w:rPr>
          <w:rFonts w:hint="eastAsia" w:hAnsi="宋体"/>
          <w:b/>
          <w:bCs/>
          <w:color w:val="auto"/>
          <w:sz w:val="22"/>
          <w:szCs w:val="22"/>
        </w:rPr>
        <w:t>或</w:t>
      </w:r>
      <w:r>
        <w:rPr>
          <w:rFonts w:hAnsi="宋体"/>
          <w:b/>
          <w:bCs/>
          <w:color w:val="auto"/>
          <w:sz w:val="22"/>
          <w:szCs w:val="22"/>
        </w:rPr>
        <w:t>评标委员会将对其作资格审查不通过处理（无效投标），并不再将其投标进行后续评审。</w:t>
      </w:r>
    </w:p>
    <w:p w14:paraId="3F4C3E04">
      <w:pPr>
        <w:pStyle w:val="10"/>
        <w:adjustRightInd w:val="0"/>
        <w:snapToGrid w:val="0"/>
        <w:spacing w:before="156" w:after="156" w:line="460" w:lineRule="atLeast"/>
        <w:ind w:firstLine="440" w:firstLineChars="200"/>
        <w:rPr>
          <w:rFonts w:hAnsi="宋体"/>
          <w:b/>
          <w:bCs/>
          <w:color w:val="auto"/>
          <w:sz w:val="22"/>
          <w:szCs w:val="22"/>
        </w:rPr>
      </w:pPr>
      <w:r>
        <w:rPr>
          <w:rFonts w:hAnsi="宋体"/>
          <w:color w:val="auto"/>
          <w:sz w:val="22"/>
          <w:szCs w:val="22"/>
        </w:rPr>
        <w:t>2.3、</w:t>
      </w:r>
      <w:r>
        <w:rPr>
          <w:rFonts w:hAnsi="宋体"/>
          <w:b/>
          <w:bCs/>
          <w:color w:val="auto"/>
          <w:sz w:val="22"/>
          <w:szCs w:val="22"/>
        </w:rPr>
        <w:t>单位负责人为同一人或者存在直接控股、管理关系的不同供应商参加同一合同项下的政府采购活动的，相关投标供应商均作资格无效处理。</w:t>
      </w:r>
    </w:p>
    <w:p w14:paraId="7E9ABC05">
      <w:pPr>
        <w:pStyle w:val="10"/>
        <w:adjustRightInd w:val="0"/>
        <w:snapToGrid w:val="0"/>
        <w:spacing w:before="156" w:after="156" w:line="440" w:lineRule="atLeast"/>
        <w:ind w:firstLine="440" w:firstLineChars="200"/>
        <w:rPr>
          <w:rFonts w:hAnsi="宋体"/>
          <w:color w:val="auto"/>
          <w:sz w:val="22"/>
          <w:szCs w:val="22"/>
        </w:rPr>
      </w:pPr>
      <w:r>
        <w:rPr>
          <w:rFonts w:hint="eastAsia" w:hAnsi="宋体"/>
          <w:color w:val="auto"/>
          <w:sz w:val="22"/>
          <w:szCs w:val="22"/>
        </w:rPr>
        <w:t>3、评标</w:t>
      </w:r>
    </w:p>
    <w:p w14:paraId="4AF546CD">
      <w:pPr>
        <w:pStyle w:val="10"/>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firstLineChars="200"/>
        <w:textAlignment w:val="auto"/>
        <w:rPr>
          <w:rFonts w:hAnsi="宋体"/>
          <w:color w:val="auto"/>
          <w:sz w:val="22"/>
          <w:szCs w:val="22"/>
        </w:rPr>
      </w:pPr>
      <w:r>
        <w:rPr>
          <w:rFonts w:hint="eastAsia" w:hAnsi="宋体"/>
          <w:color w:val="auto"/>
          <w:sz w:val="22"/>
          <w:szCs w:val="22"/>
        </w:rPr>
        <w:t>3.1、评标由依法组建的评标委员会负责，并独立履行下列职责：</w:t>
      </w:r>
    </w:p>
    <w:p w14:paraId="706F54F5">
      <w:pPr>
        <w:pStyle w:val="10"/>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firstLineChars="200"/>
        <w:textAlignment w:val="auto"/>
        <w:rPr>
          <w:rFonts w:hAnsi="宋体"/>
          <w:color w:val="auto"/>
          <w:sz w:val="22"/>
          <w:szCs w:val="22"/>
        </w:rPr>
      </w:pPr>
      <w:r>
        <w:rPr>
          <w:rFonts w:hint="eastAsia" w:hAnsi="宋体"/>
          <w:color w:val="auto"/>
          <w:sz w:val="22"/>
          <w:szCs w:val="22"/>
          <w:lang w:eastAsia="zh-CN"/>
        </w:rPr>
        <w:t>（</w:t>
      </w:r>
      <w:r>
        <w:rPr>
          <w:rFonts w:hint="eastAsia" w:hAnsi="宋体"/>
          <w:color w:val="auto"/>
          <w:sz w:val="22"/>
          <w:szCs w:val="22"/>
        </w:rPr>
        <w:t>1）审查投标文件是否符合招标文件要求，并作出评价；</w:t>
      </w:r>
    </w:p>
    <w:p w14:paraId="2CD73EB2">
      <w:pPr>
        <w:pStyle w:val="10"/>
        <w:keepNext w:val="0"/>
        <w:keepLines w:val="0"/>
        <w:pageBreakBefore w:val="0"/>
        <w:widowControl w:val="0"/>
        <w:kinsoku/>
        <w:wordWrap/>
        <w:overflowPunct/>
        <w:topLinePunct w:val="0"/>
        <w:autoSpaceDE/>
        <w:autoSpaceDN/>
        <w:bidi w:val="0"/>
        <w:adjustRightInd w:val="0"/>
        <w:snapToGrid w:val="0"/>
        <w:spacing w:before="156" w:after="156" w:line="380" w:lineRule="exact"/>
        <w:ind w:firstLine="110" w:firstLineChars="50"/>
        <w:textAlignment w:val="auto"/>
        <w:rPr>
          <w:rFonts w:hAnsi="宋体"/>
          <w:color w:val="auto"/>
          <w:sz w:val="22"/>
          <w:szCs w:val="22"/>
        </w:rPr>
      </w:pPr>
      <w:r>
        <w:rPr>
          <w:rFonts w:hint="eastAsia" w:hAnsi="宋体"/>
          <w:color w:val="auto"/>
          <w:sz w:val="22"/>
          <w:szCs w:val="22"/>
        </w:rPr>
        <w:t xml:space="preserve">   </w:t>
      </w:r>
      <w:r>
        <w:rPr>
          <w:rFonts w:hint="eastAsia" w:hAnsi="宋体"/>
          <w:color w:val="auto"/>
          <w:sz w:val="22"/>
          <w:szCs w:val="22"/>
          <w:lang w:eastAsia="zh-CN"/>
        </w:rPr>
        <w:t>（</w:t>
      </w:r>
      <w:r>
        <w:rPr>
          <w:rFonts w:hint="eastAsia" w:hAnsi="宋体"/>
          <w:color w:val="auto"/>
          <w:sz w:val="22"/>
          <w:szCs w:val="22"/>
        </w:rPr>
        <w:t>2）要求投标供应商对投标文件有关事项作出解释或者澄清；</w:t>
      </w:r>
    </w:p>
    <w:p w14:paraId="0A14917E">
      <w:pPr>
        <w:pStyle w:val="10"/>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textAlignment w:val="auto"/>
        <w:rPr>
          <w:rFonts w:hAnsi="宋体"/>
          <w:color w:val="auto"/>
          <w:sz w:val="22"/>
          <w:szCs w:val="22"/>
        </w:rPr>
      </w:pPr>
      <w:r>
        <w:rPr>
          <w:rFonts w:hint="eastAsia" w:hAnsi="宋体"/>
          <w:color w:val="auto"/>
          <w:sz w:val="22"/>
          <w:szCs w:val="22"/>
          <w:lang w:eastAsia="zh-CN"/>
        </w:rPr>
        <w:t>（</w:t>
      </w:r>
      <w:r>
        <w:rPr>
          <w:rFonts w:hAnsi="宋体"/>
          <w:color w:val="auto"/>
          <w:sz w:val="22"/>
          <w:szCs w:val="22"/>
        </w:rPr>
        <w:t>3）按照招标文件确定的评标办法对各投标供应商进行排序，推荐中标候选供应商（不超过3个）；综合得分最高的供应商推荐为中标供应商；</w:t>
      </w:r>
    </w:p>
    <w:p w14:paraId="6E3BDAF1">
      <w:pPr>
        <w:pStyle w:val="10"/>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textAlignment w:val="auto"/>
        <w:rPr>
          <w:rFonts w:hAnsi="宋体"/>
          <w:color w:val="auto"/>
          <w:sz w:val="22"/>
          <w:szCs w:val="22"/>
        </w:rPr>
      </w:pPr>
      <w:r>
        <w:rPr>
          <w:rFonts w:hint="eastAsia" w:hAnsi="宋体"/>
          <w:color w:val="auto"/>
          <w:sz w:val="22"/>
          <w:szCs w:val="22"/>
          <w:lang w:eastAsia="zh-CN"/>
        </w:rPr>
        <w:t>（</w:t>
      </w:r>
      <w:r>
        <w:rPr>
          <w:rFonts w:hAnsi="宋体"/>
          <w:color w:val="auto"/>
          <w:sz w:val="22"/>
          <w:szCs w:val="22"/>
        </w:rPr>
        <w:t>4）向采购人推荐综合得分第一名的供应商为中标供应商，并提交评审报告。如果第一名得分相同，以投标报价低的优先；投标报价也相同，</w:t>
      </w:r>
      <w:r>
        <w:rPr>
          <w:rFonts w:hint="eastAsia"/>
          <w:color w:val="auto"/>
          <w:sz w:val="22"/>
          <w:szCs w:val="22"/>
        </w:rPr>
        <w:t>则以政采云系统记录的投标文件解密时间排序在前面的优先</w:t>
      </w:r>
      <w:r>
        <w:rPr>
          <w:rFonts w:hAnsi="宋体"/>
          <w:color w:val="auto"/>
          <w:sz w:val="22"/>
          <w:szCs w:val="22"/>
        </w:rPr>
        <w:t>。</w:t>
      </w:r>
    </w:p>
    <w:p w14:paraId="503482A2">
      <w:pPr>
        <w:pStyle w:val="10"/>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firstLineChars="200"/>
        <w:textAlignment w:val="auto"/>
        <w:rPr>
          <w:rFonts w:hAnsi="宋体"/>
          <w:color w:val="auto"/>
          <w:sz w:val="22"/>
          <w:szCs w:val="22"/>
        </w:rPr>
      </w:pPr>
      <w:r>
        <w:rPr>
          <w:rFonts w:hint="eastAsia" w:hAnsi="宋体"/>
          <w:color w:val="auto"/>
          <w:sz w:val="22"/>
          <w:szCs w:val="22"/>
          <w:lang w:eastAsia="zh-CN"/>
        </w:rPr>
        <w:t>（</w:t>
      </w:r>
      <w:r>
        <w:rPr>
          <w:rFonts w:hAnsi="宋体"/>
          <w:color w:val="auto"/>
          <w:sz w:val="22"/>
          <w:szCs w:val="22"/>
        </w:rPr>
        <w:t>5）向采购代理机构或者有关部门报告非法干预评标工作的行为。</w:t>
      </w:r>
    </w:p>
    <w:p w14:paraId="63632B15">
      <w:pPr>
        <w:pStyle w:val="10"/>
        <w:adjustRightInd w:val="0"/>
        <w:snapToGrid w:val="0"/>
        <w:spacing w:before="156" w:after="156" w:line="440" w:lineRule="atLeast"/>
        <w:ind w:firstLine="440" w:firstLineChars="200"/>
        <w:rPr>
          <w:rFonts w:hAnsi="宋体"/>
          <w:color w:val="auto"/>
          <w:sz w:val="22"/>
          <w:szCs w:val="22"/>
        </w:rPr>
      </w:pPr>
      <w:r>
        <w:rPr>
          <w:rFonts w:hint="eastAsia" w:hAnsi="宋体"/>
          <w:color w:val="auto"/>
          <w:sz w:val="22"/>
          <w:szCs w:val="22"/>
        </w:rPr>
        <w:t>3.2、评标应当遵循下列工作程序：</w:t>
      </w:r>
    </w:p>
    <w:p w14:paraId="0B93275A">
      <w:pPr>
        <w:pStyle w:val="10"/>
        <w:adjustRightInd w:val="0"/>
        <w:snapToGrid w:val="0"/>
        <w:spacing w:before="156" w:after="156" w:line="440" w:lineRule="atLeast"/>
        <w:rPr>
          <w:rFonts w:hAnsi="宋体"/>
          <w:color w:val="auto"/>
          <w:sz w:val="22"/>
          <w:szCs w:val="22"/>
        </w:rPr>
      </w:pPr>
      <w:r>
        <w:rPr>
          <w:rFonts w:hint="eastAsia" w:hAnsi="宋体"/>
          <w:color w:val="auto"/>
          <w:sz w:val="22"/>
          <w:szCs w:val="22"/>
        </w:rPr>
        <w:t xml:space="preserve">    </w:t>
      </w:r>
      <w:r>
        <w:rPr>
          <w:rFonts w:hint="eastAsia" w:hAnsi="宋体"/>
          <w:color w:val="auto"/>
          <w:sz w:val="22"/>
          <w:szCs w:val="22"/>
          <w:lang w:eastAsia="zh-CN"/>
        </w:rPr>
        <w:t>（</w:t>
      </w:r>
      <w:r>
        <w:rPr>
          <w:rFonts w:hint="eastAsia" w:hAnsi="宋体"/>
          <w:color w:val="auto"/>
          <w:sz w:val="22"/>
          <w:szCs w:val="22"/>
        </w:rPr>
        <w:t>1）投标文件符合性审查。依据招标文件的规定，从投标文件的有效性、完整性和对招标文件的响应程度进行审查，以确定是否对招标文件的实质性要求作出响应。</w:t>
      </w:r>
    </w:p>
    <w:p w14:paraId="5F626A75">
      <w:pPr>
        <w:pStyle w:val="10"/>
        <w:adjustRightInd w:val="0"/>
        <w:snapToGrid w:val="0"/>
        <w:spacing w:before="156" w:after="156" w:line="440" w:lineRule="atLeast"/>
        <w:rPr>
          <w:rFonts w:hAnsi="宋体"/>
          <w:color w:val="auto"/>
          <w:sz w:val="22"/>
          <w:szCs w:val="22"/>
        </w:rPr>
      </w:pPr>
      <w:r>
        <w:rPr>
          <w:rFonts w:hint="eastAsia" w:hAnsi="宋体"/>
          <w:color w:val="auto"/>
          <w:sz w:val="22"/>
          <w:szCs w:val="22"/>
        </w:rPr>
        <w:t xml:space="preserve">    </w:t>
      </w:r>
      <w:r>
        <w:rPr>
          <w:rFonts w:hint="eastAsia" w:hAnsi="宋体"/>
          <w:color w:val="auto"/>
          <w:sz w:val="22"/>
          <w:szCs w:val="22"/>
          <w:lang w:eastAsia="zh-CN"/>
        </w:rPr>
        <w:t>（</w:t>
      </w:r>
      <w:r>
        <w:rPr>
          <w:rFonts w:hint="eastAsia" w:hAnsi="宋体"/>
          <w:color w:val="auto"/>
          <w:sz w:val="22"/>
          <w:szCs w:val="22"/>
        </w:rPr>
        <w:t>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7D8F6B45">
      <w:pPr>
        <w:pStyle w:val="10"/>
        <w:adjustRightInd w:val="0"/>
        <w:snapToGrid w:val="0"/>
        <w:spacing w:before="156" w:after="156" w:line="440" w:lineRule="atLeast"/>
        <w:ind w:firstLine="440" w:firstLineChars="200"/>
        <w:rPr>
          <w:rFonts w:hAnsi="宋体"/>
          <w:color w:val="auto"/>
          <w:sz w:val="22"/>
          <w:szCs w:val="22"/>
        </w:rPr>
      </w:pPr>
      <w:r>
        <w:rPr>
          <w:rFonts w:hint="eastAsia" w:hAnsi="宋体"/>
          <w:color w:val="auto"/>
          <w:sz w:val="22"/>
          <w:szCs w:val="22"/>
          <w:lang w:eastAsia="zh-CN"/>
        </w:rPr>
        <w:t>（</w:t>
      </w:r>
      <w:r>
        <w:rPr>
          <w:rFonts w:hint="eastAsia" w:hAnsi="宋体"/>
          <w:color w:val="auto"/>
          <w:sz w:val="22"/>
          <w:szCs w:val="22"/>
        </w:rPr>
        <w:t>3）比较与评价。按招标文件中规定的评标方法和标准，对资格审查和符合性审查合格的投标文件进行商务和技术评估，综合比较与评价。</w:t>
      </w:r>
    </w:p>
    <w:p w14:paraId="7B3E3F5A">
      <w:pPr>
        <w:pStyle w:val="10"/>
        <w:adjustRightInd w:val="0"/>
        <w:snapToGrid w:val="0"/>
        <w:spacing w:before="156" w:after="156" w:line="440" w:lineRule="atLeast"/>
        <w:ind w:firstLine="440" w:firstLineChars="200"/>
        <w:rPr>
          <w:rFonts w:hAnsi="宋体"/>
          <w:b/>
          <w:bCs/>
          <w:color w:val="auto"/>
          <w:sz w:val="22"/>
          <w:szCs w:val="22"/>
        </w:rPr>
      </w:pPr>
      <w:r>
        <w:rPr>
          <w:rFonts w:hint="eastAsia" w:hAnsi="宋体"/>
          <w:color w:val="auto"/>
          <w:sz w:val="22"/>
          <w:szCs w:val="22"/>
        </w:rPr>
        <w:t>3.3、</w:t>
      </w:r>
      <w:r>
        <w:rPr>
          <w:rFonts w:hint="eastAsia" w:hAnsi="宋体"/>
          <w:b/>
          <w:bCs/>
          <w:color w:val="auto"/>
          <w:sz w:val="22"/>
          <w:szCs w:val="22"/>
        </w:rPr>
        <w:t>投标供应商存在下列情况之一的，投标无效：</w:t>
      </w:r>
    </w:p>
    <w:p w14:paraId="261C3595">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1</w:t>
      </w:r>
      <w:r>
        <w:rPr>
          <w:rFonts w:hAnsi="宋体"/>
          <w:b/>
          <w:bCs/>
          <w:color w:val="auto"/>
          <w:sz w:val="22"/>
          <w:szCs w:val="22"/>
        </w:rPr>
        <w:t>）投标文件未按招标文件要求签署</w:t>
      </w:r>
      <w:r>
        <w:rPr>
          <w:rFonts w:hint="eastAsia" w:hAnsi="宋体"/>
          <w:b/>
          <w:bCs/>
          <w:color w:val="auto"/>
          <w:sz w:val="22"/>
          <w:szCs w:val="22"/>
        </w:rPr>
        <w:t>或</w:t>
      </w:r>
      <w:r>
        <w:rPr>
          <w:rFonts w:hAnsi="宋体"/>
          <w:b/>
          <w:bCs/>
          <w:color w:val="auto"/>
          <w:sz w:val="22"/>
          <w:szCs w:val="22"/>
        </w:rPr>
        <w:t>CA电子签章的；</w:t>
      </w:r>
    </w:p>
    <w:p w14:paraId="5AF9600E">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2</w:t>
      </w:r>
      <w:r>
        <w:rPr>
          <w:rFonts w:hAnsi="宋体"/>
          <w:b/>
          <w:bCs/>
          <w:color w:val="auto"/>
          <w:sz w:val="22"/>
          <w:szCs w:val="22"/>
        </w:rPr>
        <w:t>）不具备招标文件中规定的资格要求的；</w:t>
      </w:r>
    </w:p>
    <w:p w14:paraId="2A8290F4">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3</w:t>
      </w:r>
      <w:r>
        <w:rPr>
          <w:rFonts w:hAnsi="宋体"/>
          <w:b/>
          <w:bCs/>
          <w:color w:val="auto"/>
          <w:sz w:val="22"/>
          <w:szCs w:val="22"/>
        </w:rPr>
        <w:t>）报价超过招标文件中规定的预算金额或者最高限价的；</w:t>
      </w:r>
    </w:p>
    <w:p w14:paraId="54DAB452">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4）</w:t>
      </w:r>
      <w:r>
        <w:rPr>
          <w:rFonts w:hint="eastAsia"/>
          <w:b/>
          <w:bCs/>
          <w:color w:val="auto"/>
          <w:sz w:val="22"/>
          <w:szCs w:val="22"/>
        </w:rPr>
        <w:t>未按招标文件要求提供投入人员数量的；</w:t>
      </w:r>
    </w:p>
    <w:p w14:paraId="3C5715C1">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5</w:t>
      </w:r>
      <w:r>
        <w:rPr>
          <w:rFonts w:hAnsi="宋体"/>
          <w:b/>
          <w:bCs/>
          <w:color w:val="auto"/>
          <w:sz w:val="22"/>
          <w:szCs w:val="22"/>
        </w:rPr>
        <w:t>）供应商递交两份或两份以上内容不同的投标文件，未声明哪一份有效的；</w:t>
      </w:r>
    </w:p>
    <w:p w14:paraId="161B8AC1">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6）</w:t>
      </w:r>
      <w:r>
        <w:rPr>
          <w:rFonts w:hAnsi="宋体"/>
          <w:b/>
          <w:bCs/>
          <w:color w:val="auto"/>
          <w:sz w:val="22"/>
          <w:szCs w:val="22"/>
        </w:rPr>
        <w:t>对关键条文的偏离、保留或反对，例如关于付款方式、</w:t>
      </w:r>
      <w:r>
        <w:rPr>
          <w:rFonts w:hint="eastAsia" w:hAnsi="宋体"/>
          <w:b/>
          <w:bCs/>
          <w:color w:val="auto"/>
          <w:sz w:val="22"/>
          <w:szCs w:val="22"/>
        </w:rPr>
        <w:t>服务期、</w:t>
      </w:r>
      <w:r>
        <w:rPr>
          <w:rFonts w:hAnsi="宋体"/>
          <w:b/>
          <w:bCs/>
          <w:color w:val="auto"/>
          <w:sz w:val="22"/>
          <w:szCs w:val="22"/>
        </w:rPr>
        <w:t>适用法律法规、标准、税费等其他内容；</w:t>
      </w:r>
    </w:p>
    <w:p w14:paraId="0B089DF1">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7</w:t>
      </w:r>
      <w:r>
        <w:rPr>
          <w:rFonts w:hAnsi="宋体"/>
          <w:b/>
          <w:bCs/>
          <w:color w:val="auto"/>
          <w:sz w:val="22"/>
          <w:szCs w:val="22"/>
        </w:rPr>
        <w:t>）存在串标、抬标或弄虚作假情况的</w:t>
      </w:r>
      <w:r>
        <w:rPr>
          <w:rFonts w:hint="eastAsia" w:hAnsi="宋体"/>
          <w:b/>
          <w:bCs/>
          <w:color w:val="auto"/>
          <w:sz w:val="22"/>
          <w:szCs w:val="22"/>
        </w:rPr>
        <w:t>；</w:t>
      </w:r>
    </w:p>
    <w:p w14:paraId="74DF5289">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8</w:t>
      </w:r>
      <w:r>
        <w:rPr>
          <w:rFonts w:hAnsi="宋体"/>
          <w:b/>
          <w:bCs/>
          <w:color w:val="auto"/>
          <w:sz w:val="22"/>
          <w:szCs w:val="22"/>
        </w:rPr>
        <w:t>）参与本项目的不同供应商单位负责人为同一人或者存在直接控股、管理关系的；</w:t>
      </w:r>
    </w:p>
    <w:p w14:paraId="56165D46">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9</w:t>
      </w:r>
      <w:r>
        <w:rPr>
          <w:rFonts w:hAnsi="宋体"/>
          <w:b/>
          <w:bCs/>
          <w:color w:val="auto"/>
          <w:sz w:val="22"/>
          <w:szCs w:val="22"/>
        </w:rPr>
        <w:t>）供应商的资格文件或者商务技术文件中出现投标报价的；</w:t>
      </w:r>
    </w:p>
    <w:p w14:paraId="5EC30D89">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10</w:t>
      </w:r>
      <w:r>
        <w:rPr>
          <w:rFonts w:hAnsi="宋体"/>
          <w:b/>
          <w:bCs/>
          <w:color w:val="auto"/>
          <w:sz w:val="22"/>
          <w:szCs w:val="22"/>
        </w:rPr>
        <w:t>）投标供应商在线制作投标文件时《开标一览表》中填写的金额与解密后“电子加密投标文件”中《开标一览表》填写的金额不一致并拒绝按招标文件要求接受此调整的；</w:t>
      </w:r>
    </w:p>
    <w:p w14:paraId="2AC3DDBE">
      <w:pPr>
        <w:pStyle w:val="10"/>
        <w:adjustRightInd w:val="0"/>
        <w:snapToGrid w:val="0"/>
        <w:spacing w:before="156" w:after="156" w:line="240" w:lineRule="auto"/>
        <w:ind w:firstLine="442" w:firstLineChars="200"/>
        <w:rPr>
          <w:rFonts w:hAnsi="宋体"/>
          <w:b/>
          <w:bCs/>
          <w:color w:val="auto"/>
          <w:sz w:val="22"/>
          <w:szCs w:val="22"/>
        </w:rPr>
      </w:pPr>
      <w:r>
        <w:rPr>
          <w:rFonts w:hint="eastAsia" w:hAnsi="宋体"/>
          <w:b/>
          <w:bCs/>
          <w:color w:val="auto"/>
          <w:sz w:val="22"/>
          <w:szCs w:val="22"/>
          <w:lang w:eastAsia="zh-CN"/>
        </w:rPr>
        <w:t>（</w:t>
      </w:r>
      <w:r>
        <w:rPr>
          <w:rFonts w:hint="eastAsia" w:hAnsi="宋体"/>
          <w:b/>
          <w:bCs/>
          <w:color w:val="auto"/>
          <w:sz w:val="22"/>
          <w:szCs w:val="22"/>
        </w:rPr>
        <w:t>11</w:t>
      </w:r>
      <w:r>
        <w:rPr>
          <w:rFonts w:hAnsi="宋体"/>
          <w:b/>
          <w:bCs/>
          <w:color w:val="auto"/>
          <w:sz w:val="22"/>
          <w:szCs w:val="22"/>
        </w:rPr>
        <w:t>）法律、法规和招标文件规定的其他无效情形（或出现重大偏差）。</w:t>
      </w:r>
    </w:p>
    <w:p w14:paraId="31B18D36">
      <w:pPr>
        <w:pStyle w:val="10"/>
        <w:adjustRightInd w:val="0"/>
        <w:snapToGrid w:val="0"/>
        <w:spacing w:before="156" w:after="156" w:line="440" w:lineRule="exact"/>
        <w:ind w:firstLine="440" w:firstLineChars="200"/>
        <w:rPr>
          <w:rFonts w:hAnsi="宋体"/>
          <w:color w:val="auto"/>
          <w:sz w:val="22"/>
          <w:szCs w:val="22"/>
        </w:rPr>
      </w:pPr>
      <w:r>
        <w:rPr>
          <w:rFonts w:hint="eastAsia" w:hAnsi="宋体"/>
          <w:color w:val="auto"/>
          <w:sz w:val="22"/>
          <w:szCs w:val="22"/>
        </w:rPr>
        <w:t>3</w:t>
      </w:r>
      <w:r>
        <w:rPr>
          <w:rFonts w:hAnsi="宋体"/>
          <w:color w:val="auto"/>
          <w:sz w:val="22"/>
          <w:szCs w:val="22"/>
        </w:rPr>
        <w:t xml:space="preserve">.4 </w:t>
      </w:r>
      <w:r>
        <w:rPr>
          <w:rFonts w:hAnsi="宋体"/>
          <w:b/>
          <w:bCs/>
          <w:color w:val="auto"/>
          <w:sz w:val="22"/>
          <w:szCs w:val="22"/>
        </w:rPr>
        <w:t>评标委员会发现投标文件有下列情形之一的属于重大偏差(评标委员会按少数服从多数原则认定),按照无效投标处理：</w:t>
      </w:r>
    </w:p>
    <w:p w14:paraId="5CBA34B8">
      <w:pPr>
        <w:pStyle w:val="10"/>
        <w:adjustRightInd w:val="0"/>
        <w:snapToGrid w:val="0"/>
        <w:spacing w:before="156" w:after="156" w:line="240" w:lineRule="auto"/>
        <w:ind w:firstLine="440" w:firstLineChars="200"/>
        <w:rPr>
          <w:rFonts w:hAnsi="宋体"/>
          <w:color w:val="auto"/>
          <w:sz w:val="22"/>
          <w:szCs w:val="22"/>
        </w:rPr>
      </w:pPr>
      <w:r>
        <w:rPr>
          <w:rFonts w:hAnsi="宋体"/>
          <w:color w:val="auto"/>
          <w:sz w:val="22"/>
          <w:szCs w:val="22"/>
        </w:rPr>
        <w:t>1）未按招标文件要求编制或字迹模糊、辨认不清的投标文件；</w:t>
      </w:r>
    </w:p>
    <w:p w14:paraId="5B67308A">
      <w:pPr>
        <w:pStyle w:val="10"/>
        <w:adjustRightInd w:val="0"/>
        <w:snapToGrid w:val="0"/>
        <w:spacing w:before="156" w:after="156" w:line="240" w:lineRule="auto"/>
        <w:ind w:firstLine="440" w:firstLineChars="200"/>
        <w:rPr>
          <w:rFonts w:hAnsi="宋体"/>
          <w:color w:val="auto"/>
          <w:sz w:val="22"/>
          <w:szCs w:val="22"/>
        </w:rPr>
      </w:pPr>
      <w:r>
        <w:rPr>
          <w:rFonts w:hAnsi="宋体"/>
          <w:color w:val="auto"/>
          <w:sz w:val="22"/>
          <w:szCs w:val="22"/>
        </w:rPr>
        <w:t>2）除3.3条款以外，明显不符合招标文件</w:t>
      </w:r>
      <w:r>
        <w:rPr>
          <w:rFonts w:hint="eastAsia" w:hAnsi="宋体"/>
          <w:color w:val="auto"/>
          <w:sz w:val="22"/>
          <w:szCs w:val="22"/>
        </w:rPr>
        <w:t>要求</w:t>
      </w:r>
      <w:r>
        <w:rPr>
          <w:rFonts w:hAnsi="宋体"/>
          <w:color w:val="auto"/>
          <w:sz w:val="22"/>
          <w:szCs w:val="22"/>
        </w:rPr>
        <w:t>的规格型号、质量标准，或者</w:t>
      </w:r>
      <w:r>
        <w:rPr>
          <w:rFonts w:hint="eastAsia" w:hAnsi="宋体"/>
          <w:color w:val="auto"/>
          <w:sz w:val="22"/>
          <w:szCs w:val="22"/>
        </w:rPr>
        <w:t>与</w:t>
      </w:r>
      <w:r>
        <w:rPr>
          <w:rFonts w:hAnsi="宋体"/>
          <w:color w:val="auto"/>
          <w:sz w:val="22"/>
          <w:szCs w:val="22"/>
        </w:rPr>
        <w:t>招标文件中标“</w:t>
      </w:r>
      <w:r>
        <w:rPr>
          <w:rFonts w:hint="eastAsia" w:hAnsi="宋体"/>
          <w:color w:val="auto"/>
          <w:sz w:val="22"/>
          <w:szCs w:val="22"/>
        </w:rPr>
        <w:t>★</w:t>
      </w:r>
      <w:r>
        <w:rPr>
          <w:rFonts w:hAnsi="宋体"/>
          <w:color w:val="auto"/>
          <w:sz w:val="22"/>
          <w:szCs w:val="22"/>
        </w:rPr>
        <w:t xml:space="preserve">”的技术指标、主要功能项目发生实质性偏离的； </w:t>
      </w:r>
    </w:p>
    <w:p w14:paraId="0CA07686">
      <w:pPr>
        <w:pStyle w:val="10"/>
        <w:adjustRightInd w:val="0"/>
        <w:snapToGrid w:val="0"/>
        <w:spacing w:before="156" w:after="156" w:line="240" w:lineRule="auto"/>
        <w:ind w:firstLine="440" w:firstLineChars="200"/>
        <w:rPr>
          <w:rFonts w:hAnsi="宋体"/>
          <w:color w:val="auto"/>
          <w:sz w:val="22"/>
          <w:szCs w:val="22"/>
        </w:rPr>
      </w:pPr>
      <w:r>
        <w:rPr>
          <w:rFonts w:hint="eastAsia" w:hAnsi="宋体"/>
          <w:color w:val="auto"/>
          <w:sz w:val="22"/>
          <w:szCs w:val="22"/>
        </w:rPr>
        <w:t>3</w:t>
      </w:r>
      <w:r>
        <w:rPr>
          <w:rFonts w:hAnsi="宋体"/>
          <w:color w:val="auto"/>
          <w:sz w:val="22"/>
          <w:szCs w:val="22"/>
        </w:rPr>
        <w:t>）除3.3条款以外，未提供或未如实提供投标货物的技术参数，或者投标文件标明的响应或偏离与事实不符或虚假投标的；</w:t>
      </w:r>
    </w:p>
    <w:p w14:paraId="2DD98DB1">
      <w:pPr>
        <w:pStyle w:val="10"/>
        <w:adjustRightInd w:val="0"/>
        <w:snapToGrid w:val="0"/>
        <w:spacing w:before="156" w:after="156" w:line="240" w:lineRule="auto"/>
        <w:ind w:firstLine="440" w:firstLineChars="200"/>
        <w:rPr>
          <w:rFonts w:hAnsi="宋体"/>
          <w:color w:val="auto"/>
          <w:sz w:val="22"/>
          <w:szCs w:val="22"/>
        </w:rPr>
      </w:pPr>
      <w:r>
        <w:rPr>
          <w:rFonts w:hint="eastAsia" w:hAnsi="宋体"/>
          <w:color w:val="auto"/>
          <w:sz w:val="22"/>
          <w:szCs w:val="22"/>
        </w:rPr>
        <w:t>4</w:t>
      </w:r>
      <w:r>
        <w:rPr>
          <w:rFonts w:hAnsi="宋体"/>
          <w:color w:val="auto"/>
          <w:sz w:val="22"/>
          <w:szCs w:val="22"/>
        </w:rPr>
        <w:t>）</w:t>
      </w:r>
      <w:r>
        <w:rPr>
          <w:rFonts w:hint="eastAsia" w:hAnsi="宋体"/>
          <w:color w:val="auto"/>
          <w:sz w:val="22"/>
          <w:szCs w:val="22"/>
        </w:rPr>
        <w:t>与其他参加本次投标供应商的投标文件（技术文件）的文字表述内容相同连续20行以上或者差错相同2处以上的（招标文件中复制粘贴而来的除外）。</w:t>
      </w:r>
    </w:p>
    <w:p w14:paraId="314C4D1B">
      <w:pPr>
        <w:pStyle w:val="10"/>
        <w:adjustRightInd w:val="0"/>
        <w:snapToGrid w:val="0"/>
        <w:spacing w:before="156" w:after="156" w:line="460" w:lineRule="exact"/>
        <w:ind w:firstLine="440" w:firstLineChars="200"/>
        <w:rPr>
          <w:rFonts w:hAnsi="宋体"/>
          <w:b/>
          <w:bCs/>
          <w:color w:val="auto"/>
          <w:sz w:val="22"/>
          <w:szCs w:val="22"/>
        </w:rPr>
      </w:pPr>
      <w:r>
        <w:rPr>
          <w:rFonts w:hint="eastAsia" w:hAnsi="宋体"/>
          <w:color w:val="auto"/>
          <w:sz w:val="22"/>
          <w:szCs w:val="22"/>
        </w:rPr>
        <w:t>3.5、</w:t>
      </w:r>
      <w:r>
        <w:rPr>
          <w:rFonts w:hint="eastAsia" w:hAnsi="宋体"/>
          <w:b/>
          <w:bCs/>
          <w:color w:val="auto"/>
          <w:sz w:val="22"/>
          <w:szCs w:val="22"/>
        </w:rPr>
        <w:t>本次采购，如果投标供应商的投标报价均超出采购预算，本次招标做流标处理。</w:t>
      </w:r>
    </w:p>
    <w:p w14:paraId="3766D6DB">
      <w:pPr>
        <w:pStyle w:val="10"/>
        <w:adjustRightInd w:val="0"/>
        <w:snapToGrid w:val="0"/>
        <w:spacing w:before="156" w:after="156" w:line="460" w:lineRule="exact"/>
        <w:ind w:firstLine="440" w:firstLineChars="200"/>
        <w:rPr>
          <w:rFonts w:hAnsi="宋体"/>
          <w:color w:val="auto"/>
          <w:sz w:val="22"/>
          <w:szCs w:val="22"/>
        </w:rPr>
      </w:pPr>
      <w:r>
        <w:rPr>
          <w:rFonts w:hint="eastAsia" w:hAnsi="宋体"/>
          <w:color w:val="auto"/>
          <w:sz w:val="22"/>
          <w:szCs w:val="22"/>
        </w:rPr>
        <w:t>3.6、开启投标供应商报价文件后发现价格、数量有误，其投标价将按下述原则处理：</w:t>
      </w:r>
    </w:p>
    <w:p w14:paraId="019EE253">
      <w:pPr>
        <w:adjustRightInd w:val="0"/>
        <w:snapToGrid w:val="0"/>
        <w:ind w:firstLine="440" w:firstLineChars="200"/>
        <w:rPr>
          <w:rFonts w:ascii="宋体"/>
          <w:color w:val="auto"/>
          <w:sz w:val="22"/>
        </w:rPr>
      </w:pPr>
      <w:r>
        <w:rPr>
          <w:rFonts w:hint="eastAsia" w:ascii="宋体"/>
          <w:color w:val="auto"/>
          <w:sz w:val="22"/>
          <w:lang w:eastAsia="zh-CN"/>
        </w:rPr>
        <w:t>（</w:t>
      </w:r>
      <w:r>
        <w:rPr>
          <w:rFonts w:ascii="宋体"/>
          <w:color w:val="auto"/>
          <w:sz w:val="22"/>
        </w:rPr>
        <w:t>1</w:t>
      </w:r>
      <w:r>
        <w:rPr>
          <w:rFonts w:hint="eastAsia" w:ascii="宋体"/>
          <w:color w:val="auto"/>
          <w:sz w:val="22"/>
          <w:lang w:eastAsia="zh-CN"/>
        </w:rPr>
        <w:t>）</w:t>
      </w:r>
      <w:r>
        <w:rPr>
          <w:rFonts w:ascii="宋体"/>
          <w:color w:val="auto"/>
          <w:sz w:val="22"/>
        </w:rPr>
        <w:t xml:space="preserve"> 任何有漏去一些小项货物或服务的投标将被视为其费用已包含在投标总价中，投标价格不予调整。</w:t>
      </w:r>
    </w:p>
    <w:p w14:paraId="55B7A22F">
      <w:pPr>
        <w:adjustRightInd w:val="0"/>
        <w:snapToGrid w:val="0"/>
        <w:ind w:firstLine="440" w:firstLineChars="200"/>
        <w:rPr>
          <w:rFonts w:ascii="宋体"/>
          <w:color w:val="auto"/>
          <w:sz w:val="22"/>
        </w:rPr>
      </w:pPr>
      <w:r>
        <w:rPr>
          <w:rFonts w:hint="eastAsia" w:ascii="宋体"/>
          <w:color w:val="auto"/>
          <w:sz w:val="22"/>
          <w:lang w:eastAsia="zh-CN"/>
        </w:rPr>
        <w:t>（</w:t>
      </w:r>
      <w:r>
        <w:rPr>
          <w:rFonts w:ascii="宋体"/>
          <w:color w:val="auto"/>
          <w:sz w:val="22"/>
        </w:rPr>
        <w:t>2</w:t>
      </w:r>
      <w:r>
        <w:rPr>
          <w:rFonts w:hint="eastAsia" w:ascii="宋体"/>
          <w:color w:val="auto"/>
          <w:sz w:val="22"/>
          <w:lang w:eastAsia="zh-CN"/>
        </w:rPr>
        <w:t>）</w:t>
      </w:r>
      <w:r>
        <w:rPr>
          <w:rFonts w:ascii="宋体"/>
          <w:color w:val="auto"/>
          <w:sz w:val="22"/>
        </w:rPr>
        <w:t xml:space="preserve"> 任何有多报一些小项工程或货物的投标其投标价不予调整，如果该投标供应商中标，则合同价格必须为核减掉多报的一些小项工程或货物后的价格。</w:t>
      </w:r>
    </w:p>
    <w:p w14:paraId="59C73A39">
      <w:pPr>
        <w:adjustRightInd w:val="0"/>
        <w:snapToGrid w:val="0"/>
        <w:ind w:firstLine="440" w:firstLineChars="200"/>
        <w:rPr>
          <w:rFonts w:ascii="宋体"/>
          <w:color w:val="auto"/>
          <w:sz w:val="22"/>
        </w:rPr>
      </w:pPr>
      <w:r>
        <w:rPr>
          <w:rFonts w:hint="eastAsia" w:ascii="宋体"/>
          <w:color w:val="auto"/>
          <w:sz w:val="22"/>
          <w:lang w:eastAsia="zh-CN"/>
        </w:rPr>
        <w:t>（</w:t>
      </w:r>
      <w:r>
        <w:rPr>
          <w:rFonts w:ascii="宋体"/>
          <w:color w:val="auto"/>
          <w:sz w:val="22"/>
        </w:rPr>
        <w:t>3）</w:t>
      </w:r>
      <w:r>
        <w:rPr>
          <w:rFonts w:hint="eastAsia" w:ascii="宋体"/>
          <w:color w:val="auto"/>
          <w:sz w:val="22"/>
        </w:rPr>
        <w:t>对于计算错误的其投标价不予调整，如果该投标供应商中标，如其投标价格计算错误导致多报者合同价格予以据实核减，少报者合同价格不予调整。</w:t>
      </w:r>
    </w:p>
    <w:p w14:paraId="45D249B9">
      <w:pPr>
        <w:pStyle w:val="10"/>
        <w:adjustRightInd w:val="0"/>
        <w:snapToGrid w:val="0"/>
        <w:spacing w:before="156" w:after="156" w:line="240" w:lineRule="auto"/>
        <w:ind w:firstLine="431" w:firstLineChars="196"/>
        <w:rPr>
          <w:rFonts w:hAnsi="宋体"/>
          <w:color w:val="auto"/>
          <w:sz w:val="22"/>
        </w:rPr>
      </w:pPr>
      <w:r>
        <w:rPr>
          <w:rFonts w:hint="eastAsia" w:hAnsi="宋体"/>
          <w:color w:val="auto"/>
          <w:sz w:val="22"/>
          <w:lang w:eastAsia="zh-CN"/>
        </w:rPr>
        <w:t>（</w:t>
      </w:r>
      <w:r>
        <w:rPr>
          <w:rFonts w:hAnsi="宋体"/>
          <w:color w:val="auto"/>
          <w:sz w:val="22"/>
        </w:rPr>
        <w:t>4）对于计算错误，多报或漏报的一些小项工程或货物、服务的仅仅为非实质性重大偏差范围内的偏离，并经过评标委员会按少数服从多数原则认定为细微偏差，评审时其投标价不予调整。</w:t>
      </w:r>
    </w:p>
    <w:p w14:paraId="20BE3E8C">
      <w:pPr>
        <w:pStyle w:val="10"/>
        <w:adjustRightInd w:val="0"/>
        <w:snapToGrid w:val="0"/>
        <w:spacing w:before="156" w:after="156" w:line="240" w:lineRule="auto"/>
        <w:ind w:firstLine="431" w:firstLineChars="196"/>
        <w:rPr>
          <w:rFonts w:hAnsi="宋体"/>
          <w:color w:val="auto"/>
          <w:sz w:val="22"/>
          <w:szCs w:val="22"/>
        </w:rPr>
      </w:pPr>
      <w:r>
        <w:rPr>
          <w:rFonts w:hint="eastAsia" w:hAnsi="宋体"/>
          <w:color w:val="auto"/>
          <w:sz w:val="22"/>
          <w:lang w:eastAsia="zh-CN"/>
        </w:rPr>
        <w:t>（</w:t>
      </w:r>
      <w:r>
        <w:rPr>
          <w:rFonts w:hint="eastAsia" w:hAnsi="宋体"/>
          <w:color w:val="auto"/>
          <w:sz w:val="22"/>
        </w:rPr>
        <w:t>5）</w:t>
      </w:r>
      <w:r>
        <w:rPr>
          <w:rFonts w:hint="eastAsia" w:hAnsi="宋体"/>
          <w:b/>
          <w:bCs/>
          <w:color w:val="auto"/>
          <w:sz w:val="22"/>
        </w:rPr>
        <w:t>供应商不接受上述处理方式，将按无效投标处理</w:t>
      </w:r>
      <w:r>
        <w:rPr>
          <w:rFonts w:hAnsi="宋体"/>
          <w:b/>
          <w:bCs/>
          <w:color w:val="auto"/>
          <w:sz w:val="22"/>
        </w:rPr>
        <w:t>。</w:t>
      </w:r>
    </w:p>
    <w:p w14:paraId="434038FB">
      <w:pPr>
        <w:adjustRightInd w:val="0"/>
        <w:snapToGrid w:val="0"/>
        <w:spacing w:line="460" w:lineRule="exact"/>
        <w:ind w:firstLine="440" w:firstLineChars="200"/>
        <w:rPr>
          <w:rFonts w:ascii="宋体"/>
          <w:b/>
          <w:bCs/>
          <w:color w:val="auto"/>
          <w:sz w:val="22"/>
        </w:rPr>
      </w:pPr>
      <w:r>
        <w:rPr>
          <w:rFonts w:hint="eastAsia" w:ascii="宋体"/>
          <w:color w:val="auto"/>
          <w:sz w:val="22"/>
        </w:rPr>
        <w:t>3</w:t>
      </w:r>
      <w:r>
        <w:rPr>
          <w:rFonts w:ascii="宋体"/>
          <w:color w:val="auto"/>
          <w:sz w:val="22"/>
        </w:rPr>
        <w:t>.</w:t>
      </w:r>
      <w:r>
        <w:rPr>
          <w:rFonts w:hint="eastAsia" w:ascii="宋体"/>
          <w:color w:val="auto"/>
          <w:sz w:val="22"/>
        </w:rPr>
        <w:t>7、</w:t>
      </w:r>
      <w:r>
        <w:rPr>
          <w:rFonts w:ascii="宋体"/>
          <w:b/>
          <w:bCs/>
          <w:color w:val="auto"/>
          <w:sz w:val="22"/>
        </w:rPr>
        <w:t>评标委员会认为投标</w:t>
      </w:r>
      <w:r>
        <w:rPr>
          <w:rFonts w:hint="eastAsia" w:ascii="宋体"/>
          <w:b/>
          <w:bCs/>
          <w:color w:val="auto"/>
          <w:sz w:val="22"/>
        </w:rPr>
        <w:t>供应商</w:t>
      </w:r>
      <w:r>
        <w:rPr>
          <w:rFonts w:ascii="宋体"/>
          <w:b/>
          <w:bCs/>
          <w:color w:val="auto"/>
          <w:sz w:val="22"/>
        </w:rPr>
        <w:t>的报价明显低于其他通过符合性审查投标</w:t>
      </w:r>
      <w:r>
        <w:rPr>
          <w:rFonts w:hint="eastAsia" w:ascii="宋体"/>
          <w:b/>
          <w:bCs/>
          <w:color w:val="auto"/>
          <w:sz w:val="22"/>
        </w:rPr>
        <w:t>供应商</w:t>
      </w:r>
      <w:r>
        <w:rPr>
          <w:rFonts w:ascii="宋体"/>
          <w:b/>
          <w:bCs/>
          <w:color w:val="auto"/>
          <w:sz w:val="22"/>
        </w:rPr>
        <w:t>的报价，有可能影响产品质量或者不能诚信履约的，应当要求其在合理的时间内提供说明，必要时提交相关证明材料；投标</w:t>
      </w:r>
      <w:r>
        <w:rPr>
          <w:rFonts w:hint="eastAsia" w:ascii="宋体"/>
          <w:b/>
          <w:bCs/>
          <w:color w:val="auto"/>
          <w:sz w:val="22"/>
        </w:rPr>
        <w:t>供应商</w:t>
      </w:r>
      <w:r>
        <w:rPr>
          <w:rFonts w:ascii="宋体"/>
          <w:b/>
          <w:bCs/>
          <w:color w:val="auto"/>
          <w:sz w:val="22"/>
        </w:rPr>
        <w:t>不能证明其报价合理性的，评标委员会应当将其作为无效投标处理。</w:t>
      </w:r>
    </w:p>
    <w:p w14:paraId="42555A8B">
      <w:pPr>
        <w:adjustRightInd w:val="0"/>
        <w:snapToGrid w:val="0"/>
        <w:spacing w:line="460" w:lineRule="exact"/>
        <w:ind w:firstLine="440" w:firstLineChars="200"/>
        <w:rPr>
          <w:rFonts w:ascii="宋体" w:cs="Arial"/>
          <w:color w:val="auto"/>
          <w:sz w:val="22"/>
        </w:rPr>
      </w:pPr>
      <w:r>
        <w:rPr>
          <w:rFonts w:hint="eastAsia" w:ascii="宋体"/>
          <w:color w:val="auto"/>
          <w:sz w:val="22"/>
        </w:rPr>
        <w:t>3.8、</w:t>
      </w:r>
      <w:r>
        <w:rPr>
          <w:rFonts w:hint="eastAsia" w:ascii="宋体" w:cs="Arial"/>
          <w:b/>
          <w:bCs/>
          <w:color w:val="auto"/>
          <w:sz w:val="22"/>
        </w:rPr>
        <w:t>评标过程中遇到特殊情况，由评标委员会遵循公开、公正原则，采取投票方式按照少数服从多数原则决定。</w:t>
      </w:r>
    </w:p>
    <w:p w14:paraId="45355403">
      <w:pPr>
        <w:adjustRightInd w:val="0"/>
        <w:snapToGrid w:val="0"/>
        <w:spacing w:line="440" w:lineRule="exact"/>
        <w:ind w:firstLine="440" w:firstLineChars="200"/>
        <w:rPr>
          <w:rFonts w:ascii="宋体"/>
          <w:color w:val="auto"/>
          <w:sz w:val="22"/>
        </w:rPr>
      </w:pPr>
      <w:r>
        <w:rPr>
          <w:rFonts w:hint="eastAsia" w:ascii="宋体"/>
          <w:color w:val="auto"/>
          <w:sz w:val="22"/>
        </w:rPr>
        <w:t>3.9、实质上没有响应招标文件要求的投标将被拒绝。评标委员会不得通过询标使投标供应商修正或撤消不合要求的偏离从而使其投标成为实质上响应的投标。</w:t>
      </w:r>
    </w:p>
    <w:p w14:paraId="336BAA5D">
      <w:pPr>
        <w:adjustRightInd w:val="0"/>
        <w:snapToGrid w:val="0"/>
        <w:spacing w:line="440" w:lineRule="exact"/>
        <w:ind w:firstLine="440" w:firstLineChars="200"/>
        <w:rPr>
          <w:rFonts w:ascii="宋体"/>
          <w:color w:val="auto"/>
          <w:sz w:val="22"/>
        </w:rPr>
      </w:pPr>
      <w:r>
        <w:rPr>
          <w:rFonts w:hint="eastAsia" w:ascii="宋体"/>
          <w:color w:val="auto"/>
          <w:sz w:val="22"/>
        </w:rPr>
        <w:t>3.10、评标委员会对投标文件的判定，只依据投标内容本身，不依靠开标后的任何外来证明。</w:t>
      </w:r>
    </w:p>
    <w:p w14:paraId="34B46AF8">
      <w:pPr>
        <w:adjustRightInd w:val="0"/>
        <w:snapToGrid w:val="0"/>
        <w:spacing w:line="440" w:lineRule="exact"/>
        <w:ind w:firstLine="440" w:firstLineChars="200"/>
        <w:rPr>
          <w:rFonts w:ascii="宋体"/>
          <w:color w:val="auto"/>
          <w:sz w:val="22"/>
        </w:rPr>
      </w:pPr>
      <w:r>
        <w:rPr>
          <w:rFonts w:hint="eastAsia" w:ascii="宋体"/>
          <w:color w:val="auto"/>
          <w:sz w:val="22"/>
        </w:rPr>
        <w:t>3.11、评标委员会在评标中，不得改变招标文件中规定的评标标准、方法和中标条件。</w:t>
      </w:r>
    </w:p>
    <w:p w14:paraId="55E530C0">
      <w:pPr>
        <w:adjustRightInd w:val="0"/>
        <w:snapToGrid w:val="0"/>
        <w:spacing w:line="440" w:lineRule="exact"/>
        <w:ind w:firstLine="440" w:firstLineChars="200"/>
        <w:rPr>
          <w:rFonts w:ascii="宋体"/>
          <w:b w:val="0"/>
          <w:bCs w:val="0"/>
          <w:color w:val="auto"/>
          <w:sz w:val="22"/>
        </w:rPr>
      </w:pPr>
      <w:r>
        <w:rPr>
          <w:rFonts w:hint="eastAsia" w:ascii="宋体"/>
          <w:color w:val="auto"/>
          <w:sz w:val="22"/>
        </w:rPr>
        <w:t>3</w:t>
      </w:r>
      <w:r>
        <w:rPr>
          <w:rFonts w:ascii="宋体"/>
          <w:color w:val="auto"/>
          <w:sz w:val="22"/>
        </w:rPr>
        <w:t>.</w:t>
      </w:r>
      <w:r>
        <w:rPr>
          <w:rFonts w:hint="eastAsia" w:ascii="宋体"/>
          <w:color w:val="auto"/>
          <w:sz w:val="22"/>
        </w:rPr>
        <w:t>12、</w:t>
      </w:r>
      <w:r>
        <w:rPr>
          <w:rFonts w:ascii="宋体"/>
          <w:b w:val="0"/>
          <w:bCs w:val="0"/>
          <w:color w:val="auto"/>
          <w:sz w:val="22"/>
        </w:rPr>
        <w:t>评标委员会对未中标的供应商不作解释。</w:t>
      </w:r>
    </w:p>
    <w:p w14:paraId="3935E86B">
      <w:pPr>
        <w:pStyle w:val="10"/>
        <w:adjustRightInd w:val="0"/>
        <w:snapToGrid w:val="0"/>
        <w:spacing w:before="156" w:after="156" w:line="460" w:lineRule="atLeast"/>
        <w:rPr>
          <w:rFonts w:hAnsi="宋体"/>
          <w:color w:val="auto"/>
          <w:sz w:val="22"/>
          <w:szCs w:val="22"/>
        </w:rPr>
      </w:pPr>
      <w:r>
        <w:rPr>
          <w:rFonts w:hint="eastAsia" w:hAnsi="宋体"/>
          <w:color w:val="auto"/>
          <w:sz w:val="22"/>
          <w:szCs w:val="22"/>
        </w:rPr>
        <w:t xml:space="preserve">  </w:t>
      </w:r>
      <w:r>
        <w:rPr>
          <w:rFonts w:hAnsi="宋体"/>
          <w:color w:val="auto"/>
          <w:sz w:val="22"/>
          <w:szCs w:val="22"/>
        </w:rPr>
        <w:t>4、投标文件的澄清</w:t>
      </w:r>
    </w:p>
    <w:p w14:paraId="5CFF0BC8">
      <w:pPr>
        <w:adjustRightInd w:val="0"/>
        <w:snapToGrid w:val="0"/>
        <w:spacing w:line="460" w:lineRule="atLeast"/>
        <w:ind w:firstLine="440" w:firstLineChars="200"/>
        <w:rPr>
          <w:rFonts w:ascii="宋体"/>
          <w:color w:val="auto"/>
          <w:sz w:val="22"/>
        </w:rPr>
      </w:pPr>
      <w:r>
        <w:rPr>
          <w:rFonts w:hint="eastAsia" w:ascii="宋体"/>
          <w:color w:val="auto"/>
          <w:sz w:val="22"/>
        </w:rPr>
        <w:t>4.1、为有利于对投标文件的评审，必要时评标委员会可要求投标供应商对投标文件相关事宜进行澄清。评标委员会将通过“政府采购云平台”在线询标的形式要求</w:t>
      </w:r>
      <w:r>
        <w:rPr>
          <w:rFonts w:ascii="宋体"/>
          <w:color w:val="auto"/>
          <w:sz w:val="22"/>
        </w:rPr>
        <w:t>投标供应商</w:t>
      </w:r>
      <w:r>
        <w:rPr>
          <w:rFonts w:hint="eastAsia" w:ascii="宋体"/>
          <w:color w:val="auto"/>
          <w:sz w:val="22"/>
        </w:rPr>
        <w:t>在规定的时间内作出必要的澄清、说明，供投标供应商澄清、说明时间不多于30分钟，投标供应商未在规定的时间内作出必要的澄清、说明可能导致对其不利的评定。</w:t>
      </w:r>
    </w:p>
    <w:p w14:paraId="6C42C9DF">
      <w:pPr>
        <w:adjustRightInd w:val="0"/>
        <w:snapToGrid w:val="0"/>
        <w:spacing w:line="460" w:lineRule="atLeast"/>
        <w:ind w:firstLine="440" w:firstLineChars="200"/>
        <w:rPr>
          <w:rFonts w:ascii="宋体"/>
          <w:color w:val="auto"/>
          <w:sz w:val="22"/>
        </w:rPr>
      </w:pPr>
      <w:r>
        <w:rPr>
          <w:rFonts w:hint="eastAsia" w:ascii="宋体"/>
          <w:color w:val="auto"/>
          <w:sz w:val="22"/>
        </w:rPr>
        <w:t>4.2、</w:t>
      </w:r>
      <w:r>
        <w:rPr>
          <w:rFonts w:ascii="宋体"/>
          <w:color w:val="auto"/>
          <w:sz w:val="22"/>
        </w:rPr>
        <w:t>投标供应商</w:t>
      </w:r>
      <w:r>
        <w:rPr>
          <w:rFonts w:hint="eastAsia" w:ascii="宋体"/>
          <w:color w:val="auto"/>
          <w:sz w:val="22"/>
        </w:rPr>
        <w:t>的澄清、说明应当通过“政府采购云平台”在线答复形式提交。</w:t>
      </w:r>
      <w:r>
        <w:rPr>
          <w:rFonts w:ascii="宋体"/>
          <w:color w:val="auto"/>
          <w:sz w:val="22"/>
        </w:rPr>
        <w:t>投标供应商</w:t>
      </w:r>
      <w:r>
        <w:rPr>
          <w:rFonts w:hint="eastAsia" w:ascii="宋体"/>
          <w:color w:val="auto"/>
          <w:sz w:val="22"/>
        </w:rPr>
        <w:t xml:space="preserve">的澄清、说明不得超出投标文件的范围或者改变投标文件的实质性内容。 </w:t>
      </w:r>
    </w:p>
    <w:p w14:paraId="30726E4F">
      <w:pPr>
        <w:snapToGrid w:val="0"/>
        <w:spacing w:line="440" w:lineRule="exact"/>
        <w:ind w:firstLine="431" w:firstLineChars="196"/>
        <w:rPr>
          <w:rFonts w:ascii="宋体"/>
          <w:color w:val="auto"/>
          <w:sz w:val="22"/>
        </w:rPr>
      </w:pPr>
      <w:r>
        <w:rPr>
          <w:rFonts w:hint="eastAsia" w:ascii="宋体"/>
          <w:color w:val="auto"/>
          <w:sz w:val="22"/>
        </w:rPr>
        <w:t>5</w:t>
      </w:r>
      <w:r>
        <w:rPr>
          <w:rFonts w:ascii="宋体"/>
          <w:color w:val="auto"/>
          <w:sz w:val="22"/>
        </w:rPr>
        <w:t>、有下列情形之一的，视为投标供应商相互串通投标：</w:t>
      </w:r>
    </w:p>
    <w:p w14:paraId="0DB8AFC8">
      <w:pPr>
        <w:adjustRightInd w:val="0"/>
        <w:snapToGrid w:val="0"/>
        <w:spacing w:line="440" w:lineRule="exact"/>
        <w:ind w:firstLine="440" w:firstLineChars="200"/>
        <w:rPr>
          <w:rFonts w:ascii="宋体"/>
          <w:color w:val="auto"/>
          <w:sz w:val="22"/>
        </w:rPr>
      </w:pPr>
      <w:r>
        <w:rPr>
          <w:rFonts w:hint="eastAsia" w:ascii="宋体"/>
          <w:color w:val="auto"/>
          <w:sz w:val="22"/>
        </w:rPr>
        <w:t>5</w:t>
      </w:r>
      <w:r>
        <w:rPr>
          <w:rFonts w:ascii="宋体"/>
          <w:color w:val="auto"/>
          <w:sz w:val="22"/>
        </w:rPr>
        <w:t>.1</w:t>
      </w:r>
      <w:r>
        <w:rPr>
          <w:rFonts w:hint="eastAsia" w:ascii="宋体"/>
          <w:color w:val="auto"/>
          <w:sz w:val="22"/>
        </w:rPr>
        <w:t>、</w:t>
      </w:r>
      <w:r>
        <w:rPr>
          <w:rFonts w:ascii="宋体"/>
          <w:color w:val="auto"/>
          <w:sz w:val="22"/>
        </w:rPr>
        <w:t>不同投标供应商的投标文件由同一单位或者个人编制；</w:t>
      </w:r>
    </w:p>
    <w:p w14:paraId="710853A5">
      <w:pPr>
        <w:adjustRightInd w:val="0"/>
        <w:snapToGrid w:val="0"/>
        <w:spacing w:line="440" w:lineRule="exact"/>
        <w:ind w:firstLine="440" w:firstLineChars="200"/>
        <w:rPr>
          <w:rFonts w:ascii="宋体"/>
          <w:color w:val="auto"/>
          <w:sz w:val="22"/>
        </w:rPr>
      </w:pPr>
      <w:r>
        <w:rPr>
          <w:rFonts w:hint="eastAsia" w:ascii="宋体"/>
          <w:color w:val="auto"/>
          <w:sz w:val="22"/>
        </w:rPr>
        <w:t>5</w:t>
      </w:r>
      <w:r>
        <w:rPr>
          <w:rFonts w:ascii="宋体"/>
          <w:color w:val="auto"/>
          <w:sz w:val="22"/>
        </w:rPr>
        <w:t>.2</w:t>
      </w:r>
      <w:r>
        <w:rPr>
          <w:rFonts w:hint="eastAsia" w:ascii="宋体"/>
          <w:color w:val="auto"/>
          <w:sz w:val="22"/>
        </w:rPr>
        <w:t>、</w:t>
      </w:r>
      <w:r>
        <w:rPr>
          <w:rFonts w:ascii="宋体"/>
          <w:color w:val="auto"/>
          <w:sz w:val="22"/>
        </w:rPr>
        <w:t>不同投标供应商委托同一单位或者个人办理投标事宜；</w:t>
      </w:r>
    </w:p>
    <w:p w14:paraId="4707B606">
      <w:pPr>
        <w:adjustRightInd w:val="0"/>
        <w:snapToGrid w:val="0"/>
        <w:spacing w:line="440" w:lineRule="exact"/>
        <w:ind w:firstLine="440" w:firstLineChars="200"/>
        <w:rPr>
          <w:rFonts w:ascii="宋体"/>
          <w:color w:val="auto"/>
          <w:sz w:val="22"/>
        </w:rPr>
      </w:pPr>
      <w:r>
        <w:rPr>
          <w:rFonts w:hint="eastAsia" w:ascii="宋体"/>
          <w:color w:val="auto"/>
          <w:sz w:val="22"/>
        </w:rPr>
        <w:t>5</w:t>
      </w:r>
      <w:r>
        <w:rPr>
          <w:rFonts w:ascii="宋体"/>
          <w:color w:val="auto"/>
          <w:sz w:val="22"/>
        </w:rPr>
        <w:t>.3</w:t>
      </w:r>
      <w:r>
        <w:rPr>
          <w:rFonts w:hint="eastAsia" w:ascii="宋体"/>
          <w:color w:val="auto"/>
          <w:sz w:val="22"/>
        </w:rPr>
        <w:t>、</w:t>
      </w:r>
      <w:r>
        <w:rPr>
          <w:rFonts w:ascii="宋体"/>
          <w:color w:val="auto"/>
          <w:sz w:val="22"/>
        </w:rPr>
        <w:t>不同投标供应商的投标文件载明的项目管理成员为同一人；</w:t>
      </w:r>
    </w:p>
    <w:p w14:paraId="36C634E8">
      <w:pPr>
        <w:adjustRightInd w:val="0"/>
        <w:snapToGrid w:val="0"/>
        <w:spacing w:line="440" w:lineRule="exact"/>
        <w:ind w:firstLine="440" w:firstLineChars="200"/>
        <w:rPr>
          <w:rFonts w:ascii="宋体"/>
          <w:color w:val="auto"/>
          <w:sz w:val="22"/>
        </w:rPr>
      </w:pPr>
      <w:r>
        <w:rPr>
          <w:rFonts w:hint="eastAsia" w:ascii="宋体"/>
          <w:color w:val="auto"/>
          <w:sz w:val="22"/>
        </w:rPr>
        <w:t>5</w:t>
      </w:r>
      <w:r>
        <w:rPr>
          <w:rFonts w:ascii="宋体"/>
          <w:color w:val="auto"/>
          <w:sz w:val="22"/>
        </w:rPr>
        <w:t>.4</w:t>
      </w:r>
      <w:r>
        <w:rPr>
          <w:rFonts w:hint="eastAsia" w:ascii="宋体"/>
          <w:color w:val="auto"/>
          <w:sz w:val="22"/>
        </w:rPr>
        <w:t>、</w:t>
      </w:r>
      <w:r>
        <w:rPr>
          <w:rFonts w:ascii="宋体"/>
          <w:color w:val="auto"/>
          <w:sz w:val="22"/>
        </w:rPr>
        <w:t>不同投标供应商的投标文件异常一致或者投标报价呈规律性差异。</w:t>
      </w:r>
    </w:p>
    <w:p w14:paraId="14656E62">
      <w:pPr>
        <w:snapToGrid w:val="0"/>
        <w:spacing w:line="440" w:lineRule="exact"/>
        <w:ind w:firstLine="431" w:firstLineChars="196"/>
        <w:rPr>
          <w:rFonts w:ascii="宋体"/>
          <w:color w:val="auto"/>
          <w:sz w:val="22"/>
        </w:rPr>
      </w:pPr>
      <w:r>
        <w:rPr>
          <w:rFonts w:hint="eastAsia" w:ascii="宋体"/>
          <w:color w:val="auto"/>
          <w:sz w:val="22"/>
        </w:rPr>
        <w:t>6、</w:t>
      </w:r>
      <w:r>
        <w:rPr>
          <w:rFonts w:ascii="宋体"/>
          <w:color w:val="auto"/>
          <w:sz w:val="22"/>
        </w:rPr>
        <w:t>经评标委员会认定投标供应商进行串通投标的，评标委员会可以对相关投标供应商做出无效投标处理，并上报政府采购管理部门进行进一步处理。</w:t>
      </w:r>
    </w:p>
    <w:p w14:paraId="36754FDD">
      <w:pPr>
        <w:pStyle w:val="10"/>
        <w:adjustRightInd w:val="0"/>
        <w:snapToGrid w:val="0"/>
        <w:spacing w:before="156" w:after="156" w:line="440" w:lineRule="exact"/>
        <w:ind w:firstLine="440" w:firstLineChars="200"/>
        <w:rPr>
          <w:rFonts w:hAnsi="宋体"/>
          <w:color w:val="auto"/>
          <w:sz w:val="22"/>
          <w:szCs w:val="22"/>
        </w:rPr>
      </w:pPr>
      <w:r>
        <w:rPr>
          <w:rFonts w:hint="eastAsia" w:hAnsi="宋体"/>
          <w:color w:val="auto"/>
          <w:sz w:val="22"/>
          <w:szCs w:val="22"/>
        </w:rPr>
        <w:t>7、评标原则</w:t>
      </w:r>
    </w:p>
    <w:p w14:paraId="73974D4B">
      <w:pPr>
        <w:pStyle w:val="10"/>
        <w:adjustRightInd w:val="0"/>
        <w:snapToGrid w:val="0"/>
        <w:spacing w:before="156" w:after="156" w:line="440" w:lineRule="exact"/>
        <w:ind w:left="218" w:leftChars="104" w:firstLine="221" w:firstLineChars="100"/>
        <w:rPr>
          <w:rFonts w:hAnsi="宋体"/>
          <w:b/>
          <w:bCs/>
          <w:color w:val="auto"/>
          <w:sz w:val="22"/>
          <w:szCs w:val="22"/>
        </w:rPr>
      </w:pPr>
      <w:r>
        <w:rPr>
          <w:rFonts w:hint="eastAsia" w:hAnsi="宋体"/>
          <w:b/>
          <w:bCs/>
          <w:color w:val="auto"/>
          <w:sz w:val="22"/>
          <w:szCs w:val="22"/>
        </w:rPr>
        <w:t>投标截止时或评审过程中有效投标供应商不足三家的，不予开标或评标。</w:t>
      </w:r>
    </w:p>
    <w:p w14:paraId="4D2763AE">
      <w:pPr>
        <w:pStyle w:val="10"/>
        <w:adjustRightInd w:val="0"/>
        <w:snapToGrid w:val="0"/>
        <w:spacing w:before="156" w:after="156" w:line="440" w:lineRule="exact"/>
        <w:ind w:left="218" w:leftChars="104" w:firstLine="220" w:firstLineChars="100"/>
        <w:rPr>
          <w:rFonts w:hAnsi="宋体" w:cs="Arial"/>
          <w:color w:val="auto"/>
          <w:sz w:val="22"/>
        </w:rPr>
      </w:pPr>
      <w:r>
        <w:rPr>
          <w:rFonts w:hint="eastAsia" w:hAnsi="宋体"/>
          <w:color w:val="auto"/>
          <w:sz w:val="22"/>
          <w:szCs w:val="22"/>
        </w:rPr>
        <w:t>评标委员会按照招标文件的要求和条件对投标文件进行商务和技术评估，综合比较与评价。</w:t>
      </w:r>
      <w:r>
        <w:rPr>
          <w:rFonts w:hint="eastAsia" w:hAnsi="宋体" w:cs="Arial"/>
          <w:color w:val="auto"/>
          <w:sz w:val="22"/>
        </w:rPr>
        <w:t>评标办法具体见本招标文件第五部分。</w:t>
      </w:r>
    </w:p>
    <w:p w14:paraId="47493475">
      <w:pPr>
        <w:adjustRightInd w:val="0"/>
        <w:snapToGrid w:val="0"/>
        <w:spacing w:line="440" w:lineRule="exact"/>
        <w:ind w:firstLine="424" w:firstLineChars="193"/>
        <w:rPr>
          <w:rFonts w:ascii="宋体"/>
          <w:snapToGrid w:val="0"/>
          <w:color w:val="auto"/>
          <w:sz w:val="22"/>
        </w:rPr>
      </w:pPr>
      <w:r>
        <w:rPr>
          <w:rFonts w:hint="eastAsia" w:ascii="宋体"/>
          <w:snapToGrid w:val="0"/>
          <w:color w:val="auto"/>
          <w:sz w:val="22"/>
        </w:rPr>
        <w:t xml:space="preserve"> 8、可中止电子交易活动的情形</w:t>
      </w:r>
    </w:p>
    <w:p w14:paraId="69F92417">
      <w:pPr>
        <w:adjustRightInd w:val="0"/>
        <w:snapToGrid w:val="0"/>
        <w:spacing w:line="440" w:lineRule="exact"/>
        <w:ind w:firstLine="440" w:firstLineChars="200"/>
        <w:jc w:val="left"/>
        <w:rPr>
          <w:rFonts w:ascii="宋体"/>
          <w:snapToGrid w:val="0"/>
          <w:color w:val="auto"/>
          <w:sz w:val="22"/>
        </w:rPr>
      </w:pPr>
      <w:r>
        <w:rPr>
          <w:rFonts w:hint="eastAsia" w:ascii="宋体"/>
          <w:snapToGrid w:val="0"/>
          <w:color w:val="auto"/>
          <w:sz w:val="22"/>
        </w:rPr>
        <w:t>采购过程中出现以下情形，导致电子交易平台无法正常运行，或者无法保证电子交易的公平、公正和安全时，采购组织机构可中止电子交易活动：</w:t>
      </w:r>
    </w:p>
    <w:p w14:paraId="31CEC3FE">
      <w:pPr>
        <w:adjustRightInd w:val="0"/>
        <w:snapToGrid w:val="0"/>
        <w:spacing w:line="440" w:lineRule="exact"/>
        <w:ind w:firstLine="440" w:firstLineChars="200"/>
        <w:jc w:val="left"/>
        <w:rPr>
          <w:rFonts w:ascii="宋体"/>
          <w:snapToGrid w:val="0"/>
          <w:color w:val="auto"/>
          <w:sz w:val="22"/>
        </w:rPr>
      </w:pPr>
      <w:r>
        <w:rPr>
          <w:rFonts w:hint="eastAsia" w:ascii="宋体"/>
          <w:snapToGrid w:val="0"/>
          <w:color w:val="auto"/>
          <w:sz w:val="22"/>
        </w:rPr>
        <w:t>8.1、电子交易平台发生故障而无法登录访问的；</w:t>
      </w:r>
    </w:p>
    <w:p w14:paraId="3DF0BF3E">
      <w:pPr>
        <w:adjustRightInd w:val="0"/>
        <w:snapToGrid w:val="0"/>
        <w:spacing w:line="440" w:lineRule="exact"/>
        <w:ind w:firstLine="440" w:firstLineChars="200"/>
        <w:jc w:val="left"/>
        <w:rPr>
          <w:rFonts w:ascii="宋体"/>
          <w:snapToGrid w:val="0"/>
          <w:color w:val="auto"/>
          <w:sz w:val="22"/>
        </w:rPr>
      </w:pPr>
      <w:r>
        <w:rPr>
          <w:rFonts w:hint="eastAsia" w:ascii="宋体"/>
          <w:snapToGrid w:val="0"/>
          <w:color w:val="auto"/>
          <w:sz w:val="22"/>
        </w:rPr>
        <w:t>8.2、电子交易平台应用或数据库出现错误，不能进行正常操作的；</w:t>
      </w:r>
    </w:p>
    <w:p w14:paraId="2C196E0B">
      <w:pPr>
        <w:adjustRightInd w:val="0"/>
        <w:snapToGrid w:val="0"/>
        <w:spacing w:line="440" w:lineRule="exact"/>
        <w:ind w:firstLine="440" w:firstLineChars="200"/>
        <w:jc w:val="left"/>
        <w:rPr>
          <w:rFonts w:ascii="宋体"/>
          <w:snapToGrid w:val="0"/>
          <w:color w:val="auto"/>
          <w:sz w:val="22"/>
        </w:rPr>
      </w:pPr>
      <w:r>
        <w:rPr>
          <w:rFonts w:hint="eastAsia" w:ascii="宋体"/>
          <w:snapToGrid w:val="0"/>
          <w:color w:val="auto"/>
          <w:sz w:val="22"/>
        </w:rPr>
        <w:t>8.3、电子交易平台发现严重安全漏洞，有潜在泄密危险的；</w:t>
      </w:r>
    </w:p>
    <w:p w14:paraId="309312A6">
      <w:pPr>
        <w:adjustRightInd w:val="0"/>
        <w:snapToGrid w:val="0"/>
        <w:spacing w:line="440" w:lineRule="exact"/>
        <w:ind w:firstLine="440" w:firstLineChars="200"/>
        <w:jc w:val="left"/>
        <w:rPr>
          <w:rFonts w:ascii="宋体"/>
          <w:snapToGrid w:val="0"/>
          <w:color w:val="auto"/>
          <w:sz w:val="22"/>
        </w:rPr>
      </w:pPr>
      <w:r>
        <w:rPr>
          <w:rFonts w:hint="eastAsia" w:ascii="宋体"/>
          <w:snapToGrid w:val="0"/>
          <w:color w:val="auto"/>
          <w:sz w:val="22"/>
        </w:rPr>
        <w:t>8.4、病毒发作导致不能进行正常操作的；</w:t>
      </w:r>
    </w:p>
    <w:p w14:paraId="1F466EC4">
      <w:pPr>
        <w:adjustRightInd w:val="0"/>
        <w:snapToGrid w:val="0"/>
        <w:spacing w:line="440" w:lineRule="exact"/>
        <w:ind w:firstLine="440" w:firstLineChars="200"/>
        <w:jc w:val="left"/>
        <w:rPr>
          <w:rFonts w:ascii="宋体"/>
          <w:snapToGrid w:val="0"/>
          <w:color w:val="auto"/>
          <w:sz w:val="22"/>
        </w:rPr>
      </w:pPr>
      <w:r>
        <w:rPr>
          <w:rFonts w:hint="eastAsia" w:ascii="宋体"/>
          <w:snapToGrid w:val="0"/>
          <w:color w:val="auto"/>
          <w:sz w:val="22"/>
        </w:rPr>
        <w:t>8.5、其他无法保证电子交易的公平、公正和安全的情况。</w:t>
      </w:r>
    </w:p>
    <w:p w14:paraId="6506928C">
      <w:pPr>
        <w:pStyle w:val="9"/>
        <w:spacing w:after="0" w:line="440" w:lineRule="exact"/>
        <w:ind w:firstLine="440" w:firstLineChars="200"/>
        <w:rPr>
          <w:color w:val="auto"/>
        </w:rPr>
      </w:pPr>
      <w:r>
        <w:rPr>
          <w:rFonts w:hint="eastAsia" w:ascii="宋体" w:hAnsi="宋体"/>
          <w:snapToGrid w:val="0"/>
          <w:color w:val="auto"/>
          <w:kern w:val="0"/>
          <w:sz w:val="22"/>
        </w:rPr>
        <w:t>出现前款规定情形，不影响采购公平、公正性的，采购组织机构可以待上述情形消除后继续组织电子交易活动；影响或可能影响采购公平、公正性的，应当重新采购。</w:t>
      </w:r>
    </w:p>
    <w:p w14:paraId="109752A1">
      <w:pPr>
        <w:snapToGrid w:val="0"/>
        <w:spacing w:line="440" w:lineRule="exact"/>
        <w:ind w:firstLine="442" w:firstLineChars="200"/>
        <w:rPr>
          <w:rFonts w:ascii="宋体"/>
          <w:b/>
          <w:bCs/>
          <w:color w:val="auto"/>
          <w:sz w:val="22"/>
        </w:rPr>
      </w:pPr>
      <w:bookmarkStart w:id="25" w:name="_Toc132125985"/>
      <w:bookmarkStart w:id="26" w:name="_Toc132124596"/>
      <w:bookmarkStart w:id="27" w:name="_Toc132123441"/>
      <w:bookmarkStart w:id="28" w:name="_Toc132123636"/>
      <w:bookmarkStart w:id="29" w:name="_Toc132122121"/>
      <w:bookmarkStart w:id="30" w:name="_Toc132125039"/>
      <w:bookmarkStart w:id="31" w:name="_Toc132655778"/>
      <w:bookmarkStart w:id="32" w:name="_Toc132125153"/>
      <w:bookmarkStart w:id="33" w:name="_Toc132123840"/>
      <w:bookmarkStart w:id="34" w:name="_Toc132125576"/>
      <w:bookmarkStart w:id="35" w:name="_Toc132122418"/>
      <w:bookmarkStart w:id="36" w:name="_Toc132125097"/>
      <w:bookmarkStart w:id="37" w:name="_Toc132126156"/>
      <w:bookmarkStart w:id="38" w:name="_Toc132123549"/>
      <w:bookmarkStart w:id="39" w:name="_Toc132123883"/>
      <w:r>
        <w:rPr>
          <w:rFonts w:hint="eastAsia" w:ascii="宋体"/>
          <w:b/>
          <w:bCs/>
          <w:color w:val="auto"/>
          <w:sz w:val="22"/>
        </w:rPr>
        <w:t>六、授予合同</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07E2D57">
      <w:pPr>
        <w:pStyle w:val="10"/>
        <w:adjustRightInd w:val="0"/>
        <w:snapToGrid w:val="0"/>
        <w:spacing w:before="156" w:after="156" w:line="440" w:lineRule="exact"/>
        <w:ind w:firstLine="440" w:firstLineChars="200"/>
        <w:outlineLvl w:val="1"/>
        <w:rPr>
          <w:rFonts w:hAnsi="宋体"/>
          <w:b w:val="0"/>
          <w:bCs w:val="0"/>
          <w:color w:val="auto"/>
          <w:sz w:val="22"/>
          <w:szCs w:val="22"/>
        </w:rPr>
      </w:pPr>
      <w:r>
        <w:rPr>
          <w:rFonts w:hint="eastAsia" w:hAnsi="宋体"/>
          <w:b w:val="0"/>
          <w:bCs w:val="0"/>
          <w:color w:val="auto"/>
          <w:sz w:val="22"/>
          <w:szCs w:val="22"/>
        </w:rPr>
        <w:t>1、中标条件</w:t>
      </w:r>
    </w:p>
    <w:p w14:paraId="33A1553B">
      <w:pPr>
        <w:adjustRightInd w:val="0"/>
        <w:snapToGrid w:val="0"/>
        <w:ind w:hanging="1"/>
        <w:rPr>
          <w:rFonts w:ascii="宋体"/>
          <w:color w:val="auto"/>
          <w:sz w:val="22"/>
        </w:rPr>
      </w:pPr>
      <w:r>
        <w:rPr>
          <w:rFonts w:hint="eastAsia" w:ascii="宋体"/>
          <w:color w:val="auto"/>
          <w:sz w:val="22"/>
        </w:rPr>
        <w:t xml:space="preserve">  </w:t>
      </w:r>
      <w:r>
        <w:rPr>
          <w:rFonts w:hint="eastAsia" w:ascii="宋体"/>
          <w:color w:val="auto"/>
          <w:sz w:val="22"/>
          <w:lang w:eastAsia="zh-CN"/>
        </w:rPr>
        <w:t>（</w:t>
      </w:r>
      <w:r>
        <w:rPr>
          <w:rFonts w:hint="eastAsia" w:ascii="宋体"/>
          <w:color w:val="auto"/>
          <w:sz w:val="22"/>
          <w:lang w:val="en-US" w:eastAsia="zh-CN"/>
        </w:rPr>
        <w:t>1）</w:t>
      </w:r>
      <w:r>
        <w:rPr>
          <w:rFonts w:hint="eastAsia" w:ascii="宋体"/>
          <w:color w:val="auto"/>
          <w:sz w:val="22"/>
        </w:rPr>
        <w:t xml:space="preserve"> 投标文件基本符合招标文件要求，能够最大限度满足招标文件中规定的各项综合评价标准；</w:t>
      </w:r>
    </w:p>
    <w:p w14:paraId="4A158D83">
      <w:pPr>
        <w:pStyle w:val="10"/>
        <w:adjustRightInd w:val="0"/>
        <w:snapToGrid w:val="0"/>
        <w:spacing w:before="156" w:after="156" w:line="240" w:lineRule="auto"/>
        <w:ind w:firstLine="220" w:firstLineChars="100"/>
        <w:rPr>
          <w:rFonts w:hAnsi="宋体"/>
          <w:color w:val="auto"/>
          <w:sz w:val="22"/>
          <w:szCs w:val="22"/>
        </w:rPr>
      </w:pPr>
      <w:r>
        <w:rPr>
          <w:rFonts w:hint="eastAsia" w:hAnsi="宋体"/>
          <w:color w:val="auto"/>
          <w:sz w:val="22"/>
          <w:szCs w:val="22"/>
          <w:lang w:eastAsia="zh-CN"/>
        </w:rPr>
        <w:t>（</w:t>
      </w:r>
      <w:r>
        <w:rPr>
          <w:rFonts w:hint="eastAsia" w:hAnsi="宋体"/>
          <w:color w:val="auto"/>
          <w:sz w:val="22"/>
          <w:szCs w:val="22"/>
          <w:lang w:val="en-US" w:eastAsia="zh-CN"/>
        </w:rPr>
        <w:t>2）</w:t>
      </w:r>
      <w:r>
        <w:rPr>
          <w:rFonts w:hint="eastAsia" w:hAnsi="宋体"/>
          <w:color w:val="auto"/>
          <w:sz w:val="22"/>
          <w:szCs w:val="22"/>
        </w:rPr>
        <w:t>投标供应商有很好的执行合同的能力；</w:t>
      </w:r>
    </w:p>
    <w:p w14:paraId="5B62A3CD">
      <w:pPr>
        <w:pStyle w:val="10"/>
        <w:adjustRightInd w:val="0"/>
        <w:snapToGrid w:val="0"/>
        <w:spacing w:before="156" w:after="156" w:line="240" w:lineRule="auto"/>
        <w:ind w:firstLine="220" w:firstLineChars="100"/>
        <w:rPr>
          <w:rFonts w:hAnsi="宋体"/>
          <w:color w:val="auto"/>
          <w:sz w:val="22"/>
          <w:szCs w:val="22"/>
        </w:rPr>
      </w:pPr>
      <w:bookmarkStart w:id="40" w:name="_Toc132122122"/>
      <w:bookmarkStart w:id="41" w:name="_Toc132122419"/>
      <w:r>
        <w:rPr>
          <w:rFonts w:hint="eastAsia" w:hAnsi="宋体"/>
          <w:color w:val="auto"/>
          <w:sz w:val="22"/>
          <w:szCs w:val="22"/>
          <w:lang w:eastAsia="zh-CN"/>
        </w:rPr>
        <w:t>（</w:t>
      </w:r>
      <w:r>
        <w:rPr>
          <w:rFonts w:hint="eastAsia" w:hAnsi="宋体"/>
          <w:color w:val="auto"/>
          <w:sz w:val="22"/>
          <w:szCs w:val="22"/>
          <w:lang w:val="en-US" w:eastAsia="zh-CN"/>
        </w:rPr>
        <w:t>3）</w:t>
      </w:r>
      <w:r>
        <w:rPr>
          <w:rFonts w:hint="eastAsia" w:hAnsi="宋体"/>
          <w:color w:val="auto"/>
          <w:sz w:val="22"/>
          <w:szCs w:val="22"/>
        </w:rPr>
        <w:t>投标供应商能够提供质量技术、商务经济占综合优势的产品及服务；</w:t>
      </w:r>
      <w:bookmarkEnd w:id="40"/>
      <w:bookmarkEnd w:id="41"/>
    </w:p>
    <w:p w14:paraId="796239B2">
      <w:pPr>
        <w:pStyle w:val="10"/>
        <w:adjustRightInd w:val="0"/>
        <w:snapToGrid w:val="0"/>
        <w:spacing w:before="156" w:after="156" w:line="240" w:lineRule="auto"/>
        <w:ind w:firstLine="220" w:firstLineChars="100"/>
        <w:rPr>
          <w:rFonts w:hAnsi="宋体"/>
          <w:color w:val="auto"/>
          <w:sz w:val="22"/>
          <w:szCs w:val="22"/>
        </w:rPr>
      </w:pPr>
      <w:r>
        <w:rPr>
          <w:rFonts w:hint="eastAsia" w:hAnsi="宋体"/>
          <w:color w:val="auto"/>
          <w:sz w:val="22"/>
          <w:szCs w:val="22"/>
          <w:lang w:eastAsia="zh-CN"/>
        </w:rPr>
        <w:t>（</w:t>
      </w:r>
      <w:r>
        <w:rPr>
          <w:rFonts w:hint="eastAsia" w:hAnsi="宋体"/>
          <w:color w:val="auto"/>
          <w:sz w:val="22"/>
          <w:szCs w:val="22"/>
          <w:lang w:val="en-US" w:eastAsia="zh-CN"/>
        </w:rPr>
        <w:t>4）</w:t>
      </w:r>
      <w:r>
        <w:rPr>
          <w:rFonts w:hAnsi="宋体"/>
          <w:color w:val="auto"/>
          <w:sz w:val="22"/>
          <w:szCs w:val="22"/>
        </w:rPr>
        <w:t>中标供应商</w:t>
      </w:r>
      <w:r>
        <w:rPr>
          <w:rFonts w:hint="eastAsia" w:hAnsi="宋体"/>
          <w:color w:val="auto"/>
          <w:sz w:val="22"/>
          <w:szCs w:val="22"/>
        </w:rPr>
        <w:t>投标</w:t>
      </w:r>
      <w:r>
        <w:rPr>
          <w:rFonts w:hAnsi="宋体"/>
          <w:color w:val="auto"/>
          <w:sz w:val="22"/>
          <w:szCs w:val="22"/>
        </w:rPr>
        <w:t>报价为中标价，作为中标供应商与</w:t>
      </w:r>
      <w:r>
        <w:rPr>
          <w:rFonts w:hint="eastAsia" w:hAnsi="宋体"/>
          <w:color w:val="auto"/>
          <w:sz w:val="22"/>
          <w:szCs w:val="22"/>
        </w:rPr>
        <w:t>采购人</w:t>
      </w:r>
      <w:r>
        <w:rPr>
          <w:rFonts w:hAnsi="宋体"/>
          <w:color w:val="auto"/>
          <w:sz w:val="22"/>
          <w:szCs w:val="22"/>
        </w:rPr>
        <w:t>签订合同的合同价。</w:t>
      </w:r>
    </w:p>
    <w:p w14:paraId="41B3D3C3">
      <w:pPr>
        <w:pStyle w:val="10"/>
        <w:adjustRightInd w:val="0"/>
        <w:snapToGrid w:val="0"/>
        <w:spacing w:before="156" w:after="156" w:line="440" w:lineRule="exact"/>
        <w:ind w:firstLine="450"/>
        <w:rPr>
          <w:rFonts w:hAnsi="宋体"/>
          <w:b w:val="0"/>
          <w:bCs w:val="0"/>
          <w:color w:val="auto"/>
          <w:sz w:val="22"/>
          <w:szCs w:val="22"/>
          <w:u w:val="single"/>
        </w:rPr>
      </w:pPr>
      <w:bookmarkStart w:id="42" w:name="_Toc132122123"/>
      <w:bookmarkStart w:id="43" w:name="_Toc132122420"/>
      <w:r>
        <w:rPr>
          <w:rFonts w:hint="eastAsia" w:hAnsi="宋体"/>
          <w:b w:val="0"/>
          <w:bCs w:val="0"/>
          <w:color w:val="auto"/>
          <w:sz w:val="22"/>
          <w:szCs w:val="22"/>
        </w:rPr>
        <w:t>2、中标通知</w:t>
      </w:r>
      <w:bookmarkEnd w:id="42"/>
      <w:bookmarkEnd w:id="43"/>
    </w:p>
    <w:p w14:paraId="4AB3AFDB">
      <w:pPr>
        <w:adjustRightInd w:val="0"/>
        <w:snapToGrid w:val="0"/>
        <w:spacing w:line="440" w:lineRule="exact"/>
        <w:ind w:firstLine="480"/>
        <w:rPr>
          <w:rFonts w:ascii="宋体"/>
          <w:color w:val="auto"/>
          <w:sz w:val="22"/>
        </w:rPr>
      </w:pPr>
      <w:r>
        <w:rPr>
          <w:rFonts w:hint="eastAsia" w:ascii="宋体"/>
          <w:color w:val="auto"/>
          <w:sz w:val="22"/>
        </w:rPr>
        <w:t>2.1、采购人依法确认中标供应商后</w:t>
      </w:r>
      <w:r>
        <w:rPr>
          <w:rFonts w:ascii="宋体"/>
          <w:color w:val="auto"/>
          <w:sz w:val="22"/>
        </w:rPr>
        <w:t>，采购代理机构在浙江政府采购网公告中标结果，同时发出中标通知书，中标公告期限为1个工作日</w:t>
      </w:r>
      <w:r>
        <w:rPr>
          <w:rFonts w:hint="eastAsia" w:ascii="宋体"/>
          <w:color w:val="auto"/>
          <w:sz w:val="22"/>
        </w:rPr>
        <w:t>。</w:t>
      </w:r>
    </w:p>
    <w:p w14:paraId="04C2DE3F">
      <w:pPr>
        <w:adjustRightInd w:val="0"/>
        <w:snapToGrid w:val="0"/>
        <w:spacing w:line="440" w:lineRule="exact"/>
        <w:ind w:firstLine="480"/>
        <w:rPr>
          <w:rFonts w:ascii="宋体"/>
          <w:color w:val="auto"/>
          <w:sz w:val="22"/>
        </w:rPr>
      </w:pPr>
      <w:r>
        <w:rPr>
          <w:rFonts w:hint="eastAsia" w:ascii="宋体"/>
          <w:color w:val="auto"/>
          <w:sz w:val="22"/>
        </w:rPr>
        <w:t>2.2、中标通知书对采购单位和中标供应商具有法律约束力。中标通知书发出后，采购人改变中标结果或者中标供应商放弃中标的，应当承担法律责任。</w:t>
      </w:r>
    </w:p>
    <w:p w14:paraId="324E17ED">
      <w:pPr>
        <w:adjustRightInd w:val="0"/>
        <w:snapToGrid w:val="0"/>
        <w:spacing w:line="440" w:lineRule="exact"/>
        <w:ind w:firstLine="480"/>
        <w:rPr>
          <w:rFonts w:ascii="宋体"/>
          <w:color w:val="auto"/>
          <w:sz w:val="22"/>
        </w:rPr>
      </w:pPr>
      <w:r>
        <w:rPr>
          <w:rFonts w:ascii="宋体"/>
          <w:color w:val="auto"/>
          <w:sz w:val="22"/>
        </w:rPr>
        <w:t>2.3、中标无效</w:t>
      </w:r>
    </w:p>
    <w:p w14:paraId="189EC2C5">
      <w:pPr>
        <w:adjustRightInd w:val="0"/>
        <w:snapToGrid w:val="0"/>
        <w:spacing w:line="440" w:lineRule="exact"/>
        <w:ind w:firstLine="440" w:firstLineChars="200"/>
        <w:rPr>
          <w:rFonts w:ascii="宋体"/>
          <w:color w:val="auto"/>
          <w:sz w:val="22"/>
        </w:rPr>
      </w:pPr>
      <w:r>
        <w:rPr>
          <w:rFonts w:hint="eastAsia" w:ascii="宋体"/>
          <w:color w:val="auto"/>
          <w:sz w:val="22"/>
          <w:lang w:eastAsia="zh-CN"/>
        </w:rPr>
        <w:t>（</w:t>
      </w:r>
      <w:r>
        <w:rPr>
          <w:rFonts w:ascii="宋体"/>
          <w:color w:val="auto"/>
          <w:sz w:val="22"/>
        </w:rPr>
        <w:t>1）</w:t>
      </w:r>
      <w:r>
        <w:rPr>
          <w:rFonts w:hint="eastAsia" w:ascii="宋体"/>
          <w:color w:val="auto"/>
          <w:sz w:val="22"/>
        </w:rPr>
        <w:t>发现中标供应商资格无效或中标供应商放弃中标或拒绝与采购人签订合同的,按相关规定执行</w:t>
      </w:r>
      <w:r>
        <w:rPr>
          <w:rFonts w:ascii="宋体"/>
          <w:color w:val="auto"/>
          <w:sz w:val="22"/>
        </w:rPr>
        <w:t>。</w:t>
      </w:r>
    </w:p>
    <w:p w14:paraId="5BEBC45C">
      <w:pPr>
        <w:adjustRightInd w:val="0"/>
        <w:snapToGrid w:val="0"/>
        <w:spacing w:line="440" w:lineRule="exact"/>
        <w:ind w:firstLine="440" w:firstLineChars="200"/>
        <w:rPr>
          <w:rFonts w:ascii="宋体"/>
          <w:color w:val="auto"/>
          <w:sz w:val="22"/>
        </w:rPr>
      </w:pPr>
      <w:r>
        <w:rPr>
          <w:rFonts w:hint="eastAsia" w:ascii="宋体"/>
          <w:color w:val="auto"/>
          <w:sz w:val="22"/>
          <w:lang w:eastAsia="zh-CN"/>
        </w:rPr>
        <w:t>（</w:t>
      </w:r>
      <w:r>
        <w:rPr>
          <w:rFonts w:ascii="宋体"/>
          <w:color w:val="auto"/>
          <w:sz w:val="22"/>
        </w:rPr>
        <w:t>2）</w:t>
      </w:r>
      <w:r>
        <w:rPr>
          <w:rFonts w:hint="eastAsia" w:ascii="宋体"/>
          <w:color w:val="auto"/>
          <w:sz w:val="22"/>
        </w:rPr>
        <w:t>有《中华人民共和国政府采购法实施条例》第七十一条、第七十二条、第七十三条、第七十四条规定的违法行为之一</w:t>
      </w:r>
      <w:r>
        <w:rPr>
          <w:rFonts w:ascii="宋体"/>
          <w:color w:val="auto"/>
          <w:sz w:val="22"/>
        </w:rPr>
        <w:t>，由政府采购监管部门依法处理。</w:t>
      </w:r>
    </w:p>
    <w:p w14:paraId="12CD4F2A">
      <w:pPr>
        <w:pStyle w:val="10"/>
        <w:adjustRightInd w:val="0"/>
        <w:snapToGrid w:val="0"/>
        <w:spacing w:before="156" w:after="156" w:line="360" w:lineRule="auto"/>
        <w:ind w:firstLine="440"/>
        <w:rPr>
          <w:rFonts w:hint="eastAsia" w:hAnsi="宋体"/>
          <w:b w:val="0"/>
          <w:bCs w:val="0"/>
          <w:color w:val="auto"/>
          <w:sz w:val="22"/>
          <w:szCs w:val="22"/>
        </w:rPr>
      </w:pPr>
      <w:bookmarkStart w:id="44" w:name="_Toc132122124"/>
      <w:bookmarkStart w:id="45" w:name="_Toc132122421"/>
      <w:r>
        <w:rPr>
          <w:rFonts w:hint="eastAsia" w:hAnsi="宋体"/>
          <w:b w:val="0"/>
          <w:bCs w:val="0"/>
          <w:color w:val="auto"/>
          <w:sz w:val="22"/>
          <w:szCs w:val="22"/>
        </w:rPr>
        <w:t>3、签订合同</w:t>
      </w:r>
      <w:bookmarkEnd w:id="44"/>
      <w:bookmarkEnd w:id="45"/>
    </w:p>
    <w:p w14:paraId="664ECFDB">
      <w:pPr>
        <w:pStyle w:val="10"/>
        <w:adjustRightInd w:val="0"/>
        <w:snapToGrid w:val="0"/>
        <w:spacing w:before="156" w:after="156" w:line="360" w:lineRule="auto"/>
        <w:ind w:firstLine="440" w:firstLineChars="200"/>
        <w:rPr>
          <w:rFonts w:hint="eastAsia" w:ascii="宋体" w:hAnsi="Times New Roman" w:eastAsia="宋体" w:cs="Times New Roman"/>
          <w:color w:val="auto"/>
          <w:sz w:val="22"/>
        </w:rPr>
      </w:pPr>
      <w:r>
        <w:rPr>
          <w:rFonts w:hint="eastAsia" w:hAnsi="宋体"/>
          <w:color w:val="auto"/>
          <w:sz w:val="22"/>
          <w:szCs w:val="22"/>
        </w:rPr>
        <w:t xml:space="preserve">  </w:t>
      </w:r>
      <w:r>
        <w:rPr>
          <w:rFonts w:hint="eastAsia" w:ascii="宋体" w:hAnsi="Times New Roman" w:eastAsia="宋体" w:cs="Times New Roman"/>
          <w:color w:val="auto"/>
          <w:sz w:val="22"/>
          <w:lang w:val="en-US" w:eastAsia="zh-CN"/>
        </w:rPr>
        <w:t>3</w:t>
      </w:r>
      <w:r>
        <w:rPr>
          <w:rFonts w:hint="eastAsia" w:ascii="宋体" w:hAnsi="Times New Roman" w:eastAsia="宋体" w:cs="Times New Roman"/>
          <w:color w:val="auto"/>
          <w:sz w:val="22"/>
        </w:rPr>
        <w:t>.1除不可抗力等特殊情况外，采购人原则上应当在中标通知书发出之日起</w:t>
      </w:r>
      <w:r>
        <w:rPr>
          <w:rFonts w:hint="eastAsia" w:ascii="宋体" w:hAnsi="Times New Roman" w:eastAsia="宋体" w:cs="Times New Roman"/>
          <w:b/>
          <w:bCs/>
          <w:color w:val="auto"/>
          <w:sz w:val="22"/>
          <w:lang w:val="en-US" w:eastAsia="zh-CN"/>
        </w:rPr>
        <w:t>20日</w:t>
      </w:r>
      <w:r>
        <w:rPr>
          <w:rFonts w:hint="eastAsia" w:ascii="宋体" w:hAnsi="Times New Roman" w:eastAsia="宋体" w:cs="Times New Roman"/>
          <w:color w:val="auto"/>
          <w:sz w:val="22"/>
        </w:rPr>
        <w:t>内，与成交人按照采购文件确定的事项签订政府采购合同，并在签订之日起2个工作日内将政府采购合同在浙江政府采购网上公告。</w:t>
      </w:r>
    </w:p>
    <w:p w14:paraId="05D42883">
      <w:pPr>
        <w:pStyle w:val="10"/>
        <w:adjustRightInd w:val="0"/>
        <w:snapToGrid w:val="0"/>
        <w:spacing w:before="156" w:after="156" w:line="360" w:lineRule="auto"/>
        <w:ind w:firstLine="660" w:firstLineChars="300"/>
        <w:rPr>
          <w:rFonts w:hint="eastAsia" w:ascii="宋体" w:hAnsi="Times New Roman" w:eastAsia="宋体" w:cs="Times New Roman"/>
          <w:color w:val="auto"/>
          <w:sz w:val="22"/>
        </w:rPr>
      </w:pPr>
      <w:r>
        <w:rPr>
          <w:rFonts w:hint="eastAsia" w:ascii="宋体" w:hAnsi="Times New Roman" w:eastAsia="宋体" w:cs="Times New Roman"/>
          <w:color w:val="auto"/>
          <w:sz w:val="22"/>
          <w:lang w:val="en-US" w:eastAsia="zh-CN"/>
        </w:rPr>
        <w:t>3</w:t>
      </w:r>
      <w:r>
        <w:rPr>
          <w:rFonts w:hint="eastAsia" w:ascii="宋体" w:hAnsi="Times New Roman" w:eastAsia="宋体" w:cs="Times New Roman"/>
          <w:color w:val="auto"/>
          <w:sz w:val="22"/>
          <w:lang w:val="zh-CN"/>
        </w:rPr>
        <w:t>.2成交人按规定的日期、时间、地点，由法定代表人或其授权代表与采购人代表签订合同。如成交人为联合体的，由联合体成员各方法定代表人或其授权代表与采购人代表签订合同。</w:t>
      </w:r>
    </w:p>
    <w:p w14:paraId="37CC6328">
      <w:pPr>
        <w:adjustRightInd w:val="0"/>
        <w:snapToGrid w:val="0"/>
        <w:spacing w:line="440" w:lineRule="exact"/>
        <w:ind w:firstLine="480"/>
        <w:rPr>
          <w:rFonts w:hint="eastAsia" w:ascii="宋体" w:hAnsi="Times New Roman" w:eastAsia="宋体" w:cs="Times New Roman"/>
          <w:color w:val="auto"/>
          <w:sz w:val="22"/>
        </w:rPr>
      </w:pPr>
      <w:r>
        <w:rPr>
          <w:rFonts w:hint="eastAsia" w:ascii="宋体" w:hAnsi="Times New Roman" w:eastAsia="宋体" w:cs="Times New Roman"/>
          <w:color w:val="auto"/>
          <w:sz w:val="22"/>
          <w:lang w:val="en-US" w:eastAsia="zh-CN"/>
        </w:rPr>
        <w:t>3</w:t>
      </w:r>
      <w:r>
        <w:rPr>
          <w:rFonts w:hint="eastAsia" w:ascii="宋体" w:hAnsi="Times New Roman" w:eastAsia="宋体" w:cs="Times New Roman"/>
          <w:color w:val="auto"/>
          <w:sz w:val="22"/>
        </w:rPr>
        <w:t>.3如签订合同并生效后，供应商无故拒绝或延期，除按照合同条款处理外，列入不良行为记录一次，并给予通报。</w:t>
      </w:r>
    </w:p>
    <w:p w14:paraId="1B8052CE">
      <w:pPr>
        <w:adjustRightInd w:val="0"/>
        <w:snapToGrid w:val="0"/>
        <w:spacing w:line="440" w:lineRule="exact"/>
        <w:ind w:firstLine="480"/>
        <w:rPr>
          <w:rFonts w:hint="eastAsia" w:ascii="宋体" w:hAnsi="Times New Roman" w:eastAsia="宋体" w:cs="Times New Roman"/>
          <w:color w:val="auto"/>
          <w:sz w:val="22"/>
        </w:rPr>
      </w:pPr>
      <w:r>
        <w:rPr>
          <w:rFonts w:hint="eastAsia" w:ascii="宋体" w:hAnsi="Times New Roman" w:eastAsia="宋体" w:cs="Times New Roman"/>
          <w:color w:val="auto"/>
          <w:sz w:val="22"/>
          <w:lang w:val="en-US" w:eastAsia="zh-CN"/>
        </w:rPr>
        <w:t>3</w:t>
      </w:r>
      <w:r>
        <w:rPr>
          <w:rFonts w:hint="eastAsia" w:ascii="宋体" w:hAnsi="Times New Roman" w:eastAsia="宋体" w:cs="Times New Roman"/>
          <w:color w:val="auto"/>
          <w:sz w:val="22"/>
        </w:rPr>
        <w:t>.4成交人拒绝与采购人签订合同的，采购人可以按照评审报告推荐的中标或者成交候选人名单排序，确定下一候选人为成交人，也可以重新开展政府采购活动。</w:t>
      </w:r>
    </w:p>
    <w:p w14:paraId="350A593A">
      <w:pPr>
        <w:adjustRightInd w:val="0"/>
        <w:snapToGrid w:val="0"/>
        <w:spacing w:line="440" w:lineRule="exact"/>
        <w:ind w:firstLine="480"/>
        <w:rPr>
          <w:rFonts w:hint="eastAsia" w:ascii="宋体" w:hAnsi="Times New Roman" w:eastAsia="宋体" w:cs="Times New Roman"/>
          <w:color w:val="auto"/>
          <w:sz w:val="22"/>
        </w:rPr>
      </w:pPr>
      <w:r>
        <w:rPr>
          <w:rFonts w:hint="eastAsia" w:ascii="宋体" w:hAnsi="Times New Roman" w:eastAsia="宋体" w:cs="Times New Roman"/>
          <w:color w:val="auto"/>
          <w:sz w:val="22"/>
          <w:lang w:val="en-US" w:eastAsia="zh-CN"/>
        </w:rPr>
        <w:t>3</w:t>
      </w:r>
      <w:r>
        <w:rPr>
          <w:rFonts w:hint="eastAsia" w:ascii="宋体" w:hAnsi="Times New Roman" w:eastAsia="宋体" w:cs="Times New Roman"/>
          <w:color w:val="auto"/>
          <w:sz w:val="22"/>
        </w:rPr>
        <w:t>.5采购合同由采购人与成交人根据采购文件、磋商响应文件等内容通过政府采购电子交易平台在线签订，自动备案。</w:t>
      </w:r>
    </w:p>
    <w:p w14:paraId="2B4C5C0E">
      <w:pPr>
        <w:adjustRightInd w:val="0"/>
        <w:snapToGrid w:val="0"/>
        <w:spacing w:line="440" w:lineRule="exact"/>
        <w:ind w:firstLine="480"/>
        <w:rPr>
          <w:rFonts w:hint="default"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3.6</w:t>
      </w:r>
      <w:r>
        <w:rPr>
          <w:rFonts w:hint="eastAsia" w:ascii="宋体" w:hAnsi="Times New Roman" w:eastAsia="宋体" w:cs="Times New Roman"/>
          <w:b/>
          <w:bCs/>
          <w:color w:val="auto"/>
          <w:sz w:val="22"/>
          <w:lang w:val="en-US" w:eastAsia="zh-CN"/>
        </w:rPr>
        <w:t>政府采购货物和服务项目不得收取质量保证金。</w:t>
      </w:r>
      <w:r>
        <w:rPr>
          <w:rFonts w:hint="eastAsia" w:ascii="宋体" w:hAnsi="Times New Roman" w:eastAsia="宋体" w:cs="Times New Roman"/>
          <w:color w:val="auto"/>
          <w:sz w:val="22"/>
          <w:lang w:val="en-US" w:eastAsia="zh-CN"/>
        </w:rPr>
        <w:t>政府采购工程以及与工程建设有关的货物、服务，采用招标方式采购的，按国家和省有关规定执行。</w:t>
      </w:r>
    </w:p>
    <w:p w14:paraId="790CF429">
      <w:pPr>
        <w:adjustRightInd w:val="0"/>
        <w:snapToGrid w:val="0"/>
        <w:spacing w:line="440" w:lineRule="exact"/>
        <w:ind w:firstLine="480"/>
        <w:rPr>
          <w:rFonts w:hint="eastAsia" w:ascii="宋体" w:hAnsi="Times New Roman" w:eastAsia="宋体" w:cs="Times New Roman"/>
          <w:b w:val="0"/>
          <w:bCs w:val="0"/>
          <w:color w:val="auto"/>
          <w:sz w:val="22"/>
          <w:lang w:val="en-US" w:eastAsia="zh-CN"/>
        </w:rPr>
      </w:pPr>
      <w:r>
        <w:rPr>
          <w:rFonts w:hint="eastAsia" w:ascii="宋体" w:hAnsi="Times New Roman" w:eastAsia="宋体" w:cs="Times New Roman"/>
          <w:b w:val="0"/>
          <w:bCs w:val="0"/>
          <w:color w:val="auto"/>
          <w:sz w:val="22"/>
          <w:lang w:val="en-US" w:eastAsia="zh-CN"/>
        </w:rPr>
        <w:t>4. 履约保证金</w:t>
      </w:r>
    </w:p>
    <w:p w14:paraId="0ED41160">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拟签订的合同文本要求成交人提交履约保证金的，供应商应当以支票、汇票、本票或者金融机构、担保机构出具的保函等非现金形式提交。</w:t>
      </w:r>
      <w:r>
        <w:rPr>
          <w:rFonts w:hint="eastAsia" w:ascii="宋体" w:hAnsi="Times New Roman" w:eastAsia="宋体" w:cs="Times New Roman"/>
          <w:b/>
          <w:bCs/>
          <w:color w:val="auto"/>
          <w:sz w:val="22"/>
          <w:lang w:val="en-US" w:eastAsia="zh-CN"/>
        </w:rPr>
        <w:t>履约保证金的数额不得超过政府采购合同金额的1%。</w:t>
      </w:r>
      <w:r>
        <w:rPr>
          <w:rFonts w:hint="eastAsia" w:ascii="宋体" w:hAnsi="Times New Roman" w:eastAsia="宋体" w:cs="Times New Roman"/>
          <w:color w:val="auto"/>
          <w:sz w:val="22"/>
          <w:lang w:val="en-US" w:eastAsia="zh-CN"/>
        </w:rPr>
        <w:t>鼓励和支持供应商以履约保函形式提供履约保证金。</w:t>
      </w:r>
    </w:p>
    <w:p w14:paraId="64401240">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9C98AD">
      <w:pPr>
        <w:adjustRightInd w:val="0"/>
        <w:snapToGrid w:val="0"/>
        <w:spacing w:line="440" w:lineRule="exact"/>
        <w:ind w:firstLine="480"/>
        <w:rPr>
          <w:rFonts w:hint="eastAsia" w:ascii="宋体" w:hAnsi="Times New Roman" w:eastAsia="宋体" w:cs="Times New Roman"/>
          <w:b w:val="0"/>
          <w:bCs w:val="0"/>
          <w:color w:val="auto"/>
          <w:sz w:val="22"/>
          <w:lang w:val="en-US" w:eastAsia="zh-CN"/>
        </w:rPr>
      </w:pPr>
      <w:r>
        <w:rPr>
          <w:rFonts w:hint="eastAsia" w:ascii="宋体" w:hAnsi="Times New Roman" w:eastAsia="宋体" w:cs="Times New Roman"/>
          <w:b w:val="0"/>
          <w:bCs w:val="0"/>
          <w:color w:val="auto"/>
          <w:sz w:val="22"/>
          <w:lang w:val="en-US" w:eastAsia="zh-CN"/>
        </w:rPr>
        <w:t>5.预付款</w:t>
      </w:r>
    </w:p>
    <w:p w14:paraId="73D9BAAC">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采购单位应当在政府采购合同中约定预付款，对中小企业合同预付款比例原则上不低于合同金额的</w:t>
      </w:r>
      <w:r>
        <w:rPr>
          <w:rFonts w:hint="eastAsia" w:ascii="宋体" w:hAnsi="Times New Roman" w:eastAsia="宋体" w:cs="Times New Roman"/>
          <w:b/>
          <w:bCs/>
          <w:color w:val="auto"/>
          <w:sz w:val="22"/>
          <w:lang w:val="en-US" w:eastAsia="zh-CN"/>
        </w:rPr>
        <w:t>40％</w:t>
      </w:r>
      <w:r>
        <w:rPr>
          <w:rFonts w:hint="eastAsia" w:ascii="宋体" w:hAnsi="Times New Roman" w:eastAsia="宋体" w:cs="Times New Roman"/>
          <w:color w:val="auto"/>
          <w:sz w:val="22"/>
          <w:lang w:val="en-US" w:eastAsia="zh-CN"/>
        </w:rPr>
        <w:t>，不高于合同金额的70%；项目分年安排预算的，每年预付款比例不低于项目年度计划支付资金额的40％，不高于年度计划支付资金额的70%；采购项目实施以</w:t>
      </w:r>
      <w:r>
        <w:rPr>
          <w:rFonts w:hint="eastAsia" w:ascii="宋体" w:hAnsi="Times New Roman" w:eastAsia="宋体" w:cs="Times New Roman"/>
          <w:b/>
          <w:bCs/>
          <w:color w:val="auto"/>
          <w:sz w:val="22"/>
          <w:lang w:val="en-US" w:eastAsia="zh-CN"/>
        </w:rPr>
        <w:t>人工投入</w:t>
      </w:r>
      <w:r>
        <w:rPr>
          <w:rFonts w:hint="eastAsia" w:ascii="宋体" w:hAnsi="Times New Roman" w:eastAsia="宋体" w:cs="Times New Roman"/>
          <w:color w:val="auto"/>
          <w:sz w:val="22"/>
          <w:lang w:val="en-US" w:eastAsia="zh-CN"/>
        </w:rPr>
        <w:t>为主的，可适当降低预付款比例，但不得低于</w:t>
      </w:r>
      <w:r>
        <w:rPr>
          <w:rFonts w:hint="eastAsia" w:ascii="宋体" w:hAnsi="Times New Roman" w:eastAsia="宋体" w:cs="Times New Roman"/>
          <w:b/>
          <w:bCs/>
          <w:color w:val="auto"/>
          <w:sz w:val="22"/>
          <w:lang w:val="en-US" w:eastAsia="zh-CN"/>
        </w:rPr>
        <w:t>30%</w:t>
      </w:r>
      <w:r>
        <w:rPr>
          <w:rFonts w:hint="eastAsia" w:ascii="宋体" w:hAnsi="Times New Roman" w:eastAsia="宋体" w:cs="Times New Roman"/>
          <w:color w:val="auto"/>
          <w:sz w:val="22"/>
          <w:lang w:val="en-US" w:eastAsia="zh-CN"/>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14:paraId="4E423405">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6、验收</w:t>
      </w:r>
    </w:p>
    <w:p w14:paraId="701F8B66">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477BC7">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2.采购人可以邀请参加本项目的其他供应商或者第三方机构参与验收。参与验收的供应商或者第三方机构的意见作为验收书的参考资料一并存档。</w:t>
      </w:r>
    </w:p>
    <w:p w14:paraId="3E5065D1">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C40945">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4.采购人原则上应当在</w:t>
      </w:r>
      <w:r>
        <w:rPr>
          <w:rFonts w:hint="eastAsia" w:ascii="宋体" w:hAnsi="Times New Roman" w:eastAsia="宋体" w:cs="Times New Roman"/>
          <w:b/>
          <w:bCs/>
          <w:color w:val="auto"/>
          <w:sz w:val="22"/>
          <w:lang w:val="en-US" w:eastAsia="zh-CN"/>
        </w:rPr>
        <w:t>履约验收之日起2个工作日内，将履约验收结果在浙江政府采购网上公告</w:t>
      </w:r>
      <w:r>
        <w:rPr>
          <w:rFonts w:hint="eastAsia" w:ascii="宋体" w:hAnsi="Times New Roman" w:eastAsia="宋体" w:cs="Times New Roman"/>
          <w:color w:val="auto"/>
          <w:sz w:val="22"/>
          <w:lang w:val="en-US" w:eastAsia="zh-CN"/>
        </w:rPr>
        <w:t>。</w:t>
      </w:r>
    </w:p>
    <w:p w14:paraId="064CF70B">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5.验收合格的项目，采购人将根据采购合同的约定及时向供应商支付采购资金、退还履约保证金。</w:t>
      </w:r>
    </w:p>
    <w:p w14:paraId="3ABD3EA6">
      <w:pPr>
        <w:adjustRightInd w:val="0"/>
        <w:snapToGrid w:val="0"/>
        <w:spacing w:line="440" w:lineRule="exact"/>
        <w:ind w:firstLine="480"/>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015EE9">
      <w:pPr>
        <w:pStyle w:val="10"/>
        <w:adjustRightInd w:val="0"/>
        <w:snapToGrid w:val="0"/>
        <w:spacing w:before="156" w:after="156" w:line="360" w:lineRule="auto"/>
        <w:rPr>
          <w:rFonts w:hint="eastAsia" w:eastAsia="宋体"/>
          <w:color w:val="auto"/>
          <w:sz w:val="44"/>
          <w:szCs w:val="44"/>
          <w:lang w:eastAsia="zh-CN"/>
        </w:rPr>
      </w:pPr>
      <w:r>
        <w:rPr>
          <w:bCs/>
          <w:color w:val="auto"/>
          <w:lang w:val="zh-CN"/>
        </w:rPr>
        <w:br w:type="page"/>
      </w:r>
      <w:r>
        <w:rPr>
          <w:rFonts w:hint="eastAsia"/>
          <w:bCs/>
          <w:color w:val="auto"/>
          <w:lang w:val="en-US" w:eastAsia="zh-CN"/>
        </w:rPr>
        <w:t xml:space="preserve">                </w:t>
      </w:r>
      <w:r>
        <w:rPr>
          <w:rFonts w:hint="eastAsia" w:hAnsi="宋体"/>
          <w:b/>
          <w:color w:val="auto"/>
          <w:sz w:val="36"/>
          <w:szCs w:val="36"/>
        </w:rPr>
        <w:t>第四章   政府采购政策</w:t>
      </w:r>
      <w:r>
        <w:rPr>
          <w:rFonts w:hint="eastAsia" w:hAnsi="宋体"/>
          <w:b/>
          <w:color w:val="auto"/>
          <w:sz w:val="36"/>
          <w:szCs w:val="36"/>
          <w:lang w:eastAsia="zh-CN"/>
        </w:rPr>
        <w:t>落实</w:t>
      </w:r>
    </w:p>
    <w:p w14:paraId="550CF72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.采购项目需要落实的政府采购政策</w:t>
      </w:r>
    </w:p>
    <w:p w14:paraId="441EB5E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091FFD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.2 支持绿色发展</w:t>
      </w:r>
    </w:p>
    <w:p w14:paraId="50190680">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D67D7A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1B60F4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.3支持中小企业发展</w:t>
      </w:r>
    </w:p>
    <w:p w14:paraId="3F0BF6C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C9DD49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符合中小企业划分标准的个体工商户，在政府采购活动中视同中小企业。</w:t>
      </w:r>
    </w:p>
    <w:p w14:paraId="40CB6B0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.3.2在政府采购活动中，供应商提供的货物、工程或者服务符合下列情形的，享受中小企业扶持政策：</w:t>
      </w:r>
    </w:p>
    <w:p w14:paraId="2009706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.3.2.1在货物采购项目中，货物由中小企业制造，即货物由中小企业生产且使用该中小企业商号或者注册商标；</w:t>
      </w:r>
    </w:p>
    <w:p w14:paraId="0C38E63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.3.2.2在工程采购项目中，工程由中小企业承建，即工程施工单位为中小企业；</w:t>
      </w:r>
    </w:p>
    <w:p w14:paraId="6CA635E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.3.2.3在服务采购项目中，服务由中小企业承接，即提供服务的人员为中小企业依照《中华人民共和国</w:t>
      </w:r>
      <w:r>
        <w:rPr>
          <w:rFonts w:hint="eastAsia" w:ascii="宋体" w:cs="Times New Roman"/>
          <w:color w:val="auto"/>
          <w:sz w:val="22"/>
          <w:lang w:val="en-US" w:eastAsia="zh-CN"/>
        </w:rPr>
        <w:t>民法典</w:t>
      </w:r>
      <w:r>
        <w:rPr>
          <w:rFonts w:hint="eastAsia" w:ascii="宋体" w:hAnsi="Times New Roman" w:eastAsia="宋体" w:cs="Times New Roman"/>
          <w:color w:val="auto"/>
          <w:sz w:val="22"/>
          <w:lang w:val="en-US" w:eastAsia="zh-CN"/>
        </w:rPr>
        <w:t>》订立劳动合同的从业人员。</w:t>
      </w:r>
    </w:p>
    <w:p w14:paraId="54E1FD0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在货物采购项目中，供应商提供的货物既有中小企业制造货物，也有大型企业制造货物的，不享受中小企业扶持政策。</w:t>
      </w:r>
    </w:p>
    <w:p w14:paraId="71A8378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以联合体形式参加政府采购活动，联合体各方均为中小企业的，联合体视同中小企业。其中，联合体各方均为小微企业的，联合体视同小微企业。</w:t>
      </w:r>
    </w:p>
    <w:p w14:paraId="1E8657A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5B8477C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.3.4符合《关于促进残疾人就业政府采购政策的通知》（财库〔2017〕141号）规定的条件并提供《残疾人福利性单位声明函》（附件1</w:t>
      </w:r>
      <w:r>
        <w:rPr>
          <w:rFonts w:hint="eastAsia" w:ascii="宋体" w:cs="Times New Roman"/>
          <w:color w:val="auto"/>
          <w:sz w:val="22"/>
          <w:lang w:val="en-US" w:eastAsia="zh-CN"/>
        </w:rPr>
        <w:t>2</w:t>
      </w:r>
      <w:r>
        <w:rPr>
          <w:rFonts w:hint="eastAsia" w:ascii="宋体" w:hAnsi="Times New Roman" w:eastAsia="宋体" w:cs="Times New Roman"/>
          <w:color w:val="auto"/>
          <w:sz w:val="22"/>
          <w:lang w:val="en-US" w:eastAsia="zh-CN"/>
        </w:rPr>
        <w:t>）的残疾人福利性单位视同小型、微型企业；</w:t>
      </w:r>
    </w:p>
    <w:p w14:paraId="70C8F2A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4C4D8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1002C90">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.3.7中小企业享受扶持政策获得政府采购合同的，小微企业不得将合同分包给大中型企业，中型企业不得将合同分包给大型企业。</w:t>
      </w:r>
    </w:p>
    <w:p w14:paraId="60BF3FA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.4支持创新发展</w:t>
      </w:r>
    </w:p>
    <w:p w14:paraId="12775B2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.4.1 采购人优先采购被认定为首台套产品和“制造精品”的自主创新产品。</w:t>
      </w:r>
    </w:p>
    <w:p w14:paraId="0C10CCF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.4.2首台套产品被纳入《首台套产品推广应用指导目录》之日起</w:t>
      </w:r>
      <w:r>
        <w:rPr>
          <w:rFonts w:hint="eastAsia" w:ascii="宋体" w:hAnsi="Times New Roman" w:eastAsia="宋体" w:cs="Times New Roman"/>
          <w:b/>
          <w:bCs/>
          <w:color w:val="auto"/>
          <w:sz w:val="22"/>
          <w:lang w:val="en-US" w:eastAsia="zh-CN"/>
        </w:rPr>
        <w:t>3年内</w:t>
      </w:r>
      <w:r>
        <w:rPr>
          <w:rFonts w:hint="eastAsia" w:ascii="宋体" w:hAnsi="Times New Roman" w:eastAsia="宋体" w:cs="Times New Roman"/>
          <w:color w:val="auto"/>
          <w:sz w:val="22"/>
          <w:lang w:val="en-US" w:eastAsia="zh-CN"/>
        </w:rPr>
        <w:t>，以及产品核心技术高于国内领先水平，并具有明晰自主知识产权的“制造精品”产品，自认定之日起</w:t>
      </w:r>
      <w:r>
        <w:rPr>
          <w:rFonts w:hint="eastAsia" w:ascii="宋体" w:hAnsi="Times New Roman" w:eastAsia="宋体" w:cs="Times New Roman"/>
          <w:b/>
          <w:bCs/>
          <w:color w:val="auto"/>
          <w:sz w:val="22"/>
          <w:lang w:val="en-US" w:eastAsia="zh-CN"/>
        </w:rPr>
        <w:t>3年内</w:t>
      </w:r>
      <w:r>
        <w:rPr>
          <w:rFonts w:hint="eastAsia" w:ascii="宋体" w:hAnsi="Times New Roman" w:eastAsia="宋体" w:cs="Times New Roman"/>
          <w:color w:val="auto"/>
          <w:sz w:val="22"/>
          <w:lang w:val="en-US" w:eastAsia="zh-CN"/>
        </w:rPr>
        <w:t>视同已具备相应销售业绩，参加政府采购活动时业绩分值为满分。</w:t>
      </w:r>
    </w:p>
    <w:p w14:paraId="7B55659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default" w:ascii="宋体" w:hAnsi="Times New Roman" w:eastAsia="宋体" w:cs="Times New Roman"/>
          <w:color w:val="auto"/>
          <w:sz w:val="22"/>
          <w:lang w:val="en" w:eastAsia="zh-CN"/>
        </w:rPr>
        <w:t>1</w:t>
      </w:r>
      <w:r>
        <w:rPr>
          <w:rFonts w:hint="eastAsia" w:ascii="宋体" w:hAnsi="Times New Roman" w:eastAsia="宋体" w:cs="Times New Roman"/>
          <w:color w:val="auto"/>
          <w:sz w:val="22"/>
          <w:lang w:val="en-US" w:eastAsia="zh-CN"/>
        </w:rPr>
        <w:t>.5中小企业信用融资</w:t>
      </w:r>
    </w:p>
    <w:p w14:paraId="31BD02D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40" w:firstLineChars="200"/>
        <w:textAlignment w:val="auto"/>
        <w:rPr>
          <w:rFonts w:hint="eastAsia" w:ascii="宋体" w:hAnsi="Times New Roman" w:eastAsia="宋体" w:cs="Times New Roman"/>
          <w:color w:val="auto"/>
          <w:sz w:val="22"/>
          <w:lang w:val="en-US" w:eastAsia="zh-CN"/>
        </w:rPr>
      </w:pPr>
      <w:r>
        <w:rPr>
          <w:rFonts w:hint="eastAsia" w:ascii="宋体" w:hAnsi="Times New Roman" w:eastAsia="宋体" w:cs="Times New Roman"/>
          <w:color w:val="auto"/>
          <w:sz w:val="22"/>
          <w:lang w:val="en-US" w:eastAsia="zh-CN"/>
        </w:rPr>
        <w:t>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政采云(https://jinrong.zcygov.cn)的中小企业信用融资栏目了解相关信息。 供应商可以通过浙江政府采购网(https://zfcg. czt.zj. gov.cn/)首页的“浙江政采贷”模块进入申请，还可以通过政府采购云平台(https://wwwzcygov.cn/)首页的“金融服务”模块进入申请。</w:t>
      </w:r>
    </w:p>
    <w:p w14:paraId="530E14A4">
      <w:pPr>
        <w:snapToGrid w:val="0"/>
        <w:spacing w:line="460" w:lineRule="atLeast"/>
        <w:ind w:firstLine="440" w:firstLineChars="200"/>
        <w:rPr>
          <w:rFonts w:ascii="宋体"/>
          <w:color w:val="auto"/>
          <w:sz w:val="22"/>
        </w:rPr>
        <w:sectPr>
          <w:pgSz w:w="11906" w:h="16838"/>
          <w:pgMar w:top="1440" w:right="1800" w:bottom="1440" w:left="1800" w:header="851" w:footer="992" w:gutter="0"/>
          <w:cols w:space="425" w:num="1"/>
          <w:docGrid w:type="lines" w:linePitch="312" w:charSpace="0"/>
        </w:sectPr>
      </w:pPr>
    </w:p>
    <w:p w14:paraId="05A9F361">
      <w:pPr>
        <w:pStyle w:val="10"/>
        <w:spacing w:before="156" w:after="156" w:line="360" w:lineRule="auto"/>
        <w:ind w:firstLine="2530" w:firstLineChars="700"/>
        <w:jc w:val="both"/>
        <w:outlineLvl w:val="0"/>
        <w:rPr>
          <w:color w:val="auto"/>
          <w:sz w:val="32"/>
          <w:szCs w:val="32"/>
        </w:rPr>
      </w:pPr>
      <w:r>
        <w:rPr>
          <w:rFonts w:hint="eastAsia" w:hAnsi="宋体"/>
          <w:b/>
          <w:color w:val="auto"/>
          <w:sz w:val="36"/>
          <w:szCs w:val="36"/>
        </w:rPr>
        <w:t>第五章 评标定标办法</w:t>
      </w:r>
    </w:p>
    <w:p w14:paraId="46C09594">
      <w:pPr>
        <w:tabs>
          <w:tab w:val="left" w:pos="8820"/>
        </w:tabs>
        <w:adjustRightInd w:val="0"/>
        <w:snapToGrid w:val="0"/>
        <w:spacing w:before="156" w:beforeLines="50" w:line="460" w:lineRule="exact"/>
        <w:ind w:firstLine="440" w:firstLineChars="200"/>
        <w:rPr>
          <w:color w:val="auto"/>
        </w:rPr>
      </w:pPr>
      <w:r>
        <w:rPr>
          <w:rFonts w:hint="eastAsia" w:ascii="宋体" w:hAnsi="宋体"/>
          <w:color w:val="auto"/>
          <w:kern w:val="0"/>
          <w:sz w:val="22"/>
        </w:rPr>
        <w:t>根据《中华人民共和国政府采购法》等有关政府采购法规，结合本次采购实际，按照公平、公正、科学、择优的原则选择中标单位，特制定本评审办法。</w:t>
      </w:r>
    </w:p>
    <w:p w14:paraId="1E579B92">
      <w:pPr>
        <w:adjustRightInd w:val="0"/>
        <w:snapToGrid w:val="0"/>
        <w:spacing w:line="460" w:lineRule="exact"/>
        <w:jc w:val="both"/>
        <w:rPr>
          <w:rFonts w:ascii="宋体" w:hAnsi="宋体"/>
          <w:b/>
          <w:bCs/>
          <w:color w:val="auto"/>
          <w:kern w:val="0"/>
          <w:sz w:val="22"/>
        </w:rPr>
      </w:pPr>
      <w:r>
        <w:rPr>
          <w:rFonts w:hint="eastAsia" w:ascii="宋体" w:hAnsi="宋体"/>
          <w:b/>
          <w:bCs/>
          <w:color w:val="auto"/>
          <w:kern w:val="0"/>
          <w:sz w:val="22"/>
        </w:rPr>
        <w:t>一、总则</w:t>
      </w:r>
    </w:p>
    <w:p w14:paraId="4D82C683">
      <w:pPr>
        <w:pStyle w:val="12"/>
        <w:adjustRightInd w:val="0"/>
        <w:snapToGrid w:val="0"/>
        <w:spacing w:line="460" w:lineRule="exac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评标委员会必须严格遵守保密规定，不得</w:t>
      </w:r>
      <w:r>
        <w:rPr>
          <w:rFonts w:hint="eastAsia" w:eastAsia="宋体"/>
          <w:b w:val="0"/>
          <w:color w:val="auto"/>
          <w:sz w:val="22"/>
          <w:szCs w:val="22"/>
          <w:lang w:eastAsia="zh-CN"/>
        </w:rPr>
        <w:t>泄露</w:t>
      </w:r>
      <w:r>
        <w:rPr>
          <w:rFonts w:hint="eastAsia" w:eastAsia="宋体"/>
          <w:b w:val="0"/>
          <w:color w:val="auto"/>
          <w:sz w:val="22"/>
          <w:szCs w:val="22"/>
        </w:rPr>
        <w:t>评审的有关情况，不得索贿受贿，不得参加影响公正评审的有关活动。对落标单位，评标委员会不作任何落标解释。投标供应商不得以任何方式干扰招投标工作的进行，一经发现其投标文件将被拒绝。</w:t>
      </w:r>
    </w:p>
    <w:p w14:paraId="79F5F192">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jc w:val="both"/>
        <w:textAlignment w:val="auto"/>
        <w:rPr>
          <w:rFonts w:hint="eastAsia" w:ascii="宋体" w:hAnsi="宋体"/>
          <w:b/>
          <w:bCs/>
          <w:color w:val="auto"/>
          <w:kern w:val="2"/>
          <w:sz w:val="22"/>
          <w:szCs w:val="22"/>
        </w:rPr>
      </w:pPr>
      <w:r>
        <w:rPr>
          <w:rFonts w:hint="eastAsia" w:ascii="宋体" w:hAnsi="宋体"/>
          <w:b/>
          <w:bCs/>
          <w:color w:val="auto"/>
          <w:kern w:val="2"/>
          <w:sz w:val="22"/>
          <w:szCs w:val="22"/>
          <w:lang w:eastAsia="zh-CN"/>
        </w:rPr>
        <w:t>二、</w:t>
      </w:r>
      <w:r>
        <w:rPr>
          <w:rFonts w:hint="eastAsia" w:ascii="宋体" w:hAnsi="宋体"/>
          <w:b/>
          <w:bCs/>
          <w:color w:val="auto"/>
          <w:kern w:val="2"/>
          <w:sz w:val="22"/>
          <w:szCs w:val="22"/>
        </w:rPr>
        <w:t>评审纪律和要求</w:t>
      </w:r>
    </w:p>
    <w:p w14:paraId="647C1312">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1.评审专家必</w:t>
      </w:r>
      <w:r>
        <w:rPr>
          <w:rFonts w:hint="eastAsia" w:ascii="宋体" w:hAnsi="宋体"/>
          <w:b w:val="0"/>
          <w:color w:val="auto"/>
          <w:kern w:val="2"/>
          <w:sz w:val="22"/>
          <w:szCs w:val="22"/>
          <w:lang w:eastAsia="zh-CN"/>
        </w:rPr>
        <w:t>需</w:t>
      </w:r>
      <w:r>
        <w:rPr>
          <w:rFonts w:hint="eastAsia" w:ascii="宋体" w:hAnsi="宋体"/>
          <w:b w:val="0"/>
          <w:color w:val="auto"/>
          <w:kern w:val="2"/>
          <w:sz w:val="22"/>
          <w:szCs w:val="22"/>
        </w:rPr>
        <w:t>公平、公正评审，遵纪守法，客观、廉洁地履行职责。</w:t>
      </w:r>
    </w:p>
    <w:p w14:paraId="576DF59F">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2.评审专家在评审开始前，应关闭并上交随身携带的各种通信工具。</w:t>
      </w:r>
    </w:p>
    <w:p w14:paraId="0D81B140">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3.评审专家在评审过程中，未经许可不得中途离开评审现场，不得迟到早退。</w:t>
      </w:r>
    </w:p>
    <w:p w14:paraId="6D9E9193">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4.评审专家和工作人员不得透露评审过程中的讨论情况和评审结果。</w:t>
      </w:r>
    </w:p>
    <w:p w14:paraId="765F9057">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5.评审时，评审专家</w:t>
      </w:r>
      <w:r>
        <w:rPr>
          <w:rFonts w:hint="eastAsia" w:ascii="宋体" w:hAnsi="宋体"/>
          <w:b w:val="0"/>
          <w:color w:val="auto"/>
          <w:kern w:val="2"/>
          <w:sz w:val="22"/>
          <w:szCs w:val="22"/>
          <w:lang w:eastAsia="zh-CN"/>
        </w:rPr>
        <w:t>需</w:t>
      </w:r>
      <w:r>
        <w:rPr>
          <w:rFonts w:hint="eastAsia" w:ascii="宋体" w:hAnsi="宋体"/>
          <w:b w:val="0"/>
          <w:color w:val="auto"/>
          <w:kern w:val="2"/>
          <w:sz w:val="22"/>
          <w:szCs w:val="22"/>
        </w:rPr>
        <w:t>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BA8B1BB">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6.采购人、采购代理机构不得向评审委员会的评审专家作倾向性、误导性的解释或者说明。</w:t>
      </w:r>
    </w:p>
    <w:p w14:paraId="3CB0850A">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97017A9">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8.评审专家在评审过程中不得将自己的观点强加给其他评审专家，评审专家应自主发表见解，对评审意见承担个人责任。</w:t>
      </w:r>
    </w:p>
    <w:p w14:paraId="1EBB27F8">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w:t>
      </w:r>
      <w:r>
        <w:rPr>
          <w:rFonts w:hint="eastAsia" w:ascii="宋体" w:hAnsi="宋体"/>
          <w:b w:val="0"/>
          <w:color w:val="auto"/>
          <w:kern w:val="2"/>
          <w:sz w:val="22"/>
          <w:szCs w:val="22"/>
          <w:lang w:eastAsia="zh-CN"/>
        </w:rPr>
        <w:t>需</w:t>
      </w:r>
      <w:r>
        <w:rPr>
          <w:rFonts w:hint="eastAsia" w:ascii="宋体" w:hAnsi="宋体"/>
          <w:b w:val="0"/>
          <w:color w:val="auto"/>
          <w:kern w:val="2"/>
          <w:sz w:val="22"/>
          <w:szCs w:val="22"/>
        </w:rPr>
        <w:t>对其报价的合理性等进行分析和特别说明。</w:t>
      </w:r>
    </w:p>
    <w:p w14:paraId="42DA8053">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10.评审专家应当独立、客观、公正地提出评审意见，不得带有倾向性，不得影响其他评审专家评审，并在评审报告上签字；如对评审报告有异议的，可在报告上签署不同意见，并说明理由，否则将视为同意。</w:t>
      </w:r>
    </w:p>
    <w:p w14:paraId="4A054DE9">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11.评审专家应当遵守评审工作纪律，不得泄露评审文件、评审情况和评审中获悉的商业秘密。</w:t>
      </w:r>
    </w:p>
    <w:p w14:paraId="3F7A7689">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评审委员会在评审过程中发现投标人有行贿、提供虚假材料或者串通等违法行为的，应当及时向财政部门报告。</w:t>
      </w:r>
    </w:p>
    <w:p w14:paraId="6CDD4888">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12.招标文件内容违反国家有关强制性规定的，评审委员会应当停止评审并向采购代理机构说明情况。</w:t>
      </w:r>
    </w:p>
    <w:p w14:paraId="6236AD62">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13.评审专家应当配合采购代理机构答复投标人提出的质疑。</w:t>
      </w:r>
    </w:p>
    <w:p w14:paraId="35519779">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14.评审专家应当配合财政部门的投诉处理工作。</w:t>
      </w:r>
    </w:p>
    <w:p w14:paraId="3C29E339">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15.评审专家有如下行为之一的，责令改正，给予警告，可以并处一千元以下的罚款：</w:t>
      </w:r>
    </w:p>
    <w:p w14:paraId="1DF8DD47">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①明知应当回避而未主动回避的；</w:t>
      </w:r>
    </w:p>
    <w:p w14:paraId="251FA07F">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②在得知自己为评审专家身份后至评审结束前时段内私下接触投标人的；</w:t>
      </w:r>
    </w:p>
    <w:p w14:paraId="63115743">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③在评审过程中擅离职守，影响评审程序正常进行的；</w:t>
      </w:r>
    </w:p>
    <w:p w14:paraId="09EC4487">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④在评审过程有明显不合理或者不正当倾向性的；</w:t>
      </w:r>
    </w:p>
    <w:p w14:paraId="3D0DF1E2">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⑤未按招标文件规定的评审方法和标准进行评审的。</w:t>
      </w:r>
    </w:p>
    <w:p w14:paraId="4D2CC7B5">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⑥上述①至⑤行为影响中标结果的，中标结果无效。</w:t>
      </w:r>
    </w:p>
    <w:p w14:paraId="3D7C92A4">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3B3ABF3">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政府采购评审专家与投标人存在利害关系未回避的，处2万元以上5万元以下的罚款，禁止其参加政府采购评审活动。</w:t>
      </w:r>
    </w:p>
    <w:p w14:paraId="56903708">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政府采购评审专家收受采购人、采购代理机构、投标人贿赂或者获取其他不正当利益，构成犯罪的，依法追究刑事责任；尚不构成犯罪的，处2万元以上5万元以下的罚款，禁止其参加政府采购评审活动。</w:t>
      </w:r>
    </w:p>
    <w:p w14:paraId="5B12AD4E">
      <w:pPr>
        <w:pStyle w:val="33"/>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firstLine="440" w:firstLineChars="200"/>
        <w:jc w:val="both"/>
        <w:textAlignment w:val="auto"/>
        <w:rPr>
          <w:rFonts w:hint="eastAsia" w:ascii="宋体" w:hAnsi="宋体"/>
          <w:b w:val="0"/>
          <w:color w:val="auto"/>
          <w:kern w:val="2"/>
          <w:sz w:val="22"/>
          <w:szCs w:val="22"/>
        </w:rPr>
      </w:pPr>
      <w:r>
        <w:rPr>
          <w:rFonts w:hint="eastAsia" w:ascii="宋体" w:hAnsi="宋体"/>
          <w:b w:val="0"/>
          <w:color w:val="auto"/>
          <w:kern w:val="2"/>
          <w:sz w:val="22"/>
          <w:szCs w:val="22"/>
        </w:rPr>
        <w:t>政府采购评审专家有上述违法行为的，其评审意见无效，不得获取评审费；有违法所得的，没收违法所得；给他人造成损失的，依法承担民事责任。</w:t>
      </w:r>
    </w:p>
    <w:p w14:paraId="41FAD08C">
      <w:pPr>
        <w:pStyle w:val="3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hint="eastAsia" w:ascii="宋体" w:hAnsi="宋体"/>
          <w:b/>
          <w:bCs/>
          <w:color w:val="auto"/>
          <w:kern w:val="2"/>
          <w:sz w:val="22"/>
          <w:szCs w:val="22"/>
          <w:lang w:eastAsia="zh-CN"/>
        </w:rPr>
      </w:pPr>
    </w:p>
    <w:p w14:paraId="08DEB39A">
      <w:pPr>
        <w:pStyle w:val="3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ascii="宋体" w:hAnsi="宋体"/>
          <w:b/>
          <w:bCs/>
          <w:color w:val="auto"/>
          <w:kern w:val="2"/>
          <w:sz w:val="22"/>
          <w:szCs w:val="22"/>
        </w:rPr>
      </w:pPr>
      <w:r>
        <w:rPr>
          <w:rFonts w:hint="eastAsia" w:ascii="宋体" w:hAnsi="宋体"/>
          <w:b/>
          <w:bCs/>
          <w:color w:val="auto"/>
          <w:kern w:val="2"/>
          <w:sz w:val="22"/>
          <w:szCs w:val="22"/>
          <w:lang w:eastAsia="zh-CN"/>
        </w:rPr>
        <w:t>三</w:t>
      </w:r>
      <w:r>
        <w:rPr>
          <w:rFonts w:hint="eastAsia" w:ascii="宋体" w:hAnsi="宋体"/>
          <w:b/>
          <w:bCs/>
          <w:color w:val="auto"/>
          <w:kern w:val="2"/>
          <w:sz w:val="22"/>
          <w:szCs w:val="22"/>
        </w:rPr>
        <w:t>、评标程序及评审办法</w:t>
      </w:r>
    </w:p>
    <w:p w14:paraId="5A3F3624">
      <w:pPr>
        <w:adjustRightInd w:val="0"/>
        <w:snapToGrid w:val="0"/>
        <w:spacing w:line="460" w:lineRule="exact"/>
        <w:ind w:firstLine="440" w:firstLineChars="200"/>
        <w:jc w:val="left"/>
        <w:rPr>
          <w:rFonts w:hint="eastAsia" w:ascii="宋体" w:hAnsi="宋体"/>
          <w:color w:val="auto"/>
          <w:sz w:val="22"/>
        </w:rPr>
      </w:pPr>
      <w:r>
        <w:rPr>
          <w:rFonts w:hint="eastAsia" w:ascii="宋体" w:hAnsi="宋体"/>
          <w:color w:val="auto"/>
          <w:sz w:val="22"/>
        </w:rPr>
        <w:t>本次开标程序如下：</w:t>
      </w:r>
    </w:p>
    <w:p w14:paraId="7A1FEF9E">
      <w:pPr>
        <w:adjustRightInd w:val="0"/>
        <w:snapToGrid w:val="0"/>
        <w:spacing w:line="460" w:lineRule="exact"/>
        <w:ind w:firstLine="440" w:firstLineChars="200"/>
        <w:jc w:val="left"/>
        <w:rPr>
          <w:rFonts w:hint="eastAsia" w:ascii="宋体" w:hAnsi="宋体"/>
          <w:color w:val="auto"/>
          <w:sz w:val="22"/>
        </w:rPr>
      </w:pPr>
      <w:r>
        <w:rPr>
          <w:rFonts w:hint="eastAsia" w:ascii="宋体" w:hAnsi="宋体"/>
          <w:color w:val="auto"/>
          <w:sz w:val="22"/>
        </w:rPr>
        <w:t>1、向各投标供应商发出电子加密投标文件【开始解密】通知，由供应商按招标文件规定的时间内自行进行投标文件解密。</w:t>
      </w:r>
      <w:r>
        <w:rPr>
          <w:rFonts w:hint="eastAsia" w:ascii="宋体" w:hAnsi="宋体"/>
          <w:b/>
          <w:bCs/>
          <w:color w:val="auto"/>
          <w:sz w:val="22"/>
        </w:rPr>
        <w:t>投标供应商在规定的时间内无法完成已递交的“电子加密投标文件”解密的，其投标文件按拒收处理。</w:t>
      </w:r>
    </w:p>
    <w:p w14:paraId="7D94B1D0">
      <w:pPr>
        <w:adjustRightInd w:val="0"/>
        <w:snapToGrid w:val="0"/>
        <w:spacing w:line="460" w:lineRule="exact"/>
        <w:ind w:firstLine="440" w:firstLineChars="200"/>
        <w:jc w:val="left"/>
        <w:rPr>
          <w:rFonts w:ascii="宋体" w:hAnsi="宋体"/>
          <w:color w:val="auto"/>
          <w:sz w:val="22"/>
        </w:rPr>
      </w:pPr>
      <w:r>
        <w:rPr>
          <w:rFonts w:hint="eastAsia" w:ascii="宋体" w:hAnsi="宋体"/>
          <w:color w:val="auto"/>
          <w:sz w:val="22"/>
        </w:rPr>
        <w:t>2、投标文件解密结束，开启资格文件，进入资格审查环节，采购人或采购代理机</w:t>
      </w:r>
      <w:r>
        <w:rPr>
          <w:rFonts w:ascii="宋体" w:hAnsi="宋体"/>
          <w:color w:val="auto"/>
          <w:sz w:val="22"/>
        </w:rPr>
        <w:t>构将依法对投标供应商的资格进行审查。</w:t>
      </w:r>
    </w:p>
    <w:p w14:paraId="79C55C04">
      <w:pPr>
        <w:adjustRightInd w:val="0"/>
        <w:snapToGrid w:val="0"/>
        <w:spacing w:line="460" w:lineRule="exact"/>
        <w:ind w:firstLine="440" w:firstLineChars="200"/>
        <w:rPr>
          <w:rFonts w:ascii="宋体" w:hAnsi="宋体"/>
          <w:color w:val="auto"/>
          <w:sz w:val="22"/>
        </w:rPr>
      </w:pPr>
      <w:r>
        <w:rPr>
          <w:rFonts w:ascii="宋体" w:hAnsi="宋体"/>
          <w:color w:val="auto"/>
          <w:sz w:val="22"/>
        </w:rPr>
        <w:t>3</w:t>
      </w:r>
      <w:r>
        <w:rPr>
          <w:rFonts w:hint="eastAsia" w:ascii="宋体" w:hAnsi="宋体"/>
          <w:color w:val="auto"/>
          <w:sz w:val="22"/>
        </w:rPr>
        <w:t>、</w:t>
      </w:r>
      <w:r>
        <w:rPr>
          <w:rFonts w:ascii="宋体" w:hAnsi="宋体"/>
          <w:color w:val="auto"/>
          <w:sz w:val="22"/>
        </w:rPr>
        <w:t>开启资格审查通过的投标供应商的商务技术文件进入符合性审查及商务技术评审</w:t>
      </w:r>
      <w:r>
        <w:rPr>
          <w:rFonts w:hint="eastAsia" w:ascii="宋体" w:hAnsi="宋体"/>
          <w:color w:val="auto"/>
          <w:sz w:val="22"/>
        </w:rPr>
        <w:t>。</w:t>
      </w:r>
    </w:p>
    <w:p w14:paraId="476EF1A2">
      <w:pPr>
        <w:adjustRightInd w:val="0"/>
        <w:snapToGrid w:val="0"/>
        <w:spacing w:line="460" w:lineRule="exact"/>
        <w:ind w:firstLine="440" w:firstLineChars="200"/>
        <w:jc w:val="left"/>
        <w:rPr>
          <w:rFonts w:hint="eastAsia" w:ascii="宋体" w:hAnsi="宋体"/>
          <w:color w:val="auto"/>
          <w:sz w:val="22"/>
        </w:rPr>
      </w:pPr>
      <w:r>
        <w:rPr>
          <w:rFonts w:hint="eastAsia" w:ascii="宋体" w:hAnsi="宋体"/>
          <w:color w:val="auto"/>
          <w:sz w:val="22"/>
        </w:rPr>
        <w:t>4、符合性审查、商务技术评审结束后，开启符合性审查、商务技术评审有效投标供应商的报价文件。由评标委员会对报价文件的符合性等进行审查核实，对报价进行得分计算。</w:t>
      </w:r>
    </w:p>
    <w:p w14:paraId="7891448D">
      <w:pPr>
        <w:adjustRightInd w:val="0"/>
        <w:snapToGrid w:val="0"/>
        <w:spacing w:line="460" w:lineRule="exact"/>
        <w:ind w:firstLine="440" w:firstLineChars="200"/>
        <w:jc w:val="left"/>
        <w:rPr>
          <w:rFonts w:hint="eastAsia" w:ascii="宋体" w:hAnsi="宋体"/>
          <w:color w:val="auto"/>
          <w:sz w:val="22"/>
        </w:rPr>
      </w:pPr>
      <w:r>
        <w:rPr>
          <w:rFonts w:hint="eastAsia" w:ascii="宋体" w:hAnsi="宋体"/>
          <w:color w:val="auto"/>
          <w:sz w:val="22"/>
        </w:rPr>
        <w:t>5、根据各投标供应商综合得分从高到低进行排序，推荐中标候选供应商；综合得分最高的供应商推荐为中标供应商。</w:t>
      </w:r>
    </w:p>
    <w:p w14:paraId="44C8A356">
      <w:pPr>
        <w:adjustRightInd w:val="0"/>
        <w:snapToGrid w:val="0"/>
        <w:spacing w:line="460" w:lineRule="exact"/>
        <w:ind w:firstLine="440" w:firstLineChars="200"/>
        <w:jc w:val="left"/>
        <w:rPr>
          <w:rFonts w:hint="eastAsia" w:ascii="宋体" w:hAnsi="宋体"/>
          <w:color w:val="auto"/>
          <w:sz w:val="22"/>
        </w:rPr>
      </w:pPr>
      <w:r>
        <w:rPr>
          <w:rFonts w:hint="eastAsia" w:ascii="宋体" w:hAnsi="宋体"/>
          <w:color w:val="auto"/>
          <w:sz w:val="22"/>
        </w:rPr>
        <w:t>6、由评标委员会向采购人推荐综合得分第一名的供应商为中标供应商，并提交评审报告。如果得分相同，以投标报价低的优先；如投标报价也相同，则以政采云系统记录的投标文件解密时间排序在前面的优先。</w:t>
      </w:r>
    </w:p>
    <w:p w14:paraId="300CB6C1">
      <w:pPr>
        <w:adjustRightInd w:val="0"/>
        <w:snapToGrid w:val="0"/>
        <w:spacing w:line="460" w:lineRule="exact"/>
        <w:ind w:firstLine="440" w:firstLineChars="200"/>
        <w:jc w:val="left"/>
        <w:rPr>
          <w:rFonts w:ascii="楷体" w:hAnsi="楷体" w:eastAsia="楷体" w:cs="楷体"/>
          <w:b/>
          <w:bCs/>
          <w:color w:val="auto"/>
          <w:sz w:val="30"/>
          <w:szCs w:val="30"/>
        </w:rPr>
      </w:pPr>
      <w:r>
        <w:rPr>
          <w:rFonts w:hint="eastAsia" w:ascii="宋体" w:hAnsi="宋体"/>
          <w:color w:val="auto"/>
          <w:sz w:val="22"/>
        </w:rPr>
        <w:t>7、评审结束后，公布采购结果。</w:t>
      </w:r>
    </w:p>
    <w:p w14:paraId="4E160BFE">
      <w:pPr>
        <w:pStyle w:val="3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442" w:firstLineChars="200"/>
        <w:jc w:val="both"/>
        <w:textAlignment w:val="auto"/>
        <w:rPr>
          <w:rFonts w:hint="eastAsia" w:ascii="宋体" w:hAnsi="宋体"/>
          <w:b/>
          <w:bCs/>
          <w:color w:val="auto"/>
          <w:kern w:val="2"/>
          <w:sz w:val="22"/>
          <w:szCs w:val="22"/>
          <w:lang w:eastAsia="zh-CN"/>
        </w:rPr>
      </w:pPr>
      <w:r>
        <w:rPr>
          <w:rFonts w:hint="eastAsia" w:ascii="宋体" w:hAnsi="宋体"/>
          <w:b/>
          <w:bCs/>
          <w:color w:val="auto"/>
          <w:kern w:val="2"/>
          <w:sz w:val="22"/>
          <w:szCs w:val="22"/>
          <w:lang w:eastAsia="zh-CN"/>
        </w:rPr>
        <w:t>四、评标内容及标准</w:t>
      </w:r>
    </w:p>
    <w:p w14:paraId="322C2976">
      <w:pPr>
        <w:spacing w:before="156" w:beforeLines="50" w:after="156" w:afterLines="50" w:line="400" w:lineRule="exact"/>
        <w:ind w:firstLine="440" w:firstLineChars="200"/>
        <w:rPr>
          <w:rFonts w:ascii="宋体" w:hAnsi="宋体" w:eastAsia="宋体" w:cs="宋体"/>
          <w:color w:val="auto"/>
          <w:sz w:val="22"/>
        </w:rPr>
      </w:pPr>
      <w:r>
        <w:rPr>
          <w:rFonts w:hint="eastAsia" w:ascii="宋体" w:hAnsi="宋体" w:eastAsia="宋体" w:cs="宋体"/>
          <w:color w:val="auto"/>
          <w:sz w:val="22"/>
        </w:rPr>
        <w:t>本次评标采用综合评分法，总分为100分。合格投标人的评标得分为各项目汇总得分，评分过程中采用四舍五入法，并保留小数2位。</w:t>
      </w:r>
    </w:p>
    <w:p w14:paraId="69E08ED7">
      <w:pPr>
        <w:spacing w:before="156" w:beforeLines="50" w:after="156" w:afterLines="50" w:line="400" w:lineRule="exact"/>
        <w:ind w:firstLine="440" w:firstLineChars="200"/>
        <w:rPr>
          <w:rFonts w:ascii="楷体" w:hAnsi="楷体" w:eastAsia="楷体" w:cs="楷体"/>
          <w:bCs/>
          <w:color w:val="auto"/>
          <w:sz w:val="30"/>
          <w:szCs w:val="30"/>
        </w:rPr>
      </w:pPr>
      <w:r>
        <w:rPr>
          <w:rFonts w:hint="eastAsia" w:ascii="宋体" w:hAnsi="宋体" w:eastAsia="宋体" w:cs="宋体"/>
          <w:color w:val="auto"/>
          <w:sz w:val="22"/>
        </w:rPr>
        <w:t>投标人评标综合得分=价格分+(技术分+商务资信及其他分)</w:t>
      </w:r>
    </w:p>
    <w:p w14:paraId="27453D35">
      <w:pPr>
        <w:spacing w:before="156" w:beforeLines="50" w:after="156" w:afterLines="50" w:line="400" w:lineRule="exact"/>
        <w:ind w:firstLine="440" w:firstLineChars="200"/>
        <w:rPr>
          <w:rFonts w:ascii="宋体" w:hAnsi="宋体" w:eastAsia="宋体" w:cs="宋体"/>
          <w:color w:val="auto"/>
          <w:sz w:val="22"/>
        </w:rPr>
      </w:pPr>
      <w:r>
        <w:rPr>
          <w:rFonts w:hint="eastAsia" w:ascii="宋体" w:hAnsi="宋体" w:cs="宋体"/>
          <w:color w:val="auto"/>
          <w:sz w:val="22"/>
          <w:lang w:val="en-US" w:eastAsia="zh-CN"/>
        </w:rPr>
        <w:t>1、</w:t>
      </w:r>
      <w:r>
        <w:rPr>
          <w:rFonts w:hint="eastAsia" w:ascii="宋体" w:hAnsi="宋体" w:eastAsia="宋体" w:cs="宋体"/>
          <w:color w:val="auto"/>
          <w:sz w:val="22"/>
        </w:rPr>
        <w:t>价格分（</w:t>
      </w:r>
      <w:r>
        <w:rPr>
          <w:rFonts w:hint="eastAsia" w:ascii="宋体" w:hAnsi="宋体" w:cs="宋体"/>
          <w:color w:val="auto"/>
          <w:sz w:val="22"/>
          <w:lang w:val="en-US" w:eastAsia="zh-CN"/>
        </w:rPr>
        <w:t>3</w:t>
      </w:r>
      <w:r>
        <w:rPr>
          <w:rFonts w:hint="eastAsia" w:ascii="宋体" w:hAnsi="宋体" w:eastAsia="宋体" w:cs="宋体"/>
          <w:color w:val="auto"/>
          <w:sz w:val="22"/>
        </w:rPr>
        <w:t>0分）</w:t>
      </w:r>
    </w:p>
    <w:p w14:paraId="78E6B65C">
      <w:pPr>
        <w:numPr>
          <w:ilvl w:val="0"/>
          <w:numId w:val="0"/>
        </w:numPr>
        <w:spacing w:before="156" w:beforeLines="50" w:after="156" w:afterLines="50" w:line="400" w:lineRule="exact"/>
        <w:ind w:firstLine="440" w:firstLineChars="200"/>
        <w:rPr>
          <w:rFonts w:hint="eastAsia" w:ascii="宋体" w:hAnsi="宋体" w:eastAsia="宋体" w:cs="宋体"/>
          <w:color w:val="auto"/>
          <w:sz w:val="22"/>
        </w:rPr>
      </w:pPr>
      <w:r>
        <w:rPr>
          <w:rFonts w:hint="eastAsia" w:ascii="宋体" w:hAnsi="宋体" w:eastAsia="宋体" w:cs="宋体"/>
          <w:color w:val="auto"/>
          <w:sz w:val="22"/>
        </w:rPr>
        <w:t>价格分采用低价优先法计算，即满足招标文件要求且投标价格最低的投标报价为评标基准价，其他投标人的价格分按照下列公式计算：投标报价得分=（评标基准价/投标报价）×</w:t>
      </w:r>
      <w:r>
        <w:rPr>
          <w:rFonts w:hint="eastAsia" w:ascii="宋体" w:hAnsi="宋体" w:cs="宋体"/>
          <w:color w:val="auto"/>
          <w:sz w:val="22"/>
          <w:lang w:val="en-US" w:eastAsia="zh-CN"/>
        </w:rPr>
        <w:t>3</w:t>
      </w:r>
      <w:r>
        <w:rPr>
          <w:rFonts w:hint="eastAsia" w:ascii="宋体" w:hAnsi="宋体" w:eastAsia="宋体" w:cs="宋体"/>
          <w:color w:val="auto"/>
          <w:sz w:val="22"/>
        </w:rPr>
        <w:t>0%×100</w:t>
      </w:r>
      <w:r>
        <w:rPr>
          <w:rFonts w:hint="eastAsia" w:ascii="宋体" w:hAnsi="宋体" w:eastAsia="宋体" w:cs="宋体"/>
          <w:color w:val="auto"/>
          <w:sz w:val="22"/>
          <w:lang w:eastAsia="zh-CN"/>
        </w:rPr>
        <w:t>。</w:t>
      </w:r>
    </w:p>
    <w:p w14:paraId="6154C253">
      <w:pPr>
        <w:numPr>
          <w:ilvl w:val="0"/>
          <w:numId w:val="6"/>
        </w:numPr>
        <w:snapToGrid w:val="0"/>
        <w:spacing w:line="500" w:lineRule="exact"/>
        <w:ind w:firstLine="440" w:firstLineChars="200"/>
        <w:rPr>
          <w:rFonts w:hint="eastAsia" w:asciiTheme="minorEastAsia" w:hAnsiTheme="minorEastAsia" w:eastAsiaTheme="minorEastAsia" w:cstheme="minorEastAsia"/>
          <w:smallCaps/>
          <w:color w:val="auto"/>
          <w:sz w:val="22"/>
        </w:rPr>
      </w:pPr>
      <w:r>
        <w:rPr>
          <w:rFonts w:hint="eastAsia" w:asciiTheme="minorEastAsia" w:hAnsiTheme="minorEastAsia" w:eastAsiaTheme="minorEastAsia" w:cstheme="minorEastAsia"/>
          <w:smallCaps/>
          <w:color w:val="auto"/>
          <w:sz w:val="22"/>
        </w:rPr>
        <w:t>依照《政府采购促进中小企业发展管理办法》（财库[2020]46号）、《政府采购促进中小企业发展政策问答》</w:t>
      </w:r>
      <w:r>
        <w:rPr>
          <w:rFonts w:hint="eastAsia" w:asciiTheme="minorEastAsia" w:hAnsiTheme="minorEastAsia" w:eastAsiaTheme="minorEastAsia" w:cstheme="minorEastAsia"/>
          <w:smallCaps/>
          <w:color w:val="auto"/>
          <w:sz w:val="22"/>
          <w:lang w:eastAsia="zh-CN"/>
        </w:rPr>
        <w:t>、</w:t>
      </w:r>
      <w:r>
        <w:rPr>
          <w:rFonts w:hint="eastAsia" w:asciiTheme="minorEastAsia" w:hAnsiTheme="minorEastAsia" w:eastAsiaTheme="minorEastAsia" w:cstheme="minorEastAsia"/>
          <w:smallCaps/>
          <w:color w:val="auto"/>
          <w:sz w:val="22"/>
        </w:rPr>
        <w:t>《财政部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22"/>
        <w:tblpPr w:leftFromText="180" w:rightFromText="180" w:vertAnchor="text" w:horzAnchor="page" w:tblpX="1681" w:tblpY="263"/>
        <w:tblOverlap w:val="never"/>
        <w:tblW w:w="9165" w:type="dxa"/>
        <w:tblInd w:w="0" w:type="dxa"/>
        <w:tblLayout w:type="fixed"/>
        <w:tblCellMar>
          <w:top w:w="0" w:type="dxa"/>
          <w:left w:w="108" w:type="dxa"/>
          <w:bottom w:w="0" w:type="dxa"/>
          <w:right w:w="108" w:type="dxa"/>
        </w:tblCellMar>
      </w:tblPr>
      <w:tblGrid>
        <w:gridCol w:w="728"/>
        <w:gridCol w:w="2997"/>
        <w:gridCol w:w="2081"/>
        <w:gridCol w:w="3359"/>
      </w:tblGrid>
      <w:tr w14:paraId="750AE3AA">
        <w:tblPrEx>
          <w:tblCellMar>
            <w:top w:w="0" w:type="dxa"/>
            <w:left w:w="108" w:type="dxa"/>
            <w:bottom w:w="0" w:type="dxa"/>
            <w:right w:w="108" w:type="dxa"/>
          </w:tblCellMar>
        </w:tblPrEx>
        <w:trPr>
          <w:trHeight w:val="540" w:hRule="atLeast"/>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bottom"/>
          </w:tcPr>
          <w:p w14:paraId="2B3BFB9C">
            <w:pPr>
              <w:numPr>
                <w:ilvl w:val="0"/>
                <w:numId w:val="0"/>
              </w:numPr>
              <w:spacing w:before="156" w:beforeLines="50" w:after="156" w:afterLines="50" w:line="400" w:lineRule="exact"/>
              <w:ind w:firstLine="220" w:firstLineChars="100"/>
              <w:jc w:val="both"/>
              <w:rPr>
                <w:rFonts w:hint="eastAsia" w:ascii="宋体" w:hAnsi="宋体" w:eastAsia="宋体" w:cs="宋体"/>
                <w:color w:val="auto"/>
                <w:sz w:val="22"/>
                <w:lang w:val="en-US" w:eastAsia="zh-CN"/>
              </w:rPr>
            </w:pPr>
            <w:r>
              <w:rPr>
                <w:rFonts w:hint="eastAsia" w:ascii="宋体" w:hAnsi="宋体" w:eastAsia="宋体" w:cs="宋体"/>
                <w:color w:val="auto"/>
                <w:sz w:val="22"/>
                <w:lang w:eastAsia="zh-CN"/>
              </w:rPr>
              <w:t>序号</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bottom"/>
          </w:tcPr>
          <w:p w14:paraId="43B65618">
            <w:pPr>
              <w:numPr>
                <w:ilvl w:val="0"/>
                <w:numId w:val="0"/>
              </w:numPr>
              <w:spacing w:before="156" w:beforeLines="50" w:after="156" w:afterLines="50" w:line="400" w:lineRule="exact"/>
              <w:jc w:val="center"/>
              <w:rPr>
                <w:rFonts w:hint="eastAsia" w:ascii="宋体" w:hAnsi="宋体" w:eastAsia="宋体" w:cs="宋体"/>
                <w:color w:val="auto"/>
                <w:sz w:val="22"/>
                <w:lang w:val="en-US" w:eastAsia="zh-CN"/>
              </w:rPr>
            </w:pPr>
            <w:r>
              <w:rPr>
                <w:rFonts w:hint="eastAsia" w:ascii="宋体" w:hAnsi="宋体" w:eastAsia="宋体" w:cs="宋体"/>
                <w:color w:val="auto"/>
                <w:sz w:val="22"/>
                <w:lang w:eastAsia="zh-CN"/>
              </w:rPr>
              <w:t>情形</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bottom"/>
          </w:tcPr>
          <w:p w14:paraId="77E53C25">
            <w:pPr>
              <w:numPr>
                <w:ilvl w:val="0"/>
                <w:numId w:val="0"/>
              </w:numPr>
              <w:spacing w:before="156" w:beforeLines="50" w:after="156" w:afterLines="50" w:line="400" w:lineRule="exact"/>
              <w:jc w:val="center"/>
              <w:rPr>
                <w:rFonts w:hint="eastAsia" w:ascii="宋体" w:hAnsi="宋体" w:eastAsia="宋体" w:cs="宋体"/>
                <w:color w:val="auto"/>
                <w:sz w:val="22"/>
                <w:lang w:val="en-US" w:eastAsia="zh-CN"/>
              </w:rPr>
            </w:pPr>
            <w:r>
              <w:rPr>
                <w:rFonts w:hint="eastAsia" w:ascii="宋体" w:hAnsi="宋体" w:eastAsia="宋体" w:cs="宋体"/>
                <w:color w:val="auto"/>
                <w:sz w:val="22"/>
                <w:lang w:eastAsia="zh-CN"/>
              </w:rPr>
              <w:t>价格扣除比例</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bottom"/>
          </w:tcPr>
          <w:p w14:paraId="278C6ED5">
            <w:pPr>
              <w:numPr>
                <w:ilvl w:val="0"/>
                <w:numId w:val="0"/>
              </w:numPr>
              <w:spacing w:before="156" w:beforeLines="50" w:after="156" w:afterLines="50" w:line="400" w:lineRule="exact"/>
              <w:jc w:val="center"/>
              <w:rPr>
                <w:rFonts w:hint="eastAsia" w:ascii="宋体" w:hAnsi="宋体" w:eastAsia="宋体" w:cs="宋体"/>
                <w:color w:val="auto"/>
                <w:sz w:val="22"/>
                <w:lang w:val="en-US" w:eastAsia="zh-CN"/>
              </w:rPr>
            </w:pPr>
            <w:r>
              <w:rPr>
                <w:rFonts w:hint="eastAsia" w:ascii="宋体" w:hAnsi="宋体" w:eastAsia="宋体" w:cs="宋体"/>
                <w:color w:val="auto"/>
                <w:sz w:val="22"/>
                <w:lang w:eastAsia="zh-CN"/>
              </w:rPr>
              <w:t>计算公式</w:t>
            </w:r>
          </w:p>
        </w:tc>
      </w:tr>
      <w:tr w14:paraId="4B979B8C">
        <w:tblPrEx>
          <w:tblCellMar>
            <w:top w:w="0" w:type="dxa"/>
            <w:left w:w="108" w:type="dxa"/>
            <w:bottom w:w="0" w:type="dxa"/>
            <w:right w:w="108" w:type="dxa"/>
          </w:tblCellMar>
        </w:tblPrEx>
        <w:trPr>
          <w:trHeight w:val="1347" w:hRule="atLeast"/>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436C675">
            <w:pPr>
              <w:numPr>
                <w:ilvl w:val="0"/>
                <w:numId w:val="0"/>
              </w:numPr>
              <w:spacing w:before="156" w:beforeLines="50" w:after="156" w:afterLines="50" w:line="400" w:lineRule="exact"/>
              <w:ind w:firstLine="440" w:firstLineChars="200"/>
              <w:rPr>
                <w:rFonts w:hint="eastAsia" w:ascii="宋体" w:hAnsi="宋体" w:eastAsia="宋体" w:cs="宋体"/>
                <w:color w:val="auto"/>
                <w:sz w:val="22"/>
              </w:rPr>
            </w:pPr>
            <w:r>
              <w:rPr>
                <w:rFonts w:hint="eastAsia" w:ascii="宋体" w:hAnsi="宋体" w:eastAsia="宋体" w:cs="宋体"/>
                <w:color w:val="auto"/>
                <w:sz w:val="22"/>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3069FF3">
            <w:pPr>
              <w:numPr>
                <w:ilvl w:val="0"/>
                <w:numId w:val="0"/>
              </w:numPr>
              <w:spacing w:before="156" w:beforeLines="50" w:after="156" w:afterLines="50" w:line="400" w:lineRule="exact"/>
              <w:rPr>
                <w:rFonts w:hint="eastAsia" w:ascii="宋体" w:hAnsi="宋体" w:eastAsia="宋体" w:cs="宋体"/>
                <w:color w:val="auto"/>
                <w:sz w:val="22"/>
                <w:lang w:eastAsia="zh-CN"/>
              </w:rPr>
            </w:pPr>
            <w:r>
              <w:rPr>
                <w:rFonts w:hint="eastAsia" w:ascii="宋体" w:hAnsi="宋体" w:eastAsia="宋体" w:cs="宋体"/>
                <w:color w:val="auto"/>
                <w:sz w:val="22"/>
              </w:rPr>
              <w:t>非联合体供应商</w:t>
            </w:r>
            <w:r>
              <w:rPr>
                <w:rFonts w:hint="eastAsia" w:ascii="宋体" w:hAnsi="宋体" w:eastAsia="宋体" w:cs="宋体"/>
                <w:color w:val="auto"/>
                <w:sz w:val="22"/>
                <w:lang w:eastAsia="zh-CN"/>
              </w:rPr>
              <w:t>（</w:t>
            </w:r>
            <w:r>
              <w:rPr>
                <w:rFonts w:hint="eastAsia" w:ascii="宋体" w:hAnsi="宋体" w:eastAsia="宋体" w:cs="宋体"/>
                <w:color w:val="auto"/>
                <w:sz w:val="22"/>
              </w:rPr>
              <w:t>服务与</w:t>
            </w:r>
            <w:r>
              <w:rPr>
                <w:rFonts w:hint="eastAsia" w:ascii="宋体" w:hAnsi="宋体" w:eastAsia="宋体" w:cs="宋体"/>
                <w:color w:val="auto"/>
                <w:sz w:val="22"/>
                <w:lang w:val="en-US" w:eastAsia="zh-CN"/>
              </w:rPr>
              <w:t>货物类</w:t>
            </w:r>
            <w:r>
              <w:rPr>
                <w:rFonts w:hint="eastAsia" w:ascii="宋体" w:hAnsi="宋体" w:eastAsia="宋体" w:cs="宋体"/>
                <w:color w:val="auto"/>
                <w:sz w:val="22"/>
                <w:lang w:eastAsia="zh-CN"/>
              </w:rPr>
              <w:t>）</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D760175">
            <w:pPr>
              <w:numPr>
                <w:ilvl w:val="0"/>
                <w:numId w:val="0"/>
              </w:numPr>
              <w:spacing w:before="156" w:beforeLines="50" w:after="156" w:afterLines="50" w:line="400" w:lineRule="exact"/>
              <w:rPr>
                <w:rFonts w:hint="eastAsia" w:ascii="宋体" w:hAnsi="宋体" w:eastAsia="宋体" w:cs="宋体"/>
                <w:color w:val="auto"/>
                <w:sz w:val="22"/>
              </w:rPr>
            </w:pPr>
            <w:r>
              <w:rPr>
                <w:rFonts w:hint="eastAsia" w:ascii="宋体" w:hAnsi="宋体" w:eastAsia="宋体" w:cs="宋体"/>
                <w:color w:val="auto"/>
                <w:sz w:val="22"/>
              </w:rPr>
              <w:t>对小型和微型企业所提供服务与</w:t>
            </w:r>
            <w:r>
              <w:rPr>
                <w:rFonts w:hint="eastAsia" w:ascii="宋体" w:hAnsi="宋体" w:eastAsia="宋体" w:cs="宋体"/>
                <w:color w:val="auto"/>
                <w:sz w:val="22"/>
                <w:lang w:val="en-US" w:eastAsia="zh-CN"/>
              </w:rPr>
              <w:t>货物</w:t>
            </w:r>
            <w:r>
              <w:rPr>
                <w:rFonts w:hint="eastAsia" w:ascii="宋体" w:hAnsi="宋体" w:eastAsia="宋体" w:cs="宋体"/>
                <w:color w:val="auto"/>
                <w:sz w:val="22"/>
              </w:rPr>
              <w:t>的价格扣除</w:t>
            </w:r>
            <w:r>
              <w:rPr>
                <w:rFonts w:hint="eastAsia" w:ascii="宋体" w:hAnsi="宋体" w:eastAsia="宋体" w:cs="宋体"/>
                <w:color w:val="auto"/>
                <w:sz w:val="22"/>
                <w:lang w:val="en-US" w:eastAsia="zh-CN"/>
              </w:rPr>
              <w:t>10</w:t>
            </w:r>
            <w:r>
              <w:rPr>
                <w:rFonts w:hint="eastAsia" w:ascii="宋体" w:hAnsi="宋体" w:eastAsia="宋体" w:cs="宋体"/>
                <w:color w:val="auto"/>
                <w:sz w:val="22"/>
              </w:rPr>
              <w:t>%</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AF63540">
            <w:pPr>
              <w:numPr>
                <w:ilvl w:val="0"/>
                <w:numId w:val="0"/>
              </w:numPr>
              <w:spacing w:before="156" w:beforeLines="50" w:after="156" w:afterLines="50" w:line="400" w:lineRule="exact"/>
              <w:rPr>
                <w:rFonts w:hint="eastAsia" w:ascii="宋体" w:hAnsi="宋体" w:eastAsia="宋体" w:cs="宋体"/>
                <w:color w:val="auto"/>
                <w:sz w:val="22"/>
              </w:rPr>
            </w:pPr>
            <w:r>
              <w:rPr>
                <w:rFonts w:hint="eastAsia" w:ascii="宋体" w:hAnsi="宋体" w:eastAsia="宋体" w:cs="宋体"/>
                <w:color w:val="auto"/>
                <w:sz w:val="22"/>
              </w:rPr>
              <w:t>评审价格＝总投标报价×(1-</w:t>
            </w:r>
            <w:r>
              <w:rPr>
                <w:rFonts w:hint="eastAsia" w:ascii="宋体" w:hAnsi="宋体" w:eastAsia="宋体" w:cs="宋体"/>
                <w:color w:val="auto"/>
                <w:sz w:val="22"/>
                <w:lang w:val="en-US" w:eastAsia="zh-CN"/>
              </w:rPr>
              <w:t>10</w:t>
            </w:r>
            <w:r>
              <w:rPr>
                <w:rFonts w:hint="eastAsia" w:ascii="宋体" w:hAnsi="宋体" w:eastAsia="宋体" w:cs="宋体"/>
                <w:color w:val="auto"/>
                <w:sz w:val="22"/>
              </w:rPr>
              <w:t>%)</w:t>
            </w:r>
          </w:p>
        </w:tc>
      </w:tr>
      <w:tr w14:paraId="39496E1A">
        <w:tblPrEx>
          <w:tblCellMar>
            <w:top w:w="0" w:type="dxa"/>
            <w:left w:w="108" w:type="dxa"/>
            <w:bottom w:w="0" w:type="dxa"/>
            <w:right w:w="108" w:type="dxa"/>
          </w:tblCellMar>
        </w:tblPrEx>
        <w:trPr>
          <w:trHeight w:val="1382" w:hRule="atLeast"/>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1EC2E52">
            <w:pPr>
              <w:numPr>
                <w:ilvl w:val="0"/>
                <w:numId w:val="0"/>
              </w:numPr>
              <w:spacing w:before="156" w:beforeLines="50" w:after="156" w:afterLines="50" w:line="400" w:lineRule="exact"/>
              <w:ind w:firstLine="440" w:firstLineChars="200"/>
              <w:rPr>
                <w:rFonts w:hint="eastAsia" w:ascii="宋体" w:hAnsi="宋体" w:eastAsia="宋体" w:cs="宋体"/>
                <w:color w:val="auto"/>
                <w:sz w:val="22"/>
              </w:rPr>
            </w:pPr>
            <w:r>
              <w:rPr>
                <w:rFonts w:hint="eastAsia" w:ascii="宋体" w:hAnsi="宋体" w:eastAsia="宋体" w:cs="宋体"/>
                <w:color w:val="auto"/>
                <w:sz w:val="22"/>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5A64F01">
            <w:pPr>
              <w:numPr>
                <w:ilvl w:val="0"/>
                <w:numId w:val="0"/>
              </w:numPr>
              <w:spacing w:before="156" w:beforeLines="50" w:after="156" w:afterLines="50" w:line="400" w:lineRule="exact"/>
              <w:rPr>
                <w:rFonts w:hint="eastAsia" w:ascii="宋体" w:hAnsi="宋体" w:eastAsia="宋体" w:cs="宋体"/>
                <w:color w:val="auto"/>
                <w:sz w:val="22"/>
              </w:rPr>
            </w:pPr>
            <w:r>
              <w:rPr>
                <w:rFonts w:hint="eastAsia" w:ascii="宋体" w:hAnsi="宋体" w:eastAsia="宋体" w:cs="宋体"/>
                <w:color w:val="auto"/>
                <w:sz w:val="22"/>
              </w:rPr>
              <w:t>非联合体供应商</w:t>
            </w:r>
            <w:r>
              <w:rPr>
                <w:rFonts w:hint="eastAsia" w:ascii="宋体" w:hAnsi="宋体" w:eastAsia="宋体" w:cs="宋体"/>
                <w:color w:val="auto"/>
                <w:sz w:val="22"/>
                <w:lang w:eastAsia="zh-CN"/>
              </w:rPr>
              <w:t>（</w:t>
            </w:r>
            <w:r>
              <w:rPr>
                <w:rFonts w:hint="eastAsia" w:ascii="宋体" w:hAnsi="宋体" w:eastAsia="宋体" w:cs="宋体"/>
                <w:color w:val="auto"/>
                <w:sz w:val="22"/>
              </w:rPr>
              <w:t>工程</w:t>
            </w:r>
            <w:r>
              <w:rPr>
                <w:rFonts w:hint="eastAsia" w:ascii="宋体" w:hAnsi="宋体" w:eastAsia="宋体" w:cs="宋体"/>
                <w:color w:val="auto"/>
                <w:sz w:val="22"/>
                <w:lang w:val="en-US" w:eastAsia="zh-CN"/>
              </w:rPr>
              <w:t>类</w:t>
            </w:r>
            <w:r>
              <w:rPr>
                <w:rFonts w:hint="eastAsia" w:ascii="宋体" w:hAnsi="宋体" w:eastAsia="宋体" w:cs="宋体"/>
                <w:color w:val="auto"/>
                <w:sz w:val="22"/>
                <w:lang w:eastAsia="zh-CN"/>
              </w:rPr>
              <w:t>）</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82DC614">
            <w:pPr>
              <w:numPr>
                <w:ilvl w:val="0"/>
                <w:numId w:val="0"/>
              </w:numPr>
              <w:spacing w:before="156" w:beforeLines="50" w:after="156" w:afterLines="50" w:line="400" w:lineRule="exact"/>
              <w:rPr>
                <w:rFonts w:hint="eastAsia" w:ascii="宋体" w:hAnsi="宋体" w:eastAsia="宋体" w:cs="宋体"/>
                <w:color w:val="auto"/>
                <w:sz w:val="22"/>
              </w:rPr>
            </w:pPr>
            <w:r>
              <w:rPr>
                <w:rFonts w:hint="eastAsia" w:ascii="宋体" w:hAnsi="宋体" w:eastAsia="宋体" w:cs="宋体"/>
                <w:color w:val="auto"/>
                <w:sz w:val="22"/>
              </w:rPr>
              <w:t>对小型和微型企业所提供工程的价格扣除</w:t>
            </w:r>
            <w:r>
              <w:rPr>
                <w:rFonts w:hint="eastAsia" w:ascii="宋体" w:hAnsi="宋体" w:eastAsia="宋体" w:cs="宋体"/>
                <w:color w:val="auto"/>
                <w:sz w:val="22"/>
                <w:lang w:val="en-US" w:eastAsia="zh-CN"/>
              </w:rPr>
              <w:t>5</w:t>
            </w:r>
            <w:r>
              <w:rPr>
                <w:rFonts w:hint="eastAsia" w:ascii="宋体" w:hAnsi="宋体" w:eastAsia="宋体" w:cs="宋体"/>
                <w:color w:val="auto"/>
                <w:sz w:val="22"/>
              </w:rPr>
              <w:t>%</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59FA6AD">
            <w:pPr>
              <w:numPr>
                <w:ilvl w:val="0"/>
                <w:numId w:val="0"/>
              </w:numPr>
              <w:spacing w:before="156" w:beforeLines="50" w:after="156" w:afterLines="50" w:line="400" w:lineRule="exact"/>
              <w:rPr>
                <w:rFonts w:hint="eastAsia" w:ascii="宋体" w:hAnsi="宋体" w:eastAsia="宋体" w:cs="宋体"/>
                <w:color w:val="auto"/>
                <w:sz w:val="22"/>
              </w:rPr>
            </w:pPr>
            <w:r>
              <w:rPr>
                <w:rFonts w:hint="eastAsia" w:ascii="宋体" w:hAnsi="宋体" w:eastAsia="宋体" w:cs="宋体"/>
                <w:color w:val="auto"/>
                <w:sz w:val="22"/>
              </w:rPr>
              <w:t>评审价格＝总投标报价×(1-</w:t>
            </w:r>
            <w:r>
              <w:rPr>
                <w:rFonts w:hint="eastAsia" w:ascii="宋体" w:hAnsi="宋体" w:eastAsia="宋体" w:cs="宋体"/>
                <w:color w:val="auto"/>
                <w:sz w:val="22"/>
                <w:lang w:val="en-US" w:eastAsia="zh-CN"/>
              </w:rPr>
              <w:t>5</w:t>
            </w:r>
            <w:r>
              <w:rPr>
                <w:rFonts w:hint="eastAsia" w:ascii="宋体" w:hAnsi="宋体" w:eastAsia="宋体" w:cs="宋体"/>
                <w:color w:val="auto"/>
                <w:sz w:val="22"/>
              </w:rPr>
              <w:t>%)</w:t>
            </w:r>
          </w:p>
        </w:tc>
      </w:tr>
    </w:tbl>
    <w:p w14:paraId="13945773">
      <w:pPr>
        <w:rPr>
          <w:rFonts w:hint="eastAsia"/>
          <w:color w:val="auto"/>
          <w:lang w:val="en-US" w:eastAsia="zh-CN"/>
        </w:rPr>
      </w:pPr>
    </w:p>
    <w:p w14:paraId="15ED4E10">
      <w:pP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3、技术、资信及商务分（70分）</w:t>
      </w:r>
    </w:p>
    <w:tbl>
      <w:tblPr>
        <w:tblStyle w:val="22"/>
        <w:tblpPr w:leftFromText="180" w:rightFromText="180" w:vertAnchor="text" w:horzAnchor="page" w:tblpX="915" w:tblpY="808"/>
        <w:tblOverlap w:val="never"/>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79"/>
        <w:gridCol w:w="7271"/>
        <w:gridCol w:w="1022"/>
      </w:tblGrid>
      <w:tr w14:paraId="789E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76" w:type="dxa"/>
            <w:noWrap w:val="0"/>
            <w:vAlign w:val="center"/>
          </w:tcPr>
          <w:p w14:paraId="65A97255">
            <w:pPr>
              <w:spacing w:before="156" w:beforeLines="50" w:after="156" w:afterLines="50"/>
              <w:jc w:val="center"/>
              <w:rPr>
                <w:rFonts w:hint="eastAsia"/>
                <w:b/>
                <w:bCs/>
                <w:color w:val="auto"/>
                <w:sz w:val="24"/>
              </w:rPr>
            </w:pPr>
            <w:r>
              <w:rPr>
                <w:rFonts w:hint="eastAsia"/>
                <w:b/>
                <w:bCs/>
                <w:color w:val="auto"/>
                <w:sz w:val="24"/>
              </w:rPr>
              <w:t>序号</w:t>
            </w:r>
          </w:p>
        </w:tc>
        <w:tc>
          <w:tcPr>
            <w:tcW w:w="979" w:type="dxa"/>
            <w:noWrap w:val="0"/>
            <w:vAlign w:val="top"/>
          </w:tcPr>
          <w:p w14:paraId="0B28DF9E">
            <w:pPr>
              <w:spacing w:before="156" w:beforeLines="50" w:after="156" w:afterLines="50"/>
              <w:jc w:val="center"/>
              <w:rPr>
                <w:rFonts w:hint="eastAsia" w:eastAsia="宋体"/>
                <w:b/>
                <w:bCs/>
                <w:color w:val="auto"/>
                <w:sz w:val="24"/>
                <w:lang w:eastAsia="zh-CN"/>
              </w:rPr>
            </w:pPr>
            <w:r>
              <w:rPr>
                <w:rFonts w:hint="eastAsia"/>
                <w:b/>
                <w:bCs/>
                <w:color w:val="auto"/>
                <w:sz w:val="24"/>
                <w:lang w:eastAsia="zh-CN"/>
              </w:rPr>
              <w:t>评审内容</w:t>
            </w:r>
          </w:p>
        </w:tc>
        <w:tc>
          <w:tcPr>
            <w:tcW w:w="7271" w:type="dxa"/>
            <w:noWrap w:val="0"/>
            <w:vAlign w:val="top"/>
          </w:tcPr>
          <w:p w14:paraId="5708ED31">
            <w:pPr>
              <w:spacing w:before="156" w:beforeLines="50" w:after="156" w:afterLines="50"/>
              <w:jc w:val="center"/>
              <w:rPr>
                <w:rFonts w:hint="eastAsia"/>
                <w:b/>
                <w:bCs/>
                <w:color w:val="auto"/>
                <w:sz w:val="24"/>
              </w:rPr>
            </w:pPr>
            <w:r>
              <w:rPr>
                <w:rFonts w:hint="eastAsia"/>
                <w:b/>
                <w:bCs/>
                <w:color w:val="auto"/>
                <w:sz w:val="24"/>
              </w:rPr>
              <w:t>评审内容及标准</w:t>
            </w:r>
          </w:p>
        </w:tc>
        <w:tc>
          <w:tcPr>
            <w:tcW w:w="1022" w:type="dxa"/>
            <w:noWrap w:val="0"/>
            <w:vAlign w:val="center"/>
          </w:tcPr>
          <w:p w14:paraId="634FB9D3">
            <w:pPr>
              <w:spacing w:before="156" w:beforeLines="50" w:after="156" w:afterLines="50"/>
              <w:jc w:val="center"/>
              <w:rPr>
                <w:rFonts w:hint="eastAsia"/>
                <w:b/>
                <w:bCs/>
                <w:color w:val="auto"/>
                <w:sz w:val="24"/>
              </w:rPr>
            </w:pPr>
            <w:r>
              <w:rPr>
                <w:rFonts w:hint="eastAsia"/>
                <w:b/>
                <w:bCs/>
                <w:color w:val="auto"/>
                <w:sz w:val="24"/>
              </w:rPr>
              <w:t>分值</w:t>
            </w:r>
          </w:p>
        </w:tc>
      </w:tr>
      <w:tr w14:paraId="5445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76" w:type="dxa"/>
            <w:noWrap w:val="0"/>
            <w:vAlign w:val="center"/>
          </w:tcPr>
          <w:p w14:paraId="1CF09A30">
            <w:pPr>
              <w:spacing w:before="156" w:beforeLines="50" w:after="156" w:afterLines="50"/>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1、</w:t>
            </w:r>
          </w:p>
        </w:tc>
        <w:tc>
          <w:tcPr>
            <w:tcW w:w="979" w:type="dxa"/>
            <w:noWrap w:val="0"/>
            <w:vAlign w:val="center"/>
          </w:tcPr>
          <w:p w14:paraId="6815CE35">
            <w:pPr>
              <w:spacing w:before="156" w:beforeLines="50" w:after="156" w:afterLines="5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质保期</w:t>
            </w:r>
          </w:p>
        </w:tc>
        <w:tc>
          <w:tcPr>
            <w:tcW w:w="7271" w:type="dxa"/>
            <w:noWrap w:val="0"/>
            <w:vAlign w:val="center"/>
          </w:tcPr>
          <w:p w14:paraId="46BFF7BE">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质保期满足招标文件最低要求的得1分；不满足招标文件要求的不得分。质保期优于招标文件最低要求的，质保期每增加一年加1分</w:t>
            </w:r>
            <w:r>
              <w:rPr>
                <w:rFonts w:hint="eastAsia" w:ascii="宋体" w:hAnsi="宋体" w:cs="宋体"/>
                <w:color w:val="auto"/>
                <w:sz w:val="24"/>
                <w:szCs w:val="24"/>
                <w:lang w:eastAsia="zh-CN"/>
              </w:rPr>
              <w:t>，</w:t>
            </w:r>
            <w:r>
              <w:rPr>
                <w:rFonts w:hint="eastAsia" w:ascii="宋体" w:hAnsi="宋体" w:eastAsia="宋体" w:cs="宋体"/>
                <w:color w:val="auto"/>
                <w:sz w:val="24"/>
                <w:szCs w:val="24"/>
              </w:rPr>
              <w:t>本项最高得3分</w:t>
            </w:r>
            <w:r>
              <w:rPr>
                <w:rFonts w:hint="eastAsia" w:ascii="宋体" w:hAnsi="宋体" w:cs="宋体"/>
                <w:color w:val="auto"/>
                <w:sz w:val="24"/>
                <w:szCs w:val="24"/>
                <w:lang w:eastAsia="zh-CN"/>
              </w:rPr>
              <w:t>。</w:t>
            </w:r>
          </w:p>
        </w:tc>
        <w:tc>
          <w:tcPr>
            <w:tcW w:w="1022" w:type="dxa"/>
            <w:noWrap w:val="0"/>
            <w:vAlign w:val="center"/>
          </w:tcPr>
          <w:p w14:paraId="14B722F6">
            <w:pPr>
              <w:spacing w:before="156" w:beforeLines="50" w:after="156" w:afterLines="5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3分</w:t>
            </w:r>
          </w:p>
        </w:tc>
      </w:tr>
      <w:tr w14:paraId="1FB4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76" w:type="dxa"/>
            <w:noWrap w:val="0"/>
            <w:vAlign w:val="center"/>
          </w:tcPr>
          <w:p w14:paraId="4AED9242">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79" w:type="dxa"/>
            <w:noWrap w:val="0"/>
            <w:vAlign w:val="center"/>
          </w:tcPr>
          <w:p w14:paraId="42757FB3">
            <w:pP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51ECE88C">
            <w:pPr>
              <w:spacing w:before="156" w:beforeLines="50" w:after="156" w:afterLines="50"/>
              <w:jc w:val="center"/>
              <w:rPr>
                <w:rFonts w:hint="eastAsia" w:ascii="宋体" w:hAnsi="宋体" w:eastAsia="宋体" w:cs="宋体"/>
                <w:color w:val="auto"/>
                <w:sz w:val="24"/>
                <w:szCs w:val="24"/>
              </w:rPr>
            </w:pPr>
          </w:p>
        </w:tc>
        <w:tc>
          <w:tcPr>
            <w:tcW w:w="7271" w:type="dxa"/>
            <w:noWrap w:val="0"/>
            <w:vAlign w:val="center"/>
          </w:tcPr>
          <w:p w14:paraId="30EFCF34">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评审小组根据投标人的售后服务能力及售后服务方案的全面性综合评分。售后服务方案包括但不限于服务响应、故障解决、备品备件储备情况及售后服务机构技术力</w:t>
            </w:r>
            <w:r>
              <w:rPr>
                <w:rFonts w:hint="eastAsia" w:ascii="宋体" w:hAnsi="宋体" w:eastAsia="宋体" w:cs="宋体"/>
                <w:color w:val="auto"/>
                <w:sz w:val="24"/>
                <w:szCs w:val="24"/>
                <w:lang w:eastAsia="zh-CN"/>
              </w:rPr>
              <w:t>量综合评分</w:t>
            </w:r>
            <w:r>
              <w:rPr>
                <w:rFonts w:hint="eastAsia" w:ascii="宋体" w:hAnsi="宋体" w:cs="宋体"/>
                <w:color w:val="auto"/>
                <w:sz w:val="24"/>
                <w:szCs w:val="24"/>
                <w:lang w:eastAsia="zh-CN"/>
              </w:rPr>
              <w:t>，最高得</w:t>
            </w:r>
            <w:r>
              <w:rPr>
                <w:rFonts w:hint="eastAsia" w:ascii="宋体" w:hAnsi="宋体" w:cs="宋体"/>
                <w:color w:val="auto"/>
                <w:sz w:val="24"/>
                <w:szCs w:val="24"/>
                <w:lang w:val="en-US" w:eastAsia="zh-CN"/>
              </w:rPr>
              <w:t>3分。</w:t>
            </w:r>
            <w:r>
              <w:rPr>
                <w:rFonts w:hint="eastAsia" w:ascii="宋体" w:hAnsi="宋体"/>
                <w:color w:val="auto"/>
                <w:szCs w:val="21"/>
              </w:rPr>
              <w:t>有欠缺的，</w:t>
            </w:r>
            <w:r>
              <w:rPr>
                <w:rFonts w:hint="eastAsia" w:ascii="宋体" w:hAnsi="宋体" w:eastAsia="宋体" w:cs="宋体"/>
                <w:color w:val="auto"/>
                <w:sz w:val="24"/>
                <w:szCs w:val="24"/>
              </w:rPr>
              <w:t>根据存在的问题或不足及其对项目实施的影响程度，每处扣</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分，扣完本项分数为止</w:t>
            </w:r>
            <w:r>
              <w:rPr>
                <w:rFonts w:hint="eastAsia" w:ascii="宋体" w:hAnsi="宋体" w:eastAsia="宋体" w:cs="宋体"/>
                <w:color w:val="auto"/>
                <w:sz w:val="24"/>
                <w:szCs w:val="24"/>
                <w:lang w:eastAsia="zh-CN"/>
              </w:rPr>
              <w:t>。</w:t>
            </w:r>
          </w:p>
        </w:tc>
        <w:tc>
          <w:tcPr>
            <w:tcW w:w="1022" w:type="dxa"/>
            <w:noWrap w:val="0"/>
            <w:vAlign w:val="center"/>
          </w:tcPr>
          <w:p w14:paraId="693D21F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Cs/>
                <w:color w:val="auto"/>
                <w:sz w:val="24"/>
                <w:szCs w:val="24"/>
              </w:rPr>
              <w:t>分</w:t>
            </w:r>
          </w:p>
        </w:tc>
      </w:tr>
      <w:tr w14:paraId="29E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76" w:type="dxa"/>
            <w:noWrap w:val="0"/>
            <w:vAlign w:val="center"/>
          </w:tcPr>
          <w:p w14:paraId="2144E119">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79" w:type="dxa"/>
            <w:noWrap w:val="0"/>
            <w:vAlign w:val="center"/>
          </w:tcPr>
          <w:p w14:paraId="754F6D4A">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认证证书</w:t>
            </w:r>
          </w:p>
        </w:tc>
        <w:tc>
          <w:tcPr>
            <w:tcW w:w="7271" w:type="dxa"/>
            <w:noWrap w:val="0"/>
            <w:vAlign w:val="center"/>
          </w:tcPr>
          <w:p w14:paraId="1CB6B665">
            <w:pPr>
              <w:rPr>
                <w:rFonts w:hint="eastAsia" w:ascii="宋体" w:hAnsi="宋体" w:eastAsia="宋体" w:cs="宋体"/>
                <w:color w:val="auto"/>
                <w:sz w:val="24"/>
                <w:szCs w:val="24"/>
              </w:rPr>
            </w:pPr>
            <w:r>
              <w:rPr>
                <w:rFonts w:hint="eastAsia" w:ascii="宋体" w:hAnsi="宋体" w:eastAsia="宋体" w:cs="宋体"/>
                <w:color w:val="auto"/>
                <w:sz w:val="24"/>
                <w:szCs w:val="24"/>
              </w:rPr>
              <w:t>投标产品</w:t>
            </w:r>
            <w:r>
              <w:rPr>
                <w:rFonts w:hint="eastAsia" w:ascii="宋体" w:hAnsi="宋体" w:eastAsia="宋体" w:cs="宋体"/>
                <w:color w:val="auto"/>
                <w:sz w:val="24"/>
                <w:szCs w:val="24"/>
                <w:lang w:eastAsia="zh-Hans"/>
              </w:rPr>
              <w:t>的制造商</w:t>
            </w:r>
            <w:r>
              <w:rPr>
                <w:rFonts w:hint="eastAsia" w:ascii="宋体" w:hAnsi="宋体" w:eastAsia="宋体" w:cs="宋体"/>
                <w:color w:val="auto"/>
                <w:sz w:val="24"/>
                <w:szCs w:val="24"/>
              </w:rPr>
              <w:t>通</w:t>
            </w:r>
            <w:r>
              <w:rPr>
                <w:rFonts w:hint="eastAsia" w:ascii="宋体" w:hAnsi="宋体" w:eastAsia="宋体" w:cs="宋体"/>
                <w:color w:val="auto"/>
                <w:sz w:val="24"/>
                <w:szCs w:val="24"/>
                <w:lang w:eastAsia="zh-Hans"/>
              </w:rPr>
              <w:t>过质量管理体系认证、环境管理体系认证、职业健康安全管理体系认证并获得相关证书的，根据投标文件提供的相关证书</w:t>
            </w:r>
            <w:r>
              <w:rPr>
                <w:rFonts w:hint="eastAsia" w:ascii="宋体" w:hAnsi="宋体" w:eastAsia="宋体" w:cs="宋体"/>
                <w:color w:val="auto"/>
                <w:sz w:val="24"/>
                <w:szCs w:val="24"/>
                <w:lang w:eastAsia="zh-CN"/>
              </w:rPr>
              <w:t>扫描</w:t>
            </w:r>
            <w:r>
              <w:rPr>
                <w:rFonts w:hint="eastAsia" w:ascii="宋体" w:hAnsi="宋体" w:eastAsia="宋体" w:cs="宋体"/>
                <w:color w:val="auto"/>
                <w:sz w:val="24"/>
                <w:szCs w:val="24"/>
                <w:lang w:eastAsia="zh-Hans"/>
              </w:rPr>
              <w:t>件每项得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Hans"/>
              </w:rPr>
              <w:t>分</w:t>
            </w:r>
            <w:r>
              <w:rPr>
                <w:rFonts w:hint="eastAsia" w:ascii="宋体" w:hAnsi="宋体" w:eastAsia="宋体" w:cs="宋体"/>
                <w:color w:val="auto"/>
                <w:sz w:val="24"/>
                <w:szCs w:val="24"/>
                <w:lang w:val="en-US" w:eastAsia="zh-CN"/>
              </w:rPr>
              <w:t>,最高得3分</w:t>
            </w:r>
            <w:r>
              <w:rPr>
                <w:rFonts w:hint="eastAsia" w:ascii="宋体" w:hAnsi="宋体" w:eastAsia="宋体" w:cs="宋体"/>
                <w:color w:val="auto"/>
                <w:sz w:val="24"/>
                <w:szCs w:val="24"/>
                <w:lang w:eastAsia="zh-Hans"/>
              </w:rPr>
              <w:t>。</w:t>
            </w:r>
          </w:p>
        </w:tc>
        <w:tc>
          <w:tcPr>
            <w:tcW w:w="1022" w:type="dxa"/>
            <w:noWrap w:val="0"/>
            <w:vAlign w:val="center"/>
          </w:tcPr>
          <w:p w14:paraId="597AA6BF">
            <w:pPr>
              <w:spacing w:before="156" w:beforeLines="50" w:after="156" w:afterLines="50"/>
              <w:jc w:val="center"/>
              <w:rPr>
                <w:rFonts w:hint="eastAsia" w:ascii="宋体" w:hAnsi="宋体" w:eastAsia="宋体" w:cs="宋体"/>
                <w:b/>
                <w:bCs/>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r>
      <w:tr w14:paraId="4E51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76" w:type="dxa"/>
            <w:noWrap w:val="0"/>
            <w:vAlign w:val="center"/>
          </w:tcPr>
          <w:p w14:paraId="6E163723">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79" w:type="dxa"/>
            <w:noWrap w:val="0"/>
            <w:vAlign w:val="center"/>
          </w:tcPr>
          <w:p w14:paraId="3C58FD5D">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销售业绩</w:t>
            </w:r>
          </w:p>
        </w:tc>
        <w:tc>
          <w:tcPr>
            <w:tcW w:w="7271" w:type="dxa"/>
            <w:noWrap w:val="0"/>
            <w:vAlign w:val="center"/>
          </w:tcPr>
          <w:p w14:paraId="2F09192B">
            <w:pPr>
              <w:rPr>
                <w:rFonts w:hint="eastAsia" w:ascii="宋体" w:hAnsi="宋体" w:eastAsia="宋体" w:cs="宋体"/>
                <w:color w:val="auto"/>
                <w:sz w:val="24"/>
                <w:szCs w:val="24"/>
              </w:rPr>
            </w:pPr>
            <w:r>
              <w:rPr>
                <w:rFonts w:hint="eastAsia" w:ascii="宋体" w:hAnsi="宋体" w:eastAsia="宋体" w:cs="宋体"/>
                <w:color w:val="auto"/>
                <w:sz w:val="24"/>
                <w:szCs w:val="24"/>
              </w:rPr>
              <w:t>投标同品牌产品，合同签订时间自2021年1月1日以来的，与最终用户签订的销售业绩，每一例业绩得1分。提供完整的合同</w:t>
            </w:r>
            <w:r>
              <w:rPr>
                <w:rFonts w:hint="eastAsia" w:ascii="宋体" w:hAnsi="宋体" w:cs="宋体"/>
                <w:color w:val="auto"/>
                <w:sz w:val="24"/>
                <w:szCs w:val="24"/>
                <w:lang w:eastAsia="zh-CN"/>
              </w:rPr>
              <w:t>扫描</w:t>
            </w:r>
            <w:r>
              <w:rPr>
                <w:rFonts w:hint="eastAsia" w:ascii="宋体" w:hAnsi="宋体" w:eastAsia="宋体" w:cs="宋体"/>
                <w:color w:val="auto"/>
                <w:sz w:val="24"/>
                <w:szCs w:val="24"/>
              </w:rPr>
              <w:t>件，</w:t>
            </w:r>
            <w:r>
              <w:rPr>
                <w:rFonts w:hint="eastAsia" w:ascii="宋体" w:hAnsi="宋体" w:cs="宋体"/>
                <w:color w:val="auto"/>
                <w:sz w:val="24"/>
                <w:szCs w:val="24"/>
                <w:lang w:eastAsia="zh-CN"/>
              </w:rPr>
              <w:t>扫描</w:t>
            </w:r>
            <w:r>
              <w:rPr>
                <w:rFonts w:hint="eastAsia" w:ascii="宋体" w:hAnsi="宋体" w:eastAsia="宋体" w:cs="宋体"/>
                <w:color w:val="auto"/>
                <w:sz w:val="24"/>
                <w:szCs w:val="24"/>
              </w:rPr>
              <w:t>件能清楚的辨析设备型号和价格等评审因素，否则不得分。本项最高得3分。</w:t>
            </w:r>
          </w:p>
          <w:p w14:paraId="21D8A0C7">
            <w:pPr>
              <w:rPr>
                <w:rFonts w:hint="eastAsia" w:ascii="宋体" w:hAnsi="宋体" w:eastAsia="宋体" w:cs="宋体"/>
                <w:color w:val="auto"/>
                <w:sz w:val="24"/>
                <w:szCs w:val="24"/>
              </w:rPr>
            </w:pPr>
            <w:r>
              <w:rPr>
                <w:rFonts w:hint="eastAsia" w:ascii="宋体" w:hAnsi="宋体" w:eastAsia="宋体" w:cs="宋体"/>
                <w:color w:val="auto"/>
                <w:sz w:val="24"/>
                <w:szCs w:val="24"/>
              </w:rPr>
              <w:t>对省级以上主管部门认定的首台套产品，自纳入《省推广应用指导目录》起三年内参加政府采购活动，视同已具备相应销售业绩，业绩分为满分。（提供证明材料）</w:t>
            </w:r>
          </w:p>
        </w:tc>
        <w:tc>
          <w:tcPr>
            <w:tcW w:w="1022" w:type="dxa"/>
            <w:noWrap w:val="0"/>
            <w:vAlign w:val="center"/>
          </w:tcPr>
          <w:p w14:paraId="5176007C">
            <w:pPr>
              <w:spacing w:before="156" w:beforeLines="50" w:after="156" w:afterLines="50"/>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3分</w:t>
            </w:r>
          </w:p>
        </w:tc>
      </w:tr>
      <w:tr w14:paraId="6577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76" w:type="dxa"/>
            <w:noWrap w:val="0"/>
            <w:vAlign w:val="center"/>
          </w:tcPr>
          <w:p w14:paraId="3D6DCDAC">
            <w:pPr>
              <w:spacing w:before="156" w:beforeLines="50" w:after="156" w:afterLines="50"/>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5、</w:t>
            </w:r>
          </w:p>
        </w:tc>
        <w:tc>
          <w:tcPr>
            <w:tcW w:w="979" w:type="dxa"/>
            <w:noWrap w:val="0"/>
            <w:vAlign w:val="top"/>
          </w:tcPr>
          <w:p w14:paraId="23A8106F">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w:t>
            </w:r>
            <w:r>
              <w:rPr>
                <w:rFonts w:hint="eastAsia" w:ascii="宋体" w:hAnsi="宋体" w:eastAsia="宋体" w:cs="宋体"/>
                <w:bCs/>
                <w:color w:val="auto"/>
                <w:sz w:val="24"/>
                <w:szCs w:val="24"/>
              </w:rPr>
              <w:t>政策</w:t>
            </w:r>
          </w:p>
        </w:tc>
        <w:tc>
          <w:tcPr>
            <w:tcW w:w="7271" w:type="dxa"/>
            <w:noWrap w:val="0"/>
            <w:vAlign w:val="top"/>
          </w:tcPr>
          <w:p w14:paraId="51EA6E49">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1E571B6F">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022" w:type="dxa"/>
            <w:noWrap w:val="0"/>
            <w:vAlign w:val="center"/>
          </w:tcPr>
          <w:p w14:paraId="3A945CFC">
            <w:pPr>
              <w:spacing w:before="156" w:beforeLines="50" w:after="156" w:afterLines="5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2分</w:t>
            </w:r>
          </w:p>
        </w:tc>
      </w:tr>
      <w:tr w14:paraId="0709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6" w:type="dxa"/>
            <w:noWrap w:val="0"/>
            <w:vAlign w:val="center"/>
          </w:tcPr>
          <w:p w14:paraId="1E10D96D">
            <w:pPr>
              <w:spacing w:before="156" w:beforeLines="50" w:after="156" w:afterLines="50"/>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6、</w:t>
            </w:r>
          </w:p>
        </w:tc>
        <w:tc>
          <w:tcPr>
            <w:tcW w:w="979" w:type="dxa"/>
            <w:noWrap w:val="0"/>
            <w:vAlign w:val="top"/>
          </w:tcPr>
          <w:p w14:paraId="5BCF09D9">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技术需求符合度</w:t>
            </w:r>
          </w:p>
        </w:tc>
        <w:tc>
          <w:tcPr>
            <w:tcW w:w="7271" w:type="dxa"/>
            <w:noWrap w:val="0"/>
            <w:vAlign w:val="top"/>
          </w:tcPr>
          <w:p w14:paraId="1F6B2F51">
            <w:pPr>
              <w:spacing w:before="156" w:beforeLines="50" w:after="156" w:afterLines="50"/>
              <w:rPr>
                <w:rFonts w:hint="eastAsia" w:ascii="宋体" w:hAnsi="宋体" w:eastAsia="宋体" w:cs="宋体"/>
                <w:color w:val="auto"/>
                <w:sz w:val="24"/>
                <w:szCs w:val="24"/>
              </w:rPr>
            </w:pPr>
            <w:r>
              <w:rPr>
                <w:rFonts w:hint="eastAsia" w:ascii="宋体" w:hAnsi="宋体" w:eastAsia="宋体" w:cs="宋体"/>
                <w:color w:val="auto"/>
                <w:sz w:val="24"/>
                <w:szCs w:val="24"/>
              </w:rPr>
              <w:t>对应于招标文件第</w:t>
            </w:r>
            <w:r>
              <w:rPr>
                <w:rFonts w:hint="eastAsia" w:ascii="宋体" w:hAnsi="宋体" w:cs="宋体"/>
                <w:color w:val="auto"/>
                <w:sz w:val="24"/>
                <w:szCs w:val="24"/>
                <w:lang w:eastAsia="zh-CN"/>
              </w:rPr>
              <w:t>二</w:t>
            </w:r>
            <w:r>
              <w:rPr>
                <w:rFonts w:hint="eastAsia" w:ascii="宋体" w:hAnsi="宋体" w:eastAsia="宋体" w:cs="宋体"/>
                <w:color w:val="auto"/>
                <w:sz w:val="24"/>
                <w:szCs w:val="24"/>
              </w:rPr>
              <w:t>章采购内容及需求的“二、技术参数要求”响应情况评分：</w:t>
            </w:r>
          </w:p>
          <w:p w14:paraId="17A82446">
            <w:pPr>
              <w:spacing w:before="156" w:beforeLines="50" w:after="156" w:afterLines="50"/>
              <w:rPr>
                <w:rFonts w:hint="eastAsia" w:ascii="宋体" w:hAnsi="宋体" w:eastAsia="宋体" w:cs="宋体"/>
                <w:color w:val="auto"/>
                <w:sz w:val="24"/>
                <w:szCs w:val="24"/>
              </w:rPr>
            </w:pPr>
            <w:r>
              <w:rPr>
                <w:rFonts w:hint="eastAsia" w:ascii="宋体" w:hAnsi="宋体" w:eastAsia="宋体" w:cs="宋体"/>
                <w:color w:val="auto"/>
                <w:sz w:val="24"/>
                <w:szCs w:val="24"/>
              </w:rPr>
              <w:t>（1）投标响应完全符合招标要求的此项得满分；</w:t>
            </w:r>
          </w:p>
          <w:p w14:paraId="20B91A63">
            <w:pPr>
              <w:spacing w:before="156" w:beforeLines="50" w:after="156" w:afterLines="50"/>
              <w:rPr>
                <w:rFonts w:hint="eastAsia" w:ascii="宋体" w:hAnsi="宋体" w:eastAsia="宋体" w:cs="宋体"/>
                <w:color w:val="auto"/>
                <w:sz w:val="24"/>
                <w:szCs w:val="24"/>
              </w:rPr>
            </w:pPr>
            <w:r>
              <w:rPr>
                <w:rFonts w:hint="eastAsia" w:ascii="宋体" w:hAnsi="宋体" w:eastAsia="宋体" w:cs="宋体"/>
                <w:color w:val="auto"/>
                <w:sz w:val="24"/>
                <w:szCs w:val="24"/>
              </w:rPr>
              <w:t>（2）打“★”号技术指标，不满足招标文件要求（负偏离）的，</w:t>
            </w:r>
            <w:r>
              <w:rPr>
                <w:rFonts w:hint="eastAsia" w:ascii="宋体" w:hAnsi="宋体" w:cs="宋体"/>
                <w:color w:val="auto"/>
                <w:sz w:val="24"/>
                <w:szCs w:val="24"/>
                <w:lang w:eastAsia="zh-CN"/>
              </w:rPr>
              <w:t>为废标项</w:t>
            </w:r>
            <w:r>
              <w:rPr>
                <w:rFonts w:hint="eastAsia" w:ascii="宋体" w:hAnsi="宋体" w:eastAsia="宋体" w:cs="宋体"/>
                <w:color w:val="auto"/>
                <w:sz w:val="24"/>
                <w:szCs w:val="24"/>
              </w:rPr>
              <w:t>；</w:t>
            </w:r>
          </w:p>
          <w:p w14:paraId="6A1548C0">
            <w:pPr>
              <w:spacing w:before="156" w:beforeLines="50" w:after="156" w:afterLines="50"/>
              <w:rPr>
                <w:rFonts w:hint="eastAsia" w:ascii="宋体" w:hAnsi="宋体" w:eastAsia="宋体" w:cs="宋体"/>
                <w:b/>
                <w:bCs/>
                <w:color w:val="auto"/>
                <w:sz w:val="24"/>
                <w:szCs w:val="24"/>
              </w:rPr>
            </w:pPr>
            <w:r>
              <w:rPr>
                <w:rFonts w:hint="eastAsia" w:ascii="宋体" w:hAnsi="宋体" w:eastAsia="宋体" w:cs="宋体"/>
                <w:color w:val="auto"/>
                <w:sz w:val="24"/>
                <w:szCs w:val="24"/>
              </w:rPr>
              <w:t>（3）其他技术指标响应，不满足招标文件要求（负偏离）的，每一项扣减1分；</w:t>
            </w:r>
          </w:p>
        </w:tc>
        <w:tc>
          <w:tcPr>
            <w:tcW w:w="1022" w:type="dxa"/>
            <w:noWrap w:val="0"/>
            <w:vAlign w:val="center"/>
          </w:tcPr>
          <w:p w14:paraId="13CE892B">
            <w:pPr>
              <w:spacing w:before="156" w:beforeLines="50" w:after="156" w:afterLines="5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rPr>
              <w:t>分</w:t>
            </w:r>
          </w:p>
        </w:tc>
      </w:tr>
      <w:tr w14:paraId="7B5A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6" w:type="dxa"/>
            <w:noWrap w:val="0"/>
            <w:vAlign w:val="center"/>
          </w:tcPr>
          <w:p w14:paraId="28FD72D5">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79" w:type="dxa"/>
            <w:noWrap w:val="0"/>
            <w:vAlign w:val="center"/>
          </w:tcPr>
          <w:p w14:paraId="7D5D6251">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投标产品的性能水平</w:t>
            </w:r>
          </w:p>
        </w:tc>
        <w:tc>
          <w:tcPr>
            <w:tcW w:w="7271" w:type="dxa"/>
            <w:noWrap w:val="0"/>
            <w:vAlign w:val="center"/>
          </w:tcPr>
          <w:p w14:paraId="46D64D8E">
            <w:pPr>
              <w:pStyle w:val="45"/>
              <w:spacing w:before="0" w:beforeAutospacing="0" w:after="0" w:afterAutospacing="0"/>
              <w:rPr>
                <w:rFonts w:hint="eastAsia" w:ascii="宋体" w:hAnsi="宋体" w:eastAsia="宋体" w:cs="宋体"/>
                <w:color w:val="auto"/>
                <w:spacing w:val="-4"/>
                <w:kern w:val="2"/>
                <w:sz w:val="24"/>
                <w:szCs w:val="24"/>
                <w:lang w:eastAsia="zh-CN"/>
              </w:rPr>
            </w:pPr>
            <w:r>
              <w:rPr>
                <w:rFonts w:hint="eastAsia" w:ascii="宋体" w:hAnsi="宋体" w:eastAsia="宋体" w:cs="宋体"/>
                <w:color w:val="auto"/>
                <w:spacing w:val="-4"/>
                <w:sz w:val="24"/>
                <w:szCs w:val="24"/>
              </w:rPr>
              <w:t>评审小组根据投标产品的技术性能水平综合评分，包括产品的技术先进程度、技术的成熟稳定性</w:t>
            </w:r>
            <w:r>
              <w:rPr>
                <w:rFonts w:hint="eastAsia" w:ascii="宋体" w:hAnsi="宋体" w:eastAsia="宋体" w:cs="宋体"/>
                <w:color w:val="auto"/>
                <w:spacing w:val="-4"/>
                <w:sz w:val="24"/>
                <w:szCs w:val="24"/>
                <w:lang w:eastAsia="zh-CN"/>
              </w:rPr>
              <w:t>综合评分，最高得</w:t>
            </w:r>
            <w:r>
              <w:rPr>
                <w:rFonts w:hint="eastAsia" w:ascii="宋体" w:hAnsi="宋体" w:eastAsia="宋体" w:cs="宋体"/>
                <w:color w:val="auto"/>
                <w:spacing w:val="-4"/>
                <w:sz w:val="24"/>
                <w:szCs w:val="24"/>
                <w:lang w:val="en-US" w:eastAsia="zh-CN"/>
              </w:rPr>
              <w:t>4分。</w:t>
            </w:r>
            <w:r>
              <w:rPr>
                <w:rFonts w:hint="eastAsia" w:ascii="宋体" w:hAnsi="宋体" w:eastAsia="宋体" w:cs="宋体"/>
                <w:color w:val="auto"/>
                <w:spacing w:val="-4"/>
                <w:sz w:val="24"/>
                <w:szCs w:val="24"/>
              </w:rPr>
              <w:t>有欠缺的，根据存在的问题或不足及其对项目实施的影响程度，每处扣</w:t>
            </w:r>
            <w:r>
              <w:rPr>
                <w:rFonts w:hint="eastAsia" w:ascii="宋体" w:hAnsi="宋体" w:eastAsia="宋体" w:cs="宋体"/>
                <w:color w:val="auto"/>
                <w:spacing w:val="-4"/>
                <w:sz w:val="24"/>
                <w:szCs w:val="24"/>
                <w:lang w:val="en-US" w:eastAsia="zh-CN"/>
              </w:rPr>
              <w:t>0.5-1</w:t>
            </w:r>
            <w:r>
              <w:rPr>
                <w:rFonts w:hint="eastAsia" w:ascii="宋体" w:hAnsi="宋体" w:eastAsia="宋体" w:cs="宋体"/>
                <w:color w:val="auto"/>
                <w:spacing w:val="-4"/>
                <w:sz w:val="24"/>
                <w:szCs w:val="24"/>
              </w:rPr>
              <w:t>分，扣完本项分数为止</w:t>
            </w:r>
            <w:r>
              <w:rPr>
                <w:rFonts w:hint="eastAsia" w:ascii="宋体" w:hAnsi="宋体" w:eastAsia="宋体" w:cs="宋体"/>
                <w:color w:val="auto"/>
                <w:spacing w:val="-4"/>
                <w:sz w:val="24"/>
                <w:szCs w:val="24"/>
                <w:lang w:eastAsia="zh-CN"/>
              </w:rPr>
              <w:t>。</w:t>
            </w:r>
          </w:p>
        </w:tc>
        <w:tc>
          <w:tcPr>
            <w:tcW w:w="1022" w:type="dxa"/>
            <w:noWrap w:val="0"/>
            <w:vAlign w:val="center"/>
          </w:tcPr>
          <w:p w14:paraId="0A9CB8FF">
            <w:pPr>
              <w:pStyle w:val="45"/>
              <w:jc w:val="center"/>
              <w:rPr>
                <w:rFonts w:hint="eastAsia" w:ascii="宋体" w:hAnsi="宋体" w:eastAsia="宋体" w:cs="宋体"/>
                <w:color w:val="auto"/>
                <w:spacing w:val="-4"/>
                <w:kern w:val="2"/>
                <w:sz w:val="24"/>
                <w:szCs w:val="24"/>
              </w:rPr>
            </w:pPr>
            <w:r>
              <w:rPr>
                <w:rFonts w:hint="eastAsia" w:ascii="宋体" w:hAnsi="宋体" w:eastAsia="宋体" w:cs="宋体"/>
                <w:color w:val="auto"/>
                <w:spacing w:val="-4"/>
                <w:kern w:val="2"/>
                <w:sz w:val="24"/>
                <w:szCs w:val="24"/>
              </w:rPr>
              <w:t>4</w:t>
            </w:r>
            <w:r>
              <w:rPr>
                <w:rFonts w:hint="eastAsia" w:ascii="宋体" w:hAnsi="宋体" w:eastAsia="宋体" w:cs="宋体"/>
                <w:bCs/>
                <w:color w:val="auto"/>
                <w:sz w:val="24"/>
                <w:szCs w:val="24"/>
              </w:rPr>
              <w:t>分</w:t>
            </w:r>
          </w:p>
        </w:tc>
      </w:tr>
      <w:tr w14:paraId="252A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6" w:type="dxa"/>
            <w:noWrap w:val="0"/>
            <w:vAlign w:val="center"/>
          </w:tcPr>
          <w:p w14:paraId="1014409E">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979" w:type="dxa"/>
            <w:noWrap w:val="0"/>
            <w:vAlign w:val="center"/>
          </w:tcPr>
          <w:p w14:paraId="440F033C">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供货、安装、调试方案</w:t>
            </w:r>
          </w:p>
        </w:tc>
        <w:tc>
          <w:tcPr>
            <w:tcW w:w="7271" w:type="dxa"/>
            <w:noWrap w:val="0"/>
            <w:vAlign w:val="center"/>
          </w:tcPr>
          <w:p w14:paraId="640B87C4">
            <w:pPr>
              <w:pStyle w:val="44"/>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评审小组根据投标人提供的供货、安装、调试方案的合理性及全面性综合评分，包括对场地环境的了解程度、人员的安排、时间进度安排，对设备的调试进度安排，调试的步骤、措施，问题的解决方案</w:t>
            </w:r>
            <w:r>
              <w:rPr>
                <w:rFonts w:hint="eastAsia" w:ascii="宋体" w:hAnsi="宋体" w:eastAsia="宋体" w:cs="宋体"/>
                <w:color w:val="auto"/>
                <w:spacing w:val="-4"/>
                <w:sz w:val="24"/>
                <w:szCs w:val="24"/>
                <w:lang w:eastAsia="zh-CN"/>
              </w:rPr>
              <w:t>综合评分</w:t>
            </w:r>
            <w:r>
              <w:rPr>
                <w:rFonts w:hint="eastAsia" w:ascii="宋体" w:hAnsi="宋体" w:cs="宋体"/>
                <w:color w:val="auto"/>
                <w:spacing w:val="-4"/>
                <w:sz w:val="24"/>
                <w:szCs w:val="24"/>
                <w:lang w:eastAsia="zh-CN"/>
              </w:rPr>
              <w:t>，最高得</w:t>
            </w:r>
            <w:r>
              <w:rPr>
                <w:rFonts w:hint="eastAsia" w:ascii="宋体" w:hAnsi="宋体" w:cs="宋体"/>
                <w:color w:val="auto"/>
                <w:spacing w:val="-4"/>
                <w:sz w:val="24"/>
                <w:szCs w:val="24"/>
                <w:lang w:val="en-US" w:eastAsia="zh-CN"/>
              </w:rPr>
              <w:t>3分。</w:t>
            </w:r>
            <w:r>
              <w:rPr>
                <w:rFonts w:hint="eastAsia" w:ascii="宋体" w:hAnsi="宋体" w:eastAsia="宋体" w:cs="宋体"/>
                <w:color w:val="auto"/>
                <w:spacing w:val="-4"/>
                <w:sz w:val="24"/>
                <w:szCs w:val="24"/>
              </w:rPr>
              <w:t>有欠缺的，根据存在的问题或不足及其对项目实施的影响程度，每处扣</w:t>
            </w:r>
            <w:r>
              <w:rPr>
                <w:rFonts w:hint="eastAsia" w:ascii="宋体" w:hAnsi="宋体" w:cs="宋体"/>
                <w:color w:val="auto"/>
                <w:spacing w:val="-4"/>
                <w:sz w:val="24"/>
                <w:szCs w:val="24"/>
                <w:lang w:val="en-US" w:eastAsia="zh-CN"/>
              </w:rPr>
              <w:t>0.5-</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分，扣完本项分数为止</w:t>
            </w:r>
            <w:r>
              <w:rPr>
                <w:rFonts w:hint="eastAsia" w:ascii="宋体" w:hAnsi="宋体" w:eastAsia="宋体" w:cs="宋体"/>
                <w:color w:val="auto"/>
                <w:spacing w:val="-4"/>
                <w:sz w:val="24"/>
                <w:szCs w:val="24"/>
                <w:lang w:eastAsia="zh-CN"/>
              </w:rPr>
              <w:t>。</w:t>
            </w:r>
          </w:p>
        </w:tc>
        <w:tc>
          <w:tcPr>
            <w:tcW w:w="1022" w:type="dxa"/>
            <w:noWrap w:val="0"/>
            <w:vAlign w:val="center"/>
          </w:tcPr>
          <w:p w14:paraId="2D20B20A">
            <w:pPr>
              <w:pStyle w:val="45"/>
              <w:jc w:val="center"/>
              <w:rPr>
                <w:rFonts w:hint="eastAsia" w:ascii="宋体" w:hAnsi="宋体" w:eastAsia="宋体" w:cs="宋体"/>
                <w:color w:val="auto"/>
                <w:spacing w:val="-4"/>
                <w:kern w:val="2"/>
                <w:sz w:val="24"/>
                <w:szCs w:val="24"/>
              </w:rPr>
            </w:pPr>
            <w:r>
              <w:rPr>
                <w:rFonts w:hint="eastAsia" w:ascii="宋体" w:hAnsi="宋体" w:eastAsia="宋体" w:cs="宋体"/>
                <w:color w:val="auto"/>
                <w:spacing w:val="-4"/>
                <w:kern w:val="2"/>
                <w:sz w:val="24"/>
                <w:szCs w:val="24"/>
              </w:rPr>
              <w:t>3</w:t>
            </w:r>
            <w:r>
              <w:rPr>
                <w:rFonts w:hint="eastAsia" w:ascii="宋体" w:hAnsi="宋体" w:eastAsia="宋体" w:cs="宋体"/>
                <w:bCs/>
                <w:color w:val="auto"/>
                <w:sz w:val="24"/>
                <w:szCs w:val="24"/>
              </w:rPr>
              <w:t>分</w:t>
            </w:r>
          </w:p>
        </w:tc>
      </w:tr>
      <w:tr w14:paraId="61BB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6" w:type="dxa"/>
            <w:noWrap w:val="0"/>
            <w:vAlign w:val="center"/>
          </w:tcPr>
          <w:p w14:paraId="791D0C64">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979" w:type="dxa"/>
            <w:noWrap w:val="0"/>
            <w:vAlign w:val="center"/>
          </w:tcPr>
          <w:p w14:paraId="4FE18C49">
            <w:pPr>
              <w:spacing w:before="156" w:beforeLines="50" w:after="156" w:afterLines="5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投标产品的运行、维修成本</w:t>
            </w:r>
          </w:p>
        </w:tc>
        <w:tc>
          <w:tcPr>
            <w:tcW w:w="7271" w:type="dxa"/>
            <w:noWrap w:val="0"/>
            <w:vAlign w:val="center"/>
          </w:tcPr>
          <w:p w14:paraId="323215C9">
            <w:pPr>
              <w:pStyle w:val="44"/>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评审小组根据投标人提供的全保、人工保等各种保修方案及价格的合理性，设备配件价格、维修服务费、易耗件的使用周期和价格的合理性综合评分</w:t>
            </w:r>
            <w:r>
              <w:rPr>
                <w:rFonts w:hint="eastAsia" w:ascii="宋体" w:hAnsi="宋体" w:cs="宋体"/>
                <w:color w:val="auto"/>
                <w:spacing w:val="-4"/>
                <w:sz w:val="24"/>
                <w:szCs w:val="24"/>
                <w:lang w:eastAsia="zh-CN"/>
              </w:rPr>
              <w:t>，最高得</w:t>
            </w:r>
            <w:r>
              <w:rPr>
                <w:rFonts w:hint="eastAsia" w:ascii="宋体" w:hAnsi="宋体" w:cs="宋体"/>
                <w:color w:val="auto"/>
                <w:spacing w:val="-4"/>
                <w:sz w:val="24"/>
                <w:szCs w:val="24"/>
                <w:lang w:val="en-US" w:eastAsia="zh-CN"/>
              </w:rPr>
              <w:t>3分。</w:t>
            </w:r>
            <w:r>
              <w:rPr>
                <w:rFonts w:hint="eastAsia" w:ascii="宋体" w:hAnsi="宋体" w:eastAsia="宋体" w:cs="宋体"/>
                <w:color w:val="auto"/>
                <w:spacing w:val="-4"/>
                <w:sz w:val="24"/>
                <w:szCs w:val="24"/>
              </w:rPr>
              <w:t>有欠缺的，根据存在的问题或不足及其对项目实施的影响程度，每处扣</w:t>
            </w:r>
            <w:r>
              <w:rPr>
                <w:rFonts w:hint="eastAsia" w:ascii="宋体" w:hAnsi="宋体" w:cs="宋体"/>
                <w:color w:val="auto"/>
                <w:spacing w:val="-4"/>
                <w:sz w:val="24"/>
                <w:szCs w:val="24"/>
                <w:lang w:val="en-US" w:eastAsia="zh-CN"/>
              </w:rPr>
              <w:t>0.5-</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分，扣完本项分数为止</w:t>
            </w:r>
            <w:r>
              <w:rPr>
                <w:rFonts w:hint="eastAsia" w:ascii="宋体" w:hAnsi="宋体" w:eastAsia="宋体" w:cs="宋体"/>
                <w:color w:val="auto"/>
                <w:spacing w:val="-4"/>
                <w:sz w:val="24"/>
                <w:szCs w:val="24"/>
                <w:lang w:eastAsia="zh-CN"/>
              </w:rPr>
              <w:t>。</w:t>
            </w:r>
          </w:p>
        </w:tc>
        <w:tc>
          <w:tcPr>
            <w:tcW w:w="1022" w:type="dxa"/>
            <w:noWrap w:val="0"/>
            <w:vAlign w:val="center"/>
          </w:tcPr>
          <w:p w14:paraId="54C63532">
            <w:pPr>
              <w:pStyle w:val="45"/>
              <w:jc w:val="center"/>
              <w:rPr>
                <w:rFonts w:hint="eastAsia" w:ascii="宋体" w:hAnsi="宋体" w:eastAsia="宋体" w:cs="宋体"/>
                <w:color w:val="auto"/>
                <w:spacing w:val="-4"/>
                <w:kern w:val="2"/>
                <w:sz w:val="24"/>
                <w:szCs w:val="24"/>
              </w:rPr>
            </w:pPr>
            <w:r>
              <w:rPr>
                <w:rFonts w:hint="eastAsia" w:ascii="宋体" w:hAnsi="宋体" w:eastAsia="宋体" w:cs="宋体"/>
                <w:color w:val="auto"/>
                <w:spacing w:val="-4"/>
                <w:kern w:val="2"/>
                <w:sz w:val="24"/>
                <w:szCs w:val="24"/>
              </w:rPr>
              <w:t>3</w:t>
            </w:r>
            <w:r>
              <w:rPr>
                <w:rFonts w:hint="eastAsia" w:ascii="宋体" w:hAnsi="宋体" w:eastAsia="宋体" w:cs="宋体"/>
                <w:bCs/>
                <w:color w:val="auto"/>
                <w:sz w:val="24"/>
                <w:szCs w:val="24"/>
              </w:rPr>
              <w:t>分</w:t>
            </w:r>
          </w:p>
        </w:tc>
      </w:tr>
      <w:tr w14:paraId="0B66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68B3E84">
            <w:pPr>
              <w:spacing w:before="156" w:beforeLines="50" w:after="156" w:afterLines="5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合计</w:t>
            </w:r>
          </w:p>
        </w:tc>
        <w:tc>
          <w:tcPr>
            <w:tcW w:w="979" w:type="dxa"/>
            <w:noWrap w:val="0"/>
            <w:vAlign w:val="top"/>
          </w:tcPr>
          <w:p w14:paraId="7FD40290">
            <w:pPr>
              <w:spacing w:before="156" w:beforeLines="50" w:after="156" w:afterLines="50"/>
              <w:jc w:val="center"/>
              <w:rPr>
                <w:rFonts w:hint="eastAsia" w:ascii="宋体" w:hAnsi="宋体" w:eastAsia="宋体" w:cs="宋体"/>
                <w:b/>
                <w:color w:val="auto"/>
                <w:sz w:val="24"/>
                <w:szCs w:val="24"/>
              </w:rPr>
            </w:pPr>
          </w:p>
        </w:tc>
        <w:tc>
          <w:tcPr>
            <w:tcW w:w="7271" w:type="dxa"/>
            <w:noWrap w:val="0"/>
            <w:vAlign w:val="top"/>
          </w:tcPr>
          <w:p w14:paraId="0AF8575F">
            <w:pPr>
              <w:spacing w:before="156" w:beforeLines="50" w:after="156" w:afterLines="50"/>
              <w:rPr>
                <w:rFonts w:hint="eastAsia" w:ascii="宋体" w:hAnsi="宋体" w:eastAsia="宋体" w:cs="宋体"/>
                <w:b/>
                <w:bCs/>
                <w:color w:val="auto"/>
                <w:sz w:val="24"/>
                <w:szCs w:val="24"/>
              </w:rPr>
            </w:pPr>
          </w:p>
        </w:tc>
        <w:tc>
          <w:tcPr>
            <w:tcW w:w="1022" w:type="dxa"/>
            <w:noWrap w:val="0"/>
            <w:vAlign w:val="center"/>
          </w:tcPr>
          <w:p w14:paraId="428AB2EA">
            <w:pPr>
              <w:spacing w:before="156" w:beforeLines="50" w:after="156" w:afterLines="50"/>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70分</w:t>
            </w:r>
          </w:p>
        </w:tc>
      </w:tr>
    </w:tbl>
    <w:p w14:paraId="3C810F9B">
      <w:pPr>
        <w:pStyle w:val="3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442" w:firstLineChars="200"/>
        <w:jc w:val="both"/>
        <w:textAlignment w:val="auto"/>
        <w:rPr>
          <w:rFonts w:hint="eastAsia" w:ascii="宋体" w:hAnsi="宋体"/>
          <w:b/>
          <w:bCs/>
          <w:color w:val="auto"/>
          <w:kern w:val="2"/>
          <w:sz w:val="22"/>
          <w:szCs w:val="22"/>
          <w:lang w:eastAsia="zh-CN"/>
        </w:rPr>
      </w:pPr>
      <w:r>
        <w:rPr>
          <w:rFonts w:hint="eastAsia" w:ascii="宋体" w:hAnsi="宋体"/>
          <w:b/>
          <w:bCs/>
          <w:color w:val="auto"/>
          <w:kern w:val="2"/>
          <w:sz w:val="22"/>
          <w:szCs w:val="22"/>
          <w:lang w:eastAsia="zh-CN"/>
        </w:rPr>
        <w:t>五、技术、资信及商务分的计算</w:t>
      </w:r>
    </w:p>
    <w:p w14:paraId="1046E25F">
      <w:pPr>
        <w:spacing w:before="156" w:beforeLines="50" w:after="156" w:afterLines="50" w:line="400" w:lineRule="exact"/>
        <w:ind w:firstLine="480" w:firstLineChars="200"/>
        <w:rPr>
          <w:rFonts w:hint="eastAsia" w:ascii="宋体" w:hAnsi="宋体"/>
          <w:color w:val="auto"/>
          <w:sz w:val="24"/>
        </w:rPr>
      </w:pPr>
      <w:r>
        <w:rPr>
          <w:rFonts w:hint="eastAsia" w:ascii="宋体" w:hAnsi="宋体"/>
          <w:color w:val="auto"/>
          <w:sz w:val="24"/>
        </w:rPr>
        <w:t>技术、资信及商务分按照评标委员会成员的独立评分结果汇总数、算术平均分计算，计算公式为：</w:t>
      </w:r>
    </w:p>
    <w:p w14:paraId="35DD867E">
      <w:pPr>
        <w:spacing w:before="156" w:beforeLines="50" w:after="156" w:afterLines="50" w:line="400" w:lineRule="exact"/>
        <w:ind w:firstLine="480" w:firstLineChars="200"/>
        <w:rPr>
          <w:rFonts w:ascii="楷体" w:hAnsi="楷体" w:eastAsia="楷体" w:cs="楷体"/>
          <w:smallCaps/>
          <w:color w:val="auto"/>
          <w:sz w:val="24"/>
          <w:szCs w:val="24"/>
        </w:rPr>
      </w:pPr>
      <w:r>
        <w:rPr>
          <w:rFonts w:hint="eastAsia" w:ascii="宋体" w:hAnsi="宋体"/>
          <w:color w:val="auto"/>
          <w:sz w:val="24"/>
        </w:rPr>
        <w:t>技术、资信及商务得分=（评标委员会所有成员评分合计数）/（评标委员会组成人员数）</w:t>
      </w:r>
    </w:p>
    <w:p w14:paraId="69D61321">
      <w:pPr>
        <w:pStyle w:val="2"/>
        <w:rPr>
          <w:color w:val="auto"/>
        </w:rPr>
        <w:sectPr>
          <w:pgSz w:w="11906" w:h="16838"/>
          <w:pgMar w:top="1440" w:right="1800" w:bottom="1440" w:left="1800" w:header="851" w:footer="992" w:gutter="0"/>
          <w:cols w:space="425" w:num="1"/>
          <w:docGrid w:type="lines" w:linePitch="312" w:charSpace="0"/>
        </w:sectPr>
      </w:pPr>
    </w:p>
    <w:p w14:paraId="52CC38C7">
      <w:pPr>
        <w:pStyle w:val="10"/>
        <w:numPr>
          <w:ilvl w:val="0"/>
          <w:numId w:val="7"/>
        </w:numPr>
        <w:spacing w:before="156" w:after="156" w:line="360" w:lineRule="auto"/>
        <w:jc w:val="center"/>
        <w:outlineLvl w:val="0"/>
        <w:rPr>
          <w:rFonts w:hAnsi="宋体"/>
          <w:b/>
          <w:color w:val="auto"/>
          <w:sz w:val="36"/>
          <w:szCs w:val="36"/>
        </w:rPr>
      </w:pPr>
      <w:r>
        <w:rPr>
          <w:rFonts w:hint="eastAsia" w:hAnsi="宋体"/>
          <w:b/>
          <w:color w:val="auto"/>
          <w:sz w:val="36"/>
          <w:szCs w:val="36"/>
        </w:rPr>
        <w:t>政府</w:t>
      </w:r>
      <w:r>
        <w:rPr>
          <w:rFonts w:hAnsi="宋体"/>
          <w:b/>
          <w:color w:val="auto"/>
          <w:sz w:val="36"/>
          <w:szCs w:val="36"/>
        </w:rPr>
        <w:t>采购合同主要条款</w:t>
      </w:r>
    </w:p>
    <w:p w14:paraId="241AAAD3">
      <w:pPr>
        <w:pStyle w:val="10"/>
        <w:spacing w:before="156" w:after="156" w:line="360" w:lineRule="auto"/>
        <w:jc w:val="center"/>
        <w:outlineLvl w:val="0"/>
        <w:rPr>
          <w:rFonts w:hint="eastAsia" w:hAnsi="宋体" w:cs="Times New Roman"/>
          <w:b/>
          <w:color w:val="auto"/>
          <w:sz w:val="36"/>
          <w:szCs w:val="36"/>
        </w:rPr>
      </w:pPr>
      <w:r>
        <w:rPr>
          <w:rFonts w:hint="eastAsia" w:hAnsi="宋体"/>
          <w:b/>
          <w:color w:val="auto"/>
          <w:sz w:val="36"/>
          <w:szCs w:val="36"/>
          <w:lang w:val="en-US" w:eastAsia="zh-CN"/>
        </w:rPr>
        <w:t xml:space="preserve">  </w:t>
      </w:r>
      <w:r>
        <w:rPr>
          <w:rFonts w:hint="eastAsia" w:hAnsi="宋体" w:cs="Times New Roman"/>
          <w:b/>
          <w:color w:val="auto"/>
          <w:sz w:val="36"/>
          <w:szCs w:val="36"/>
        </w:rPr>
        <w:t>（范本，可据实修改）</w:t>
      </w:r>
    </w:p>
    <w:p w14:paraId="2184EA02">
      <w:pPr>
        <w:snapToGrid w:val="0"/>
        <w:spacing w:line="360" w:lineRule="auto"/>
        <w:ind w:firstLine="2741" w:firstLineChars="1300"/>
        <w:jc w:val="left"/>
        <w:rPr>
          <w:rFonts w:ascii="仿宋" w:hAnsi="仿宋" w:eastAsia="仿宋" w:cs="Arial"/>
          <w:b/>
          <w:color w:val="auto"/>
          <w:szCs w:val="21"/>
        </w:rPr>
      </w:pPr>
      <w:r>
        <w:rPr>
          <w:rFonts w:hint="eastAsia" w:ascii="仿宋" w:hAnsi="仿宋" w:eastAsia="仿宋" w:cs="Arial"/>
          <w:b/>
          <w:color w:val="auto"/>
          <w:szCs w:val="21"/>
        </w:rPr>
        <w:t>浙江省政府采购合同指引（货物）</w:t>
      </w:r>
    </w:p>
    <w:p w14:paraId="262A753E">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项目名称：                     项目编号：</w:t>
      </w:r>
    </w:p>
    <w:p w14:paraId="699A4C8E">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甲方：（买方）</w:t>
      </w:r>
    </w:p>
    <w:p w14:paraId="1715C621">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乙方：（卖方）</w:t>
      </w:r>
    </w:p>
    <w:p w14:paraId="21E0FD93">
      <w:pPr>
        <w:snapToGrid w:val="0"/>
        <w:spacing w:line="360" w:lineRule="auto"/>
        <w:ind w:left="210" w:leftChars="100" w:firstLine="210" w:firstLineChars="100"/>
        <w:jc w:val="left"/>
        <w:rPr>
          <w:rFonts w:ascii="仿宋" w:hAnsi="仿宋" w:eastAsia="仿宋" w:cs="Arial"/>
          <w:color w:val="auto"/>
          <w:szCs w:val="21"/>
        </w:rPr>
      </w:pPr>
      <w:r>
        <w:rPr>
          <w:rFonts w:ascii="仿宋" w:hAnsi="仿宋" w:eastAsia="仿宋" w:cs="Arial"/>
          <w:color w:val="auto"/>
          <w:szCs w:val="21"/>
        </w:rPr>
        <w:t xml:space="preserve">   甲、乙双方根据</w:t>
      </w:r>
      <w:r>
        <w:rPr>
          <w:rFonts w:ascii="仿宋" w:hAnsi="仿宋" w:eastAsia="仿宋" w:cs="Arial"/>
          <w:color w:val="auto"/>
          <w:szCs w:val="21"/>
          <w:u w:val="single"/>
        </w:rPr>
        <w:t>金华市政府采购中心关于</w:t>
      </w:r>
      <w:r>
        <w:rPr>
          <w:rFonts w:hint="eastAsia" w:ascii="仿宋" w:hAnsi="仿宋" w:eastAsia="仿宋" w:cs="Arial"/>
          <w:color w:val="auto"/>
          <w:szCs w:val="21"/>
          <w:u w:val="single"/>
        </w:rPr>
        <w:t xml:space="preserve"> </w:t>
      </w:r>
      <w:r>
        <w:rPr>
          <w:rFonts w:ascii="仿宋" w:hAnsi="仿宋" w:eastAsia="仿宋" w:cs="Arial"/>
          <w:color w:val="auto"/>
          <w:szCs w:val="21"/>
          <w:u w:val="single"/>
        </w:rPr>
        <w:t xml:space="preserve">     </w:t>
      </w:r>
      <w:r>
        <w:rPr>
          <w:rFonts w:hint="eastAsia" w:ascii="仿宋" w:hAnsi="仿宋" w:eastAsia="仿宋" w:cs="Arial"/>
          <w:color w:val="auto"/>
          <w:szCs w:val="21"/>
          <w:u w:val="single"/>
        </w:rPr>
        <w:t xml:space="preserve"> 单位 </w:t>
      </w:r>
      <w:r>
        <w:rPr>
          <w:rFonts w:ascii="仿宋" w:hAnsi="仿宋" w:eastAsia="仿宋" w:cs="Arial"/>
          <w:color w:val="auto"/>
          <w:szCs w:val="21"/>
          <w:u w:val="single"/>
        </w:rPr>
        <w:t xml:space="preserve">         项目公开招标</w:t>
      </w:r>
      <w:r>
        <w:rPr>
          <w:rFonts w:ascii="仿宋" w:hAnsi="仿宋" w:eastAsia="仿宋" w:cs="Arial"/>
          <w:color w:val="auto"/>
          <w:szCs w:val="21"/>
        </w:rPr>
        <w:t>的结果，签署本合同。</w:t>
      </w:r>
    </w:p>
    <w:p w14:paraId="1B52B096">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一、货物内容</w:t>
      </w:r>
    </w:p>
    <w:p w14:paraId="32A659FC">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 货物名称：</w:t>
      </w:r>
    </w:p>
    <w:p w14:paraId="3A70EC45">
      <w:pPr>
        <w:snapToGrid w:val="0"/>
        <w:spacing w:line="360" w:lineRule="auto"/>
        <w:ind w:firstLine="420" w:firstLineChars="200"/>
        <w:rPr>
          <w:rFonts w:ascii="仿宋" w:hAnsi="仿宋" w:eastAsia="仿宋" w:cs="Arial"/>
          <w:color w:val="auto"/>
          <w:szCs w:val="21"/>
        </w:rPr>
      </w:pPr>
      <w:r>
        <w:rPr>
          <w:rFonts w:hint="eastAsia" w:ascii="仿宋" w:hAnsi="仿宋" w:eastAsia="仿宋" w:cs="Arial"/>
          <w:color w:val="auto"/>
          <w:szCs w:val="21"/>
        </w:rPr>
        <w:t>2</w:t>
      </w:r>
      <w:r>
        <w:rPr>
          <w:rFonts w:ascii="仿宋" w:hAnsi="仿宋" w:eastAsia="仿宋" w:cs="Arial"/>
          <w:color w:val="auto"/>
          <w:szCs w:val="21"/>
        </w:rPr>
        <w:t>. 型号规格：</w:t>
      </w:r>
    </w:p>
    <w:p w14:paraId="1181806A">
      <w:pPr>
        <w:snapToGrid w:val="0"/>
        <w:spacing w:line="360" w:lineRule="auto"/>
        <w:ind w:firstLine="420" w:firstLineChars="200"/>
        <w:rPr>
          <w:rFonts w:ascii="仿宋" w:hAnsi="仿宋" w:eastAsia="仿宋" w:cs="Arial"/>
          <w:color w:val="auto"/>
          <w:szCs w:val="21"/>
        </w:rPr>
      </w:pPr>
      <w:r>
        <w:rPr>
          <w:rFonts w:hint="eastAsia" w:ascii="仿宋" w:hAnsi="仿宋" w:eastAsia="仿宋" w:cs="Arial"/>
          <w:color w:val="auto"/>
          <w:szCs w:val="21"/>
        </w:rPr>
        <w:t>3</w:t>
      </w:r>
      <w:r>
        <w:rPr>
          <w:rFonts w:ascii="仿宋" w:hAnsi="仿宋" w:eastAsia="仿宋" w:cs="Arial"/>
          <w:color w:val="auto"/>
          <w:szCs w:val="21"/>
        </w:rPr>
        <w:t>. 技术参数：</w:t>
      </w:r>
    </w:p>
    <w:p w14:paraId="18C1BF76">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4</w:t>
      </w:r>
      <w:r>
        <w:rPr>
          <w:rFonts w:hint="eastAsia" w:ascii="仿宋" w:hAnsi="仿宋" w:eastAsia="仿宋" w:cs="Arial"/>
          <w:color w:val="auto"/>
          <w:szCs w:val="21"/>
        </w:rPr>
        <w:t>.</w:t>
      </w:r>
      <w:r>
        <w:rPr>
          <w:rFonts w:ascii="仿宋" w:hAnsi="仿宋" w:eastAsia="仿宋" w:cs="Arial"/>
          <w:color w:val="auto"/>
          <w:szCs w:val="21"/>
        </w:rPr>
        <w:t xml:space="preserve"> 数量（单位）：</w:t>
      </w:r>
    </w:p>
    <w:p w14:paraId="624157DC">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二、合同金额</w:t>
      </w:r>
    </w:p>
    <w:p w14:paraId="33E220CF">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 xml:space="preserve"> 本合同金额为（大写）：_________元（￥______元）人民币。</w:t>
      </w:r>
    </w:p>
    <w:p w14:paraId="5B6606C1">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三、技术资料</w:t>
      </w:r>
    </w:p>
    <w:p w14:paraId="4E7C2973">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乙方应按招标文件规定的时间向甲方提供使用货物的有关技术资料。</w:t>
      </w:r>
    </w:p>
    <w:p w14:paraId="4AED8BAC">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5F0360">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四、知识产权</w:t>
      </w:r>
    </w:p>
    <w:p w14:paraId="28936AF9">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乙方应保证所提供的货物或其任何一部分均不会侵犯任何第三方的知识产权。</w:t>
      </w:r>
    </w:p>
    <w:p w14:paraId="6246FAF5">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五、产权担保</w:t>
      </w:r>
    </w:p>
    <w:p w14:paraId="50C3402A">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乙方保证所交付的货物的所有权完全属于乙方且无任何抵押、查封等产权瑕疵。</w:t>
      </w:r>
    </w:p>
    <w:p w14:paraId="3CE5715E">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六、履约保证金</w:t>
      </w:r>
    </w:p>
    <w:p w14:paraId="1A758644">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乙方交纳人民币△元作为本合同的履约保证金。</w:t>
      </w:r>
    </w:p>
    <w:p w14:paraId="0C9A5CBF">
      <w:pPr>
        <w:snapToGrid w:val="0"/>
        <w:spacing w:line="360" w:lineRule="auto"/>
        <w:ind w:firstLine="422" w:firstLineChars="200"/>
        <w:rPr>
          <w:rFonts w:ascii="仿宋" w:hAnsi="仿宋" w:eastAsia="仿宋" w:cs="Arial"/>
          <w:b/>
          <w:color w:val="auto"/>
          <w:szCs w:val="21"/>
        </w:rPr>
      </w:pPr>
      <w:r>
        <w:rPr>
          <w:rFonts w:hint="eastAsia" w:ascii="仿宋" w:hAnsi="仿宋" w:eastAsia="仿宋" w:cs="Arial"/>
          <w:b/>
          <w:color w:val="auto"/>
          <w:szCs w:val="21"/>
        </w:rPr>
        <w:t>七、转包或分包</w:t>
      </w:r>
    </w:p>
    <w:p w14:paraId="2E62E3C0">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.本合同范围的货物，应由</w:t>
      </w:r>
      <w:r>
        <w:rPr>
          <w:rFonts w:ascii="仿宋" w:hAnsi="仿宋" w:eastAsia="仿宋" w:cs="Arial"/>
          <w:color w:val="auto"/>
          <w:szCs w:val="21"/>
        </w:rPr>
        <w:t>乙</w:t>
      </w:r>
      <w:r>
        <w:rPr>
          <w:rFonts w:hint="eastAsia" w:ascii="仿宋" w:hAnsi="仿宋" w:eastAsia="仿宋" w:cs="Arial"/>
          <w:color w:val="auto"/>
          <w:szCs w:val="21"/>
        </w:rPr>
        <w:t>方直接供应，不得转让他人供应；</w:t>
      </w:r>
    </w:p>
    <w:p w14:paraId="5F60C5BE">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.除非得到</w:t>
      </w:r>
      <w:r>
        <w:rPr>
          <w:rFonts w:ascii="仿宋" w:hAnsi="仿宋" w:eastAsia="仿宋" w:cs="Arial"/>
          <w:color w:val="auto"/>
          <w:szCs w:val="21"/>
        </w:rPr>
        <w:t>甲</w:t>
      </w:r>
      <w:r>
        <w:rPr>
          <w:rFonts w:hint="eastAsia" w:ascii="仿宋" w:hAnsi="仿宋" w:eastAsia="仿宋" w:cs="Arial"/>
          <w:color w:val="auto"/>
          <w:szCs w:val="21"/>
        </w:rPr>
        <w:t>方的书面同意，</w:t>
      </w:r>
      <w:r>
        <w:rPr>
          <w:rFonts w:ascii="仿宋" w:hAnsi="仿宋" w:eastAsia="仿宋" w:cs="Arial"/>
          <w:color w:val="auto"/>
          <w:szCs w:val="21"/>
        </w:rPr>
        <w:t>乙</w:t>
      </w:r>
      <w:r>
        <w:rPr>
          <w:rFonts w:hint="eastAsia" w:ascii="仿宋" w:hAnsi="仿宋" w:eastAsia="仿宋" w:cs="Arial"/>
          <w:color w:val="auto"/>
          <w:szCs w:val="21"/>
        </w:rPr>
        <w:t>方不得将本合同范围的货物全部或部分分包给他人供应；</w:t>
      </w:r>
    </w:p>
    <w:p w14:paraId="093491CD">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3</w:t>
      </w:r>
      <w:r>
        <w:rPr>
          <w:rFonts w:hint="eastAsia" w:ascii="仿宋" w:hAnsi="仿宋" w:eastAsia="仿宋" w:cs="Arial"/>
          <w:color w:val="auto"/>
          <w:szCs w:val="21"/>
        </w:rPr>
        <w:t>.如有转让和未经</w:t>
      </w:r>
      <w:r>
        <w:rPr>
          <w:rFonts w:ascii="仿宋" w:hAnsi="仿宋" w:eastAsia="仿宋" w:cs="Arial"/>
          <w:color w:val="auto"/>
          <w:szCs w:val="21"/>
        </w:rPr>
        <w:t>甲</w:t>
      </w:r>
      <w:r>
        <w:rPr>
          <w:rFonts w:hint="eastAsia" w:ascii="仿宋" w:hAnsi="仿宋" w:eastAsia="仿宋" w:cs="Arial"/>
          <w:color w:val="auto"/>
          <w:szCs w:val="21"/>
        </w:rPr>
        <w:t>方同意的分包行为，</w:t>
      </w:r>
      <w:r>
        <w:rPr>
          <w:rFonts w:ascii="仿宋" w:hAnsi="仿宋" w:eastAsia="仿宋" w:cs="Arial"/>
          <w:color w:val="auto"/>
          <w:szCs w:val="21"/>
        </w:rPr>
        <w:t>甲</w:t>
      </w:r>
      <w:r>
        <w:rPr>
          <w:rFonts w:hint="eastAsia" w:ascii="仿宋" w:hAnsi="仿宋" w:eastAsia="仿宋" w:cs="Arial"/>
          <w:color w:val="auto"/>
          <w:szCs w:val="21"/>
        </w:rPr>
        <w:t>方有权解除合同，没收履约保证金并追究乙方的违约责任。</w:t>
      </w:r>
    </w:p>
    <w:p w14:paraId="2CA232F5">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八、质保期和质保金</w:t>
      </w:r>
    </w:p>
    <w:p w14:paraId="565B9E92">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 xml:space="preserve"> 质保期</w:t>
      </w:r>
      <w:r>
        <w:rPr>
          <w:rFonts w:ascii="仿宋" w:hAnsi="仿宋" w:eastAsia="仿宋" w:cs="Arial"/>
          <w:color w:val="auto"/>
          <w:szCs w:val="21"/>
          <w:u w:val="single"/>
        </w:rPr>
        <w:t xml:space="preserve">      </w:t>
      </w:r>
      <w:r>
        <w:rPr>
          <w:rFonts w:ascii="仿宋" w:hAnsi="仿宋" w:eastAsia="仿宋" w:cs="Arial"/>
          <w:color w:val="auto"/>
          <w:szCs w:val="21"/>
        </w:rPr>
        <w:t>年。（自交货验收合格之日起计）</w:t>
      </w:r>
    </w:p>
    <w:p w14:paraId="5863F6CF">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 xml:space="preserve"> 质保金</w:t>
      </w:r>
      <w:r>
        <w:rPr>
          <w:rFonts w:ascii="仿宋" w:hAnsi="仿宋" w:eastAsia="仿宋" w:cs="Arial"/>
          <w:color w:val="auto"/>
          <w:szCs w:val="21"/>
          <w:u w:val="single"/>
        </w:rPr>
        <w:t xml:space="preserve">            </w:t>
      </w:r>
      <w:r>
        <w:rPr>
          <w:rFonts w:ascii="仿宋" w:hAnsi="仿宋" w:eastAsia="仿宋" w:cs="Arial"/>
          <w:color w:val="auto"/>
          <w:szCs w:val="21"/>
        </w:rPr>
        <w:t>元。（履约保证金在中标投标人按合同约定交货验收合格后自行转为质保金）</w:t>
      </w:r>
    </w:p>
    <w:p w14:paraId="6514C95F">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九、交货期、交货方式及交货地点</w:t>
      </w:r>
    </w:p>
    <w:p w14:paraId="70383D6C">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 xml:space="preserve"> 交货期：</w:t>
      </w:r>
    </w:p>
    <w:p w14:paraId="17D0A419">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 xml:space="preserve"> 交货方式：</w:t>
      </w:r>
    </w:p>
    <w:p w14:paraId="3B89E536">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3</w:t>
      </w:r>
      <w:r>
        <w:rPr>
          <w:rFonts w:hint="eastAsia" w:ascii="仿宋" w:hAnsi="仿宋" w:eastAsia="仿宋" w:cs="Arial"/>
          <w:color w:val="auto"/>
          <w:szCs w:val="21"/>
        </w:rPr>
        <w:t>.</w:t>
      </w:r>
      <w:r>
        <w:rPr>
          <w:rFonts w:ascii="仿宋" w:hAnsi="仿宋" w:eastAsia="仿宋" w:cs="Arial"/>
          <w:color w:val="auto"/>
          <w:szCs w:val="21"/>
        </w:rPr>
        <w:t xml:space="preserve"> 交货地点：</w:t>
      </w:r>
    </w:p>
    <w:p w14:paraId="1C047516">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十、货款支付</w:t>
      </w:r>
    </w:p>
    <w:p w14:paraId="4319F208">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 xml:space="preserve"> 付款方式：</w:t>
      </w:r>
    </w:p>
    <w:p w14:paraId="624F97AE">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当采购数量与实际使用数量不一致时，乙</w:t>
      </w:r>
      <w:r>
        <w:rPr>
          <w:rFonts w:hint="eastAsia" w:ascii="仿宋" w:hAnsi="仿宋" w:eastAsia="仿宋" w:cs="Arial"/>
          <w:color w:val="auto"/>
          <w:szCs w:val="21"/>
        </w:rPr>
        <w:t>方</w:t>
      </w:r>
      <w:r>
        <w:rPr>
          <w:rFonts w:ascii="仿宋" w:hAnsi="仿宋" w:eastAsia="仿宋" w:cs="Arial"/>
          <w:color w:val="auto"/>
          <w:szCs w:val="21"/>
        </w:rPr>
        <w:t>应根据实际使用量供货，合同的最终结算金额按实际使用量乘以成交单价进行计算。</w:t>
      </w:r>
    </w:p>
    <w:p w14:paraId="1A001327">
      <w:pPr>
        <w:snapToGrid w:val="0"/>
        <w:spacing w:line="360" w:lineRule="auto"/>
        <w:ind w:firstLine="422" w:firstLineChars="200"/>
        <w:rPr>
          <w:rFonts w:ascii="仿宋" w:hAnsi="仿宋" w:eastAsia="仿宋" w:cs="Arial"/>
          <w:b/>
          <w:color w:val="auto"/>
          <w:szCs w:val="21"/>
        </w:rPr>
      </w:pPr>
      <w:r>
        <w:rPr>
          <w:rFonts w:hint="eastAsia" w:ascii="仿宋" w:hAnsi="仿宋" w:eastAsia="仿宋" w:cs="Arial"/>
          <w:b/>
          <w:color w:val="auto"/>
          <w:szCs w:val="21"/>
        </w:rPr>
        <w:t>十一、税费</w:t>
      </w:r>
    </w:p>
    <w:p w14:paraId="48C79FE0">
      <w:pPr>
        <w:snapToGrid w:val="0"/>
        <w:spacing w:line="360" w:lineRule="auto"/>
        <w:ind w:firstLine="420" w:firstLineChars="200"/>
        <w:rPr>
          <w:rFonts w:ascii="仿宋" w:hAnsi="仿宋" w:eastAsia="仿宋" w:cs="Arial"/>
          <w:color w:val="auto"/>
          <w:szCs w:val="21"/>
        </w:rPr>
      </w:pPr>
      <w:r>
        <w:rPr>
          <w:rFonts w:hint="eastAsia" w:ascii="仿宋" w:hAnsi="仿宋" w:eastAsia="仿宋" w:cs="Arial"/>
          <w:color w:val="auto"/>
          <w:szCs w:val="21"/>
        </w:rPr>
        <w:t>本合同执行中相关的一切税费均由</w:t>
      </w:r>
      <w:r>
        <w:rPr>
          <w:rFonts w:ascii="仿宋" w:hAnsi="仿宋" w:eastAsia="仿宋" w:cs="Arial"/>
          <w:color w:val="auto"/>
          <w:szCs w:val="21"/>
        </w:rPr>
        <w:t>乙</w:t>
      </w:r>
      <w:r>
        <w:rPr>
          <w:rFonts w:hint="eastAsia" w:ascii="仿宋" w:hAnsi="仿宋" w:eastAsia="仿宋" w:cs="Arial"/>
          <w:color w:val="auto"/>
          <w:szCs w:val="21"/>
        </w:rPr>
        <w:t>方负担。</w:t>
      </w:r>
    </w:p>
    <w:p w14:paraId="4B9D1594">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十二、质量保证及售后服务</w:t>
      </w:r>
    </w:p>
    <w:p w14:paraId="21A46CDD">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 xml:space="preserve"> 乙方应按招标文件规定的货物性能、技术要求、质量标准向甲方提供未经使用的全新产品。</w:t>
      </w:r>
    </w:p>
    <w:p w14:paraId="4A897A74">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 xml:space="preserve"> 乙方提供的货物在质</w:t>
      </w:r>
      <w:r>
        <w:rPr>
          <w:rFonts w:hint="eastAsia" w:ascii="仿宋" w:hAnsi="仿宋" w:eastAsia="仿宋" w:cs="Arial"/>
          <w:color w:val="auto"/>
          <w:szCs w:val="21"/>
        </w:rPr>
        <w:t>保</w:t>
      </w:r>
      <w:r>
        <w:rPr>
          <w:rFonts w:ascii="仿宋" w:hAnsi="仿宋" w:eastAsia="仿宋" w:cs="Arial"/>
          <w:color w:val="auto"/>
          <w:szCs w:val="21"/>
        </w:rPr>
        <w:t>期内因货物本身的质量问题发生故障，乙方应负责免费更换。对达不到技术要求者，根据实际情况，经双方协商，可按以下办法处理：</w:t>
      </w:r>
    </w:p>
    <w:p w14:paraId="0FD21C9F">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⑴更换：由乙方承担所发生的全部费用。</w:t>
      </w:r>
    </w:p>
    <w:p w14:paraId="00DBFDC5">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⑵贬值处理：由甲乙双方合议定价。</w:t>
      </w:r>
    </w:p>
    <w:p w14:paraId="5A18B69E">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⑶退货处理：乙方应退还甲方支付的合同款，同时应承担该货物的直接费用（运输、保险、检验、货款利息及银行手续费等）。</w:t>
      </w:r>
    </w:p>
    <w:p w14:paraId="0EEC97CC">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3</w:t>
      </w:r>
      <w:r>
        <w:rPr>
          <w:rFonts w:hint="eastAsia" w:ascii="仿宋" w:hAnsi="仿宋" w:eastAsia="仿宋" w:cs="Arial"/>
          <w:color w:val="auto"/>
          <w:szCs w:val="21"/>
        </w:rPr>
        <w:t>.</w:t>
      </w:r>
      <w:r>
        <w:rPr>
          <w:rFonts w:ascii="仿宋" w:hAnsi="仿宋" w:eastAsia="仿宋" w:cs="Arial"/>
          <w:color w:val="auto"/>
          <w:szCs w:val="21"/>
        </w:rPr>
        <w:t xml:space="preserve"> 如在使用过程中发生质量问题，乙方在接到甲方通知后在△小时内到达甲方现场。</w:t>
      </w:r>
    </w:p>
    <w:p w14:paraId="5BB6B139">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4</w:t>
      </w:r>
      <w:r>
        <w:rPr>
          <w:rFonts w:hint="eastAsia" w:ascii="仿宋" w:hAnsi="仿宋" w:eastAsia="仿宋" w:cs="Arial"/>
          <w:color w:val="auto"/>
          <w:szCs w:val="21"/>
        </w:rPr>
        <w:t>.</w:t>
      </w:r>
      <w:r>
        <w:rPr>
          <w:rFonts w:ascii="仿宋" w:hAnsi="仿宋" w:eastAsia="仿宋" w:cs="Arial"/>
          <w:color w:val="auto"/>
          <w:szCs w:val="21"/>
        </w:rPr>
        <w:t xml:space="preserve"> 在质保期内，乙方应对货物出现的质量及安全问题负责处理解决并承担一切费用。</w:t>
      </w:r>
    </w:p>
    <w:p w14:paraId="1C966EC4">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5</w:t>
      </w:r>
      <w:r>
        <w:rPr>
          <w:rFonts w:hint="eastAsia" w:ascii="仿宋" w:hAnsi="仿宋" w:eastAsia="仿宋" w:cs="Arial"/>
          <w:color w:val="auto"/>
          <w:szCs w:val="21"/>
        </w:rPr>
        <w:t>.</w:t>
      </w:r>
      <w:r>
        <w:rPr>
          <w:rFonts w:ascii="仿宋" w:hAnsi="仿宋" w:eastAsia="仿宋" w:cs="Arial"/>
          <w:color w:val="auto"/>
          <w:szCs w:val="21"/>
        </w:rPr>
        <w:t>上述的货物免费保修期为</w:t>
      </w:r>
      <w:r>
        <w:rPr>
          <w:rFonts w:ascii="仿宋" w:hAnsi="仿宋" w:eastAsia="仿宋" w:cs="Arial"/>
          <w:color w:val="auto"/>
          <w:szCs w:val="21"/>
          <w:u w:val="single"/>
        </w:rPr>
        <w:t xml:space="preserve">     </w:t>
      </w:r>
      <w:r>
        <w:rPr>
          <w:rFonts w:ascii="仿宋" w:hAnsi="仿宋" w:eastAsia="仿宋" w:cs="Arial"/>
          <w:color w:val="auto"/>
          <w:szCs w:val="21"/>
        </w:rPr>
        <w:t>年，因人为因素出现的故障不在免费保修范围内。超过保修期的机器设备，终生维修，维修时只收部件成本费。</w:t>
      </w:r>
    </w:p>
    <w:p w14:paraId="17ED262B">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十三、调试和验收</w:t>
      </w:r>
    </w:p>
    <w:p w14:paraId="78947E83">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33B714B">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 xml:space="preserve"> 乙方交货前应对产品作出全面检查和对验收文件进行整理，并列出清单，作为甲方收货验收和使用的技术条件依据，检验的结果应随货物交甲方。</w:t>
      </w:r>
    </w:p>
    <w:p w14:paraId="35F3FD59">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3</w:t>
      </w:r>
      <w:r>
        <w:rPr>
          <w:rFonts w:hint="eastAsia" w:ascii="仿宋" w:hAnsi="仿宋" w:eastAsia="仿宋" w:cs="Arial"/>
          <w:color w:val="auto"/>
          <w:szCs w:val="21"/>
        </w:rPr>
        <w:t>.</w:t>
      </w:r>
      <w:r>
        <w:rPr>
          <w:rFonts w:ascii="仿宋" w:hAnsi="仿宋" w:eastAsia="仿宋" w:cs="Arial"/>
          <w:color w:val="auto"/>
          <w:szCs w:val="21"/>
        </w:rPr>
        <w:t xml:space="preserve"> 甲方对乙方提供的货物在使用前进行调试时，乙方需负责安装并培训甲方的使用操作人员，并协助甲方一起调试，直到符合技术要求，甲方才做最终验收。</w:t>
      </w:r>
    </w:p>
    <w:p w14:paraId="76B13AB9">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4</w:t>
      </w:r>
      <w:r>
        <w:rPr>
          <w:rFonts w:hint="eastAsia" w:ascii="仿宋" w:hAnsi="仿宋" w:eastAsia="仿宋" w:cs="Arial"/>
          <w:color w:val="auto"/>
          <w:szCs w:val="21"/>
        </w:rPr>
        <w:t>.</w:t>
      </w:r>
      <w:r>
        <w:rPr>
          <w:rFonts w:ascii="仿宋" w:hAnsi="仿宋" w:eastAsia="仿宋" w:cs="Arial"/>
          <w:color w:val="auto"/>
          <w:szCs w:val="21"/>
        </w:rPr>
        <w:t xml:space="preserve"> 对技术复杂的货物，甲方应请国家认可的专业检测机构参与初步验收及最终验收，并由其出具质量检测报告。</w:t>
      </w:r>
    </w:p>
    <w:p w14:paraId="3201DCC2">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5</w:t>
      </w:r>
      <w:r>
        <w:rPr>
          <w:rFonts w:hint="eastAsia" w:ascii="仿宋" w:hAnsi="仿宋" w:eastAsia="仿宋" w:cs="Arial"/>
          <w:color w:val="auto"/>
          <w:szCs w:val="21"/>
        </w:rPr>
        <w:t>.</w:t>
      </w:r>
      <w:r>
        <w:rPr>
          <w:rFonts w:ascii="仿宋" w:hAnsi="仿宋" w:eastAsia="仿宋" w:cs="Arial"/>
          <w:color w:val="auto"/>
          <w:szCs w:val="21"/>
        </w:rPr>
        <w:t xml:space="preserve"> 验收时乙方必须在现场，验收完毕后作出验收结果报告；验收费用由乙方负责。</w:t>
      </w:r>
    </w:p>
    <w:p w14:paraId="15A2B701">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十四、货物包装、发运及运输</w:t>
      </w:r>
    </w:p>
    <w:p w14:paraId="53B003D3">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 xml:space="preserve"> 乙方应在货物发运前对其进行满足运输距离、防潮、防震、防锈和防破损装卸等要求包装，以保证货物安全运达甲方指定地点。</w:t>
      </w:r>
    </w:p>
    <w:p w14:paraId="6C32ADB3">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 xml:space="preserve"> 使用说明书、质量检验证明书、随配附件和工具以及清单一并附于货物内。</w:t>
      </w:r>
    </w:p>
    <w:p w14:paraId="24A138B5">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3</w:t>
      </w:r>
      <w:r>
        <w:rPr>
          <w:rFonts w:hint="eastAsia" w:ascii="仿宋" w:hAnsi="仿宋" w:eastAsia="仿宋" w:cs="Arial"/>
          <w:color w:val="auto"/>
          <w:szCs w:val="21"/>
        </w:rPr>
        <w:t>.</w:t>
      </w:r>
      <w:r>
        <w:rPr>
          <w:rFonts w:ascii="仿宋" w:hAnsi="仿宋" w:eastAsia="仿宋" w:cs="Arial"/>
          <w:color w:val="auto"/>
          <w:szCs w:val="21"/>
        </w:rPr>
        <w:t xml:space="preserve"> 乙方在货物发运手续办理完毕后24小时内或货到甲方48小时前通知甲方，以准备接货。</w:t>
      </w:r>
    </w:p>
    <w:p w14:paraId="6EA937F0">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4</w:t>
      </w:r>
      <w:r>
        <w:rPr>
          <w:rFonts w:hint="eastAsia" w:ascii="仿宋" w:hAnsi="仿宋" w:eastAsia="仿宋" w:cs="Arial"/>
          <w:color w:val="auto"/>
          <w:szCs w:val="21"/>
        </w:rPr>
        <w:t>.</w:t>
      </w:r>
      <w:r>
        <w:rPr>
          <w:rFonts w:ascii="仿宋" w:hAnsi="仿宋" w:eastAsia="仿宋" w:cs="Arial"/>
          <w:color w:val="auto"/>
          <w:szCs w:val="21"/>
        </w:rPr>
        <w:t xml:space="preserve"> 货物在交付甲方前发生的风险均由乙方负责。</w:t>
      </w:r>
    </w:p>
    <w:p w14:paraId="49CB39B5">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5</w:t>
      </w:r>
      <w:r>
        <w:rPr>
          <w:rFonts w:hint="eastAsia" w:ascii="仿宋" w:hAnsi="仿宋" w:eastAsia="仿宋" w:cs="Arial"/>
          <w:color w:val="auto"/>
          <w:szCs w:val="21"/>
        </w:rPr>
        <w:t>.</w:t>
      </w:r>
      <w:r>
        <w:rPr>
          <w:rFonts w:ascii="仿宋" w:hAnsi="仿宋" w:eastAsia="仿宋" w:cs="Arial"/>
          <w:color w:val="auto"/>
          <w:szCs w:val="21"/>
        </w:rPr>
        <w:t xml:space="preserve"> 货物在规定的交付期限内由乙方送达甲方指定的地点视为交付，乙方同时需通知甲方货物已送达。</w:t>
      </w:r>
    </w:p>
    <w:p w14:paraId="779C8D7B">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十五、违约责任</w:t>
      </w:r>
    </w:p>
    <w:p w14:paraId="340BD3DD">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 xml:space="preserve"> 甲方无正当理由拒收货物的，甲方向乙方偿付拒收货款总值的百分之五违约金。</w:t>
      </w:r>
    </w:p>
    <w:p w14:paraId="2D8DE63E">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 xml:space="preserve"> 甲方无故逾期验收和办理货款支付手续的,甲方应按逾期付款总额每日万分之五向乙方支付违约金。</w:t>
      </w:r>
    </w:p>
    <w:p w14:paraId="0B65C3F0">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3</w:t>
      </w:r>
      <w:r>
        <w:rPr>
          <w:rFonts w:hint="eastAsia" w:ascii="仿宋" w:hAnsi="仿宋" w:eastAsia="仿宋" w:cs="Arial"/>
          <w:color w:val="auto"/>
          <w:szCs w:val="21"/>
        </w:rPr>
        <w:t>.</w:t>
      </w:r>
      <w:r>
        <w:rPr>
          <w:rFonts w:ascii="仿宋" w:hAnsi="仿宋" w:eastAsia="仿宋" w:cs="Arial"/>
          <w:color w:val="auto"/>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15B3233">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4</w:t>
      </w:r>
      <w:r>
        <w:rPr>
          <w:rFonts w:hint="eastAsia" w:ascii="仿宋" w:hAnsi="仿宋" w:eastAsia="仿宋" w:cs="Arial"/>
          <w:color w:val="auto"/>
          <w:szCs w:val="21"/>
        </w:rPr>
        <w:t>.</w:t>
      </w:r>
      <w:r>
        <w:rPr>
          <w:rFonts w:ascii="仿宋" w:hAnsi="仿宋" w:eastAsia="仿宋" w:cs="Arial"/>
          <w:color w:val="auto"/>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5258DF5">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十六、不可抗力事件处理</w:t>
      </w:r>
    </w:p>
    <w:p w14:paraId="2A07829D">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 xml:space="preserve"> 在合同有效期内，任何一方因不可抗力事件导致不能履行合同，则合同履行期可延长，其延长期与不可抗力影响期相同。</w:t>
      </w:r>
    </w:p>
    <w:p w14:paraId="2E9D767D">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 xml:space="preserve"> 不可抗力事件发生后，应立即通知对方，并寄送有关权威机构出具的证明。</w:t>
      </w:r>
    </w:p>
    <w:p w14:paraId="26F5B3E9">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3</w:t>
      </w:r>
      <w:r>
        <w:rPr>
          <w:rFonts w:hint="eastAsia" w:ascii="仿宋" w:hAnsi="仿宋" w:eastAsia="仿宋" w:cs="Arial"/>
          <w:color w:val="auto"/>
          <w:szCs w:val="21"/>
        </w:rPr>
        <w:t>.</w:t>
      </w:r>
      <w:r>
        <w:rPr>
          <w:rFonts w:ascii="仿宋" w:hAnsi="仿宋" w:eastAsia="仿宋" w:cs="Arial"/>
          <w:color w:val="auto"/>
          <w:szCs w:val="21"/>
        </w:rPr>
        <w:t xml:space="preserve"> 不可抗力事件延续120天以上，双方应通过友好协商，确定是否继续履行合同。</w:t>
      </w:r>
    </w:p>
    <w:p w14:paraId="7CF56986">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十七、诉讼</w:t>
      </w:r>
    </w:p>
    <w:p w14:paraId="7232285C">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 xml:space="preserve"> 双方在执行合同中所发生的一切争议，应通过协商解决。如协商不成，可向</w:t>
      </w:r>
      <w:r>
        <w:rPr>
          <w:rFonts w:hint="eastAsia" w:ascii="仿宋" w:hAnsi="仿宋" w:eastAsia="仿宋" w:cs="Arial"/>
          <w:color w:val="auto"/>
          <w:szCs w:val="21"/>
        </w:rPr>
        <w:t>甲方所在</w:t>
      </w:r>
      <w:r>
        <w:rPr>
          <w:rFonts w:ascii="仿宋" w:hAnsi="仿宋" w:eastAsia="仿宋" w:cs="Arial"/>
          <w:color w:val="auto"/>
          <w:szCs w:val="21"/>
        </w:rPr>
        <w:t>地法院起诉。</w:t>
      </w:r>
    </w:p>
    <w:p w14:paraId="2D23225D">
      <w:pPr>
        <w:snapToGrid w:val="0"/>
        <w:spacing w:line="360" w:lineRule="auto"/>
        <w:ind w:firstLine="422" w:firstLineChars="200"/>
        <w:rPr>
          <w:rFonts w:ascii="仿宋" w:hAnsi="仿宋" w:eastAsia="仿宋" w:cs="Arial"/>
          <w:b/>
          <w:color w:val="auto"/>
          <w:szCs w:val="21"/>
        </w:rPr>
      </w:pPr>
      <w:r>
        <w:rPr>
          <w:rFonts w:ascii="仿宋" w:hAnsi="仿宋" w:eastAsia="仿宋" w:cs="Arial"/>
          <w:b/>
          <w:color w:val="auto"/>
          <w:szCs w:val="21"/>
        </w:rPr>
        <w:t>十八、合同生效及其它</w:t>
      </w:r>
    </w:p>
    <w:p w14:paraId="1F3F4D37">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1</w:t>
      </w:r>
      <w:r>
        <w:rPr>
          <w:rFonts w:hint="eastAsia" w:ascii="仿宋" w:hAnsi="仿宋" w:eastAsia="仿宋" w:cs="Arial"/>
          <w:color w:val="auto"/>
          <w:szCs w:val="21"/>
        </w:rPr>
        <w:t>.</w:t>
      </w:r>
      <w:r>
        <w:rPr>
          <w:rFonts w:ascii="仿宋" w:hAnsi="仿宋" w:eastAsia="仿宋" w:cs="Arial"/>
          <w:color w:val="auto"/>
          <w:szCs w:val="21"/>
        </w:rPr>
        <w:t xml:space="preserve"> 合同经双方法定代表人或授权代表签字并加盖单位公章后生效。</w:t>
      </w:r>
    </w:p>
    <w:p w14:paraId="709C3224">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w:t>
      </w:r>
      <w:r>
        <w:rPr>
          <w:rFonts w:ascii="仿宋" w:hAnsi="仿宋" w:eastAsia="仿宋" w:cs="Arial"/>
          <w:color w:val="auto"/>
          <w:szCs w:val="21"/>
        </w:rPr>
        <w:t>合同执行中涉及采购资金和采购内容修改或补充的，须经财政部门审批，并签书面补充协议报政府采购监督管理部门备案，方可作为主合同不可分割的一部分。</w:t>
      </w:r>
    </w:p>
    <w:p w14:paraId="248C1378">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3</w:t>
      </w:r>
      <w:r>
        <w:rPr>
          <w:rFonts w:hint="eastAsia" w:ascii="仿宋" w:hAnsi="仿宋" w:eastAsia="仿宋" w:cs="Arial"/>
          <w:color w:val="auto"/>
          <w:szCs w:val="21"/>
        </w:rPr>
        <w:t>.</w:t>
      </w:r>
      <w:r>
        <w:rPr>
          <w:rFonts w:ascii="仿宋" w:hAnsi="仿宋" w:eastAsia="仿宋" w:cs="Arial"/>
          <w:color w:val="auto"/>
          <w:szCs w:val="21"/>
        </w:rPr>
        <w:t>本合同未尽事宜，遵照《</w:t>
      </w:r>
      <w:r>
        <w:rPr>
          <w:rFonts w:hint="eastAsia" w:ascii="仿宋" w:hAnsi="仿宋" w:eastAsia="仿宋" w:cs="Arial"/>
          <w:color w:val="auto"/>
          <w:szCs w:val="21"/>
          <w:lang w:eastAsia="zh-CN"/>
        </w:rPr>
        <w:t>中华人民共和国民法典</w:t>
      </w:r>
      <w:r>
        <w:rPr>
          <w:rFonts w:ascii="仿宋" w:hAnsi="仿宋" w:eastAsia="仿宋" w:cs="Arial"/>
          <w:color w:val="auto"/>
          <w:szCs w:val="21"/>
        </w:rPr>
        <w:t>》有关条文执行。</w:t>
      </w:r>
    </w:p>
    <w:p w14:paraId="26852057">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4</w:t>
      </w:r>
      <w:r>
        <w:rPr>
          <w:rFonts w:hint="eastAsia" w:ascii="仿宋" w:hAnsi="仿宋" w:eastAsia="仿宋" w:cs="Arial"/>
          <w:color w:val="auto"/>
          <w:szCs w:val="21"/>
        </w:rPr>
        <w:t>.</w:t>
      </w:r>
      <w:r>
        <w:rPr>
          <w:rFonts w:ascii="仿宋" w:hAnsi="仿宋" w:eastAsia="仿宋" w:cs="Arial"/>
          <w:color w:val="auto"/>
          <w:szCs w:val="21"/>
        </w:rPr>
        <w:t>本合同正本一式两份，具有同等法律效力，甲乙双方各执一份；副本△份，(用途)。</w:t>
      </w:r>
    </w:p>
    <w:p w14:paraId="30BCCFCA">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 xml:space="preserve">  甲方：</w:t>
      </w:r>
      <w:r>
        <w:rPr>
          <w:rFonts w:hint="eastAsia" w:ascii="仿宋" w:hAnsi="仿宋" w:eastAsia="仿宋" w:cs="Arial"/>
          <w:color w:val="auto"/>
          <w:szCs w:val="21"/>
        </w:rPr>
        <w:t xml:space="preserve">  </w:t>
      </w:r>
      <w:r>
        <w:rPr>
          <w:rFonts w:ascii="仿宋" w:hAnsi="仿宋" w:eastAsia="仿宋" w:cs="Arial"/>
          <w:color w:val="auto"/>
          <w:szCs w:val="21"/>
        </w:rPr>
        <w:t xml:space="preserve">                      乙方： </w:t>
      </w:r>
    </w:p>
    <w:p w14:paraId="6A890A3A">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 xml:space="preserve">  地址：                        地址： </w:t>
      </w:r>
    </w:p>
    <w:p w14:paraId="65C6C0E0">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 xml:space="preserve">  法定</w:t>
      </w:r>
      <w:r>
        <w:rPr>
          <w:rFonts w:hint="eastAsia" w:ascii="仿宋" w:hAnsi="仿宋" w:eastAsia="仿宋" w:cs="Arial"/>
          <w:color w:val="auto"/>
          <w:szCs w:val="21"/>
        </w:rPr>
        <w:t>（授权）</w:t>
      </w:r>
      <w:r>
        <w:rPr>
          <w:rFonts w:ascii="仿宋" w:hAnsi="仿宋" w:eastAsia="仿宋" w:cs="Arial"/>
          <w:color w:val="auto"/>
          <w:szCs w:val="21"/>
        </w:rPr>
        <w:t>代表人：          法定</w:t>
      </w:r>
      <w:r>
        <w:rPr>
          <w:rFonts w:hint="eastAsia" w:ascii="仿宋" w:hAnsi="仿宋" w:eastAsia="仿宋" w:cs="Arial"/>
          <w:color w:val="auto"/>
          <w:szCs w:val="21"/>
        </w:rPr>
        <w:t>（授权）</w:t>
      </w:r>
      <w:r>
        <w:rPr>
          <w:rFonts w:ascii="仿宋" w:hAnsi="仿宋" w:eastAsia="仿宋" w:cs="Arial"/>
          <w:color w:val="auto"/>
          <w:szCs w:val="21"/>
        </w:rPr>
        <w:t>代表人：</w:t>
      </w:r>
    </w:p>
    <w:p w14:paraId="1C39FB27">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 xml:space="preserve">  签</w:t>
      </w:r>
      <w:r>
        <w:rPr>
          <w:rFonts w:hint="eastAsia" w:ascii="仿宋" w:hAnsi="仿宋" w:eastAsia="仿宋" w:cs="Arial"/>
          <w:color w:val="auto"/>
          <w:szCs w:val="21"/>
        </w:rPr>
        <w:t>字日期</w:t>
      </w:r>
      <w:r>
        <w:rPr>
          <w:rFonts w:ascii="仿宋" w:hAnsi="仿宋" w:eastAsia="仿宋" w:cs="Arial"/>
          <w:color w:val="auto"/>
          <w:szCs w:val="21"/>
        </w:rPr>
        <w:t>：   年  月  日   签</w:t>
      </w:r>
      <w:r>
        <w:rPr>
          <w:rFonts w:hint="eastAsia" w:ascii="仿宋" w:hAnsi="仿宋" w:eastAsia="仿宋" w:cs="Arial"/>
          <w:color w:val="auto"/>
          <w:szCs w:val="21"/>
        </w:rPr>
        <w:t>字</w:t>
      </w:r>
      <w:r>
        <w:rPr>
          <w:rFonts w:ascii="仿宋" w:hAnsi="仿宋" w:eastAsia="仿宋" w:cs="Arial"/>
          <w:color w:val="auto"/>
          <w:szCs w:val="21"/>
        </w:rPr>
        <w:t>日期：  年  月  日</w:t>
      </w:r>
    </w:p>
    <w:p w14:paraId="7225A0DE">
      <w:pPr>
        <w:snapToGrid w:val="0"/>
        <w:spacing w:line="360" w:lineRule="auto"/>
        <w:ind w:firstLine="420" w:firstLineChars="200"/>
        <w:rPr>
          <w:rFonts w:ascii="仿宋" w:hAnsi="仿宋" w:eastAsia="仿宋" w:cs="Arial"/>
          <w:color w:val="auto"/>
          <w:szCs w:val="21"/>
        </w:rPr>
      </w:pPr>
    </w:p>
    <w:p w14:paraId="1839C5EB">
      <w:pPr>
        <w:snapToGrid w:val="0"/>
        <w:spacing w:line="360" w:lineRule="auto"/>
        <w:ind w:firstLine="525" w:firstLineChars="250"/>
        <w:rPr>
          <w:rFonts w:ascii="仿宋" w:hAnsi="仿宋" w:eastAsia="仿宋" w:cs="Arial"/>
          <w:color w:val="auto"/>
          <w:szCs w:val="21"/>
        </w:rPr>
      </w:pPr>
      <w:r>
        <w:rPr>
          <w:rFonts w:hint="eastAsia" w:ascii="仿宋" w:hAnsi="仿宋" w:eastAsia="仿宋" w:cs="Arial"/>
          <w:color w:val="auto"/>
          <w:szCs w:val="21"/>
        </w:rPr>
        <w:t xml:space="preserve"> 合同鉴证方:</w:t>
      </w:r>
    </w:p>
    <w:p w14:paraId="0271666D">
      <w:pPr>
        <w:snapToGrid w:val="0"/>
        <w:spacing w:line="360" w:lineRule="auto"/>
        <w:ind w:firstLine="630" w:firstLineChars="300"/>
        <w:rPr>
          <w:rFonts w:ascii="仿宋" w:hAnsi="仿宋" w:eastAsia="仿宋" w:cs="Arial"/>
          <w:color w:val="auto"/>
          <w:szCs w:val="21"/>
        </w:rPr>
      </w:pPr>
      <w:r>
        <w:rPr>
          <w:rFonts w:hint="eastAsia" w:ascii="仿宋" w:hAnsi="仿宋" w:eastAsia="仿宋" w:cs="Arial"/>
          <w:color w:val="auto"/>
          <w:szCs w:val="21"/>
        </w:rPr>
        <w:t>法定代表人或主要负责人:</w:t>
      </w:r>
    </w:p>
    <w:p w14:paraId="3645F10C">
      <w:pPr>
        <w:snapToGrid w:val="0"/>
        <w:spacing w:line="360" w:lineRule="auto"/>
        <w:ind w:firstLine="630" w:firstLineChars="300"/>
        <w:rPr>
          <w:rFonts w:ascii="仿宋" w:hAnsi="仿宋" w:eastAsia="仿宋" w:cs="Arial"/>
          <w:color w:val="auto"/>
          <w:szCs w:val="21"/>
        </w:rPr>
      </w:pPr>
      <w:r>
        <w:rPr>
          <w:rFonts w:hint="eastAsia" w:ascii="仿宋" w:hAnsi="仿宋" w:eastAsia="仿宋" w:cs="Arial"/>
          <w:color w:val="auto"/>
          <w:szCs w:val="21"/>
        </w:rPr>
        <w:t>鉴证日期:</w:t>
      </w:r>
    </w:p>
    <w:p w14:paraId="1974BC8B">
      <w:pPr>
        <w:pStyle w:val="2"/>
        <w:rPr>
          <w:rFonts w:ascii="仿宋" w:hAnsi="仿宋" w:eastAsia="仿宋" w:cs="Arial"/>
          <w:color w:val="auto"/>
          <w:szCs w:val="21"/>
        </w:rPr>
      </w:pPr>
    </w:p>
    <w:p w14:paraId="376FB7B0">
      <w:pPr>
        <w:autoSpaceDE w:val="0"/>
        <w:autoSpaceDN w:val="0"/>
        <w:adjustRightInd w:val="0"/>
        <w:spacing w:line="400" w:lineRule="atLeast"/>
        <w:jc w:val="center"/>
        <w:rPr>
          <w:rFonts w:ascii="宋体"/>
          <w:color w:val="auto"/>
          <w:sz w:val="22"/>
        </w:rPr>
      </w:pPr>
      <w:r>
        <w:rPr>
          <w:rFonts w:hint="eastAsia" w:ascii="宋体"/>
          <w:color w:val="auto"/>
          <w:sz w:val="22"/>
        </w:rPr>
        <w:t>（合同签订后采购人或供应商须将合同副本送达金华市公共资源交易中心采购科（地址：金华市双龙南街858号财富大厦</w:t>
      </w:r>
      <w:r>
        <w:rPr>
          <w:rFonts w:hint="eastAsia" w:ascii="宋体"/>
          <w:color w:val="auto"/>
          <w:sz w:val="22"/>
          <w:lang w:val="en-US" w:eastAsia="zh-CN"/>
        </w:rPr>
        <w:t>4</w:t>
      </w:r>
      <w:r>
        <w:rPr>
          <w:rFonts w:hint="eastAsia" w:ascii="宋体"/>
          <w:color w:val="auto"/>
          <w:sz w:val="22"/>
        </w:rPr>
        <w:t>楼</w:t>
      </w:r>
      <w:r>
        <w:rPr>
          <w:rFonts w:hint="eastAsia" w:ascii="宋体"/>
          <w:color w:val="auto"/>
          <w:sz w:val="22"/>
          <w:lang w:val="en-US" w:eastAsia="zh-CN"/>
        </w:rPr>
        <w:t>405室</w:t>
      </w:r>
      <w:r>
        <w:rPr>
          <w:rFonts w:hint="eastAsia" w:ascii="宋体"/>
          <w:color w:val="auto"/>
          <w:sz w:val="22"/>
        </w:rPr>
        <w:t>）鉴证）</w:t>
      </w:r>
    </w:p>
    <w:p w14:paraId="1642B84D">
      <w:pPr>
        <w:pStyle w:val="2"/>
        <w:rPr>
          <w:rFonts w:ascii="仿宋" w:hAnsi="仿宋" w:eastAsia="仿宋" w:cs="Arial"/>
          <w:color w:val="auto"/>
          <w:szCs w:val="21"/>
        </w:rPr>
      </w:pPr>
    </w:p>
    <w:p w14:paraId="595D7B8B">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br w:type="page"/>
      </w:r>
    </w:p>
    <w:p w14:paraId="17F84017">
      <w:pPr>
        <w:pStyle w:val="10"/>
        <w:spacing w:before="120" w:after="120" w:line="360" w:lineRule="auto"/>
        <w:jc w:val="center"/>
        <w:outlineLvl w:val="0"/>
        <w:rPr>
          <w:color w:val="auto"/>
          <w:sz w:val="36"/>
          <w:lang w:val="zh-CN"/>
        </w:rPr>
      </w:pPr>
      <w:r>
        <w:rPr>
          <w:rFonts w:hint="eastAsia" w:hAnsi="宋体"/>
          <w:b/>
          <w:color w:val="auto"/>
          <w:sz w:val="36"/>
          <w:szCs w:val="36"/>
        </w:rPr>
        <w:t>第七章</w:t>
      </w:r>
      <w:r>
        <w:rPr>
          <w:rFonts w:hAnsi="宋体"/>
          <w:b/>
          <w:color w:val="auto"/>
          <w:sz w:val="36"/>
          <w:szCs w:val="36"/>
        </w:rPr>
        <w:t xml:space="preserve"> </w:t>
      </w:r>
      <w:r>
        <w:rPr>
          <w:rFonts w:hint="eastAsia" w:hAnsi="宋体"/>
          <w:b/>
          <w:color w:val="auto"/>
          <w:sz w:val="36"/>
          <w:szCs w:val="36"/>
        </w:rPr>
        <w:t>投标文件格式</w:t>
      </w:r>
    </w:p>
    <w:p w14:paraId="47913BFE">
      <w:pPr>
        <w:autoSpaceDE w:val="0"/>
        <w:autoSpaceDN w:val="0"/>
        <w:adjustRightInd w:val="0"/>
        <w:spacing w:after="240" w:afterLines="100" w:line="460" w:lineRule="atLeast"/>
        <w:rPr>
          <w:rFonts w:hint="eastAsia" w:ascii="宋体" w:hAnsi="Courier New" w:cs="Arial"/>
          <w:color w:val="auto"/>
          <w:sz w:val="22"/>
        </w:rPr>
      </w:pPr>
      <w:r>
        <w:rPr>
          <w:rFonts w:hint="eastAsia" w:ascii="宋体" w:hAnsi="Courier New" w:cs="Arial"/>
          <w:color w:val="auto"/>
          <w:sz w:val="22"/>
        </w:rPr>
        <w:t>附件一</w:t>
      </w:r>
    </w:p>
    <w:p w14:paraId="5314E86D">
      <w:pPr>
        <w:pStyle w:val="2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419"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符合参加政府采购活动应当具备的一般条件的承诺函</w:t>
      </w:r>
    </w:p>
    <w:p w14:paraId="52D1C67A">
      <w:pPr>
        <w:tabs>
          <w:tab w:val="left" w:pos="0"/>
        </w:tabs>
        <w:snapToGrid w:val="0"/>
        <w:spacing w:line="360" w:lineRule="auto"/>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（采购人）、（采购代理机构）：</w:t>
      </w:r>
    </w:p>
    <w:p w14:paraId="72EF4215">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我方参与</w:t>
      </w:r>
      <w:r>
        <w:rPr>
          <w:rFonts w:hint="eastAsia" w:ascii="仿宋" w:hAnsi="仿宋" w:eastAsia="仿宋" w:cs="Helvetica"/>
          <w:color w:val="auto"/>
          <w:kern w:val="0"/>
          <w:sz w:val="24"/>
          <w:szCs w:val="24"/>
          <w:lang w:val="en-US" w:eastAsia="zh-CN"/>
        </w:rPr>
        <w:t>XXX项目</w:t>
      </w:r>
      <w:r>
        <w:rPr>
          <w:rFonts w:hint="eastAsia" w:ascii="仿宋" w:hAnsi="仿宋" w:eastAsia="仿宋" w:cs="Helvetica"/>
          <w:color w:val="auto"/>
          <w:kern w:val="0"/>
          <w:sz w:val="24"/>
          <w:szCs w:val="24"/>
        </w:rPr>
        <w:t>【</w:t>
      </w:r>
      <w:r>
        <w:rPr>
          <w:rFonts w:hint="eastAsia" w:ascii="仿宋" w:hAnsi="仿宋" w:eastAsia="仿宋" w:cs="Helvetica"/>
          <w:color w:val="auto"/>
          <w:kern w:val="0"/>
          <w:sz w:val="24"/>
          <w:szCs w:val="24"/>
          <w:lang w:eastAsia="zh-CN"/>
        </w:rPr>
        <w:t>项目</w:t>
      </w:r>
      <w:r>
        <w:rPr>
          <w:rFonts w:hint="eastAsia" w:ascii="仿宋" w:hAnsi="仿宋" w:eastAsia="仿宋" w:cs="Helvetica"/>
          <w:color w:val="auto"/>
          <w:kern w:val="0"/>
          <w:sz w:val="24"/>
          <w:szCs w:val="24"/>
        </w:rPr>
        <w:t>编号：</w:t>
      </w:r>
      <w:r>
        <w:rPr>
          <w:rFonts w:hint="eastAsia" w:ascii="仿宋" w:hAnsi="仿宋" w:eastAsia="仿宋" w:cs="Helvetica"/>
          <w:color w:val="auto"/>
          <w:kern w:val="0"/>
          <w:sz w:val="24"/>
          <w:szCs w:val="24"/>
          <w:lang w:val="en-US" w:eastAsia="zh-CN"/>
        </w:rPr>
        <w:t>XXX</w:t>
      </w:r>
      <w:r>
        <w:rPr>
          <w:rFonts w:hint="eastAsia" w:ascii="仿宋" w:hAnsi="仿宋" w:eastAsia="仿宋" w:cs="Helvetica"/>
          <w:color w:val="auto"/>
          <w:kern w:val="0"/>
          <w:sz w:val="24"/>
          <w:szCs w:val="24"/>
        </w:rPr>
        <w:t>】政府采购活动，郑重承诺：</w:t>
      </w:r>
    </w:p>
    <w:p w14:paraId="2D0447D4">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（一）具备《中华人民共和国政府采购法》第二十二条第一款规定的条件：</w:t>
      </w:r>
    </w:p>
    <w:p w14:paraId="6CF08F3B">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1、具有独立承担民事责任的能力；</w:t>
      </w:r>
    </w:p>
    <w:p w14:paraId="2B6B7BF5">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 xml:space="preserve">2、具有良好的商业信誉和健全的财务会计制度； </w:t>
      </w:r>
    </w:p>
    <w:p w14:paraId="1B446180">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3、具有履行合同所必需的设备和专业技术能力；</w:t>
      </w:r>
    </w:p>
    <w:p w14:paraId="3F1DE85A">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4、有依法缴纳税收和社会保障资金的良好记录；</w:t>
      </w:r>
    </w:p>
    <w:p w14:paraId="3BF31751">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5、参加政府采购活动前三年内，在经营活动中没有重大违法记录；</w:t>
      </w:r>
    </w:p>
    <w:p w14:paraId="56C49C22">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6、具有法律、行政法规规定的其他条件。</w:t>
      </w:r>
    </w:p>
    <w:p w14:paraId="4FF3D94F">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（二）未被信用中国（www.creditchina.gov.cn)、中国政府采购网（www.ccgp.gov.cn）列入失信被执行人、重大税收违法案件当事人名单、政府采购严重违法失信行为记录名单。</w:t>
      </w:r>
    </w:p>
    <w:p w14:paraId="1E72E1B0">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（三）不存在以下情况：</w:t>
      </w:r>
    </w:p>
    <w:p w14:paraId="24E175A3">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1、单位负责人为同一人或者存在直接控股、管理关系的不同供应商参加同一合同项下的政府采购活动的；</w:t>
      </w:r>
    </w:p>
    <w:p w14:paraId="1D15A22F">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2、为采购项目提供整体设计、规范编制或者项目管理、监理、检测等服务后再参加该采购项目的其他采购活动的。</w:t>
      </w:r>
    </w:p>
    <w:p w14:paraId="31C7F7B8">
      <w:pPr>
        <w:tabs>
          <w:tab w:val="left" w:pos="0"/>
        </w:tabs>
        <w:snapToGrid w:val="0"/>
        <w:spacing w:line="360" w:lineRule="auto"/>
        <w:ind w:firstLine="480"/>
        <w:rPr>
          <w:rFonts w:hint="eastAsia" w:ascii="仿宋" w:hAnsi="仿宋" w:eastAsia="仿宋" w:cs="Helvetica"/>
          <w:color w:val="auto"/>
          <w:kern w:val="0"/>
          <w:sz w:val="24"/>
          <w:szCs w:val="24"/>
        </w:rPr>
      </w:pPr>
    </w:p>
    <w:p w14:paraId="0D91FCA4">
      <w:pPr>
        <w:tabs>
          <w:tab w:val="left" w:pos="0"/>
        </w:tabs>
        <w:snapToGrid w:val="0"/>
        <w:spacing w:line="360" w:lineRule="auto"/>
        <w:ind w:firstLine="480"/>
        <w:rPr>
          <w:rFonts w:hint="eastAsia" w:ascii="仿宋" w:hAnsi="仿宋" w:eastAsia="仿宋" w:cs="Helvetica"/>
          <w:color w:val="auto"/>
          <w:kern w:val="0"/>
          <w:sz w:val="24"/>
          <w:szCs w:val="24"/>
        </w:rPr>
      </w:pPr>
    </w:p>
    <w:p w14:paraId="73BA6280">
      <w:pPr>
        <w:tabs>
          <w:tab w:val="left" w:pos="0"/>
        </w:tabs>
        <w:snapToGrid w:val="0"/>
        <w:spacing w:line="360" w:lineRule="auto"/>
        <w:ind w:firstLine="480"/>
        <w:rPr>
          <w:rFonts w:hint="eastAsia" w:ascii="仿宋" w:hAnsi="仿宋" w:eastAsia="仿宋" w:cs="Helvetica"/>
          <w:color w:val="auto"/>
          <w:kern w:val="0"/>
          <w:sz w:val="24"/>
          <w:szCs w:val="24"/>
        </w:rPr>
      </w:pPr>
    </w:p>
    <w:p w14:paraId="473AD309">
      <w:pPr>
        <w:tabs>
          <w:tab w:val="left" w:pos="0"/>
        </w:tabs>
        <w:snapToGrid w:val="0"/>
        <w:spacing w:line="360" w:lineRule="auto"/>
        <w:ind w:firstLine="480"/>
        <w:rPr>
          <w:rFonts w:hint="eastAsia" w:ascii="仿宋" w:hAnsi="仿宋" w:eastAsia="仿宋" w:cs="Helvetica"/>
          <w:color w:val="auto"/>
          <w:kern w:val="0"/>
          <w:sz w:val="24"/>
          <w:szCs w:val="24"/>
        </w:rPr>
      </w:pPr>
    </w:p>
    <w:p w14:paraId="4E111BA8">
      <w:pPr>
        <w:tabs>
          <w:tab w:val="left" w:pos="0"/>
        </w:tabs>
        <w:snapToGrid w:val="0"/>
        <w:spacing w:line="360" w:lineRule="auto"/>
        <w:ind w:firstLine="5040" w:firstLineChars="210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投标人名称(电子签名)：</w:t>
      </w:r>
    </w:p>
    <w:p w14:paraId="179DC052">
      <w:pPr>
        <w:tabs>
          <w:tab w:val="left" w:pos="0"/>
        </w:tabs>
        <w:snapToGrid w:val="0"/>
        <w:spacing w:line="360" w:lineRule="auto"/>
        <w:ind w:firstLine="480"/>
        <w:rPr>
          <w:rFonts w:hint="eastAsia" w:ascii="仿宋" w:hAnsi="仿宋" w:eastAsia="仿宋" w:cs="Helvetica"/>
          <w:color w:val="auto"/>
          <w:kern w:val="0"/>
          <w:sz w:val="24"/>
          <w:szCs w:val="24"/>
        </w:rPr>
      </w:pPr>
      <w:r>
        <w:rPr>
          <w:rFonts w:hint="eastAsia" w:ascii="仿宋" w:hAnsi="仿宋" w:eastAsia="仿宋" w:cs="Helvetica"/>
          <w:color w:val="auto"/>
          <w:kern w:val="0"/>
          <w:sz w:val="24"/>
          <w:szCs w:val="24"/>
        </w:rPr>
        <w:t xml:space="preserve">                                       日期：  年  月  日</w:t>
      </w:r>
    </w:p>
    <w:p w14:paraId="5407822A">
      <w:pPr>
        <w:pStyle w:val="6"/>
        <w:rPr>
          <w:color w:val="auto"/>
        </w:rPr>
        <w:sectPr>
          <w:pgSz w:w="11906" w:h="16838"/>
          <w:pgMar w:top="1440" w:right="1800" w:bottom="1440" w:left="1800" w:header="851" w:footer="992" w:gutter="0"/>
          <w:cols w:space="720" w:num="1"/>
          <w:docGrid w:type="lines" w:linePitch="312" w:charSpace="0"/>
        </w:sectPr>
      </w:pPr>
    </w:p>
    <w:p w14:paraId="77BC83F3">
      <w:pPr>
        <w:rPr>
          <w:color w:val="auto"/>
        </w:rPr>
      </w:pPr>
      <w:bookmarkStart w:id="46" w:name="_Toc25524"/>
      <w:r>
        <w:rPr>
          <w:rFonts w:hint="eastAsia"/>
          <w:color w:val="auto"/>
          <w:lang w:eastAsia="zh-CN"/>
        </w:rPr>
        <w:t>附件二</w:t>
      </w:r>
    </w:p>
    <w:p w14:paraId="2937D4A1">
      <w:pPr>
        <w:snapToGrid w:val="0"/>
        <w:spacing w:line="360" w:lineRule="auto"/>
        <w:ind w:firstLine="5421" w:firstLineChars="1800"/>
        <w:jc w:val="both"/>
        <w:rPr>
          <w:rFonts w:ascii="仿宋" w:hAnsi="仿宋" w:eastAsia="仿宋" w:cs="Arial"/>
          <w:b/>
          <w:color w:val="auto"/>
          <w:sz w:val="30"/>
          <w:szCs w:val="30"/>
        </w:rPr>
      </w:pPr>
      <w:r>
        <w:rPr>
          <w:rFonts w:hint="eastAsia" w:ascii="仿宋" w:hAnsi="仿宋" w:eastAsia="仿宋" w:cs="Arial"/>
          <w:b/>
          <w:color w:val="auto"/>
          <w:sz w:val="30"/>
          <w:szCs w:val="30"/>
        </w:rPr>
        <w:t>开标一览表</w:t>
      </w:r>
    </w:p>
    <w:p w14:paraId="1A75D7F1">
      <w:pPr>
        <w:snapToGrid w:val="0"/>
        <w:spacing w:line="360" w:lineRule="auto"/>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招标编号：</w:t>
      </w:r>
      <w:r>
        <w:rPr>
          <w:rFonts w:ascii="仿宋" w:hAnsi="仿宋" w:eastAsia="仿宋" w:cs="Arial"/>
          <w:color w:val="auto"/>
          <w:sz w:val="24"/>
          <w:szCs w:val="24"/>
          <w:u w:val="single"/>
        </w:rPr>
        <w:t xml:space="preserve">                     </w:t>
      </w:r>
      <w:r>
        <w:rPr>
          <w:rFonts w:hint="eastAsia" w:ascii="仿宋" w:hAnsi="仿宋" w:eastAsia="仿宋" w:cs="Arial"/>
          <w:color w:val="auto"/>
          <w:sz w:val="24"/>
          <w:szCs w:val="24"/>
        </w:rPr>
        <w:t>标项：</w:t>
      </w:r>
      <w:r>
        <w:rPr>
          <w:rFonts w:ascii="仿宋" w:hAnsi="仿宋" w:eastAsia="仿宋" w:cs="Arial"/>
          <w:color w:val="auto"/>
          <w:sz w:val="24"/>
          <w:szCs w:val="24"/>
          <w:u w:val="single"/>
        </w:rPr>
        <w:t xml:space="preserve">             </w:t>
      </w:r>
      <w:r>
        <w:rPr>
          <w:rFonts w:ascii="仿宋" w:hAnsi="仿宋" w:eastAsia="仿宋" w:cs="Arial"/>
          <w:color w:val="auto"/>
          <w:sz w:val="24"/>
          <w:szCs w:val="24"/>
        </w:rPr>
        <w:t xml:space="preserve"> </w:t>
      </w:r>
      <w:r>
        <w:rPr>
          <w:rFonts w:hint="eastAsia" w:ascii="仿宋" w:hAnsi="仿宋" w:eastAsia="仿宋" w:cs="Arial"/>
          <w:color w:val="auto"/>
          <w:sz w:val="24"/>
          <w:szCs w:val="24"/>
        </w:rPr>
        <w:t>投标人名称：</w:t>
      </w:r>
      <w:r>
        <w:rPr>
          <w:rFonts w:ascii="仿宋" w:hAnsi="仿宋" w:eastAsia="仿宋" w:cs="Arial"/>
          <w:color w:val="auto"/>
          <w:sz w:val="24"/>
          <w:szCs w:val="24"/>
          <w:u w:val="single"/>
        </w:rPr>
        <w:t xml:space="preserve">                           </w:t>
      </w:r>
      <w:r>
        <w:rPr>
          <w:rFonts w:ascii="仿宋" w:hAnsi="仿宋" w:eastAsia="仿宋" w:cs="Arial"/>
          <w:color w:val="auto"/>
          <w:sz w:val="24"/>
          <w:szCs w:val="24"/>
        </w:rPr>
        <w:t xml:space="preserve">  </w:t>
      </w:r>
      <w:r>
        <w:rPr>
          <w:rFonts w:hint="eastAsia" w:ascii="仿宋" w:hAnsi="仿宋" w:eastAsia="仿宋" w:cs="Arial"/>
          <w:color w:val="auto"/>
          <w:sz w:val="24"/>
          <w:szCs w:val="24"/>
        </w:rPr>
        <w:t>单位：元</w:t>
      </w:r>
    </w:p>
    <w:tbl>
      <w:tblPr>
        <w:tblStyle w:val="2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47B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7F853E22">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1417" w:type="dxa"/>
            <w:noWrap w:val="0"/>
            <w:vAlign w:val="center"/>
          </w:tcPr>
          <w:p w14:paraId="5A89B80D">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1843" w:type="dxa"/>
            <w:noWrap w:val="0"/>
            <w:vAlign w:val="top"/>
          </w:tcPr>
          <w:p w14:paraId="2F3A218B">
            <w:pPr>
              <w:spacing w:line="360" w:lineRule="auto"/>
              <w:jc w:val="center"/>
              <w:rPr>
                <w:rFonts w:ascii="仿宋_GB2312" w:hAnsi="仿宋" w:eastAsia="仿宋_GB2312"/>
                <w:b/>
                <w:color w:val="auto"/>
                <w:sz w:val="24"/>
              </w:rPr>
            </w:pPr>
          </w:p>
          <w:p w14:paraId="7E45F1F1">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3118" w:type="dxa"/>
            <w:noWrap w:val="0"/>
            <w:vAlign w:val="center"/>
          </w:tcPr>
          <w:p w14:paraId="7B5BA44F">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规格型号（或具体服务）</w:t>
            </w:r>
          </w:p>
        </w:tc>
        <w:tc>
          <w:tcPr>
            <w:tcW w:w="993" w:type="dxa"/>
            <w:noWrap w:val="0"/>
            <w:vAlign w:val="center"/>
          </w:tcPr>
          <w:p w14:paraId="3B27C65E">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1559" w:type="dxa"/>
            <w:noWrap w:val="0"/>
            <w:vAlign w:val="center"/>
          </w:tcPr>
          <w:p w14:paraId="70A3EA70">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1984" w:type="dxa"/>
            <w:noWrap w:val="0"/>
            <w:vAlign w:val="center"/>
          </w:tcPr>
          <w:p w14:paraId="3B917879">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总价</w:t>
            </w:r>
          </w:p>
        </w:tc>
        <w:tc>
          <w:tcPr>
            <w:tcW w:w="3119" w:type="dxa"/>
            <w:noWrap w:val="0"/>
            <w:vAlign w:val="center"/>
          </w:tcPr>
          <w:p w14:paraId="054A9B92">
            <w:pPr>
              <w:spacing w:line="360" w:lineRule="auto"/>
              <w:jc w:val="center"/>
              <w:rPr>
                <w:rFonts w:ascii="仿宋_GB2312" w:hAnsi="仿宋" w:eastAsia="仿宋_GB2312"/>
                <w:b/>
                <w:color w:val="auto"/>
                <w:sz w:val="24"/>
              </w:rPr>
            </w:pPr>
          </w:p>
          <w:p w14:paraId="1AC51EC4">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服务要求（年限）</w:t>
            </w:r>
          </w:p>
          <w:p w14:paraId="1A4D2F2A">
            <w:pPr>
              <w:spacing w:line="360" w:lineRule="auto"/>
              <w:jc w:val="center"/>
              <w:rPr>
                <w:rFonts w:ascii="仿宋_GB2312" w:hAnsi="仿宋" w:eastAsia="仿宋_GB2312"/>
                <w:b/>
                <w:color w:val="auto"/>
                <w:sz w:val="24"/>
              </w:rPr>
            </w:pPr>
          </w:p>
        </w:tc>
      </w:tr>
      <w:tr w14:paraId="6975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1E6C2E75">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417" w:type="dxa"/>
            <w:noWrap w:val="0"/>
            <w:vAlign w:val="center"/>
          </w:tcPr>
          <w:p w14:paraId="33ADB458">
            <w:pPr>
              <w:snapToGrid w:val="0"/>
              <w:spacing w:line="360" w:lineRule="auto"/>
              <w:jc w:val="center"/>
              <w:rPr>
                <w:rFonts w:ascii="仿宋_GB2312" w:hAnsi="仿宋" w:eastAsia="仿宋_GB2312" w:cs="仿宋_GB2312"/>
                <w:color w:val="auto"/>
                <w:sz w:val="24"/>
              </w:rPr>
            </w:pPr>
          </w:p>
        </w:tc>
        <w:tc>
          <w:tcPr>
            <w:tcW w:w="1843" w:type="dxa"/>
            <w:noWrap w:val="0"/>
            <w:vAlign w:val="center"/>
          </w:tcPr>
          <w:p w14:paraId="690D5ADB">
            <w:pPr>
              <w:snapToGrid w:val="0"/>
              <w:spacing w:line="360" w:lineRule="auto"/>
              <w:jc w:val="center"/>
              <w:rPr>
                <w:rFonts w:ascii="仿宋_GB2312" w:hAnsi="仿宋" w:eastAsia="仿宋_GB2312" w:cs="仿宋_GB2312"/>
                <w:color w:val="auto"/>
                <w:sz w:val="24"/>
              </w:rPr>
            </w:pPr>
          </w:p>
        </w:tc>
        <w:tc>
          <w:tcPr>
            <w:tcW w:w="3118" w:type="dxa"/>
            <w:noWrap w:val="0"/>
            <w:vAlign w:val="center"/>
          </w:tcPr>
          <w:p w14:paraId="2953B5DB">
            <w:pPr>
              <w:snapToGrid w:val="0"/>
              <w:spacing w:line="360" w:lineRule="auto"/>
              <w:jc w:val="center"/>
              <w:rPr>
                <w:rFonts w:ascii="仿宋_GB2312" w:hAnsi="仿宋" w:eastAsia="仿宋_GB2312" w:cs="仿宋_GB2312"/>
                <w:color w:val="auto"/>
                <w:sz w:val="24"/>
              </w:rPr>
            </w:pPr>
          </w:p>
        </w:tc>
        <w:tc>
          <w:tcPr>
            <w:tcW w:w="993" w:type="dxa"/>
            <w:noWrap w:val="0"/>
            <w:vAlign w:val="center"/>
          </w:tcPr>
          <w:p w14:paraId="0DE20C10">
            <w:pPr>
              <w:snapToGrid w:val="0"/>
              <w:spacing w:line="360" w:lineRule="auto"/>
              <w:jc w:val="center"/>
              <w:rPr>
                <w:rFonts w:ascii="仿宋_GB2312" w:hAnsi="仿宋" w:eastAsia="仿宋_GB2312" w:cs="仿宋_GB2312"/>
                <w:color w:val="auto"/>
                <w:sz w:val="24"/>
              </w:rPr>
            </w:pPr>
          </w:p>
        </w:tc>
        <w:tc>
          <w:tcPr>
            <w:tcW w:w="1559" w:type="dxa"/>
            <w:noWrap w:val="0"/>
            <w:vAlign w:val="center"/>
          </w:tcPr>
          <w:p w14:paraId="0C89CB99">
            <w:pPr>
              <w:spacing w:line="360" w:lineRule="auto"/>
              <w:jc w:val="center"/>
              <w:rPr>
                <w:rFonts w:ascii="仿宋_GB2312" w:hAnsi="仿宋" w:eastAsia="仿宋_GB2312" w:cs="仿宋_GB2312"/>
                <w:color w:val="auto"/>
                <w:sz w:val="24"/>
              </w:rPr>
            </w:pPr>
          </w:p>
        </w:tc>
        <w:tc>
          <w:tcPr>
            <w:tcW w:w="1984" w:type="dxa"/>
            <w:noWrap w:val="0"/>
            <w:vAlign w:val="center"/>
          </w:tcPr>
          <w:p w14:paraId="0ED58CF6">
            <w:pPr>
              <w:spacing w:line="360" w:lineRule="auto"/>
              <w:jc w:val="center"/>
              <w:rPr>
                <w:rFonts w:ascii="仿宋_GB2312" w:hAnsi="仿宋" w:eastAsia="仿宋_GB2312" w:cs="仿宋_GB2312"/>
                <w:color w:val="auto"/>
                <w:sz w:val="24"/>
              </w:rPr>
            </w:pPr>
          </w:p>
        </w:tc>
        <w:tc>
          <w:tcPr>
            <w:tcW w:w="3119" w:type="dxa"/>
            <w:noWrap w:val="0"/>
            <w:vAlign w:val="center"/>
          </w:tcPr>
          <w:p w14:paraId="741BE701">
            <w:pPr>
              <w:spacing w:line="360" w:lineRule="auto"/>
              <w:jc w:val="center"/>
              <w:rPr>
                <w:rFonts w:ascii="仿宋_GB2312" w:hAnsi="仿宋" w:eastAsia="仿宋_GB2312" w:cs="仿宋_GB2312"/>
                <w:color w:val="auto"/>
                <w:sz w:val="24"/>
              </w:rPr>
            </w:pPr>
          </w:p>
        </w:tc>
      </w:tr>
      <w:tr w14:paraId="063D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6FC7173">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417" w:type="dxa"/>
            <w:noWrap w:val="0"/>
            <w:vAlign w:val="center"/>
          </w:tcPr>
          <w:p w14:paraId="2FB7B034">
            <w:pPr>
              <w:snapToGrid w:val="0"/>
              <w:spacing w:line="360" w:lineRule="auto"/>
              <w:jc w:val="center"/>
              <w:rPr>
                <w:rFonts w:ascii="仿宋_GB2312" w:hAnsi="仿宋" w:eastAsia="仿宋_GB2312" w:cs="仿宋_GB2312"/>
                <w:color w:val="auto"/>
                <w:sz w:val="24"/>
              </w:rPr>
            </w:pPr>
          </w:p>
        </w:tc>
        <w:tc>
          <w:tcPr>
            <w:tcW w:w="1843" w:type="dxa"/>
            <w:noWrap w:val="0"/>
            <w:vAlign w:val="center"/>
          </w:tcPr>
          <w:p w14:paraId="3125BAE7">
            <w:pPr>
              <w:snapToGrid w:val="0"/>
              <w:spacing w:line="360" w:lineRule="auto"/>
              <w:jc w:val="center"/>
              <w:rPr>
                <w:rFonts w:ascii="仿宋_GB2312" w:hAnsi="仿宋" w:eastAsia="仿宋_GB2312" w:cs="仿宋_GB2312"/>
                <w:color w:val="auto"/>
                <w:sz w:val="24"/>
              </w:rPr>
            </w:pPr>
          </w:p>
        </w:tc>
        <w:tc>
          <w:tcPr>
            <w:tcW w:w="3118" w:type="dxa"/>
            <w:noWrap w:val="0"/>
            <w:vAlign w:val="center"/>
          </w:tcPr>
          <w:p w14:paraId="72E45136">
            <w:pPr>
              <w:snapToGrid w:val="0"/>
              <w:spacing w:line="360" w:lineRule="auto"/>
              <w:jc w:val="center"/>
              <w:rPr>
                <w:rFonts w:ascii="仿宋_GB2312" w:hAnsi="仿宋" w:eastAsia="仿宋_GB2312" w:cs="仿宋_GB2312"/>
                <w:color w:val="auto"/>
                <w:sz w:val="24"/>
              </w:rPr>
            </w:pPr>
          </w:p>
        </w:tc>
        <w:tc>
          <w:tcPr>
            <w:tcW w:w="993" w:type="dxa"/>
            <w:noWrap w:val="0"/>
            <w:vAlign w:val="center"/>
          </w:tcPr>
          <w:p w14:paraId="5EA84C97">
            <w:pPr>
              <w:snapToGrid w:val="0"/>
              <w:spacing w:line="360" w:lineRule="auto"/>
              <w:jc w:val="center"/>
              <w:rPr>
                <w:rFonts w:ascii="仿宋_GB2312" w:hAnsi="仿宋" w:eastAsia="仿宋_GB2312" w:cs="仿宋_GB2312"/>
                <w:color w:val="auto"/>
                <w:sz w:val="24"/>
              </w:rPr>
            </w:pPr>
          </w:p>
        </w:tc>
        <w:tc>
          <w:tcPr>
            <w:tcW w:w="1559" w:type="dxa"/>
            <w:noWrap w:val="0"/>
            <w:vAlign w:val="center"/>
          </w:tcPr>
          <w:p w14:paraId="187C3788">
            <w:pPr>
              <w:spacing w:line="360" w:lineRule="auto"/>
              <w:jc w:val="center"/>
              <w:rPr>
                <w:rFonts w:ascii="仿宋_GB2312" w:hAnsi="仿宋" w:eastAsia="仿宋_GB2312" w:cs="仿宋_GB2312"/>
                <w:color w:val="auto"/>
                <w:sz w:val="24"/>
              </w:rPr>
            </w:pPr>
          </w:p>
        </w:tc>
        <w:tc>
          <w:tcPr>
            <w:tcW w:w="1984" w:type="dxa"/>
            <w:noWrap w:val="0"/>
            <w:vAlign w:val="center"/>
          </w:tcPr>
          <w:p w14:paraId="14A7A2A4">
            <w:pPr>
              <w:spacing w:line="360" w:lineRule="auto"/>
              <w:jc w:val="center"/>
              <w:rPr>
                <w:rFonts w:ascii="仿宋_GB2312" w:hAnsi="仿宋" w:eastAsia="仿宋_GB2312" w:cs="仿宋_GB2312"/>
                <w:color w:val="auto"/>
                <w:sz w:val="24"/>
              </w:rPr>
            </w:pPr>
          </w:p>
        </w:tc>
        <w:tc>
          <w:tcPr>
            <w:tcW w:w="3119" w:type="dxa"/>
            <w:noWrap w:val="0"/>
            <w:vAlign w:val="center"/>
          </w:tcPr>
          <w:p w14:paraId="1D1A807F">
            <w:pPr>
              <w:spacing w:line="360" w:lineRule="auto"/>
              <w:jc w:val="center"/>
              <w:rPr>
                <w:rFonts w:ascii="仿宋_GB2312" w:hAnsi="仿宋" w:eastAsia="仿宋_GB2312" w:cs="仿宋_GB2312"/>
                <w:color w:val="auto"/>
                <w:sz w:val="24"/>
              </w:rPr>
            </w:pPr>
          </w:p>
        </w:tc>
      </w:tr>
      <w:tr w14:paraId="3FF4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7A5F3C1F">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w:t>
            </w:r>
          </w:p>
        </w:tc>
        <w:tc>
          <w:tcPr>
            <w:tcW w:w="1417" w:type="dxa"/>
            <w:noWrap w:val="0"/>
            <w:vAlign w:val="center"/>
          </w:tcPr>
          <w:p w14:paraId="7651672A">
            <w:pPr>
              <w:snapToGrid w:val="0"/>
              <w:spacing w:line="360" w:lineRule="auto"/>
              <w:jc w:val="center"/>
              <w:rPr>
                <w:rFonts w:ascii="仿宋_GB2312" w:hAnsi="仿宋" w:eastAsia="仿宋_GB2312" w:cs="仿宋_GB2312"/>
                <w:color w:val="auto"/>
                <w:sz w:val="24"/>
              </w:rPr>
            </w:pPr>
          </w:p>
        </w:tc>
        <w:tc>
          <w:tcPr>
            <w:tcW w:w="1843" w:type="dxa"/>
            <w:noWrap w:val="0"/>
            <w:vAlign w:val="center"/>
          </w:tcPr>
          <w:p w14:paraId="2528603D">
            <w:pPr>
              <w:snapToGrid w:val="0"/>
              <w:spacing w:line="360" w:lineRule="auto"/>
              <w:jc w:val="center"/>
              <w:rPr>
                <w:rFonts w:ascii="仿宋_GB2312" w:hAnsi="仿宋" w:eastAsia="仿宋_GB2312" w:cs="仿宋_GB2312"/>
                <w:color w:val="auto"/>
                <w:sz w:val="24"/>
              </w:rPr>
            </w:pPr>
          </w:p>
        </w:tc>
        <w:tc>
          <w:tcPr>
            <w:tcW w:w="3118" w:type="dxa"/>
            <w:noWrap w:val="0"/>
            <w:vAlign w:val="center"/>
          </w:tcPr>
          <w:p w14:paraId="734B7335">
            <w:pPr>
              <w:snapToGrid w:val="0"/>
              <w:spacing w:line="360" w:lineRule="auto"/>
              <w:jc w:val="center"/>
              <w:rPr>
                <w:rFonts w:ascii="仿宋_GB2312" w:hAnsi="仿宋" w:eastAsia="仿宋_GB2312" w:cs="仿宋_GB2312"/>
                <w:color w:val="auto"/>
                <w:sz w:val="24"/>
              </w:rPr>
            </w:pPr>
          </w:p>
        </w:tc>
        <w:tc>
          <w:tcPr>
            <w:tcW w:w="993" w:type="dxa"/>
            <w:noWrap w:val="0"/>
            <w:vAlign w:val="center"/>
          </w:tcPr>
          <w:p w14:paraId="59A72C02">
            <w:pPr>
              <w:snapToGrid w:val="0"/>
              <w:spacing w:line="360" w:lineRule="auto"/>
              <w:jc w:val="center"/>
              <w:rPr>
                <w:rFonts w:ascii="仿宋_GB2312" w:hAnsi="仿宋" w:eastAsia="仿宋_GB2312" w:cs="仿宋_GB2312"/>
                <w:color w:val="auto"/>
                <w:sz w:val="24"/>
              </w:rPr>
            </w:pPr>
          </w:p>
        </w:tc>
        <w:tc>
          <w:tcPr>
            <w:tcW w:w="1559" w:type="dxa"/>
            <w:noWrap w:val="0"/>
            <w:vAlign w:val="center"/>
          </w:tcPr>
          <w:p w14:paraId="3A9BF98E">
            <w:pPr>
              <w:spacing w:line="360" w:lineRule="auto"/>
              <w:jc w:val="center"/>
              <w:rPr>
                <w:rFonts w:ascii="仿宋_GB2312" w:hAnsi="仿宋" w:eastAsia="仿宋_GB2312" w:cs="仿宋_GB2312"/>
                <w:color w:val="auto"/>
                <w:sz w:val="24"/>
              </w:rPr>
            </w:pPr>
          </w:p>
        </w:tc>
        <w:tc>
          <w:tcPr>
            <w:tcW w:w="1984" w:type="dxa"/>
            <w:noWrap w:val="0"/>
            <w:vAlign w:val="center"/>
          </w:tcPr>
          <w:p w14:paraId="66A5D11D">
            <w:pPr>
              <w:spacing w:line="360" w:lineRule="auto"/>
              <w:jc w:val="center"/>
              <w:rPr>
                <w:rFonts w:ascii="仿宋_GB2312" w:hAnsi="仿宋" w:eastAsia="仿宋_GB2312" w:cs="仿宋_GB2312"/>
                <w:color w:val="auto"/>
                <w:sz w:val="24"/>
              </w:rPr>
            </w:pPr>
          </w:p>
        </w:tc>
        <w:tc>
          <w:tcPr>
            <w:tcW w:w="3119" w:type="dxa"/>
            <w:noWrap w:val="0"/>
            <w:vAlign w:val="center"/>
          </w:tcPr>
          <w:p w14:paraId="07E49571">
            <w:pPr>
              <w:spacing w:line="360" w:lineRule="auto"/>
              <w:jc w:val="center"/>
              <w:rPr>
                <w:rFonts w:ascii="仿宋_GB2312" w:hAnsi="仿宋" w:eastAsia="仿宋_GB2312" w:cs="仿宋_GB2312"/>
                <w:color w:val="auto"/>
                <w:sz w:val="24"/>
              </w:rPr>
            </w:pPr>
          </w:p>
        </w:tc>
      </w:tr>
      <w:tr w14:paraId="6AC4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E0C2EC7">
            <w:pPr>
              <w:spacing w:line="360" w:lineRule="auto"/>
              <w:jc w:val="center"/>
              <w:rPr>
                <w:rFonts w:ascii="仿宋_GB2312" w:hAnsi="仿宋" w:eastAsia="仿宋_GB2312" w:cs="仿宋_GB2312"/>
                <w:color w:val="auto"/>
                <w:sz w:val="24"/>
              </w:rPr>
            </w:pPr>
          </w:p>
        </w:tc>
        <w:tc>
          <w:tcPr>
            <w:tcW w:w="1417" w:type="dxa"/>
            <w:noWrap w:val="0"/>
            <w:vAlign w:val="center"/>
          </w:tcPr>
          <w:p w14:paraId="4A8949B4">
            <w:pPr>
              <w:snapToGrid w:val="0"/>
              <w:spacing w:line="360" w:lineRule="auto"/>
              <w:jc w:val="center"/>
              <w:rPr>
                <w:rFonts w:ascii="仿宋_GB2312" w:hAnsi="仿宋" w:eastAsia="仿宋_GB2312" w:cs="仿宋_GB2312"/>
                <w:color w:val="auto"/>
                <w:sz w:val="24"/>
              </w:rPr>
            </w:pPr>
          </w:p>
        </w:tc>
        <w:tc>
          <w:tcPr>
            <w:tcW w:w="1843" w:type="dxa"/>
            <w:noWrap w:val="0"/>
            <w:vAlign w:val="center"/>
          </w:tcPr>
          <w:p w14:paraId="6BF9AC57">
            <w:pPr>
              <w:snapToGrid w:val="0"/>
              <w:spacing w:line="360" w:lineRule="auto"/>
              <w:jc w:val="center"/>
              <w:rPr>
                <w:rFonts w:ascii="仿宋_GB2312" w:hAnsi="仿宋" w:eastAsia="仿宋_GB2312" w:cs="仿宋_GB2312"/>
                <w:color w:val="auto"/>
                <w:sz w:val="24"/>
              </w:rPr>
            </w:pPr>
          </w:p>
        </w:tc>
        <w:tc>
          <w:tcPr>
            <w:tcW w:w="3118" w:type="dxa"/>
            <w:noWrap w:val="0"/>
            <w:vAlign w:val="center"/>
          </w:tcPr>
          <w:p w14:paraId="28C6203A">
            <w:pPr>
              <w:snapToGrid w:val="0"/>
              <w:spacing w:line="360" w:lineRule="auto"/>
              <w:jc w:val="center"/>
              <w:rPr>
                <w:rFonts w:ascii="仿宋_GB2312" w:hAnsi="仿宋" w:eastAsia="仿宋_GB2312" w:cs="仿宋_GB2312"/>
                <w:color w:val="auto"/>
                <w:sz w:val="24"/>
              </w:rPr>
            </w:pPr>
          </w:p>
        </w:tc>
        <w:tc>
          <w:tcPr>
            <w:tcW w:w="993" w:type="dxa"/>
            <w:noWrap w:val="0"/>
            <w:vAlign w:val="center"/>
          </w:tcPr>
          <w:p w14:paraId="5E1DB845">
            <w:pPr>
              <w:snapToGrid w:val="0"/>
              <w:spacing w:line="360" w:lineRule="auto"/>
              <w:jc w:val="center"/>
              <w:rPr>
                <w:rFonts w:ascii="仿宋_GB2312" w:hAnsi="仿宋" w:eastAsia="仿宋_GB2312" w:cs="仿宋_GB2312"/>
                <w:color w:val="auto"/>
                <w:sz w:val="24"/>
              </w:rPr>
            </w:pPr>
          </w:p>
        </w:tc>
        <w:tc>
          <w:tcPr>
            <w:tcW w:w="1559" w:type="dxa"/>
            <w:noWrap w:val="0"/>
            <w:vAlign w:val="center"/>
          </w:tcPr>
          <w:p w14:paraId="068DE9C7">
            <w:pPr>
              <w:spacing w:line="360" w:lineRule="auto"/>
              <w:jc w:val="center"/>
              <w:rPr>
                <w:rFonts w:ascii="仿宋_GB2312" w:hAnsi="仿宋" w:eastAsia="仿宋_GB2312" w:cs="仿宋_GB2312"/>
                <w:color w:val="auto"/>
                <w:sz w:val="24"/>
              </w:rPr>
            </w:pPr>
          </w:p>
        </w:tc>
        <w:tc>
          <w:tcPr>
            <w:tcW w:w="1984" w:type="dxa"/>
            <w:noWrap w:val="0"/>
            <w:vAlign w:val="center"/>
          </w:tcPr>
          <w:p w14:paraId="271CE956">
            <w:pPr>
              <w:spacing w:line="360" w:lineRule="auto"/>
              <w:jc w:val="center"/>
              <w:rPr>
                <w:rFonts w:ascii="仿宋_GB2312" w:hAnsi="仿宋" w:eastAsia="仿宋_GB2312" w:cs="仿宋_GB2312"/>
                <w:color w:val="auto"/>
                <w:sz w:val="24"/>
              </w:rPr>
            </w:pPr>
          </w:p>
        </w:tc>
        <w:tc>
          <w:tcPr>
            <w:tcW w:w="3119" w:type="dxa"/>
            <w:noWrap w:val="0"/>
            <w:vAlign w:val="center"/>
          </w:tcPr>
          <w:p w14:paraId="546EB87D">
            <w:pPr>
              <w:spacing w:line="360" w:lineRule="auto"/>
              <w:jc w:val="center"/>
              <w:rPr>
                <w:rFonts w:ascii="仿宋_GB2312" w:hAnsi="仿宋" w:eastAsia="仿宋_GB2312" w:cs="仿宋_GB2312"/>
                <w:color w:val="auto"/>
                <w:sz w:val="24"/>
              </w:rPr>
            </w:pPr>
          </w:p>
        </w:tc>
      </w:tr>
      <w:tr w14:paraId="494D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4A72F9F3">
            <w:pPr>
              <w:spacing w:line="360" w:lineRule="auto"/>
              <w:jc w:val="center"/>
              <w:rPr>
                <w:rFonts w:ascii="仿宋_GB2312" w:hAnsi="仿宋" w:eastAsia="仿宋_GB2312" w:cs="仿宋_GB2312"/>
                <w:color w:val="auto"/>
                <w:sz w:val="24"/>
              </w:rPr>
            </w:pPr>
          </w:p>
        </w:tc>
        <w:tc>
          <w:tcPr>
            <w:tcW w:w="1417" w:type="dxa"/>
            <w:noWrap w:val="0"/>
            <w:vAlign w:val="center"/>
          </w:tcPr>
          <w:p w14:paraId="41466EDE">
            <w:pPr>
              <w:snapToGrid w:val="0"/>
              <w:spacing w:line="360" w:lineRule="auto"/>
              <w:jc w:val="center"/>
              <w:rPr>
                <w:rFonts w:ascii="仿宋_GB2312" w:hAnsi="仿宋" w:eastAsia="仿宋_GB2312" w:cs="仿宋_GB2312"/>
                <w:color w:val="auto"/>
                <w:sz w:val="24"/>
              </w:rPr>
            </w:pPr>
          </w:p>
        </w:tc>
        <w:tc>
          <w:tcPr>
            <w:tcW w:w="1843" w:type="dxa"/>
            <w:noWrap w:val="0"/>
            <w:vAlign w:val="center"/>
          </w:tcPr>
          <w:p w14:paraId="34EC977F">
            <w:pPr>
              <w:snapToGrid w:val="0"/>
              <w:spacing w:line="360" w:lineRule="auto"/>
              <w:jc w:val="center"/>
              <w:rPr>
                <w:rFonts w:ascii="仿宋_GB2312" w:hAnsi="仿宋" w:eastAsia="仿宋_GB2312" w:cs="仿宋_GB2312"/>
                <w:color w:val="auto"/>
                <w:sz w:val="24"/>
              </w:rPr>
            </w:pPr>
          </w:p>
        </w:tc>
        <w:tc>
          <w:tcPr>
            <w:tcW w:w="3118" w:type="dxa"/>
            <w:noWrap w:val="0"/>
            <w:vAlign w:val="center"/>
          </w:tcPr>
          <w:p w14:paraId="139CDF75">
            <w:pPr>
              <w:snapToGrid w:val="0"/>
              <w:spacing w:line="360" w:lineRule="auto"/>
              <w:jc w:val="center"/>
              <w:rPr>
                <w:rFonts w:ascii="仿宋_GB2312" w:hAnsi="仿宋" w:eastAsia="仿宋_GB2312" w:cs="仿宋_GB2312"/>
                <w:color w:val="auto"/>
                <w:sz w:val="24"/>
              </w:rPr>
            </w:pPr>
          </w:p>
        </w:tc>
        <w:tc>
          <w:tcPr>
            <w:tcW w:w="993" w:type="dxa"/>
            <w:noWrap w:val="0"/>
            <w:vAlign w:val="center"/>
          </w:tcPr>
          <w:p w14:paraId="21FAB928">
            <w:pPr>
              <w:snapToGrid w:val="0"/>
              <w:spacing w:line="360" w:lineRule="auto"/>
              <w:jc w:val="center"/>
              <w:rPr>
                <w:rFonts w:ascii="仿宋_GB2312" w:hAnsi="仿宋" w:eastAsia="仿宋_GB2312" w:cs="仿宋_GB2312"/>
                <w:color w:val="auto"/>
                <w:sz w:val="24"/>
              </w:rPr>
            </w:pPr>
          </w:p>
        </w:tc>
        <w:tc>
          <w:tcPr>
            <w:tcW w:w="1559" w:type="dxa"/>
            <w:noWrap w:val="0"/>
            <w:vAlign w:val="center"/>
          </w:tcPr>
          <w:p w14:paraId="7320C664">
            <w:pPr>
              <w:spacing w:line="360" w:lineRule="auto"/>
              <w:jc w:val="center"/>
              <w:rPr>
                <w:rFonts w:ascii="仿宋_GB2312" w:hAnsi="仿宋" w:eastAsia="仿宋_GB2312" w:cs="仿宋_GB2312"/>
                <w:color w:val="auto"/>
                <w:sz w:val="24"/>
              </w:rPr>
            </w:pPr>
          </w:p>
        </w:tc>
        <w:tc>
          <w:tcPr>
            <w:tcW w:w="1984" w:type="dxa"/>
            <w:noWrap w:val="0"/>
            <w:vAlign w:val="center"/>
          </w:tcPr>
          <w:p w14:paraId="227B5233">
            <w:pPr>
              <w:spacing w:line="360" w:lineRule="auto"/>
              <w:jc w:val="center"/>
              <w:rPr>
                <w:rFonts w:ascii="仿宋_GB2312" w:hAnsi="仿宋" w:eastAsia="仿宋_GB2312" w:cs="仿宋_GB2312"/>
                <w:color w:val="auto"/>
                <w:sz w:val="24"/>
              </w:rPr>
            </w:pPr>
          </w:p>
        </w:tc>
        <w:tc>
          <w:tcPr>
            <w:tcW w:w="3119" w:type="dxa"/>
            <w:noWrap w:val="0"/>
            <w:vAlign w:val="center"/>
          </w:tcPr>
          <w:p w14:paraId="323C62AF">
            <w:pPr>
              <w:spacing w:line="360" w:lineRule="auto"/>
              <w:jc w:val="center"/>
              <w:rPr>
                <w:rFonts w:ascii="仿宋_GB2312" w:hAnsi="仿宋" w:eastAsia="仿宋_GB2312" w:cs="仿宋_GB2312"/>
                <w:color w:val="auto"/>
                <w:sz w:val="24"/>
              </w:rPr>
            </w:pPr>
          </w:p>
        </w:tc>
      </w:tr>
      <w:tr w14:paraId="348E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23A1F32D">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7655" w:type="dxa"/>
            <w:gridSpan w:val="4"/>
            <w:noWrap w:val="0"/>
            <w:vAlign w:val="center"/>
          </w:tcPr>
          <w:p w14:paraId="776838A9">
            <w:pPr>
              <w:spacing w:line="360" w:lineRule="auto"/>
              <w:jc w:val="center"/>
              <w:rPr>
                <w:rFonts w:ascii="仿宋_GB2312" w:hAnsi="仿宋" w:eastAsia="仿宋_GB2312" w:cs="仿宋_GB2312"/>
                <w:color w:val="auto"/>
                <w:sz w:val="24"/>
              </w:rPr>
            </w:pPr>
          </w:p>
        </w:tc>
      </w:tr>
      <w:tr w14:paraId="0C92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7957C51D">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7655" w:type="dxa"/>
            <w:gridSpan w:val="4"/>
            <w:noWrap w:val="0"/>
            <w:vAlign w:val="center"/>
          </w:tcPr>
          <w:p w14:paraId="73B7EB3F">
            <w:pPr>
              <w:spacing w:line="360" w:lineRule="auto"/>
              <w:jc w:val="center"/>
              <w:rPr>
                <w:rFonts w:ascii="仿宋_GB2312" w:hAnsi="仿宋" w:eastAsia="仿宋_GB2312" w:cs="仿宋_GB2312"/>
                <w:color w:val="auto"/>
                <w:sz w:val="24"/>
              </w:rPr>
            </w:pPr>
          </w:p>
        </w:tc>
      </w:tr>
    </w:tbl>
    <w:p w14:paraId="59950531">
      <w:pPr>
        <w:snapToGrid w:val="0"/>
        <w:spacing w:line="360" w:lineRule="auto"/>
        <w:ind w:firstLine="420" w:firstLineChars="200"/>
        <w:rPr>
          <w:rFonts w:hint="eastAsia" w:ascii="仿宋" w:hAnsi="仿宋" w:eastAsia="仿宋" w:cs="Arial"/>
          <w:color w:val="auto"/>
          <w:szCs w:val="21"/>
        </w:rPr>
      </w:pPr>
    </w:p>
    <w:p w14:paraId="5D103AAF">
      <w:pPr>
        <w:snapToGrid w:val="0"/>
        <w:spacing w:line="360" w:lineRule="auto"/>
        <w:ind w:firstLine="420" w:firstLineChars="200"/>
        <w:rPr>
          <w:rFonts w:ascii="仿宋" w:hAnsi="仿宋" w:eastAsia="仿宋" w:cs="Arial"/>
          <w:color w:val="auto"/>
          <w:szCs w:val="21"/>
        </w:rPr>
      </w:pPr>
      <w:r>
        <w:rPr>
          <w:rFonts w:hint="eastAsia" w:ascii="仿宋" w:hAnsi="仿宋" w:eastAsia="仿宋" w:cs="Arial"/>
          <w:color w:val="auto"/>
          <w:szCs w:val="21"/>
        </w:rPr>
        <w:t>注</w:t>
      </w:r>
      <w:r>
        <w:rPr>
          <w:rFonts w:ascii="仿宋" w:hAnsi="仿宋" w:eastAsia="仿宋" w:cs="Arial"/>
          <w:color w:val="auto"/>
          <w:szCs w:val="21"/>
        </w:rPr>
        <w:t>: 1</w:t>
      </w:r>
      <w:r>
        <w:rPr>
          <w:rFonts w:hint="eastAsia" w:ascii="仿宋" w:hAnsi="仿宋" w:eastAsia="仿宋" w:cs="Arial"/>
          <w:color w:val="auto"/>
          <w:szCs w:val="21"/>
        </w:rPr>
        <w:t>、不提供此表格的将视为没有实质性响应招标文件。</w:t>
      </w:r>
    </w:p>
    <w:p w14:paraId="5706CC8C">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2</w:t>
      </w:r>
      <w:r>
        <w:rPr>
          <w:rFonts w:hint="eastAsia" w:ascii="仿宋" w:hAnsi="仿宋" w:eastAsia="仿宋" w:cs="Arial"/>
          <w:color w:val="auto"/>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07AD63CD">
      <w:pPr>
        <w:snapToGrid w:val="0"/>
        <w:spacing w:line="360" w:lineRule="auto"/>
        <w:ind w:firstLine="420" w:firstLineChars="200"/>
        <w:rPr>
          <w:rFonts w:ascii="仿宋" w:hAnsi="仿宋" w:eastAsia="仿宋" w:cs="Arial"/>
          <w:color w:val="auto"/>
          <w:szCs w:val="21"/>
        </w:rPr>
      </w:pPr>
      <w:r>
        <w:rPr>
          <w:rFonts w:ascii="仿宋" w:hAnsi="仿宋" w:eastAsia="仿宋" w:cs="Arial"/>
          <w:color w:val="auto"/>
          <w:szCs w:val="21"/>
        </w:rPr>
        <w:t>3</w:t>
      </w:r>
      <w:r>
        <w:rPr>
          <w:rFonts w:hint="eastAsia" w:ascii="仿宋" w:hAnsi="仿宋" w:eastAsia="仿宋" w:cs="Arial"/>
          <w:color w:val="auto"/>
          <w:szCs w:val="21"/>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3FA415D">
      <w:pPr>
        <w:snapToGrid w:val="0"/>
        <w:spacing w:line="360" w:lineRule="auto"/>
        <w:ind w:firstLine="420" w:firstLineChars="200"/>
        <w:rPr>
          <w:rFonts w:hint="eastAsia" w:ascii="仿宋" w:hAnsi="仿宋" w:eastAsia="仿宋" w:cs="Arial"/>
          <w:color w:val="auto"/>
          <w:szCs w:val="21"/>
        </w:rPr>
      </w:pPr>
      <w:r>
        <w:rPr>
          <w:rFonts w:ascii="仿宋" w:hAnsi="仿宋" w:eastAsia="仿宋" w:cs="Arial"/>
          <w:color w:val="auto"/>
          <w:szCs w:val="21"/>
        </w:rPr>
        <w:t>4</w:t>
      </w:r>
      <w:r>
        <w:rPr>
          <w:rFonts w:hint="eastAsia" w:ascii="仿宋" w:hAnsi="仿宋" w:eastAsia="仿宋" w:cs="Arial"/>
          <w:color w:val="auto"/>
          <w:szCs w:val="21"/>
        </w:rPr>
        <w:t>、以上报价应与“投标设备报价明细表”中的“投标总价”相一致。</w:t>
      </w:r>
    </w:p>
    <w:p w14:paraId="54B07257">
      <w:pPr>
        <w:pStyle w:val="2"/>
        <w:ind w:left="0" w:leftChars="0" w:firstLine="422"/>
        <w:rPr>
          <w:rFonts w:eastAsia="仿宋"/>
          <w:color w:val="auto"/>
          <w:lang w:val="en-US"/>
        </w:rPr>
      </w:pPr>
      <w:r>
        <w:rPr>
          <w:rFonts w:hint="eastAsia" w:ascii="仿宋" w:hAnsi="仿宋" w:eastAsia="仿宋" w:cs="Arial"/>
          <w:color w:val="auto"/>
          <w:szCs w:val="21"/>
          <w:lang w:val="en-US"/>
        </w:rPr>
        <w:t>5、可根据项目特点自行制定表格，但不可缺合计金额大小写。</w:t>
      </w:r>
    </w:p>
    <w:p w14:paraId="49A7BA99">
      <w:pPr>
        <w:snapToGrid w:val="0"/>
        <w:spacing w:line="360" w:lineRule="auto"/>
        <w:ind w:firstLine="420" w:firstLineChars="200"/>
        <w:rPr>
          <w:rFonts w:ascii="仿宋" w:hAnsi="仿宋" w:eastAsia="仿宋" w:cs="Arial"/>
          <w:color w:val="auto"/>
          <w:szCs w:val="21"/>
        </w:rPr>
      </w:pPr>
      <w:r>
        <w:rPr>
          <w:rFonts w:hint="eastAsia" w:ascii="仿宋" w:hAnsi="仿宋" w:eastAsia="仿宋" w:cs="Arial"/>
          <w:color w:val="auto"/>
          <w:szCs w:val="21"/>
        </w:rPr>
        <w:t>法定代表人或授权代表（签字或盖章）：</w:t>
      </w:r>
      <w:r>
        <w:rPr>
          <w:rFonts w:ascii="仿宋" w:hAnsi="仿宋" w:eastAsia="仿宋" w:cs="Arial"/>
          <w:color w:val="auto"/>
          <w:szCs w:val="21"/>
        </w:rPr>
        <w:t xml:space="preserve">                    </w:t>
      </w:r>
    </w:p>
    <w:p w14:paraId="2A201404">
      <w:pPr>
        <w:snapToGrid w:val="0"/>
        <w:spacing w:line="360" w:lineRule="auto"/>
        <w:ind w:firstLine="420" w:firstLineChars="200"/>
        <w:rPr>
          <w:rFonts w:ascii="仿宋" w:hAnsi="仿宋" w:eastAsia="仿宋" w:cs="Arial"/>
          <w:color w:val="auto"/>
          <w:szCs w:val="21"/>
        </w:rPr>
      </w:pPr>
      <w:r>
        <w:rPr>
          <w:rFonts w:hint="eastAsia" w:ascii="仿宋" w:hAnsi="仿宋" w:eastAsia="仿宋" w:cs="Arial"/>
          <w:color w:val="auto"/>
          <w:szCs w:val="21"/>
        </w:rPr>
        <w:t>投标人名称（盖章）：</w:t>
      </w:r>
      <w:r>
        <w:rPr>
          <w:rFonts w:ascii="仿宋" w:hAnsi="仿宋" w:eastAsia="仿宋" w:cs="Arial"/>
          <w:color w:val="auto"/>
          <w:szCs w:val="21"/>
        </w:rPr>
        <w:t xml:space="preserve">                         </w:t>
      </w:r>
      <w:r>
        <w:rPr>
          <w:rFonts w:hint="eastAsia" w:ascii="仿宋" w:hAnsi="仿宋" w:eastAsia="仿宋" w:cs="Arial"/>
          <w:color w:val="auto"/>
          <w:szCs w:val="21"/>
        </w:rPr>
        <w:t xml:space="preserve">              </w:t>
      </w:r>
      <w:r>
        <w:rPr>
          <w:rFonts w:ascii="仿宋" w:hAnsi="仿宋" w:eastAsia="仿宋" w:cs="Arial"/>
          <w:color w:val="auto"/>
          <w:szCs w:val="21"/>
        </w:rPr>
        <w:t xml:space="preserve">      </w:t>
      </w:r>
    </w:p>
    <w:p w14:paraId="3580EC5C">
      <w:pPr>
        <w:snapToGrid w:val="0"/>
        <w:spacing w:line="360" w:lineRule="auto"/>
        <w:ind w:firstLine="420" w:firstLineChars="200"/>
        <w:rPr>
          <w:rFonts w:ascii="仿宋" w:hAnsi="仿宋" w:eastAsia="仿宋" w:cs="Arial"/>
          <w:color w:val="auto"/>
          <w:szCs w:val="21"/>
        </w:rPr>
      </w:pPr>
    </w:p>
    <w:p w14:paraId="62341601">
      <w:pPr>
        <w:snapToGrid w:val="0"/>
        <w:spacing w:line="360" w:lineRule="auto"/>
        <w:ind w:firstLine="10710" w:firstLineChars="5100"/>
        <w:rPr>
          <w:rFonts w:ascii="仿宋" w:hAnsi="仿宋" w:eastAsia="仿宋" w:cs="Arial"/>
          <w:color w:val="auto"/>
          <w:szCs w:val="21"/>
        </w:rPr>
      </w:pPr>
      <w:r>
        <w:rPr>
          <w:rFonts w:ascii="仿宋" w:hAnsi="仿宋" w:eastAsia="仿宋" w:cs="Arial"/>
          <w:color w:val="auto"/>
          <w:szCs w:val="21"/>
        </w:rPr>
        <w:t xml:space="preserve">  </w:t>
      </w:r>
      <w:r>
        <w:rPr>
          <w:rFonts w:hint="eastAsia" w:ascii="仿宋" w:hAnsi="仿宋" w:eastAsia="仿宋" w:cs="Arial"/>
          <w:color w:val="auto"/>
          <w:szCs w:val="21"/>
        </w:rPr>
        <w:t>日期：</w:t>
      </w:r>
      <w:r>
        <w:rPr>
          <w:rFonts w:ascii="仿宋" w:hAnsi="仿宋" w:eastAsia="仿宋" w:cs="Arial"/>
          <w:color w:val="auto"/>
          <w:szCs w:val="21"/>
        </w:rPr>
        <w:t xml:space="preserve">    </w:t>
      </w:r>
      <w:r>
        <w:rPr>
          <w:rFonts w:hint="eastAsia" w:ascii="仿宋" w:hAnsi="仿宋" w:eastAsia="仿宋" w:cs="Arial"/>
          <w:color w:val="auto"/>
          <w:szCs w:val="21"/>
        </w:rPr>
        <w:t>年</w:t>
      </w:r>
      <w:r>
        <w:rPr>
          <w:rFonts w:ascii="仿宋" w:hAnsi="仿宋" w:eastAsia="仿宋" w:cs="Arial"/>
          <w:color w:val="auto"/>
          <w:szCs w:val="21"/>
        </w:rPr>
        <w:t xml:space="preserve">   </w:t>
      </w:r>
      <w:r>
        <w:rPr>
          <w:rFonts w:hint="eastAsia" w:ascii="仿宋" w:hAnsi="仿宋" w:eastAsia="仿宋" w:cs="Arial"/>
          <w:color w:val="auto"/>
          <w:szCs w:val="21"/>
        </w:rPr>
        <w:t>月</w:t>
      </w:r>
      <w:r>
        <w:rPr>
          <w:rFonts w:ascii="仿宋" w:hAnsi="仿宋" w:eastAsia="仿宋" w:cs="Arial"/>
          <w:color w:val="auto"/>
          <w:szCs w:val="21"/>
        </w:rPr>
        <w:t xml:space="preserve">   </w:t>
      </w:r>
      <w:r>
        <w:rPr>
          <w:rFonts w:hint="eastAsia" w:ascii="仿宋" w:hAnsi="仿宋" w:eastAsia="仿宋" w:cs="Arial"/>
          <w:color w:val="auto"/>
          <w:szCs w:val="21"/>
        </w:rPr>
        <w:t>日</w:t>
      </w:r>
    </w:p>
    <w:p w14:paraId="4E9AC96C">
      <w:pPr>
        <w:snapToGrid w:val="0"/>
        <w:spacing w:line="360" w:lineRule="auto"/>
        <w:ind w:firstLine="420" w:firstLineChars="200"/>
        <w:rPr>
          <w:rFonts w:ascii="仿宋" w:hAnsi="仿宋" w:eastAsia="仿宋" w:cs="Arial"/>
          <w:color w:val="auto"/>
          <w:szCs w:val="21"/>
        </w:rPr>
        <w:sectPr>
          <w:pgSz w:w="16838" w:h="11906" w:orient="landscape"/>
          <w:pgMar w:top="1797" w:right="1474" w:bottom="1797" w:left="1247" w:header="851" w:footer="851" w:gutter="0"/>
          <w:cols w:space="720" w:num="1"/>
          <w:titlePg/>
          <w:docGrid w:linePitch="312" w:charSpace="0"/>
        </w:sectPr>
      </w:pPr>
    </w:p>
    <w:p w14:paraId="61DD6C3F">
      <w:pPr>
        <w:snapToGrid w:val="0"/>
        <w:spacing w:line="360" w:lineRule="auto"/>
        <w:ind w:firstLine="420" w:firstLineChars="200"/>
        <w:rPr>
          <w:rFonts w:ascii="仿宋" w:hAnsi="仿宋" w:eastAsia="仿宋" w:cs="Arial"/>
          <w:color w:val="auto"/>
          <w:szCs w:val="21"/>
        </w:rPr>
      </w:pPr>
    </w:p>
    <w:bookmarkEnd w:id="46"/>
    <w:p w14:paraId="6CDCE1DF">
      <w:pPr>
        <w:autoSpaceDE w:val="0"/>
        <w:autoSpaceDN w:val="0"/>
        <w:adjustRightInd w:val="0"/>
        <w:spacing w:line="460" w:lineRule="atLeast"/>
        <w:jc w:val="left"/>
        <w:rPr>
          <w:rFonts w:ascii="宋体" w:hAnsi="Courier New" w:cs="Arial"/>
          <w:color w:val="auto"/>
          <w:sz w:val="22"/>
        </w:rPr>
      </w:pPr>
      <w:bookmarkStart w:id="47" w:name="_Toc157410896"/>
      <w:r>
        <w:rPr>
          <w:rFonts w:hint="eastAsia" w:ascii="宋体" w:hAnsi="Courier New" w:cs="Arial"/>
          <w:color w:val="auto"/>
          <w:sz w:val="22"/>
        </w:rPr>
        <w:t>附件</w:t>
      </w:r>
      <w:r>
        <w:rPr>
          <w:rFonts w:hint="eastAsia" w:ascii="宋体" w:hAnsi="Courier New" w:cs="Arial"/>
          <w:color w:val="auto"/>
          <w:sz w:val="22"/>
          <w:lang w:eastAsia="zh-CN"/>
        </w:rPr>
        <w:t>三</w:t>
      </w:r>
    </w:p>
    <w:bookmarkEnd w:id="47"/>
    <w:p w14:paraId="1A579722">
      <w:pPr>
        <w:snapToGrid w:val="0"/>
        <w:spacing w:line="500" w:lineRule="atLeast"/>
        <w:jc w:val="center"/>
        <w:rPr>
          <w:rFonts w:hint="eastAsia" w:ascii="宋体" w:eastAsia="宋体"/>
          <w:color w:val="auto"/>
          <w:sz w:val="30"/>
          <w:szCs w:val="30"/>
          <w:lang w:val="zh-CN" w:eastAsia="zh-CN"/>
        </w:rPr>
      </w:pPr>
      <w:r>
        <w:rPr>
          <w:rFonts w:hint="eastAsia" w:ascii="宋体" w:eastAsia="宋体"/>
          <w:color w:val="auto"/>
          <w:sz w:val="30"/>
          <w:szCs w:val="30"/>
          <w:lang w:val="zh-CN" w:eastAsia="zh-CN"/>
        </w:rPr>
        <w:t>投标费用明细表（格式可据实修改）</w:t>
      </w:r>
    </w:p>
    <w:p w14:paraId="5476C343">
      <w:pPr>
        <w:snapToGrid w:val="0"/>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标项：                       金额单位：人民币（元）</w:t>
      </w:r>
    </w:p>
    <w:tbl>
      <w:tblPr>
        <w:tblStyle w:val="2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74"/>
        <w:gridCol w:w="1080"/>
        <w:gridCol w:w="1440"/>
        <w:gridCol w:w="8"/>
        <w:gridCol w:w="1612"/>
        <w:gridCol w:w="1260"/>
        <w:gridCol w:w="1440"/>
      </w:tblGrid>
      <w:tr w14:paraId="5BE15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A4F91F1">
            <w:pPr>
              <w:spacing w:line="360" w:lineRule="auto"/>
              <w:jc w:val="center"/>
              <w:rPr>
                <w:color w:val="auto"/>
                <w:sz w:val="24"/>
                <w:szCs w:val="24"/>
              </w:rPr>
            </w:pPr>
            <w:r>
              <w:rPr>
                <w:rFonts w:hint="eastAsia"/>
                <w:color w:val="auto"/>
                <w:sz w:val="24"/>
                <w:szCs w:val="24"/>
              </w:rPr>
              <w:t>序号</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339F61">
            <w:pPr>
              <w:spacing w:line="360" w:lineRule="auto"/>
              <w:jc w:val="center"/>
              <w:rPr>
                <w:color w:val="auto"/>
                <w:sz w:val="24"/>
                <w:szCs w:val="24"/>
              </w:rPr>
            </w:pPr>
            <w:r>
              <w:rPr>
                <w:rFonts w:hint="eastAsia"/>
                <w:color w:val="auto"/>
                <w:sz w:val="24"/>
                <w:szCs w:val="24"/>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B395813">
            <w:pPr>
              <w:spacing w:line="360" w:lineRule="auto"/>
              <w:jc w:val="center"/>
              <w:rPr>
                <w:color w:val="auto"/>
                <w:sz w:val="24"/>
                <w:szCs w:val="24"/>
              </w:rPr>
            </w:pPr>
            <w:r>
              <w:rPr>
                <w:color w:val="auto"/>
                <w:sz w:val="24"/>
                <w:szCs w:val="24"/>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1BC687B">
            <w:pPr>
              <w:spacing w:line="360" w:lineRule="auto"/>
              <w:jc w:val="center"/>
              <w:rPr>
                <w:color w:val="auto"/>
                <w:sz w:val="24"/>
                <w:szCs w:val="24"/>
              </w:rPr>
            </w:pPr>
            <w:r>
              <w:rPr>
                <w:rFonts w:hint="eastAsia"/>
                <w:color w:val="auto"/>
                <w:sz w:val="24"/>
                <w:szCs w:val="24"/>
              </w:rPr>
              <w:t>规格型号</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0E939C9D">
            <w:pPr>
              <w:spacing w:line="360" w:lineRule="auto"/>
              <w:jc w:val="center"/>
              <w:rPr>
                <w:color w:val="auto"/>
                <w:sz w:val="24"/>
                <w:szCs w:val="24"/>
              </w:rPr>
            </w:pPr>
            <w:r>
              <w:rPr>
                <w:rFonts w:hint="eastAsia"/>
                <w:color w:val="auto"/>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5C1545">
            <w:pPr>
              <w:spacing w:line="360" w:lineRule="auto"/>
              <w:jc w:val="center"/>
              <w:rPr>
                <w:color w:val="auto"/>
                <w:sz w:val="24"/>
                <w:szCs w:val="24"/>
              </w:rPr>
            </w:pPr>
            <w:r>
              <w:rPr>
                <w:rFonts w:hint="eastAsia"/>
                <w:color w:val="auto"/>
                <w:sz w:val="24"/>
                <w:szCs w:val="24"/>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6405437">
            <w:pPr>
              <w:spacing w:line="360" w:lineRule="auto"/>
              <w:jc w:val="center"/>
              <w:rPr>
                <w:color w:val="auto"/>
                <w:sz w:val="24"/>
                <w:szCs w:val="24"/>
              </w:rPr>
            </w:pPr>
            <w:r>
              <w:rPr>
                <w:rFonts w:hint="eastAsia"/>
                <w:color w:val="auto"/>
                <w:sz w:val="24"/>
                <w:szCs w:val="24"/>
              </w:rPr>
              <w:t>金额</w:t>
            </w:r>
          </w:p>
        </w:tc>
      </w:tr>
      <w:tr w14:paraId="7F092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B5DBB30">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B023386">
            <w:pPr>
              <w:spacing w:line="360" w:lineRule="auto"/>
              <w:rPr>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00FD7B">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5C16AF8">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12F37EC2">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E12D22D">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DBCDC56">
            <w:pPr>
              <w:spacing w:line="360" w:lineRule="auto"/>
              <w:rPr>
                <w:color w:val="auto"/>
                <w:sz w:val="24"/>
                <w:szCs w:val="24"/>
              </w:rPr>
            </w:pPr>
          </w:p>
        </w:tc>
      </w:tr>
      <w:tr w14:paraId="06AB0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0BB2259">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5BD2F3F">
            <w:pPr>
              <w:spacing w:line="360" w:lineRule="auto"/>
              <w:rPr>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40057A">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DB6009C">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71FFB03C">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88CF6A6">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DEB102D">
            <w:pPr>
              <w:spacing w:line="360" w:lineRule="auto"/>
              <w:rPr>
                <w:color w:val="auto"/>
                <w:sz w:val="24"/>
                <w:szCs w:val="24"/>
              </w:rPr>
            </w:pPr>
          </w:p>
        </w:tc>
      </w:tr>
      <w:tr w14:paraId="1E4F4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F13A391">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D2DB882">
            <w:pPr>
              <w:spacing w:line="360" w:lineRule="auto"/>
              <w:rPr>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C5F44E">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CC706F0">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036BDDB5">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A5E321">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AAE34B6">
            <w:pPr>
              <w:spacing w:line="360" w:lineRule="auto"/>
              <w:rPr>
                <w:color w:val="auto"/>
                <w:sz w:val="24"/>
                <w:szCs w:val="24"/>
              </w:rPr>
            </w:pPr>
          </w:p>
        </w:tc>
      </w:tr>
      <w:tr w14:paraId="0F781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7616345">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6A38432">
            <w:pPr>
              <w:spacing w:line="360" w:lineRule="auto"/>
              <w:rPr>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4BFFCD">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697063">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5FCF7BC9">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996AC1">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D7507C1">
            <w:pPr>
              <w:spacing w:line="360" w:lineRule="auto"/>
              <w:rPr>
                <w:color w:val="auto"/>
                <w:sz w:val="24"/>
                <w:szCs w:val="24"/>
              </w:rPr>
            </w:pPr>
          </w:p>
        </w:tc>
      </w:tr>
      <w:tr w14:paraId="5D601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3578C79">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E4C4486">
            <w:pPr>
              <w:spacing w:line="360" w:lineRule="auto"/>
              <w:rPr>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C3FD70">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8DEC53F">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6942B62D">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A1062C">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DC491E4">
            <w:pPr>
              <w:spacing w:line="360" w:lineRule="auto"/>
              <w:rPr>
                <w:color w:val="auto"/>
                <w:sz w:val="24"/>
                <w:szCs w:val="24"/>
              </w:rPr>
            </w:pPr>
          </w:p>
        </w:tc>
      </w:tr>
      <w:tr w14:paraId="63EAF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4FC4AB1">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9C52ECA">
            <w:pPr>
              <w:spacing w:line="360" w:lineRule="auto"/>
              <w:rPr>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23E40E">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42D9B3D">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6888E4AA">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B25384">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F33AEF7">
            <w:pPr>
              <w:spacing w:line="360" w:lineRule="auto"/>
              <w:rPr>
                <w:color w:val="auto"/>
                <w:sz w:val="24"/>
                <w:szCs w:val="24"/>
              </w:rPr>
            </w:pPr>
          </w:p>
        </w:tc>
      </w:tr>
      <w:tr w14:paraId="5371A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9B52BE7">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1823E5">
            <w:pPr>
              <w:spacing w:line="360" w:lineRule="auto"/>
              <w:rPr>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520748">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1C8D02A">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0269BEFF">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804C97A">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1DE2350">
            <w:pPr>
              <w:spacing w:line="360" w:lineRule="auto"/>
              <w:rPr>
                <w:color w:val="auto"/>
                <w:sz w:val="24"/>
                <w:szCs w:val="24"/>
              </w:rPr>
            </w:pPr>
          </w:p>
        </w:tc>
      </w:tr>
      <w:tr w14:paraId="0F764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456D2367">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787C2D9">
            <w:pPr>
              <w:spacing w:line="360" w:lineRule="auto"/>
              <w:rPr>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26714E">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C6F6B5C">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314E1F96">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3312CF">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549052">
            <w:pPr>
              <w:spacing w:line="360" w:lineRule="auto"/>
              <w:rPr>
                <w:color w:val="auto"/>
                <w:sz w:val="24"/>
                <w:szCs w:val="24"/>
              </w:rPr>
            </w:pPr>
          </w:p>
        </w:tc>
      </w:tr>
      <w:tr w14:paraId="22F75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1C9EACD3">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936F95D">
            <w:pPr>
              <w:spacing w:line="360" w:lineRule="auto"/>
              <w:rPr>
                <w:color w:val="auto"/>
                <w:sz w:val="24"/>
                <w:szCs w:val="24"/>
              </w:rPr>
            </w:pPr>
            <w:r>
              <w:rPr>
                <w:color w:val="auto"/>
                <w:sz w:val="24"/>
                <w:szCs w:val="24"/>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8DA799">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2FAE422">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0BB7209C">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D4378F">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07E07F6">
            <w:pPr>
              <w:spacing w:line="360" w:lineRule="auto"/>
              <w:rPr>
                <w:color w:val="auto"/>
                <w:sz w:val="24"/>
                <w:szCs w:val="24"/>
              </w:rPr>
            </w:pPr>
          </w:p>
        </w:tc>
      </w:tr>
      <w:tr w14:paraId="34071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4E76A3F2">
            <w:pPr>
              <w:spacing w:line="360" w:lineRule="auto"/>
              <w:rPr>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6AE3676">
            <w:pPr>
              <w:spacing w:line="360" w:lineRule="auto"/>
              <w:rPr>
                <w:color w:val="auto"/>
                <w:sz w:val="24"/>
                <w:szCs w:val="24"/>
              </w:rPr>
            </w:pPr>
            <w:r>
              <w:rPr>
                <w:rFonts w:hint="eastAsia"/>
                <w:color w:val="auto"/>
                <w:sz w:val="24"/>
                <w:szCs w:val="24"/>
              </w:rPr>
              <w:t>专用耗材</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5FC444">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32891F3">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052F1507">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236E2D7">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A53655">
            <w:pPr>
              <w:spacing w:line="360" w:lineRule="auto"/>
              <w:rPr>
                <w:color w:val="auto"/>
                <w:sz w:val="24"/>
                <w:szCs w:val="24"/>
              </w:rPr>
            </w:pPr>
          </w:p>
        </w:tc>
      </w:tr>
      <w:tr w14:paraId="344CE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0" w:type="dxa"/>
            <w:gridSpan w:val="8"/>
            <w:tcBorders>
              <w:top w:val="single" w:color="auto" w:sz="4" w:space="0"/>
              <w:left w:val="single" w:color="auto" w:sz="4" w:space="0"/>
              <w:bottom w:val="single" w:color="auto" w:sz="4" w:space="0"/>
              <w:right w:val="single" w:color="auto" w:sz="4" w:space="0"/>
            </w:tcBorders>
            <w:noWrap w:val="0"/>
            <w:vAlign w:val="center"/>
          </w:tcPr>
          <w:p w14:paraId="3925A22D">
            <w:pPr>
              <w:spacing w:line="360" w:lineRule="auto"/>
              <w:rPr>
                <w:color w:val="auto"/>
                <w:sz w:val="24"/>
                <w:szCs w:val="24"/>
              </w:rPr>
            </w:pPr>
            <w:r>
              <w:rPr>
                <w:rFonts w:hint="eastAsia"/>
                <w:color w:val="auto"/>
                <w:sz w:val="24"/>
                <w:szCs w:val="24"/>
              </w:rPr>
              <w:t>投标费用及利润</w:t>
            </w:r>
          </w:p>
        </w:tc>
      </w:tr>
      <w:tr w14:paraId="4CB54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40DA2A9">
            <w:pPr>
              <w:spacing w:line="360" w:lineRule="auto"/>
              <w:rPr>
                <w:color w:val="auto"/>
                <w:sz w:val="24"/>
                <w:szCs w:val="24"/>
              </w:rPr>
            </w:pPr>
          </w:p>
        </w:tc>
        <w:tc>
          <w:tcPr>
            <w:tcW w:w="3894" w:type="dxa"/>
            <w:gridSpan w:val="3"/>
            <w:tcBorders>
              <w:top w:val="single" w:color="auto" w:sz="4" w:space="0"/>
              <w:left w:val="single" w:color="auto" w:sz="4" w:space="0"/>
              <w:bottom w:val="single" w:color="auto" w:sz="4" w:space="0"/>
              <w:right w:val="single" w:color="auto" w:sz="4" w:space="0"/>
            </w:tcBorders>
            <w:noWrap w:val="0"/>
            <w:vAlign w:val="center"/>
          </w:tcPr>
          <w:p w14:paraId="74842A85">
            <w:pPr>
              <w:spacing w:line="360" w:lineRule="auto"/>
              <w:rPr>
                <w:color w:val="auto"/>
                <w:sz w:val="24"/>
                <w:szCs w:val="24"/>
              </w:rPr>
            </w:pPr>
            <w:r>
              <w:rPr>
                <w:rFonts w:hint="eastAsia"/>
                <w:color w:val="auto"/>
                <w:sz w:val="24"/>
                <w:szCs w:val="24"/>
              </w:rPr>
              <w:t>……</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46B18C92">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676930">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339364">
            <w:pPr>
              <w:spacing w:line="360" w:lineRule="auto"/>
              <w:rPr>
                <w:color w:val="auto"/>
                <w:sz w:val="24"/>
                <w:szCs w:val="24"/>
              </w:rPr>
            </w:pPr>
          </w:p>
        </w:tc>
      </w:tr>
      <w:tr w14:paraId="5B1FB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2873074">
            <w:pPr>
              <w:spacing w:line="360" w:lineRule="auto"/>
              <w:rPr>
                <w:color w:val="auto"/>
                <w:sz w:val="24"/>
                <w:szCs w:val="24"/>
              </w:rPr>
            </w:pPr>
          </w:p>
        </w:tc>
        <w:tc>
          <w:tcPr>
            <w:tcW w:w="3894" w:type="dxa"/>
            <w:gridSpan w:val="3"/>
            <w:tcBorders>
              <w:top w:val="single" w:color="auto" w:sz="4" w:space="0"/>
              <w:left w:val="single" w:color="auto" w:sz="4" w:space="0"/>
              <w:bottom w:val="single" w:color="auto" w:sz="4" w:space="0"/>
              <w:right w:val="single" w:color="auto" w:sz="4" w:space="0"/>
            </w:tcBorders>
            <w:noWrap w:val="0"/>
            <w:vAlign w:val="center"/>
          </w:tcPr>
          <w:p w14:paraId="01032077">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28194E9E">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2330E8C">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A4BADDB">
            <w:pPr>
              <w:spacing w:line="360" w:lineRule="auto"/>
              <w:rPr>
                <w:color w:val="auto"/>
                <w:sz w:val="24"/>
                <w:szCs w:val="24"/>
              </w:rPr>
            </w:pPr>
          </w:p>
        </w:tc>
      </w:tr>
      <w:tr w14:paraId="2BAA9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3FE25C8">
            <w:pPr>
              <w:spacing w:line="360" w:lineRule="auto"/>
              <w:rPr>
                <w:color w:val="auto"/>
                <w:sz w:val="24"/>
                <w:szCs w:val="24"/>
              </w:rPr>
            </w:pPr>
          </w:p>
        </w:tc>
        <w:tc>
          <w:tcPr>
            <w:tcW w:w="3894" w:type="dxa"/>
            <w:gridSpan w:val="3"/>
            <w:tcBorders>
              <w:top w:val="single" w:color="auto" w:sz="4" w:space="0"/>
              <w:left w:val="single" w:color="auto" w:sz="4" w:space="0"/>
              <w:bottom w:val="single" w:color="auto" w:sz="4" w:space="0"/>
              <w:right w:val="single" w:color="auto" w:sz="4" w:space="0"/>
            </w:tcBorders>
            <w:noWrap w:val="0"/>
            <w:vAlign w:val="center"/>
          </w:tcPr>
          <w:p w14:paraId="3116A3EE">
            <w:pPr>
              <w:spacing w:line="360" w:lineRule="auto"/>
              <w:rPr>
                <w:color w:val="auto"/>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2D25BE95">
            <w:pPr>
              <w:spacing w:line="360" w:lineRule="auto"/>
              <w:rPr>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BE8A9E">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FF178FB">
            <w:pPr>
              <w:spacing w:line="360" w:lineRule="auto"/>
              <w:rPr>
                <w:color w:val="auto"/>
                <w:sz w:val="24"/>
                <w:szCs w:val="24"/>
              </w:rPr>
            </w:pPr>
          </w:p>
        </w:tc>
      </w:tr>
      <w:tr w14:paraId="50A35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A9041A2">
            <w:pPr>
              <w:spacing w:line="360" w:lineRule="auto"/>
              <w:rPr>
                <w:color w:val="auto"/>
                <w:sz w:val="24"/>
                <w:szCs w:val="24"/>
              </w:rPr>
            </w:pPr>
          </w:p>
        </w:tc>
        <w:tc>
          <w:tcPr>
            <w:tcW w:w="3902" w:type="dxa"/>
            <w:gridSpan w:val="4"/>
            <w:tcBorders>
              <w:top w:val="single" w:color="auto" w:sz="4" w:space="0"/>
              <w:left w:val="single" w:color="auto" w:sz="4" w:space="0"/>
              <w:bottom w:val="single" w:color="auto" w:sz="4" w:space="0"/>
              <w:right w:val="single" w:color="auto" w:sz="4" w:space="0"/>
            </w:tcBorders>
            <w:noWrap w:val="0"/>
            <w:vAlign w:val="center"/>
          </w:tcPr>
          <w:p w14:paraId="36277423">
            <w:pPr>
              <w:spacing w:line="360" w:lineRule="auto"/>
              <w:rPr>
                <w:color w:val="auto"/>
                <w:sz w:val="24"/>
                <w:szCs w:val="24"/>
              </w:rPr>
            </w:pP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14:paraId="15A64406">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3BF4998">
            <w:pPr>
              <w:spacing w:line="360" w:lineRule="auto"/>
              <w:rPr>
                <w:color w:val="auto"/>
                <w:sz w:val="24"/>
                <w:szCs w:val="24"/>
              </w:rPr>
            </w:pPr>
          </w:p>
        </w:tc>
      </w:tr>
      <w:tr w14:paraId="25655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24A459E">
            <w:pPr>
              <w:spacing w:line="360" w:lineRule="auto"/>
              <w:rPr>
                <w:color w:val="auto"/>
                <w:sz w:val="24"/>
                <w:szCs w:val="24"/>
              </w:rPr>
            </w:pPr>
          </w:p>
        </w:tc>
        <w:tc>
          <w:tcPr>
            <w:tcW w:w="3902" w:type="dxa"/>
            <w:gridSpan w:val="4"/>
            <w:tcBorders>
              <w:top w:val="single" w:color="auto" w:sz="4" w:space="0"/>
              <w:left w:val="single" w:color="auto" w:sz="4" w:space="0"/>
              <w:bottom w:val="single" w:color="auto" w:sz="4" w:space="0"/>
              <w:right w:val="single" w:color="auto" w:sz="4" w:space="0"/>
            </w:tcBorders>
            <w:noWrap w:val="0"/>
            <w:vAlign w:val="center"/>
          </w:tcPr>
          <w:p w14:paraId="681C088A">
            <w:pPr>
              <w:spacing w:line="360" w:lineRule="auto"/>
              <w:rPr>
                <w:color w:val="auto"/>
                <w:sz w:val="24"/>
                <w:szCs w:val="24"/>
              </w:rPr>
            </w:pP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14:paraId="681E83CE">
            <w:pPr>
              <w:spacing w:line="360" w:lineRule="auto"/>
              <w:rPr>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52A5BA9">
            <w:pPr>
              <w:spacing w:line="360" w:lineRule="auto"/>
              <w:rPr>
                <w:color w:val="auto"/>
                <w:sz w:val="24"/>
                <w:szCs w:val="24"/>
              </w:rPr>
            </w:pPr>
          </w:p>
        </w:tc>
      </w:tr>
      <w:tr w14:paraId="49432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7"/>
            <w:tcBorders>
              <w:top w:val="single" w:color="auto" w:sz="4" w:space="0"/>
              <w:left w:val="single" w:color="auto" w:sz="4" w:space="0"/>
              <w:bottom w:val="single" w:color="auto" w:sz="4" w:space="0"/>
              <w:right w:val="single" w:color="auto" w:sz="4" w:space="0"/>
            </w:tcBorders>
            <w:noWrap w:val="0"/>
            <w:vAlign w:val="center"/>
          </w:tcPr>
          <w:p w14:paraId="68632CC5">
            <w:pPr>
              <w:spacing w:line="360" w:lineRule="auto"/>
              <w:rPr>
                <w:color w:val="auto"/>
                <w:sz w:val="24"/>
                <w:szCs w:val="24"/>
              </w:rPr>
            </w:pPr>
            <w:r>
              <w:rPr>
                <w:rFonts w:hint="eastAsia"/>
                <w:color w:val="auto"/>
                <w:sz w:val="24"/>
                <w:szCs w:val="24"/>
              </w:rPr>
              <w:t>投 标 总</w:t>
            </w:r>
            <w:r>
              <w:rPr>
                <w:color w:val="auto"/>
                <w:sz w:val="24"/>
                <w:szCs w:val="24"/>
              </w:rPr>
              <w:t xml:space="preserve">  </w:t>
            </w:r>
            <w:r>
              <w:rPr>
                <w:rFonts w:hint="eastAsia"/>
                <w:color w:val="auto"/>
                <w:sz w:val="24"/>
                <w:szCs w:val="24"/>
              </w:rPr>
              <w:t>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49BE047">
            <w:pPr>
              <w:spacing w:line="360" w:lineRule="auto"/>
              <w:rPr>
                <w:color w:val="auto"/>
                <w:sz w:val="24"/>
                <w:szCs w:val="24"/>
              </w:rPr>
            </w:pPr>
          </w:p>
        </w:tc>
      </w:tr>
    </w:tbl>
    <w:p w14:paraId="25A6646C">
      <w:pPr>
        <w:snapToGrid w:val="0"/>
        <w:spacing w:line="360" w:lineRule="auto"/>
        <w:ind w:firstLine="280" w:firstLineChars="100"/>
        <w:rPr>
          <w:rFonts w:ascii="仿宋" w:hAnsi="仿宋" w:eastAsia="仿宋" w:cs="Arial"/>
          <w:color w:val="auto"/>
          <w:sz w:val="28"/>
          <w:szCs w:val="28"/>
        </w:rPr>
      </w:pPr>
      <w:r>
        <w:rPr>
          <w:rFonts w:hint="eastAsia" w:ascii="仿宋" w:hAnsi="仿宋" w:eastAsia="仿宋" w:cs="Arial"/>
          <w:color w:val="auto"/>
          <w:sz w:val="28"/>
          <w:szCs w:val="28"/>
        </w:rPr>
        <w:t>法定代表人或授权代表（签字或盖章）：</w:t>
      </w:r>
      <w:r>
        <w:rPr>
          <w:rFonts w:ascii="仿宋" w:hAnsi="仿宋" w:eastAsia="仿宋" w:cs="Arial"/>
          <w:color w:val="auto"/>
          <w:sz w:val="28"/>
          <w:szCs w:val="28"/>
        </w:rPr>
        <w:t xml:space="preserve">          </w:t>
      </w:r>
    </w:p>
    <w:p w14:paraId="0045B391">
      <w:pPr>
        <w:snapToGrid w:val="0"/>
        <w:spacing w:line="500" w:lineRule="atLeast"/>
        <w:ind w:firstLine="280" w:firstLineChars="100"/>
        <w:rPr>
          <w:rFonts w:ascii="宋体"/>
          <w:color w:val="auto"/>
          <w:sz w:val="22"/>
        </w:rPr>
      </w:pPr>
      <w:r>
        <w:rPr>
          <w:rFonts w:hint="eastAsia" w:ascii="仿宋" w:hAnsi="仿宋" w:eastAsia="仿宋" w:cs="Arial"/>
          <w:color w:val="auto"/>
          <w:sz w:val="28"/>
          <w:szCs w:val="28"/>
        </w:rPr>
        <w:t>投标人盖章：</w:t>
      </w:r>
      <w:r>
        <w:rPr>
          <w:rFonts w:ascii="仿宋" w:hAnsi="仿宋" w:eastAsia="仿宋" w:cs="Arial"/>
          <w:color w:val="auto"/>
          <w:sz w:val="28"/>
          <w:szCs w:val="28"/>
        </w:rPr>
        <w:t xml:space="preserve">                          </w:t>
      </w:r>
      <w:r>
        <w:rPr>
          <w:rFonts w:hint="eastAsia" w:ascii="仿宋" w:hAnsi="仿宋" w:eastAsia="仿宋" w:cs="Arial"/>
          <w:color w:val="auto"/>
          <w:sz w:val="28"/>
          <w:szCs w:val="28"/>
        </w:rPr>
        <w:t>日</w:t>
      </w:r>
      <w:r>
        <w:rPr>
          <w:rFonts w:ascii="仿宋" w:hAnsi="仿宋" w:eastAsia="仿宋" w:cs="Arial"/>
          <w:color w:val="auto"/>
          <w:sz w:val="28"/>
          <w:szCs w:val="28"/>
        </w:rPr>
        <w:t xml:space="preserve">  </w:t>
      </w:r>
      <w:r>
        <w:rPr>
          <w:rFonts w:hint="eastAsia" w:ascii="仿宋" w:hAnsi="仿宋" w:eastAsia="仿宋" w:cs="Arial"/>
          <w:color w:val="auto"/>
          <w:sz w:val="28"/>
          <w:szCs w:val="28"/>
        </w:rPr>
        <w:t>期：</w:t>
      </w:r>
    </w:p>
    <w:p w14:paraId="1851875A">
      <w:pPr>
        <w:snapToGrid w:val="0"/>
        <w:spacing w:line="500" w:lineRule="atLeast"/>
        <w:ind w:firstLine="220" w:firstLineChars="100"/>
        <w:rPr>
          <w:rFonts w:ascii="宋体"/>
          <w:color w:val="auto"/>
          <w:sz w:val="22"/>
        </w:rPr>
      </w:pPr>
      <w:r>
        <w:rPr>
          <w:rFonts w:hint="eastAsia" w:ascii="宋体"/>
          <w:color w:val="auto"/>
          <w:sz w:val="22"/>
        </w:rPr>
        <w:t>注：</w:t>
      </w:r>
      <w:r>
        <w:rPr>
          <w:rFonts w:ascii="宋体"/>
          <w:color w:val="auto"/>
          <w:sz w:val="22"/>
        </w:rPr>
        <w:t>1、</w:t>
      </w:r>
      <w:r>
        <w:rPr>
          <w:rFonts w:hint="eastAsia" w:ascii="宋体"/>
          <w:color w:val="auto"/>
          <w:sz w:val="22"/>
        </w:rPr>
        <w:t>上表中的总计</w:t>
      </w:r>
      <w:r>
        <w:rPr>
          <w:rFonts w:ascii="宋体"/>
          <w:color w:val="auto"/>
          <w:sz w:val="22"/>
        </w:rPr>
        <w:t>报价应与开标一览表中投标</w:t>
      </w:r>
      <w:r>
        <w:rPr>
          <w:rFonts w:hint="eastAsia" w:ascii="宋体"/>
          <w:color w:val="auto"/>
          <w:sz w:val="22"/>
        </w:rPr>
        <w:t>报</w:t>
      </w:r>
      <w:r>
        <w:rPr>
          <w:rFonts w:ascii="宋体"/>
          <w:color w:val="auto"/>
          <w:sz w:val="22"/>
        </w:rPr>
        <w:t>价相一致。</w:t>
      </w:r>
    </w:p>
    <w:p w14:paraId="79B24DFA">
      <w:pPr>
        <w:snapToGrid w:val="0"/>
        <w:spacing w:line="500" w:lineRule="atLeast"/>
        <w:ind w:firstLine="660" w:firstLineChars="300"/>
        <w:rPr>
          <w:rFonts w:ascii="宋体"/>
          <w:color w:val="auto"/>
          <w:sz w:val="22"/>
        </w:rPr>
      </w:pPr>
      <w:r>
        <w:rPr>
          <w:rFonts w:hint="eastAsia" w:ascii="宋体"/>
          <w:color w:val="auto"/>
          <w:sz w:val="22"/>
        </w:rPr>
        <w:t>2</w:t>
      </w:r>
      <w:r>
        <w:rPr>
          <w:rFonts w:ascii="宋体"/>
          <w:color w:val="auto"/>
          <w:sz w:val="22"/>
        </w:rPr>
        <w:t>、本表所列费用为本项目的全部费用，未列费用均为综合考虑。</w:t>
      </w:r>
    </w:p>
    <w:p w14:paraId="22E0987E">
      <w:pPr>
        <w:snapToGrid w:val="0"/>
        <w:spacing w:line="500" w:lineRule="atLeast"/>
        <w:ind w:firstLine="660" w:firstLineChars="300"/>
        <w:rPr>
          <w:rFonts w:ascii="宋体"/>
          <w:color w:val="auto"/>
          <w:sz w:val="22"/>
        </w:rPr>
      </w:pPr>
      <w:r>
        <w:rPr>
          <w:rFonts w:hint="eastAsia" w:ascii="宋体"/>
          <w:color w:val="auto"/>
          <w:sz w:val="22"/>
        </w:rPr>
        <w:t>3、以上格式可改动，投标供应商可根据本表结合实际自行扩充。</w:t>
      </w:r>
    </w:p>
    <w:p w14:paraId="6AFDCEA9">
      <w:pPr>
        <w:snapToGrid w:val="0"/>
        <w:spacing w:line="500" w:lineRule="atLeast"/>
        <w:ind w:firstLine="660" w:firstLineChars="300"/>
        <w:rPr>
          <w:rFonts w:ascii="宋体"/>
          <w:color w:val="auto"/>
          <w:sz w:val="22"/>
        </w:rPr>
      </w:pPr>
      <w:r>
        <w:rPr>
          <w:rFonts w:hint="eastAsia" w:ascii="宋体"/>
          <w:color w:val="auto"/>
          <w:sz w:val="22"/>
        </w:rPr>
        <w:t>4、根据《中华人民共和国政府采购法实施条例》第四十三条规定，在中标或者成交公告的内容中增加本表，请各供应商认真填写，确保相关数据的真实性、完整性和合理性。</w:t>
      </w:r>
    </w:p>
    <w:p w14:paraId="58811159">
      <w:pPr>
        <w:rPr>
          <w:rFonts w:ascii="宋体"/>
          <w:color w:val="auto"/>
          <w:sz w:val="36"/>
          <w:szCs w:val="36"/>
          <w:lang w:val="zh-CN"/>
        </w:rPr>
      </w:pPr>
      <w:r>
        <w:rPr>
          <w:rFonts w:hint="eastAsia" w:ascii="宋体"/>
          <w:color w:val="auto"/>
          <w:sz w:val="36"/>
          <w:szCs w:val="36"/>
          <w:lang w:val="zh-CN"/>
        </w:rPr>
        <w:br w:type="page"/>
      </w:r>
    </w:p>
    <w:p w14:paraId="7F893073">
      <w:pPr>
        <w:snapToGrid w:val="0"/>
        <w:spacing w:line="500" w:lineRule="atLeast"/>
        <w:rPr>
          <w:rFonts w:hint="eastAsia" w:ascii="宋体" w:eastAsia="宋体"/>
          <w:color w:val="auto"/>
          <w:sz w:val="30"/>
          <w:szCs w:val="30"/>
          <w:lang w:eastAsia="zh-CN"/>
        </w:rPr>
      </w:pPr>
      <w:r>
        <w:rPr>
          <w:rFonts w:hint="eastAsia" w:ascii="宋体" w:hAnsi="Courier New" w:cs="Arial"/>
          <w:color w:val="auto"/>
          <w:sz w:val="22"/>
        </w:rPr>
        <w:t>附件</w:t>
      </w:r>
      <w:r>
        <w:rPr>
          <w:rFonts w:hint="eastAsia" w:ascii="宋体" w:hAnsi="Courier New" w:cs="Arial"/>
          <w:color w:val="auto"/>
          <w:sz w:val="22"/>
          <w:lang w:eastAsia="zh-CN"/>
        </w:rPr>
        <w:t>四</w:t>
      </w:r>
    </w:p>
    <w:p w14:paraId="628755F4">
      <w:pPr>
        <w:autoSpaceDE w:val="0"/>
        <w:autoSpaceDN w:val="0"/>
        <w:adjustRightInd w:val="0"/>
        <w:spacing w:line="460" w:lineRule="atLeast"/>
        <w:jc w:val="center"/>
        <w:rPr>
          <w:rFonts w:ascii="宋体"/>
          <w:color w:val="auto"/>
          <w:sz w:val="36"/>
          <w:lang w:val="zh-CN"/>
        </w:rPr>
      </w:pPr>
      <w:r>
        <w:rPr>
          <w:rFonts w:hint="eastAsia" w:ascii="宋体"/>
          <w:color w:val="auto"/>
          <w:sz w:val="36"/>
          <w:lang w:val="zh-CN"/>
        </w:rPr>
        <w:t>投</w:t>
      </w:r>
      <w:r>
        <w:rPr>
          <w:rFonts w:ascii="宋体"/>
          <w:color w:val="auto"/>
          <w:sz w:val="36"/>
          <w:lang w:val="zh-CN"/>
        </w:rPr>
        <w:t xml:space="preserve">  </w:t>
      </w:r>
      <w:r>
        <w:rPr>
          <w:rFonts w:hint="eastAsia" w:ascii="宋体"/>
          <w:color w:val="auto"/>
          <w:sz w:val="36"/>
          <w:lang w:val="zh-CN"/>
        </w:rPr>
        <w:t>标</w:t>
      </w:r>
      <w:r>
        <w:rPr>
          <w:rFonts w:ascii="宋体"/>
          <w:color w:val="auto"/>
          <w:sz w:val="36"/>
          <w:lang w:val="zh-CN"/>
        </w:rPr>
        <w:t xml:space="preserve">  </w:t>
      </w:r>
      <w:r>
        <w:rPr>
          <w:rFonts w:hint="eastAsia" w:ascii="宋体"/>
          <w:color w:val="auto"/>
          <w:sz w:val="36"/>
          <w:lang w:val="zh-CN"/>
        </w:rPr>
        <w:t>函</w:t>
      </w:r>
    </w:p>
    <w:p w14:paraId="2C478352">
      <w:pPr>
        <w:pStyle w:val="2"/>
        <w:rPr>
          <w:color w:val="auto"/>
          <w:lang w:val="zh-CN"/>
        </w:rPr>
      </w:pPr>
    </w:p>
    <w:p w14:paraId="718C3203">
      <w:pPr>
        <w:snapToGrid w:val="0"/>
        <w:spacing w:line="360" w:lineRule="auto"/>
        <w:rPr>
          <w:rFonts w:ascii="宋体"/>
          <w:color w:val="auto"/>
          <w:sz w:val="22"/>
        </w:rPr>
      </w:pPr>
      <w:r>
        <w:rPr>
          <w:rFonts w:hint="eastAsia" w:ascii="宋体"/>
          <w:color w:val="auto"/>
          <w:sz w:val="22"/>
        </w:rPr>
        <w:t>致：</w:t>
      </w:r>
      <w:r>
        <w:rPr>
          <w:rFonts w:hint="eastAsia" w:ascii="宋体"/>
          <w:color w:val="auto"/>
          <w:sz w:val="22"/>
          <w:u w:val="single"/>
          <w:lang w:val="en-US" w:eastAsia="zh-CN"/>
        </w:rPr>
        <w:t xml:space="preserve">              </w:t>
      </w:r>
      <w:r>
        <w:rPr>
          <w:rFonts w:hint="eastAsia" w:ascii="宋体"/>
          <w:color w:val="auto"/>
          <w:sz w:val="22"/>
        </w:rPr>
        <w:t>（采购单位名称）：</w:t>
      </w:r>
    </w:p>
    <w:p w14:paraId="3439AD3A">
      <w:pPr>
        <w:snapToGrid w:val="0"/>
        <w:spacing w:line="360" w:lineRule="auto"/>
        <w:ind w:firstLine="480"/>
        <w:rPr>
          <w:rFonts w:ascii="宋体"/>
          <w:color w:val="auto"/>
          <w:sz w:val="22"/>
        </w:rPr>
      </w:pPr>
      <w:r>
        <w:rPr>
          <w:rFonts w:hint="eastAsia" w:ascii="宋体"/>
          <w:color w:val="auto"/>
          <w:sz w:val="22"/>
        </w:rPr>
        <w:t>根据贵方为</w:t>
      </w:r>
      <w:r>
        <w:rPr>
          <w:rFonts w:ascii="宋体"/>
          <w:color w:val="auto"/>
          <w:sz w:val="22"/>
        </w:rPr>
        <w:t xml:space="preserve">                             </w:t>
      </w:r>
      <w:r>
        <w:rPr>
          <w:rFonts w:hint="eastAsia" w:ascii="宋体"/>
          <w:color w:val="auto"/>
          <w:sz w:val="22"/>
        </w:rPr>
        <w:t>项目的招标公告</w:t>
      </w:r>
      <w:r>
        <w:rPr>
          <w:rFonts w:ascii="宋体"/>
          <w:color w:val="auto"/>
          <w:sz w:val="22"/>
        </w:rPr>
        <w:t>/</w:t>
      </w:r>
      <w:r>
        <w:rPr>
          <w:rFonts w:hint="eastAsia" w:ascii="宋体"/>
          <w:color w:val="auto"/>
          <w:sz w:val="22"/>
        </w:rPr>
        <w:t>投标邀请书</w:t>
      </w:r>
    </w:p>
    <w:p w14:paraId="64798034">
      <w:pPr>
        <w:snapToGrid w:val="0"/>
        <w:spacing w:line="360" w:lineRule="auto"/>
        <w:rPr>
          <w:rFonts w:ascii="宋体"/>
          <w:color w:val="auto"/>
          <w:sz w:val="22"/>
        </w:rPr>
      </w:pPr>
      <w:r>
        <w:rPr>
          <w:rFonts w:hint="eastAsia" w:ascii="宋体"/>
          <w:color w:val="auto"/>
          <w:sz w:val="22"/>
        </w:rPr>
        <w:t>（项目编号：</w:t>
      </w:r>
      <w:r>
        <w:rPr>
          <w:rFonts w:hint="eastAsia" w:ascii="宋体"/>
          <w:color w:val="auto"/>
          <w:sz w:val="22"/>
          <w:u w:val="single"/>
          <w:lang w:val="en-US" w:eastAsia="zh-CN"/>
        </w:rPr>
        <w:t xml:space="preserve">            </w:t>
      </w:r>
      <w:r>
        <w:rPr>
          <w:rFonts w:hint="eastAsia" w:ascii="宋体"/>
          <w:color w:val="auto"/>
          <w:sz w:val="22"/>
        </w:rPr>
        <w:t>），签字代表</w:t>
      </w:r>
      <w:r>
        <w:rPr>
          <w:rFonts w:hint="eastAsia" w:ascii="宋体"/>
          <w:color w:val="auto"/>
          <w:sz w:val="22"/>
          <w:u w:val="single"/>
          <w:lang w:val="en-US" w:eastAsia="zh-CN"/>
        </w:rPr>
        <w:t xml:space="preserve">          </w:t>
      </w:r>
      <w:r>
        <w:rPr>
          <w:rFonts w:hint="eastAsia" w:ascii="宋体"/>
          <w:color w:val="auto"/>
          <w:sz w:val="22"/>
        </w:rPr>
        <w:t>（全名）经正式授权并代表投标人</w:t>
      </w:r>
      <w:r>
        <w:rPr>
          <w:rFonts w:hint="eastAsia" w:ascii="宋体"/>
          <w:color w:val="auto"/>
          <w:sz w:val="22"/>
          <w:u w:val="single"/>
          <w:lang w:val="en-US" w:eastAsia="zh-CN"/>
        </w:rPr>
        <w:t xml:space="preserve">          </w:t>
      </w:r>
      <w:r>
        <w:rPr>
          <w:rFonts w:hint="eastAsia" w:ascii="宋体"/>
          <w:color w:val="auto"/>
          <w:sz w:val="22"/>
        </w:rPr>
        <w:t>投标人名称）提交资信</w:t>
      </w:r>
      <w:r>
        <w:rPr>
          <w:rFonts w:ascii="宋体"/>
          <w:color w:val="auto"/>
          <w:sz w:val="22"/>
        </w:rPr>
        <w:t>/</w:t>
      </w:r>
      <w:r>
        <w:rPr>
          <w:rFonts w:hint="eastAsia" w:ascii="宋体"/>
          <w:color w:val="auto"/>
          <w:sz w:val="22"/>
        </w:rPr>
        <w:t>商务文件、技术文件、报价文件</w:t>
      </w:r>
      <w:r>
        <w:rPr>
          <w:rFonts w:hint="eastAsia" w:ascii="宋体"/>
          <w:color w:val="auto"/>
          <w:sz w:val="22"/>
          <w:lang w:val="en-US" w:eastAsia="zh-CN"/>
        </w:rPr>
        <w:t>电子投标文件</w:t>
      </w:r>
      <w:r>
        <w:rPr>
          <w:rFonts w:hint="eastAsia" w:ascii="宋体"/>
          <w:color w:val="auto"/>
          <w:sz w:val="22"/>
        </w:rPr>
        <w:t>。</w:t>
      </w:r>
    </w:p>
    <w:p w14:paraId="0B9AF595">
      <w:pPr>
        <w:snapToGrid w:val="0"/>
        <w:spacing w:line="360" w:lineRule="auto"/>
        <w:ind w:firstLine="440" w:firstLineChars="200"/>
        <w:rPr>
          <w:rFonts w:ascii="宋体"/>
          <w:color w:val="auto"/>
          <w:sz w:val="22"/>
        </w:rPr>
      </w:pPr>
      <w:r>
        <w:rPr>
          <w:rFonts w:hint="eastAsia" w:ascii="宋体"/>
          <w:color w:val="auto"/>
          <w:sz w:val="22"/>
        </w:rPr>
        <w:t>据此函，签字代表宣布同意如下：</w:t>
      </w:r>
    </w:p>
    <w:p w14:paraId="5585D1B9">
      <w:pPr>
        <w:snapToGrid w:val="0"/>
        <w:spacing w:line="360" w:lineRule="auto"/>
        <w:ind w:firstLine="440" w:firstLineChars="200"/>
        <w:rPr>
          <w:rFonts w:ascii="宋体"/>
          <w:color w:val="auto"/>
          <w:sz w:val="22"/>
        </w:rPr>
      </w:pPr>
      <w:r>
        <w:rPr>
          <w:rFonts w:ascii="宋体"/>
          <w:color w:val="auto"/>
          <w:sz w:val="22"/>
        </w:rPr>
        <w:t>1</w:t>
      </w:r>
      <w:r>
        <w:rPr>
          <w:rFonts w:hint="eastAsia" w:ascii="宋体"/>
          <w:color w:val="auto"/>
          <w:sz w:val="22"/>
        </w:rPr>
        <w:t>.投标人已详细审查全部“招标文件”，包括修改文件（如有的话）以及全部参考资料和有关附件，已经了解我方对于招标文件、采购过程、采购结果有依法进行询问、质疑、投诉的权利及相关渠道和要求。</w:t>
      </w:r>
    </w:p>
    <w:p w14:paraId="479CF8AD">
      <w:pPr>
        <w:snapToGrid w:val="0"/>
        <w:spacing w:line="360" w:lineRule="auto"/>
        <w:ind w:firstLine="440" w:firstLineChars="200"/>
        <w:rPr>
          <w:rFonts w:ascii="宋体"/>
          <w:color w:val="auto"/>
          <w:sz w:val="22"/>
        </w:rPr>
      </w:pPr>
      <w:r>
        <w:rPr>
          <w:rFonts w:ascii="宋体"/>
          <w:color w:val="auto"/>
          <w:sz w:val="22"/>
        </w:rPr>
        <w:t>2</w:t>
      </w:r>
      <w:r>
        <w:rPr>
          <w:rFonts w:hint="eastAsia" w:ascii="宋体"/>
          <w:color w:val="auto"/>
          <w:sz w:val="22"/>
        </w:rPr>
        <w:t>.投标人在投标之前已经与贵方进行了充分的沟通，完全理解并接受招标文件的各项规定和要求，对招标文件的合理性、合法性不再有异议。</w:t>
      </w:r>
    </w:p>
    <w:p w14:paraId="43A768C8">
      <w:pPr>
        <w:snapToGrid w:val="0"/>
        <w:spacing w:line="360" w:lineRule="auto"/>
        <w:ind w:firstLine="440" w:firstLineChars="200"/>
        <w:rPr>
          <w:rFonts w:ascii="宋体"/>
          <w:color w:val="auto"/>
          <w:sz w:val="22"/>
        </w:rPr>
      </w:pPr>
      <w:r>
        <w:rPr>
          <w:rFonts w:ascii="宋体"/>
          <w:color w:val="auto"/>
          <w:sz w:val="22"/>
        </w:rPr>
        <w:t>3</w:t>
      </w:r>
      <w:r>
        <w:rPr>
          <w:rFonts w:hint="eastAsia" w:ascii="宋体"/>
          <w:color w:val="auto"/>
          <w:sz w:val="22"/>
        </w:rPr>
        <w:t>.本投标有效期自开标日起</w:t>
      </w:r>
      <w:r>
        <w:rPr>
          <w:rFonts w:ascii="宋体"/>
          <w:color w:val="auto"/>
          <w:sz w:val="22"/>
        </w:rPr>
        <w:t xml:space="preserve"> </w:t>
      </w:r>
      <w:r>
        <w:rPr>
          <w:rFonts w:hint="eastAsia" w:ascii="宋体"/>
          <w:color w:val="auto"/>
          <w:sz w:val="22"/>
          <w:u w:val="single"/>
          <w:lang w:val="en-US" w:eastAsia="zh-CN"/>
        </w:rPr>
        <w:t xml:space="preserve">   90    </w:t>
      </w:r>
      <w:r>
        <w:rPr>
          <w:rFonts w:hint="eastAsia" w:ascii="宋体"/>
          <w:color w:val="auto"/>
          <w:sz w:val="22"/>
          <w:lang w:eastAsia="zh-CN"/>
        </w:rPr>
        <w:t>天</w:t>
      </w:r>
      <w:r>
        <w:rPr>
          <w:rFonts w:hint="eastAsia" w:ascii="宋体"/>
          <w:color w:val="auto"/>
          <w:sz w:val="22"/>
        </w:rPr>
        <w:t>。</w:t>
      </w:r>
    </w:p>
    <w:p w14:paraId="1693DDC4">
      <w:pPr>
        <w:snapToGrid w:val="0"/>
        <w:spacing w:line="360" w:lineRule="auto"/>
        <w:ind w:firstLine="440" w:firstLineChars="200"/>
        <w:rPr>
          <w:rFonts w:ascii="宋体"/>
          <w:color w:val="auto"/>
          <w:sz w:val="22"/>
        </w:rPr>
      </w:pPr>
      <w:r>
        <w:rPr>
          <w:rFonts w:ascii="宋体"/>
          <w:color w:val="auto"/>
          <w:sz w:val="22"/>
        </w:rPr>
        <w:t>4</w:t>
      </w:r>
      <w:r>
        <w:rPr>
          <w:rFonts w:hint="eastAsia" w:ascii="宋体"/>
          <w:color w:val="auto"/>
          <w:sz w:val="22"/>
        </w:rPr>
        <w:t>.如中标，本投标文件至本项目合同履行完毕止均保持有效，本投标人将按“招标文件”及政府采购法律、法规的规定履行合同责任和义务。</w:t>
      </w:r>
    </w:p>
    <w:p w14:paraId="62384D12">
      <w:pPr>
        <w:snapToGrid w:val="0"/>
        <w:spacing w:line="360" w:lineRule="auto"/>
        <w:ind w:firstLine="440" w:firstLineChars="200"/>
        <w:rPr>
          <w:rFonts w:ascii="宋体"/>
          <w:color w:val="auto"/>
          <w:sz w:val="22"/>
        </w:rPr>
      </w:pPr>
      <w:r>
        <w:rPr>
          <w:rFonts w:ascii="宋体"/>
          <w:color w:val="auto"/>
          <w:sz w:val="22"/>
        </w:rPr>
        <w:t>5</w:t>
      </w:r>
      <w:r>
        <w:rPr>
          <w:rFonts w:hint="eastAsia" w:ascii="宋体"/>
          <w:color w:val="auto"/>
          <w:sz w:val="22"/>
        </w:rPr>
        <w:t>.投标人同意按照贵方要求提供与投标有关的一切数据或资料。</w:t>
      </w:r>
    </w:p>
    <w:p w14:paraId="434F1484">
      <w:pPr>
        <w:snapToGrid w:val="0"/>
        <w:spacing w:line="360" w:lineRule="auto"/>
        <w:ind w:firstLine="440" w:firstLineChars="200"/>
        <w:rPr>
          <w:rFonts w:ascii="宋体"/>
          <w:color w:val="auto"/>
          <w:sz w:val="22"/>
        </w:rPr>
      </w:pPr>
      <w:r>
        <w:rPr>
          <w:rFonts w:ascii="宋体"/>
          <w:color w:val="auto"/>
          <w:sz w:val="22"/>
        </w:rPr>
        <w:t>6</w:t>
      </w:r>
      <w:r>
        <w:rPr>
          <w:rFonts w:hint="eastAsia" w:ascii="宋体"/>
          <w:color w:val="auto"/>
          <w:sz w:val="22"/>
        </w:rPr>
        <w:t>.与本投标有关的一切正式往来信函请寄：</w:t>
      </w:r>
    </w:p>
    <w:p w14:paraId="238400C0">
      <w:pPr>
        <w:snapToGrid w:val="0"/>
        <w:spacing w:line="360" w:lineRule="auto"/>
        <w:rPr>
          <w:rFonts w:hint="default" w:ascii="宋体" w:eastAsia="宋体"/>
          <w:color w:val="auto"/>
          <w:sz w:val="22"/>
          <w:u w:val="single"/>
          <w:lang w:val="en-US" w:eastAsia="zh-CN"/>
        </w:rPr>
      </w:pPr>
      <w:r>
        <w:rPr>
          <w:rFonts w:hint="eastAsia" w:ascii="宋体"/>
          <w:color w:val="auto"/>
          <w:sz w:val="22"/>
        </w:rPr>
        <w:t>地址：</w:t>
      </w:r>
      <w:r>
        <w:rPr>
          <w:rFonts w:hint="eastAsia" w:ascii="宋体"/>
          <w:color w:val="auto"/>
          <w:sz w:val="22"/>
          <w:u w:val="single"/>
          <w:lang w:val="en-US" w:eastAsia="zh-CN"/>
        </w:rPr>
        <w:t xml:space="preserve">                    </w:t>
      </w:r>
      <w:r>
        <w:rPr>
          <w:rFonts w:hint="eastAsia" w:ascii="宋体"/>
          <w:color w:val="auto"/>
          <w:sz w:val="22"/>
          <w:u w:val="none"/>
          <w:lang w:val="en-US" w:eastAsia="zh-CN"/>
        </w:rPr>
        <w:t xml:space="preserve">  </w:t>
      </w:r>
      <w:r>
        <w:rPr>
          <w:rFonts w:hint="eastAsia" w:ascii="宋体"/>
          <w:color w:val="auto"/>
          <w:sz w:val="22"/>
        </w:rPr>
        <w:t>邮编：</w:t>
      </w:r>
      <w:r>
        <w:rPr>
          <w:rFonts w:hint="eastAsia" w:ascii="宋体"/>
          <w:color w:val="auto"/>
          <w:sz w:val="22"/>
          <w:u w:val="single"/>
          <w:lang w:val="en-US" w:eastAsia="zh-CN"/>
        </w:rPr>
        <w:t xml:space="preserve">          </w:t>
      </w:r>
      <w:r>
        <w:rPr>
          <w:rFonts w:hint="eastAsia" w:ascii="宋体"/>
          <w:color w:val="auto"/>
          <w:sz w:val="22"/>
          <w:u w:val="none"/>
          <w:lang w:val="en-US" w:eastAsia="zh-CN"/>
        </w:rPr>
        <w:t xml:space="preserve">  </w:t>
      </w:r>
      <w:r>
        <w:rPr>
          <w:rFonts w:hint="eastAsia" w:ascii="宋体"/>
          <w:color w:val="auto"/>
          <w:sz w:val="22"/>
        </w:rPr>
        <w:t>电话：</w:t>
      </w:r>
      <w:r>
        <w:rPr>
          <w:rFonts w:hint="eastAsia" w:ascii="宋体"/>
          <w:color w:val="auto"/>
          <w:sz w:val="22"/>
          <w:u w:val="single"/>
          <w:lang w:val="en-US" w:eastAsia="zh-CN"/>
        </w:rPr>
        <w:t xml:space="preserve">          </w:t>
      </w:r>
    </w:p>
    <w:p w14:paraId="2AF40568">
      <w:pPr>
        <w:snapToGrid w:val="0"/>
        <w:spacing w:line="360" w:lineRule="auto"/>
        <w:rPr>
          <w:rFonts w:hint="default" w:ascii="宋体" w:eastAsia="宋体"/>
          <w:color w:val="auto"/>
          <w:sz w:val="22"/>
          <w:u w:val="single"/>
          <w:lang w:val="en-US" w:eastAsia="zh-CN"/>
        </w:rPr>
      </w:pPr>
      <w:r>
        <w:rPr>
          <w:rFonts w:hint="eastAsia" w:ascii="宋体"/>
          <w:color w:val="auto"/>
          <w:sz w:val="22"/>
        </w:rPr>
        <w:t>传真：</w:t>
      </w:r>
      <w:r>
        <w:rPr>
          <w:rFonts w:hint="eastAsia" w:ascii="宋体"/>
          <w:color w:val="auto"/>
          <w:sz w:val="22"/>
          <w:u w:val="single"/>
          <w:lang w:val="en-US" w:eastAsia="zh-CN"/>
        </w:rPr>
        <w:t xml:space="preserve">            </w:t>
      </w:r>
      <w:r>
        <w:rPr>
          <w:rFonts w:hint="eastAsia" w:ascii="宋体"/>
          <w:color w:val="auto"/>
          <w:sz w:val="22"/>
          <w:u w:val="none"/>
          <w:lang w:val="en-US" w:eastAsia="zh-CN"/>
        </w:rPr>
        <w:t xml:space="preserve">  </w:t>
      </w:r>
      <w:r>
        <w:rPr>
          <w:rFonts w:hint="eastAsia" w:ascii="宋体"/>
          <w:color w:val="auto"/>
          <w:sz w:val="22"/>
        </w:rPr>
        <w:t>投标人代表姓名</w:t>
      </w:r>
      <w:r>
        <w:rPr>
          <w:rFonts w:hint="eastAsia" w:ascii="宋体"/>
          <w:color w:val="auto"/>
          <w:sz w:val="22"/>
          <w:lang w:eastAsia="zh-CN"/>
        </w:rPr>
        <w:t>：</w:t>
      </w:r>
      <w:r>
        <w:rPr>
          <w:rFonts w:hint="eastAsia" w:ascii="宋体"/>
          <w:color w:val="auto"/>
          <w:sz w:val="22"/>
          <w:u w:val="single"/>
          <w:lang w:val="en-US" w:eastAsia="zh-CN"/>
        </w:rPr>
        <w:t xml:space="preserve">          </w:t>
      </w:r>
      <w:r>
        <w:rPr>
          <w:rFonts w:ascii="宋体"/>
          <w:color w:val="auto"/>
          <w:sz w:val="22"/>
        </w:rPr>
        <w:t xml:space="preserve">  </w:t>
      </w:r>
      <w:r>
        <w:rPr>
          <w:rFonts w:hint="eastAsia" w:ascii="宋体"/>
          <w:color w:val="auto"/>
          <w:sz w:val="22"/>
        </w:rPr>
        <w:t>职务：</w:t>
      </w:r>
      <w:r>
        <w:rPr>
          <w:rFonts w:hint="eastAsia" w:ascii="宋体"/>
          <w:color w:val="auto"/>
          <w:sz w:val="22"/>
          <w:u w:val="single"/>
          <w:lang w:val="en-US" w:eastAsia="zh-CN"/>
        </w:rPr>
        <w:t xml:space="preserve">            </w:t>
      </w:r>
    </w:p>
    <w:p w14:paraId="1F6DFA67">
      <w:pPr>
        <w:snapToGrid w:val="0"/>
        <w:spacing w:line="360" w:lineRule="auto"/>
        <w:rPr>
          <w:rFonts w:hint="default" w:ascii="宋体" w:eastAsia="宋体"/>
          <w:color w:val="auto"/>
          <w:sz w:val="22"/>
          <w:u w:val="single"/>
          <w:lang w:val="en-US" w:eastAsia="zh-CN"/>
        </w:rPr>
      </w:pPr>
      <w:r>
        <w:rPr>
          <w:rFonts w:hint="eastAsia" w:ascii="宋体"/>
          <w:color w:val="auto"/>
          <w:sz w:val="22"/>
        </w:rPr>
        <w:t>投标人名称</w:t>
      </w:r>
      <w:r>
        <w:rPr>
          <w:rFonts w:ascii="宋体"/>
          <w:color w:val="auto"/>
          <w:sz w:val="22"/>
        </w:rPr>
        <w:t>(</w:t>
      </w:r>
      <w:r>
        <w:rPr>
          <w:rFonts w:hint="eastAsia" w:ascii="宋体"/>
          <w:color w:val="auto"/>
          <w:sz w:val="22"/>
        </w:rPr>
        <w:t>公章</w:t>
      </w:r>
      <w:r>
        <w:rPr>
          <w:rFonts w:ascii="宋体"/>
          <w:color w:val="auto"/>
          <w:sz w:val="22"/>
        </w:rPr>
        <w:t>):</w:t>
      </w:r>
      <w:r>
        <w:rPr>
          <w:rFonts w:hint="eastAsia" w:ascii="宋体"/>
          <w:color w:val="auto"/>
          <w:sz w:val="22"/>
          <w:u w:val="single"/>
          <w:lang w:val="en-US" w:eastAsia="zh-CN"/>
        </w:rPr>
        <w:t xml:space="preserve">                  </w:t>
      </w:r>
    </w:p>
    <w:p w14:paraId="7125D23B">
      <w:pPr>
        <w:snapToGrid w:val="0"/>
        <w:spacing w:line="360" w:lineRule="auto"/>
        <w:rPr>
          <w:rFonts w:ascii="宋体"/>
          <w:color w:val="auto"/>
          <w:sz w:val="22"/>
        </w:rPr>
      </w:pPr>
      <w:r>
        <w:rPr>
          <w:rFonts w:hint="eastAsia" w:ascii="宋体"/>
          <w:color w:val="auto"/>
          <w:sz w:val="22"/>
        </w:rPr>
        <w:t>开户银行：</w:t>
      </w:r>
      <w:r>
        <w:rPr>
          <w:rFonts w:ascii="宋体"/>
          <w:color w:val="auto"/>
          <w:sz w:val="22"/>
          <w:u w:val="single"/>
        </w:rPr>
        <w:t xml:space="preserve">                       </w:t>
      </w:r>
      <w:r>
        <w:rPr>
          <w:rFonts w:ascii="宋体"/>
          <w:color w:val="auto"/>
          <w:sz w:val="22"/>
        </w:rPr>
        <w:t xml:space="preserve">  </w:t>
      </w:r>
      <w:r>
        <w:rPr>
          <w:rFonts w:hint="eastAsia" w:ascii="宋体"/>
          <w:color w:val="auto"/>
          <w:sz w:val="22"/>
        </w:rPr>
        <w:t>银行帐号：</w:t>
      </w:r>
      <w:r>
        <w:rPr>
          <w:rFonts w:ascii="宋体"/>
          <w:color w:val="auto"/>
          <w:sz w:val="22"/>
          <w:u w:val="single"/>
        </w:rPr>
        <w:t xml:space="preserve">                       </w:t>
      </w:r>
      <w:r>
        <w:rPr>
          <w:rFonts w:ascii="宋体"/>
          <w:color w:val="auto"/>
          <w:sz w:val="22"/>
        </w:rPr>
        <w:t xml:space="preserve">                     </w:t>
      </w:r>
    </w:p>
    <w:p w14:paraId="702E69CA">
      <w:pPr>
        <w:snapToGrid w:val="0"/>
        <w:spacing w:line="360" w:lineRule="auto"/>
        <w:jc w:val="center"/>
        <w:rPr>
          <w:rFonts w:ascii="宋体"/>
          <w:color w:val="auto"/>
          <w:sz w:val="22"/>
        </w:rPr>
      </w:pPr>
      <w:r>
        <w:rPr>
          <w:rFonts w:hint="eastAsia" w:ascii="宋体"/>
          <w:color w:val="auto"/>
          <w:sz w:val="22"/>
        </w:rPr>
        <w:t>授权代表签字</w:t>
      </w:r>
      <w:r>
        <w:rPr>
          <w:rFonts w:ascii="宋体"/>
          <w:color w:val="auto"/>
          <w:sz w:val="22"/>
        </w:rPr>
        <w:t xml:space="preserve">: </w:t>
      </w:r>
      <w:r>
        <w:rPr>
          <w:rFonts w:hint="eastAsia" w:ascii="宋体"/>
          <w:color w:val="auto"/>
          <w:sz w:val="22"/>
          <w:u w:val="single"/>
          <w:lang w:val="en-US" w:eastAsia="zh-CN"/>
        </w:rPr>
        <w:t xml:space="preserve">          </w:t>
      </w:r>
      <w:r>
        <w:rPr>
          <w:rFonts w:ascii="宋体"/>
          <w:color w:val="auto"/>
          <w:sz w:val="22"/>
        </w:rPr>
        <w:t xml:space="preserve">                     </w:t>
      </w:r>
      <w:r>
        <w:rPr>
          <w:rFonts w:hint="eastAsia" w:ascii="宋体"/>
          <w:color w:val="auto"/>
          <w:sz w:val="22"/>
        </w:rPr>
        <w:t>日期</w:t>
      </w:r>
      <w:r>
        <w:rPr>
          <w:rFonts w:ascii="宋体"/>
          <w:color w:val="auto"/>
          <w:sz w:val="22"/>
        </w:rPr>
        <w:t>:</w:t>
      </w:r>
      <w:r>
        <w:rPr>
          <w:rFonts w:hint="eastAsia" w:ascii="宋体"/>
          <w:color w:val="auto"/>
          <w:sz w:val="22"/>
          <w:u w:val="single"/>
          <w:lang w:val="en-US" w:eastAsia="zh-CN"/>
        </w:rPr>
        <w:t xml:space="preserve">    </w:t>
      </w:r>
      <w:r>
        <w:rPr>
          <w:rFonts w:hint="eastAsia" w:ascii="宋体"/>
          <w:color w:val="auto"/>
          <w:sz w:val="22"/>
        </w:rPr>
        <w:t>年</w:t>
      </w:r>
      <w:r>
        <w:rPr>
          <w:rFonts w:hint="eastAsia" w:ascii="宋体"/>
          <w:color w:val="auto"/>
          <w:sz w:val="22"/>
          <w:u w:val="single"/>
          <w:lang w:val="en-US" w:eastAsia="zh-CN"/>
        </w:rPr>
        <w:t xml:space="preserve">    </w:t>
      </w:r>
      <w:r>
        <w:rPr>
          <w:rFonts w:hint="eastAsia" w:ascii="宋体"/>
          <w:color w:val="auto"/>
          <w:sz w:val="22"/>
        </w:rPr>
        <w:t>月</w:t>
      </w:r>
      <w:r>
        <w:rPr>
          <w:rFonts w:hint="eastAsia" w:ascii="宋体"/>
          <w:color w:val="auto"/>
          <w:sz w:val="22"/>
          <w:u w:val="single"/>
          <w:lang w:val="en-US" w:eastAsia="zh-CN"/>
        </w:rPr>
        <w:t xml:space="preserve">    </w:t>
      </w:r>
      <w:r>
        <w:rPr>
          <w:rFonts w:hint="eastAsia" w:ascii="宋体"/>
          <w:color w:val="auto"/>
          <w:sz w:val="22"/>
        </w:rPr>
        <w:t>日</w:t>
      </w:r>
    </w:p>
    <w:p w14:paraId="4D00299F">
      <w:pPr>
        <w:snapToGrid w:val="0"/>
        <w:spacing w:line="500" w:lineRule="atLeast"/>
        <w:rPr>
          <w:rFonts w:ascii="宋体"/>
          <w:color w:val="auto"/>
          <w:sz w:val="30"/>
          <w:szCs w:val="30"/>
        </w:rPr>
      </w:pPr>
    </w:p>
    <w:p w14:paraId="2D849925">
      <w:pPr>
        <w:autoSpaceDE w:val="0"/>
        <w:autoSpaceDN w:val="0"/>
        <w:adjustRightInd w:val="0"/>
        <w:spacing w:line="460" w:lineRule="atLeast"/>
        <w:rPr>
          <w:rFonts w:ascii="宋体"/>
          <w:color w:val="auto"/>
          <w:sz w:val="32"/>
          <w:lang w:val="zh-CN"/>
        </w:rPr>
      </w:pPr>
    </w:p>
    <w:p w14:paraId="052A3246">
      <w:pPr>
        <w:rPr>
          <w:rFonts w:hint="eastAsia" w:ascii="宋体" w:eastAsia="宋体"/>
          <w:color w:val="auto"/>
          <w:sz w:val="32"/>
          <w:lang w:val="zh-CN" w:eastAsia="zh-CN"/>
        </w:rPr>
      </w:pPr>
      <w:r>
        <w:rPr>
          <w:rFonts w:hint="eastAsia" w:ascii="宋体" w:hAnsi="Courier New" w:cs="Arial"/>
          <w:color w:val="auto"/>
          <w:sz w:val="22"/>
        </w:rPr>
        <w:br w:type="page"/>
      </w:r>
      <w:r>
        <w:rPr>
          <w:rFonts w:hint="eastAsia" w:ascii="宋体" w:hAnsi="Courier New" w:cs="Arial"/>
          <w:color w:val="auto"/>
          <w:sz w:val="22"/>
        </w:rPr>
        <w:t>附件</w:t>
      </w:r>
      <w:r>
        <w:rPr>
          <w:rFonts w:hint="eastAsia" w:ascii="宋体" w:hAnsi="Courier New" w:cs="Arial"/>
          <w:color w:val="auto"/>
          <w:sz w:val="22"/>
          <w:lang w:eastAsia="zh-CN"/>
        </w:rPr>
        <w:t>五</w:t>
      </w:r>
    </w:p>
    <w:p w14:paraId="092806C5">
      <w:pPr>
        <w:tabs>
          <w:tab w:val="left" w:pos="1080"/>
        </w:tabs>
        <w:autoSpaceDE w:val="0"/>
        <w:autoSpaceDN w:val="0"/>
        <w:adjustRightInd w:val="0"/>
        <w:spacing w:line="460" w:lineRule="atLeast"/>
        <w:jc w:val="center"/>
        <w:rPr>
          <w:rFonts w:ascii="宋体" w:cs="仿宋_GB2312"/>
          <w:color w:val="auto"/>
          <w:sz w:val="36"/>
          <w:szCs w:val="36"/>
          <w:lang w:val="zh-CN"/>
        </w:rPr>
      </w:pPr>
      <w:r>
        <w:rPr>
          <w:rFonts w:hint="eastAsia" w:ascii="宋体" w:cs="仿宋_GB2312"/>
          <w:color w:val="auto"/>
          <w:sz w:val="36"/>
          <w:szCs w:val="36"/>
          <w:lang w:val="zh-CN"/>
        </w:rPr>
        <w:t>法定代表人授权书</w:t>
      </w:r>
    </w:p>
    <w:p w14:paraId="2FAB5416">
      <w:pPr>
        <w:spacing w:line="460" w:lineRule="exact"/>
        <w:rPr>
          <w:rFonts w:ascii="宋体" w:cs="黑体"/>
          <w:color w:val="auto"/>
          <w:sz w:val="22"/>
          <w:u w:val="single"/>
        </w:rPr>
      </w:pPr>
      <w:r>
        <w:rPr>
          <w:rFonts w:hint="eastAsia" w:ascii="宋体" w:cs="黑体"/>
          <w:color w:val="auto"/>
          <w:sz w:val="22"/>
          <w:u w:val="single"/>
        </w:rPr>
        <w:t>金华市政府采购中心：</w:t>
      </w:r>
    </w:p>
    <w:p w14:paraId="64C7BC0B">
      <w:pPr>
        <w:snapToGrid w:val="0"/>
        <w:spacing w:line="580" w:lineRule="atLeast"/>
        <w:ind w:firstLine="440" w:firstLineChars="200"/>
        <w:rPr>
          <w:rFonts w:ascii="宋体"/>
          <w:color w:val="auto"/>
          <w:sz w:val="22"/>
        </w:rPr>
      </w:pPr>
      <w:r>
        <w:rPr>
          <w:rFonts w:hint="eastAsia" w:ascii="宋体"/>
          <w:color w:val="auto"/>
          <w:sz w:val="22"/>
        </w:rPr>
        <w:t>本授权委托书声明：我</w:t>
      </w:r>
      <w:r>
        <w:rPr>
          <w:rFonts w:hint="eastAsia" w:ascii="宋体"/>
          <w:color w:val="auto"/>
          <w:sz w:val="22"/>
          <w:u w:val="single"/>
        </w:rPr>
        <w:t xml:space="preserve">   （法定代表人姓名）   </w:t>
      </w:r>
      <w:r>
        <w:rPr>
          <w:rFonts w:hint="eastAsia" w:ascii="宋体"/>
          <w:color w:val="auto"/>
          <w:sz w:val="22"/>
        </w:rPr>
        <w:t>系</w:t>
      </w:r>
      <w:r>
        <w:rPr>
          <w:rFonts w:hint="eastAsia" w:ascii="宋体"/>
          <w:color w:val="auto"/>
          <w:sz w:val="22"/>
          <w:u w:val="single"/>
        </w:rPr>
        <w:t xml:space="preserve">   （供 应 商 名 称）  </w:t>
      </w:r>
      <w:r>
        <w:rPr>
          <w:rFonts w:hint="eastAsia" w:ascii="宋体"/>
          <w:color w:val="auto"/>
          <w:sz w:val="22"/>
        </w:rPr>
        <w:t>的法定代表人，现授权委托</w:t>
      </w:r>
      <w:r>
        <w:rPr>
          <w:rFonts w:hint="eastAsia" w:ascii="宋体"/>
          <w:color w:val="auto"/>
          <w:sz w:val="22"/>
          <w:u w:val="single"/>
        </w:rPr>
        <w:t xml:space="preserve">  （单 位 名 称）   </w:t>
      </w:r>
      <w:r>
        <w:rPr>
          <w:rFonts w:hint="eastAsia" w:ascii="宋体"/>
          <w:color w:val="auto"/>
          <w:sz w:val="22"/>
        </w:rPr>
        <w:t>的</w:t>
      </w:r>
      <w:r>
        <w:rPr>
          <w:rFonts w:hint="eastAsia" w:ascii="宋体"/>
          <w:color w:val="auto"/>
          <w:sz w:val="22"/>
          <w:u w:val="single"/>
        </w:rPr>
        <w:t xml:space="preserve">  （授权代表姓名）  </w:t>
      </w:r>
      <w:r>
        <w:rPr>
          <w:rFonts w:hint="eastAsia" w:ascii="宋体"/>
          <w:color w:val="auto"/>
          <w:sz w:val="22"/>
        </w:rPr>
        <w:t>为我公司法定代表人授权代表，参加贵处组织的</w:t>
      </w:r>
      <w:r>
        <w:rPr>
          <w:rFonts w:hint="eastAsia" w:ascii="宋体"/>
          <w:color w:val="auto"/>
          <w:sz w:val="22"/>
          <w:u w:val="single"/>
        </w:rPr>
        <w:t xml:space="preserve">  （招标项目名称，括号中填写项目编号）  </w:t>
      </w:r>
      <w:r>
        <w:rPr>
          <w:rFonts w:hint="eastAsia" w:ascii="宋体"/>
          <w:color w:val="auto"/>
          <w:sz w:val="22"/>
        </w:rPr>
        <w:t>项目投标，全权处理本次招投标活动中的一切事宜，我承认授权代表全权代表本项目的投标文件的内容。</w:t>
      </w:r>
    </w:p>
    <w:p w14:paraId="79D250EA">
      <w:pPr>
        <w:snapToGrid w:val="0"/>
        <w:spacing w:line="580" w:lineRule="atLeast"/>
        <w:ind w:firstLine="440" w:firstLineChars="200"/>
        <w:rPr>
          <w:rFonts w:ascii="宋体"/>
          <w:color w:val="auto"/>
          <w:sz w:val="22"/>
        </w:rPr>
      </w:pPr>
      <w:r>
        <w:rPr>
          <w:rFonts w:hint="eastAsia" w:ascii="宋体"/>
          <w:color w:val="auto"/>
          <w:sz w:val="22"/>
        </w:rPr>
        <w:t>授权代表无转授权，特此授权。</w:t>
      </w:r>
    </w:p>
    <w:p w14:paraId="4A55032B">
      <w:pPr>
        <w:snapToGrid w:val="0"/>
        <w:ind w:left="2092" w:leftChars="996" w:firstLine="330" w:firstLineChars="150"/>
        <w:rPr>
          <w:rFonts w:ascii="宋体"/>
          <w:color w:val="auto"/>
          <w:sz w:val="22"/>
          <w:u w:val="single"/>
        </w:rPr>
      </w:pPr>
      <w:r>
        <w:rPr>
          <w:rFonts w:hint="eastAsia" w:ascii="宋体"/>
          <w:color w:val="auto"/>
          <w:sz w:val="22"/>
        </w:rPr>
        <w:t>授权代表：</w:t>
      </w:r>
      <w:r>
        <w:rPr>
          <w:rFonts w:hint="eastAsia" w:ascii="宋体"/>
          <w:color w:val="auto"/>
          <w:sz w:val="22"/>
          <w:u w:val="single"/>
        </w:rPr>
        <w:t xml:space="preserve">          </w:t>
      </w:r>
      <w:r>
        <w:rPr>
          <w:rFonts w:hint="eastAsia" w:ascii="宋体"/>
          <w:color w:val="auto"/>
          <w:sz w:val="22"/>
        </w:rPr>
        <w:t xml:space="preserve"> 性别 ：</w:t>
      </w:r>
      <w:r>
        <w:rPr>
          <w:rFonts w:hint="eastAsia" w:ascii="宋体"/>
          <w:color w:val="auto"/>
          <w:sz w:val="22"/>
          <w:u w:val="single"/>
        </w:rPr>
        <w:t xml:space="preserve">         </w:t>
      </w:r>
      <w:r>
        <w:rPr>
          <w:rFonts w:hint="eastAsia" w:ascii="宋体"/>
          <w:color w:val="auto"/>
          <w:sz w:val="22"/>
        </w:rPr>
        <w:t xml:space="preserve"> 年龄：</w:t>
      </w:r>
      <w:r>
        <w:rPr>
          <w:rFonts w:hint="eastAsia" w:ascii="宋体"/>
          <w:color w:val="auto"/>
          <w:sz w:val="22"/>
          <w:u w:val="single"/>
        </w:rPr>
        <w:t xml:space="preserve">         </w:t>
      </w:r>
      <w:r>
        <w:rPr>
          <w:rFonts w:hint="eastAsia" w:ascii="宋体"/>
          <w:color w:val="auto"/>
          <w:sz w:val="22"/>
        </w:rPr>
        <w:t xml:space="preserve"> </w:t>
      </w:r>
    </w:p>
    <w:p w14:paraId="701E26A6">
      <w:pPr>
        <w:snapToGrid w:val="0"/>
        <w:ind w:firstLine="2420" w:firstLineChars="1100"/>
        <w:rPr>
          <w:rFonts w:ascii="宋体"/>
          <w:color w:val="auto"/>
          <w:sz w:val="22"/>
          <w:u w:val="single"/>
        </w:rPr>
      </w:pPr>
      <w:r>
        <w:rPr>
          <w:rFonts w:hint="eastAsia" w:ascii="宋体"/>
          <w:color w:val="auto"/>
          <w:sz w:val="22"/>
        </w:rPr>
        <w:t>详细通讯地址：</w:t>
      </w:r>
      <w:r>
        <w:rPr>
          <w:rFonts w:hint="eastAsia" w:ascii="宋体"/>
          <w:color w:val="auto"/>
          <w:sz w:val="22"/>
          <w:u w:val="single"/>
        </w:rPr>
        <w:t xml:space="preserve">                  </w:t>
      </w:r>
      <w:r>
        <w:rPr>
          <w:rFonts w:hint="eastAsia" w:ascii="宋体"/>
          <w:color w:val="auto"/>
          <w:sz w:val="22"/>
        </w:rPr>
        <w:t xml:space="preserve"> 邮政编码：</w:t>
      </w:r>
      <w:r>
        <w:rPr>
          <w:rFonts w:hint="eastAsia" w:ascii="宋体"/>
          <w:color w:val="auto"/>
          <w:sz w:val="22"/>
          <w:u w:val="single"/>
        </w:rPr>
        <w:t xml:space="preserve">           </w:t>
      </w:r>
    </w:p>
    <w:p w14:paraId="3422634F">
      <w:pPr>
        <w:snapToGrid w:val="0"/>
        <w:ind w:firstLine="2420" w:firstLineChars="1100"/>
        <w:rPr>
          <w:rFonts w:ascii="宋体"/>
          <w:color w:val="auto"/>
          <w:sz w:val="22"/>
          <w:u w:val="single"/>
        </w:rPr>
      </w:pPr>
      <w:r>
        <w:rPr>
          <w:rFonts w:hint="eastAsia" w:ascii="宋体"/>
          <w:color w:val="auto"/>
          <w:sz w:val="22"/>
        </w:rPr>
        <w:t>电话：</w:t>
      </w:r>
      <w:r>
        <w:rPr>
          <w:rFonts w:hint="eastAsia" w:ascii="宋体"/>
          <w:color w:val="auto"/>
          <w:sz w:val="22"/>
          <w:u w:val="single"/>
        </w:rPr>
        <w:t xml:space="preserve">                   </w:t>
      </w:r>
      <w:r>
        <w:rPr>
          <w:rFonts w:hint="eastAsia" w:ascii="宋体"/>
          <w:color w:val="auto"/>
          <w:sz w:val="22"/>
        </w:rPr>
        <w:t xml:space="preserve"> 传真：</w:t>
      </w:r>
      <w:r>
        <w:rPr>
          <w:rFonts w:hint="eastAsia" w:ascii="宋体"/>
          <w:color w:val="auto"/>
          <w:sz w:val="22"/>
          <w:u w:val="single"/>
        </w:rPr>
        <w:t xml:space="preserve">                      </w:t>
      </w:r>
    </w:p>
    <w:p w14:paraId="0220162E">
      <w:pPr>
        <w:snapToGrid w:val="0"/>
        <w:ind w:left="1" w:firstLine="422" w:firstLineChars="192"/>
        <w:rPr>
          <w:rFonts w:ascii="宋体"/>
          <w:color w:val="auto"/>
          <w:sz w:val="22"/>
        </w:rPr>
      </w:pPr>
      <w:r>
        <w:rPr>
          <w:rFonts w:hint="eastAsia" w:ascii="宋体"/>
          <w:color w:val="auto"/>
          <w:sz w:val="22"/>
        </w:rPr>
        <w:t xml:space="preserve">                  投标供应商：</w:t>
      </w:r>
      <w:r>
        <w:rPr>
          <w:rFonts w:hint="eastAsia" w:ascii="宋体"/>
          <w:color w:val="auto"/>
          <w:sz w:val="22"/>
          <w:u w:val="single"/>
        </w:rPr>
        <w:t xml:space="preserve">                                      （盖章）</w:t>
      </w:r>
    </w:p>
    <w:p w14:paraId="70196310">
      <w:pPr>
        <w:snapToGrid w:val="0"/>
        <w:ind w:left="2100" w:right="440"/>
        <w:jc w:val="center"/>
        <w:rPr>
          <w:rFonts w:ascii="宋体"/>
          <w:color w:val="auto"/>
          <w:sz w:val="22"/>
        </w:rPr>
      </w:pPr>
      <w:r>
        <w:rPr>
          <w:rFonts w:hint="eastAsia" w:ascii="宋体"/>
          <w:color w:val="auto"/>
          <w:sz w:val="22"/>
        </w:rPr>
        <w:t xml:space="preserve">   法定代表人：</w:t>
      </w:r>
      <w:r>
        <w:rPr>
          <w:rFonts w:hint="eastAsia" w:ascii="宋体"/>
          <w:color w:val="auto"/>
          <w:sz w:val="22"/>
          <w:u w:val="single"/>
        </w:rPr>
        <w:t xml:space="preserve">                                  （签字或盖章）</w:t>
      </w:r>
    </w:p>
    <w:p w14:paraId="7F7FDE84">
      <w:pPr>
        <w:pStyle w:val="10"/>
        <w:adjustRightInd w:val="0"/>
        <w:snapToGrid w:val="0"/>
        <w:spacing w:before="120" w:after="120" w:line="240" w:lineRule="auto"/>
        <w:ind w:firstLine="2420" w:firstLineChars="1100"/>
        <w:rPr>
          <w:rFonts w:hAnsi="宋体"/>
          <w:color w:val="auto"/>
          <w:sz w:val="22"/>
          <w:szCs w:val="22"/>
        </w:rPr>
      </w:pPr>
      <w:r>
        <w:rPr>
          <w:rFonts w:hint="eastAsia" w:hAnsi="宋体"/>
          <w:color w:val="auto"/>
          <w:sz w:val="22"/>
          <w:szCs w:val="22"/>
        </w:rPr>
        <w:t>授权委托日期：</w:t>
      </w:r>
      <w:r>
        <w:rPr>
          <w:rFonts w:hint="eastAsia" w:hAnsi="宋体"/>
          <w:color w:val="auto"/>
          <w:sz w:val="22"/>
          <w:szCs w:val="22"/>
          <w:u w:val="single"/>
        </w:rPr>
        <w:t xml:space="preserve">     </w:t>
      </w:r>
      <w:r>
        <w:rPr>
          <w:rFonts w:hint="eastAsia" w:hAnsi="宋体"/>
          <w:color w:val="auto"/>
          <w:sz w:val="22"/>
          <w:szCs w:val="22"/>
        </w:rPr>
        <w:t xml:space="preserve">年 </w:t>
      </w:r>
      <w:r>
        <w:rPr>
          <w:rFonts w:hint="eastAsia" w:hAnsi="宋体"/>
          <w:color w:val="auto"/>
          <w:sz w:val="22"/>
          <w:szCs w:val="22"/>
          <w:u w:val="single"/>
        </w:rPr>
        <w:t xml:space="preserve">    </w:t>
      </w:r>
      <w:r>
        <w:rPr>
          <w:rFonts w:hint="eastAsia" w:hAnsi="宋体"/>
          <w:color w:val="auto"/>
          <w:sz w:val="22"/>
          <w:szCs w:val="22"/>
        </w:rPr>
        <w:t>月</w:t>
      </w:r>
      <w:r>
        <w:rPr>
          <w:rFonts w:hint="eastAsia" w:hAnsi="宋体"/>
          <w:color w:val="auto"/>
          <w:sz w:val="22"/>
          <w:szCs w:val="22"/>
          <w:u w:val="single"/>
        </w:rPr>
        <w:t xml:space="preserve">     </w:t>
      </w:r>
      <w:r>
        <w:rPr>
          <w:rFonts w:hint="eastAsia" w:hAnsi="宋体"/>
          <w:color w:val="auto"/>
          <w:sz w:val="22"/>
          <w:szCs w:val="22"/>
        </w:rPr>
        <w:t>日</w:t>
      </w:r>
    </w:p>
    <w:tbl>
      <w:tblPr>
        <w:tblStyle w:val="22"/>
        <w:tblpPr w:leftFromText="180" w:rightFromText="180" w:vertAnchor="text" w:tblpXSpec="center" w:tblpY="1"/>
        <w:tblW w:w="6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6BCB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487CB0F4">
            <w:pPr>
              <w:pStyle w:val="10"/>
              <w:spacing w:before="120" w:after="120" w:line="440" w:lineRule="atLeast"/>
              <w:jc w:val="center"/>
              <w:rPr>
                <w:rFonts w:hAnsi="宋体"/>
                <w:color w:val="auto"/>
                <w:sz w:val="36"/>
              </w:rPr>
            </w:pPr>
            <w:r>
              <w:rPr>
                <w:rFonts w:hint="eastAsia" w:hAnsi="宋体"/>
                <w:color w:val="auto"/>
                <w:sz w:val="36"/>
              </w:rPr>
              <w:t>粘贴授权代表身份证复印件或影印件</w:t>
            </w:r>
          </w:p>
        </w:tc>
      </w:tr>
    </w:tbl>
    <w:p w14:paraId="306D345A">
      <w:pPr>
        <w:pStyle w:val="10"/>
        <w:adjustRightInd w:val="0"/>
        <w:snapToGrid w:val="0"/>
        <w:spacing w:before="120" w:after="120" w:line="580" w:lineRule="atLeast"/>
        <w:jc w:val="center"/>
        <w:rPr>
          <w:rFonts w:hAnsi="宋体"/>
          <w:color w:val="auto"/>
          <w:sz w:val="22"/>
          <w:szCs w:val="22"/>
        </w:rPr>
      </w:pPr>
    </w:p>
    <w:p w14:paraId="62E76A97">
      <w:pPr>
        <w:pStyle w:val="10"/>
        <w:snapToGrid w:val="0"/>
        <w:spacing w:before="120" w:after="120" w:line="580" w:lineRule="atLeast"/>
        <w:rPr>
          <w:rFonts w:hAnsi="宋体" w:cs="Arial"/>
          <w:color w:val="auto"/>
          <w:sz w:val="22"/>
          <w:szCs w:val="22"/>
          <w:u w:val="thick"/>
        </w:rPr>
      </w:pPr>
    </w:p>
    <w:p w14:paraId="2D40FECD">
      <w:pPr>
        <w:pStyle w:val="10"/>
        <w:snapToGrid w:val="0"/>
        <w:spacing w:before="120" w:after="120" w:line="580" w:lineRule="atLeast"/>
        <w:rPr>
          <w:rFonts w:hAnsi="宋体" w:cs="Arial"/>
          <w:color w:val="auto"/>
          <w:sz w:val="22"/>
          <w:szCs w:val="22"/>
          <w:u w:val="thick"/>
        </w:rPr>
      </w:pPr>
    </w:p>
    <w:p w14:paraId="69353A21">
      <w:pPr>
        <w:pStyle w:val="10"/>
        <w:snapToGrid w:val="0"/>
        <w:spacing w:before="120" w:after="120" w:line="580" w:lineRule="atLeast"/>
        <w:rPr>
          <w:rFonts w:hAnsi="宋体" w:cs="Arial"/>
          <w:color w:val="auto"/>
          <w:sz w:val="22"/>
          <w:szCs w:val="22"/>
          <w:u w:val="thick"/>
        </w:rPr>
      </w:pPr>
    </w:p>
    <w:p w14:paraId="513FA26D">
      <w:pPr>
        <w:pStyle w:val="10"/>
        <w:adjustRightInd w:val="0"/>
        <w:snapToGrid w:val="0"/>
        <w:spacing w:before="120" w:after="120" w:line="360" w:lineRule="exact"/>
        <w:rPr>
          <w:rFonts w:hAnsi="宋体"/>
          <w:color w:val="auto"/>
          <w:sz w:val="22"/>
        </w:rPr>
      </w:pPr>
    </w:p>
    <w:tbl>
      <w:tblPr>
        <w:tblStyle w:val="22"/>
        <w:tblpPr w:leftFromText="180" w:rightFromText="180" w:vertAnchor="text" w:tblpXSpec="center" w:tblpY="1"/>
        <w:tblW w:w="6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3867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72E266CB">
            <w:pPr>
              <w:pStyle w:val="10"/>
              <w:spacing w:before="120" w:after="120" w:line="440" w:lineRule="atLeast"/>
              <w:jc w:val="center"/>
              <w:rPr>
                <w:rFonts w:hAnsi="宋体"/>
                <w:color w:val="auto"/>
                <w:sz w:val="36"/>
              </w:rPr>
            </w:pPr>
            <w:r>
              <w:rPr>
                <w:rFonts w:hint="eastAsia" w:hAnsi="宋体"/>
                <w:color w:val="auto"/>
                <w:sz w:val="36"/>
              </w:rPr>
              <w:t>粘贴法定代表人身份证复印件或影印件</w:t>
            </w:r>
          </w:p>
        </w:tc>
      </w:tr>
    </w:tbl>
    <w:p w14:paraId="1D32D864">
      <w:pPr>
        <w:pStyle w:val="10"/>
        <w:snapToGrid w:val="0"/>
        <w:spacing w:before="120" w:after="120" w:line="580" w:lineRule="atLeast"/>
        <w:rPr>
          <w:rFonts w:hAnsi="宋体" w:cs="Arial"/>
          <w:color w:val="auto"/>
          <w:sz w:val="22"/>
          <w:szCs w:val="22"/>
          <w:u w:val="thick"/>
        </w:rPr>
      </w:pPr>
    </w:p>
    <w:p w14:paraId="64151F5F">
      <w:pPr>
        <w:pStyle w:val="10"/>
        <w:snapToGrid w:val="0"/>
        <w:spacing w:before="120" w:after="120" w:line="580" w:lineRule="atLeast"/>
        <w:rPr>
          <w:rFonts w:hAnsi="宋体" w:cs="Arial"/>
          <w:color w:val="auto"/>
          <w:sz w:val="22"/>
          <w:szCs w:val="22"/>
          <w:u w:val="thick"/>
        </w:rPr>
      </w:pPr>
    </w:p>
    <w:p w14:paraId="678267B5">
      <w:pPr>
        <w:snapToGrid w:val="0"/>
        <w:spacing w:line="500" w:lineRule="atLeast"/>
        <w:rPr>
          <w:rFonts w:ascii="宋体"/>
          <w:color w:val="auto"/>
          <w:sz w:val="30"/>
          <w:szCs w:val="30"/>
        </w:rPr>
      </w:pPr>
    </w:p>
    <w:p w14:paraId="153DF487">
      <w:pPr>
        <w:snapToGrid w:val="0"/>
        <w:spacing w:line="500" w:lineRule="atLeast"/>
        <w:rPr>
          <w:rFonts w:ascii="宋体"/>
          <w:color w:val="auto"/>
          <w:sz w:val="30"/>
          <w:szCs w:val="30"/>
        </w:rPr>
      </w:pPr>
    </w:p>
    <w:p w14:paraId="4D48FA72">
      <w:pPr>
        <w:autoSpaceDE w:val="0"/>
        <w:autoSpaceDN w:val="0"/>
        <w:adjustRightInd w:val="0"/>
        <w:snapToGrid w:val="0"/>
        <w:spacing w:line="460" w:lineRule="atLeast"/>
        <w:ind w:firstLine="440" w:firstLineChars="200"/>
        <w:textAlignment w:val="bottom"/>
        <w:rPr>
          <w:rFonts w:hint="eastAsia" w:ascii="宋体" w:cs="Arial"/>
          <w:color w:val="auto"/>
          <w:sz w:val="22"/>
        </w:rPr>
      </w:pPr>
    </w:p>
    <w:p w14:paraId="0F283463">
      <w:pPr>
        <w:autoSpaceDE w:val="0"/>
        <w:autoSpaceDN w:val="0"/>
        <w:adjustRightInd w:val="0"/>
        <w:snapToGrid w:val="0"/>
        <w:spacing w:line="460" w:lineRule="atLeast"/>
        <w:ind w:firstLine="440" w:firstLineChars="200"/>
        <w:textAlignment w:val="bottom"/>
        <w:rPr>
          <w:rFonts w:ascii="宋体" w:cs="Arial"/>
          <w:color w:val="auto"/>
          <w:sz w:val="22"/>
        </w:rPr>
      </w:pPr>
      <w:r>
        <w:rPr>
          <w:rFonts w:hint="eastAsia" w:ascii="宋体" w:cs="Arial"/>
          <w:color w:val="auto"/>
          <w:sz w:val="22"/>
        </w:rPr>
        <w:t>注：法定代表人授权书中法定代表人必须签字或盖章，否则做无效投标处理</w:t>
      </w:r>
      <w:r>
        <w:rPr>
          <w:rFonts w:ascii="宋体" w:cs="Arial"/>
          <w:color w:val="auto"/>
          <w:sz w:val="22"/>
        </w:rPr>
        <w:t>。</w:t>
      </w:r>
    </w:p>
    <w:p w14:paraId="5C0B1465">
      <w:pPr>
        <w:snapToGrid w:val="0"/>
        <w:spacing w:line="500" w:lineRule="atLeast"/>
        <w:rPr>
          <w:rFonts w:hint="eastAsia" w:ascii="宋体" w:eastAsia="宋体"/>
          <w:color w:val="auto"/>
          <w:sz w:val="30"/>
          <w:szCs w:val="30"/>
          <w:lang w:eastAsia="zh-CN"/>
        </w:rPr>
      </w:pPr>
      <w:r>
        <w:rPr>
          <w:rFonts w:ascii="宋体"/>
          <w:color w:val="auto"/>
          <w:sz w:val="30"/>
          <w:szCs w:val="30"/>
        </w:rPr>
        <w:br w:type="page"/>
      </w:r>
      <w:r>
        <w:rPr>
          <w:rFonts w:hint="eastAsia" w:ascii="宋体" w:hAnsi="Courier New" w:cs="Arial"/>
          <w:color w:val="auto"/>
          <w:sz w:val="22"/>
        </w:rPr>
        <w:t>附件</w:t>
      </w:r>
      <w:r>
        <w:rPr>
          <w:rFonts w:hint="eastAsia" w:ascii="宋体" w:hAnsi="Courier New" w:cs="Arial"/>
          <w:color w:val="auto"/>
          <w:sz w:val="22"/>
          <w:lang w:eastAsia="zh-CN"/>
        </w:rPr>
        <w:t>六</w:t>
      </w:r>
    </w:p>
    <w:p w14:paraId="422B2913">
      <w:pPr>
        <w:snapToGrid w:val="0"/>
        <w:spacing w:line="500" w:lineRule="atLeast"/>
        <w:jc w:val="center"/>
        <w:rPr>
          <w:rFonts w:ascii="宋体"/>
          <w:color w:val="auto"/>
          <w:sz w:val="36"/>
          <w:szCs w:val="36"/>
          <w:lang w:val="zh-CN"/>
        </w:rPr>
      </w:pPr>
      <w:r>
        <w:rPr>
          <w:rFonts w:hint="eastAsia" w:ascii="宋体"/>
          <w:color w:val="auto"/>
          <w:sz w:val="36"/>
          <w:szCs w:val="36"/>
          <w:lang w:val="zh-CN"/>
        </w:rPr>
        <w:t>法定代表人诚信投标承诺书</w:t>
      </w:r>
    </w:p>
    <w:p w14:paraId="6910F79D">
      <w:pPr>
        <w:spacing w:line="460" w:lineRule="atLeast"/>
        <w:jc w:val="left"/>
        <w:rPr>
          <w:rFonts w:ascii="宋体"/>
          <w:color w:val="auto"/>
          <w:sz w:val="22"/>
        </w:rPr>
      </w:pPr>
      <w:r>
        <w:rPr>
          <w:rFonts w:hint="eastAsia" w:ascii="宋体"/>
          <w:color w:val="auto"/>
          <w:sz w:val="22"/>
        </w:rPr>
        <w:t>本人以企业法定代表人的身份郑重承诺：</w:t>
      </w:r>
    </w:p>
    <w:p w14:paraId="3C0CAA21">
      <w:pPr>
        <w:spacing w:line="460" w:lineRule="atLeast"/>
        <w:ind w:firstLine="440" w:firstLineChars="200"/>
        <w:jc w:val="left"/>
        <w:rPr>
          <w:rFonts w:ascii="宋体"/>
          <w:color w:val="auto"/>
          <w:sz w:val="22"/>
        </w:rPr>
      </w:pPr>
      <w:r>
        <w:rPr>
          <w:rFonts w:hint="eastAsia" w:ascii="宋体"/>
          <w:color w:val="auto"/>
          <w:sz w:val="22"/>
        </w:rPr>
        <w:t>将遵循公开、公平、公正和诚信信用的原则参加</w:t>
      </w:r>
      <w:r>
        <w:rPr>
          <w:rFonts w:hint="eastAsia" w:ascii="宋体" w:cs="楷体_GB2312"/>
          <w:color w:val="auto"/>
          <w:sz w:val="22"/>
          <w:u w:val="single"/>
        </w:rPr>
        <w:t xml:space="preserve">              项目（招标编号：   ）</w:t>
      </w:r>
      <w:r>
        <w:rPr>
          <w:rFonts w:hint="eastAsia" w:ascii="宋体"/>
          <w:color w:val="auto"/>
          <w:sz w:val="22"/>
        </w:rPr>
        <w:t>的投标；</w:t>
      </w:r>
    </w:p>
    <w:p w14:paraId="07EAD4DB">
      <w:pPr>
        <w:spacing w:line="460" w:lineRule="atLeast"/>
        <w:ind w:firstLine="440" w:firstLineChars="200"/>
        <w:jc w:val="left"/>
        <w:rPr>
          <w:rFonts w:ascii="宋体"/>
          <w:color w:val="auto"/>
          <w:sz w:val="22"/>
          <w:u w:val="single"/>
        </w:rPr>
      </w:pPr>
      <w:r>
        <w:rPr>
          <w:rFonts w:hint="eastAsia" w:ascii="宋体"/>
          <w:color w:val="auto"/>
          <w:sz w:val="22"/>
        </w:rPr>
        <w:t>一、杜绝以收取管理费等形式的一切挂靠、违法转包、分包行为；并选派有丰富经验、无不良行为记录的项目管理人员、技术人员，严格按招标文件、投标文件及合同等要求保证拟派人员的到岗率。</w:t>
      </w:r>
    </w:p>
    <w:p w14:paraId="5383024B">
      <w:pPr>
        <w:spacing w:line="460" w:lineRule="atLeast"/>
        <w:ind w:firstLine="440" w:firstLineChars="200"/>
        <w:jc w:val="left"/>
        <w:rPr>
          <w:rFonts w:ascii="宋体"/>
          <w:color w:val="auto"/>
          <w:sz w:val="22"/>
        </w:rPr>
      </w:pPr>
      <w:r>
        <w:rPr>
          <w:rFonts w:hint="eastAsia" w:ascii="宋体"/>
          <w:color w:val="auto"/>
          <w:sz w:val="22"/>
        </w:rPr>
        <w:t>二、投标文件所提供的一切材料都是真实、有效、合法的。</w:t>
      </w:r>
    </w:p>
    <w:p w14:paraId="3B7774D6">
      <w:pPr>
        <w:spacing w:line="460" w:lineRule="atLeast"/>
        <w:ind w:firstLine="440" w:firstLineChars="200"/>
        <w:jc w:val="left"/>
        <w:rPr>
          <w:rFonts w:ascii="宋体"/>
          <w:color w:val="auto"/>
          <w:sz w:val="22"/>
        </w:rPr>
      </w:pPr>
      <w:r>
        <w:rPr>
          <w:rFonts w:hint="eastAsia" w:ascii="宋体"/>
          <w:color w:val="auto"/>
          <w:sz w:val="22"/>
        </w:rPr>
        <w:t>三、不与其他投标人相互串通投标报价，不排挤其他投标人的公平竞争，不损害招标人或其他投标人的合法权益。</w:t>
      </w:r>
    </w:p>
    <w:p w14:paraId="0B314E9E">
      <w:pPr>
        <w:spacing w:line="460" w:lineRule="atLeast"/>
        <w:ind w:firstLine="440" w:firstLineChars="200"/>
        <w:jc w:val="left"/>
        <w:rPr>
          <w:rFonts w:ascii="宋体"/>
          <w:color w:val="auto"/>
          <w:sz w:val="22"/>
        </w:rPr>
      </w:pPr>
      <w:r>
        <w:rPr>
          <w:rFonts w:hint="eastAsia" w:ascii="宋体"/>
          <w:color w:val="auto"/>
          <w:sz w:val="22"/>
        </w:rPr>
        <w:t>四、不与采购人或采购机构串通投标，不损害国家利益，社会公共利益或其他人的合法权益。</w:t>
      </w:r>
    </w:p>
    <w:p w14:paraId="3BACA172">
      <w:pPr>
        <w:spacing w:line="460" w:lineRule="atLeast"/>
        <w:ind w:firstLine="440" w:firstLineChars="200"/>
        <w:jc w:val="left"/>
        <w:rPr>
          <w:rFonts w:ascii="宋体"/>
          <w:color w:val="auto"/>
          <w:sz w:val="22"/>
        </w:rPr>
      </w:pPr>
      <w:r>
        <w:rPr>
          <w:rFonts w:hint="eastAsia" w:ascii="宋体"/>
          <w:color w:val="auto"/>
          <w:sz w:val="22"/>
        </w:rPr>
        <w:t>五、不向采购人或者评标委员会成员行贿以牟取中标。</w:t>
      </w:r>
    </w:p>
    <w:p w14:paraId="7B7F4A6F">
      <w:pPr>
        <w:spacing w:line="460" w:lineRule="atLeast"/>
        <w:ind w:firstLine="440" w:firstLineChars="200"/>
        <w:jc w:val="left"/>
        <w:rPr>
          <w:rFonts w:ascii="宋体"/>
          <w:color w:val="auto"/>
          <w:sz w:val="22"/>
        </w:rPr>
      </w:pPr>
      <w:r>
        <w:rPr>
          <w:rFonts w:hint="eastAsia" w:ascii="宋体"/>
          <w:color w:val="auto"/>
          <w:sz w:val="22"/>
        </w:rPr>
        <w:t>六、不以其他人名义投标或者以其他方式弄虚作假，骗取中标。</w:t>
      </w:r>
    </w:p>
    <w:p w14:paraId="2E61C841">
      <w:pPr>
        <w:spacing w:line="460" w:lineRule="atLeast"/>
        <w:ind w:firstLine="440" w:firstLineChars="200"/>
        <w:jc w:val="left"/>
        <w:rPr>
          <w:rFonts w:ascii="宋体"/>
          <w:color w:val="auto"/>
          <w:sz w:val="22"/>
        </w:rPr>
      </w:pPr>
      <w:r>
        <w:rPr>
          <w:rFonts w:hint="eastAsia" w:ascii="宋体"/>
          <w:color w:val="auto"/>
          <w:sz w:val="22"/>
        </w:rPr>
        <w:t>七、不在开标后进行虚假恶意投诉。</w:t>
      </w:r>
    </w:p>
    <w:p w14:paraId="57A73988">
      <w:pPr>
        <w:spacing w:line="460" w:lineRule="atLeast"/>
        <w:ind w:firstLine="440" w:firstLineChars="200"/>
        <w:jc w:val="left"/>
        <w:rPr>
          <w:rFonts w:ascii="宋体"/>
          <w:color w:val="auto"/>
          <w:sz w:val="22"/>
        </w:rPr>
      </w:pPr>
      <w:r>
        <w:rPr>
          <w:rFonts w:hint="eastAsia" w:ascii="宋体"/>
          <w:color w:val="auto"/>
          <w:sz w:val="22"/>
        </w:rPr>
        <w:t>八、我单位没有被政府机关</w:t>
      </w:r>
      <w:r>
        <w:rPr>
          <w:rFonts w:ascii="宋体"/>
          <w:color w:val="auto"/>
          <w:sz w:val="22"/>
        </w:rPr>
        <w:t>列入失信被执行人</w:t>
      </w:r>
      <w:r>
        <w:rPr>
          <w:rFonts w:hint="eastAsia" w:ascii="宋体"/>
          <w:color w:val="auto"/>
          <w:sz w:val="22"/>
        </w:rPr>
        <w:t>名单</w:t>
      </w:r>
      <w:r>
        <w:rPr>
          <w:rFonts w:ascii="宋体"/>
          <w:color w:val="auto"/>
          <w:sz w:val="22"/>
        </w:rPr>
        <w:t>、重大税收违法案件当事人名单、政府采购严重违法失信行为记录名单及其他不符合《中华人民共和国政府采购法》第二十二条规定条件</w:t>
      </w:r>
      <w:r>
        <w:rPr>
          <w:rFonts w:hint="eastAsia" w:ascii="宋体"/>
          <w:color w:val="auto"/>
          <w:sz w:val="22"/>
        </w:rPr>
        <w:t>的情形（《中华人民共和国政府采购法实施条例》第十九条规定的情形除外）。</w:t>
      </w:r>
    </w:p>
    <w:p w14:paraId="477102D4">
      <w:pPr>
        <w:spacing w:line="460" w:lineRule="atLeast"/>
        <w:ind w:firstLine="440" w:firstLineChars="200"/>
        <w:rPr>
          <w:rFonts w:ascii="宋体"/>
          <w:color w:val="auto"/>
          <w:sz w:val="22"/>
        </w:rPr>
      </w:pPr>
      <w:r>
        <w:rPr>
          <w:rFonts w:hint="eastAsia" w:ascii="宋体"/>
          <w:color w:val="auto"/>
          <w:sz w:val="22"/>
        </w:rPr>
        <w:t>本公司若有违反本承诺内容的行为，愿意承担法律责任，包括不限于：愿意接受相关行政主管部门作出的处罚；给采购人造成损失的，依法承担相应的赔偿责任。</w:t>
      </w:r>
    </w:p>
    <w:p w14:paraId="2760956E">
      <w:pPr>
        <w:spacing w:line="460" w:lineRule="atLeast"/>
        <w:ind w:right="1120"/>
        <w:rPr>
          <w:rFonts w:ascii="宋体"/>
          <w:color w:val="auto"/>
          <w:sz w:val="22"/>
        </w:rPr>
      </w:pPr>
    </w:p>
    <w:p w14:paraId="01EAE884">
      <w:pPr>
        <w:spacing w:line="460" w:lineRule="atLeast"/>
        <w:ind w:right="1120"/>
        <w:rPr>
          <w:rFonts w:ascii="宋体"/>
          <w:color w:val="auto"/>
          <w:sz w:val="22"/>
        </w:rPr>
      </w:pPr>
      <w:r>
        <w:rPr>
          <w:rFonts w:hint="eastAsia" w:ascii="宋体"/>
          <w:color w:val="auto"/>
          <w:sz w:val="22"/>
        </w:rPr>
        <w:t>投标供应商（盖章）</w:t>
      </w:r>
    </w:p>
    <w:p w14:paraId="611AABB3">
      <w:pPr>
        <w:spacing w:line="460" w:lineRule="atLeast"/>
        <w:ind w:right="1120"/>
        <w:rPr>
          <w:rFonts w:ascii="宋体"/>
          <w:color w:val="auto"/>
          <w:sz w:val="22"/>
        </w:rPr>
      </w:pPr>
      <w:r>
        <w:rPr>
          <w:rFonts w:hint="eastAsia" w:ascii="宋体"/>
          <w:color w:val="auto"/>
          <w:sz w:val="22"/>
        </w:rPr>
        <w:t>法定代表人（签字或盖章）：</w:t>
      </w:r>
    </w:p>
    <w:p w14:paraId="4F03FB69">
      <w:pPr>
        <w:snapToGrid w:val="0"/>
        <w:spacing w:line="500" w:lineRule="atLeast"/>
        <w:rPr>
          <w:rFonts w:ascii="宋体"/>
          <w:color w:val="auto"/>
          <w:sz w:val="30"/>
          <w:szCs w:val="30"/>
        </w:rPr>
      </w:pPr>
      <w:r>
        <w:rPr>
          <w:rFonts w:hint="eastAsia" w:ascii="宋体"/>
          <w:color w:val="auto"/>
          <w:sz w:val="22"/>
        </w:rPr>
        <w:t xml:space="preserve">承诺书签署日期：  </w:t>
      </w:r>
    </w:p>
    <w:p w14:paraId="29E7C768">
      <w:pPr>
        <w:autoSpaceDE w:val="0"/>
        <w:autoSpaceDN w:val="0"/>
        <w:adjustRightInd w:val="0"/>
        <w:spacing w:line="460" w:lineRule="atLeast"/>
        <w:jc w:val="left"/>
        <w:rPr>
          <w:rFonts w:ascii="宋体"/>
          <w:color w:val="auto"/>
          <w:sz w:val="32"/>
        </w:rPr>
      </w:pPr>
    </w:p>
    <w:p w14:paraId="411183BF">
      <w:pPr>
        <w:autoSpaceDE w:val="0"/>
        <w:autoSpaceDN w:val="0"/>
        <w:adjustRightInd w:val="0"/>
        <w:spacing w:line="460" w:lineRule="atLeast"/>
        <w:jc w:val="left"/>
        <w:rPr>
          <w:rFonts w:ascii="宋体"/>
          <w:color w:val="auto"/>
          <w:sz w:val="32"/>
        </w:rPr>
      </w:pPr>
    </w:p>
    <w:p w14:paraId="5FD5B9D9">
      <w:pPr>
        <w:autoSpaceDE w:val="0"/>
        <w:autoSpaceDN w:val="0"/>
        <w:adjustRightInd w:val="0"/>
        <w:spacing w:line="460" w:lineRule="atLeast"/>
        <w:jc w:val="left"/>
        <w:rPr>
          <w:rFonts w:ascii="宋体"/>
          <w:color w:val="auto"/>
          <w:sz w:val="22"/>
        </w:rPr>
        <w:sectPr>
          <w:pgSz w:w="11906" w:h="16838"/>
          <w:pgMar w:top="1440" w:right="1106" w:bottom="1440" w:left="1622" w:header="851" w:footer="992" w:gutter="0"/>
          <w:cols w:space="720" w:num="1"/>
          <w:docGrid w:linePitch="312" w:charSpace="0"/>
        </w:sectPr>
      </w:pPr>
    </w:p>
    <w:p w14:paraId="601978E0">
      <w:pPr>
        <w:pStyle w:val="10"/>
        <w:spacing w:before="156" w:after="156" w:line="460" w:lineRule="atLeast"/>
        <w:rPr>
          <w:rFonts w:hint="eastAsia" w:hAnsi="宋体" w:eastAsia="宋体"/>
          <w:color w:val="auto"/>
          <w:sz w:val="32"/>
          <w:lang w:eastAsia="zh-CN"/>
        </w:rPr>
      </w:pPr>
      <w:r>
        <w:rPr>
          <w:rFonts w:hint="eastAsia" w:cs="Arial"/>
          <w:color w:val="auto"/>
          <w:sz w:val="22"/>
          <w:szCs w:val="22"/>
        </w:rPr>
        <w:t>附件</w:t>
      </w:r>
      <w:r>
        <w:rPr>
          <w:rFonts w:hint="eastAsia" w:cs="Arial"/>
          <w:color w:val="auto"/>
          <w:sz w:val="22"/>
          <w:szCs w:val="22"/>
          <w:lang w:eastAsia="zh-CN"/>
        </w:rPr>
        <w:t>七</w:t>
      </w:r>
    </w:p>
    <w:p w14:paraId="30FB966F">
      <w:pPr>
        <w:pStyle w:val="10"/>
        <w:spacing w:before="156" w:after="156" w:line="440" w:lineRule="atLeast"/>
        <w:jc w:val="center"/>
        <w:rPr>
          <w:rFonts w:hAnsi="宋体" w:cs="Arial"/>
          <w:bCs/>
          <w:color w:val="auto"/>
          <w:sz w:val="36"/>
          <w:szCs w:val="36"/>
        </w:rPr>
      </w:pPr>
      <w:r>
        <w:rPr>
          <w:rFonts w:hint="eastAsia" w:hAnsi="宋体" w:cs="Arial"/>
          <w:bCs/>
          <w:color w:val="auto"/>
          <w:sz w:val="36"/>
          <w:szCs w:val="36"/>
        </w:rPr>
        <w:t>投标供应商业绩</w:t>
      </w:r>
    </w:p>
    <w:tbl>
      <w:tblPr>
        <w:tblStyle w:val="22"/>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14:paraId="2E19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73FE837E">
            <w:pPr>
              <w:pStyle w:val="10"/>
              <w:adjustRightInd w:val="0"/>
              <w:snapToGrid w:val="0"/>
              <w:spacing w:before="156" w:after="156" w:line="440" w:lineRule="atLeast"/>
              <w:jc w:val="center"/>
              <w:rPr>
                <w:rFonts w:hAnsi="宋体"/>
                <w:color w:val="auto"/>
                <w:sz w:val="22"/>
                <w:szCs w:val="22"/>
              </w:rPr>
            </w:pPr>
            <w:r>
              <w:rPr>
                <w:rFonts w:hint="eastAsia" w:hAnsi="宋体"/>
                <w:color w:val="auto"/>
                <w:sz w:val="22"/>
                <w:szCs w:val="22"/>
              </w:rPr>
              <w:t>序号</w:t>
            </w:r>
          </w:p>
        </w:tc>
        <w:tc>
          <w:tcPr>
            <w:tcW w:w="1266" w:type="dxa"/>
            <w:tcBorders>
              <w:right w:val="single" w:color="000000" w:sz="4" w:space="0"/>
            </w:tcBorders>
            <w:noWrap w:val="0"/>
            <w:vAlign w:val="top"/>
          </w:tcPr>
          <w:p w14:paraId="2FC0DABD">
            <w:pPr>
              <w:pStyle w:val="10"/>
              <w:adjustRightInd w:val="0"/>
              <w:snapToGrid w:val="0"/>
              <w:spacing w:before="156" w:after="156" w:line="440" w:lineRule="atLeast"/>
              <w:jc w:val="center"/>
              <w:rPr>
                <w:rFonts w:hAnsi="宋体"/>
                <w:color w:val="auto"/>
                <w:sz w:val="22"/>
                <w:szCs w:val="22"/>
              </w:rPr>
            </w:pPr>
            <w:r>
              <w:rPr>
                <w:rFonts w:hint="eastAsia" w:hAnsi="宋体"/>
                <w:color w:val="auto"/>
                <w:sz w:val="22"/>
                <w:szCs w:val="22"/>
              </w:rPr>
              <w:t>签订时间</w:t>
            </w:r>
          </w:p>
        </w:tc>
        <w:tc>
          <w:tcPr>
            <w:tcW w:w="1477" w:type="dxa"/>
            <w:tcBorders>
              <w:left w:val="single" w:color="000000" w:sz="4" w:space="0"/>
            </w:tcBorders>
            <w:noWrap w:val="0"/>
            <w:vAlign w:val="top"/>
          </w:tcPr>
          <w:p w14:paraId="3F7891BE">
            <w:pPr>
              <w:pStyle w:val="10"/>
              <w:adjustRightInd w:val="0"/>
              <w:snapToGrid w:val="0"/>
              <w:spacing w:before="156" w:after="156" w:line="440" w:lineRule="atLeast"/>
              <w:jc w:val="center"/>
              <w:rPr>
                <w:rFonts w:hAnsi="宋体"/>
                <w:color w:val="auto"/>
                <w:sz w:val="22"/>
                <w:szCs w:val="22"/>
              </w:rPr>
            </w:pPr>
            <w:r>
              <w:rPr>
                <w:rFonts w:hint="eastAsia" w:hAnsi="宋体"/>
                <w:color w:val="auto"/>
                <w:sz w:val="22"/>
                <w:szCs w:val="22"/>
              </w:rPr>
              <w:t>业主名称</w:t>
            </w:r>
          </w:p>
        </w:tc>
        <w:tc>
          <w:tcPr>
            <w:tcW w:w="1491" w:type="dxa"/>
            <w:noWrap w:val="0"/>
            <w:vAlign w:val="top"/>
          </w:tcPr>
          <w:p w14:paraId="2CCF0D15">
            <w:pPr>
              <w:pStyle w:val="10"/>
              <w:adjustRightInd w:val="0"/>
              <w:snapToGrid w:val="0"/>
              <w:spacing w:before="156" w:after="156" w:line="440" w:lineRule="atLeast"/>
              <w:jc w:val="center"/>
              <w:rPr>
                <w:rFonts w:hAnsi="宋体"/>
                <w:color w:val="auto"/>
                <w:sz w:val="22"/>
                <w:szCs w:val="22"/>
              </w:rPr>
            </w:pPr>
            <w:r>
              <w:rPr>
                <w:rFonts w:hint="eastAsia" w:hAnsi="宋体"/>
                <w:color w:val="auto"/>
                <w:sz w:val="22"/>
                <w:szCs w:val="22"/>
              </w:rPr>
              <w:t>合同金额</w:t>
            </w:r>
          </w:p>
        </w:tc>
        <w:tc>
          <w:tcPr>
            <w:tcW w:w="1555" w:type="dxa"/>
            <w:noWrap w:val="0"/>
            <w:vAlign w:val="top"/>
          </w:tcPr>
          <w:p w14:paraId="6CD9CF63">
            <w:pPr>
              <w:pStyle w:val="10"/>
              <w:adjustRightInd w:val="0"/>
              <w:snapToGrid w:val="0"/>
              <w:spacing w:before="156" w:after="156" w:line="440" w:lineRule="atLeast"/>
              <w:jc w:val="center"/>
              <w:rPr>
                <w:rFonts w:hAnsi="宋体"/>
                <w:color w:val="auto"/>
                <w:sz w:val="22"/>
                <w:szCs w:val="22"/>
              </w:rPr>
            </w:pPr>
            <w:r>
              <w:rPr>
                <w:rFonts w:hint="eastAsia" w:hAnsi="宋体"/>
                <w:color w:val="auto"/>
                <w:sz w:val="22"/>
                <w:szCs w:val="22"/>
              </w:rPr>
              <w:t>联系人</w:t>
            </w:r>
          </w:p>
        </w:tc>
        <w:tc>
          <w:tcPr>
            <w:tcW w:w="1556" w:type="dxa"/>
            <w:noWrap w:val="0"/>
            <w:vAlign w:val="top"/>
          </w:tcPr>
          <w:p w14:paraId="3C2F671B">
            <w:pPr>
              <w:pStyle w:val="10"/>
              <w:adjustRightInd w:val="0"/>
              <w:snapToGrid w:val="0"/>
              <w:spacing w:before="156" w:after="156" w:line="440" w:lineRule="atLeast"/>
              <w:jc w:val="center"/>
              <w:rPr>
                <w:rFonts w:hAnsi="宋体"/>
                <w:color w:val="auto"/>
                <w:sz w:val="22"/>
                <w:szCs w:val="22"/>
              </w:rPr>
            </w:pPr>
            <w:r>
              <w:rPr>
                <w:rFonts w:hint="eastAsia" w:hAnsi="宋体"/>
                <w:color w:val="auto"/>
                <w:sz w:val="22"/>
                <w:szCs w:val="22"/>
              </w:rPr>
              <w:t>联系电话</w:t>
            </w:r>
          </w:p>
        </w:tc>
        <w:tc>
          <w:tcPr>
            <w:tcW w:w="1556" w:type="dxa"/>
            <w:noWrap w:val="0"/>
            <w:vAlign w:val="top"/>
          </w:tcPr>
          <w:p w14:paraId="231E1422">
            <w:pPr>
              <w:pStyle w:val="10"/>
              <w:adjustRightInd w:val="0"/>
              <w:snapToGrid w:val="0"/>
              <w:spacing w:before="156" w:after="156" w:line="440" w:lineRule="atLeast"/>
              <w:jc w:val="center"/>
              <w:rPr>
                <w:rFonts w:hAnsi="宋体"/>
                <w:color w:val="auto"/>
                <w:sz w:val="22"/>
                <w:szCs w:val="22"/>
              </w:rPr>
            </w:pPr>
            <w:r>
              <w:rPr>
                <w:rFonts w:hint="eastAsia" w:hAnsi="宋体"/>
                <w:color w:val="auto"/>
                <w:sz w:val="22"/>
                <w:szCs w:val="22"/>
              </w:rPr>
              <w:t>备注</w:t>
            </w:r>
          </w:p>
        </w:tc>
      </w:tr>
      <w:tr w14:paraId="446A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5BC06D46">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69169888">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303D048F">
            <w:pPr>
              <w:pStyle w:val="10"/>
              <w:adjustRightInd w:val="0"/>
              <w:snapToGrid w:val="0"/>
              <w:spacing w:before="156" w:after="156" w:line="440" w:lineRule="atLeast"/>
              <w:rPr>
                <w:rFonts w:hAnsi="宋体"/>
                <w:color w:val="auto"/>
                <w:sz w:val="22"/>
                <w:szCs w:val="22"/>
              </w:rPr>
            </w:pPr>
          </w:p>
        </w:tc>
        <w:tc>
          <w:tcPr>
            <w:tcW w:w="1491" w:type="dxa"/>
            <w:noWrap w:val="0"/>
            <w:vAlign w:val="top"/>
          </w:tcPr>
          <w:p w14:paraId="35F27643">
            <w:pPr>
              <w:pStyle w:val="10"/>
              <w:adjustRightInd w:val="0"/>
              <w:snapToGrid w:val="0"/>
              <w:spacing w:before="156" w:after="156" w:line="440" w:lineRule="atLeast"/>
              <w:rPr>
                <w:rFonts w:hAnsi="宋体"/>
                <w:color w:val="auto"/>
                <w:sz w:val="22"/>
                <w:szCs w:val="22"/>
              </w:rPr>
            </w:pPr>
          </w:p>
        </w:tc>
        <w:tc>
          <w:tcPr>
            <w:tcW w:w="1555" w:type="dxa"/>
            <w:noWrap w:val="0"/>
            <w:vAlign w:val="top"/>
          </w:tcPr>
          <w:p w14:paraId="50B59B4C">
            <w:pPr>
              <w:pStyle w:val="10"/>
              <w:adjustRightInd w:val="0"/>
              <w:snapToGrid w:val="0"/>
              <w:spacing w:before="156" w:after="156" w:line="440" w:lineRule="atLeast"/>
              <w:rPr>
                <w:rFonts w:hAnsi="宋体"/>
                <w:color w:val="auto"/>
                <w:sz w:val="22"/>
                <w:szCs w:val="22"/>
              </w:rPr>
            </w:pPr>
          </w:p>
        </w:tc>
        <w:tc>
          <w:tcPr>
            <w:tcW w:w="1556" w:type="dxa"/>
            <w:noWrap w:val="0"/>
            <w:vAlign w:val="top"/>
          </w:tcPr>
          <w:p w14:paraId="68915B2E">
            <w:pPr>
              <w:pStyle w:val="10"/>
              <w:adjustRightInd w:val="0"/>
              <w:snapToGrid w:val="0"/>
              <w:spacing w:before="156" w:after="156" w:line="440" w:lineRule="atLeast"/>
              <w:rPr>
                <w:rFonts w:hAnsi="宋体"/>
                <w:color w:val="auto"/>
                <w:sz w:val="22"/>
                <w:szCs w:val="22"/>
              </w:rPr>
            </w:pPr>
          </w:p>
        </w:tc>
        <w:tc>
          <w:tcPr>
            <w:tcW w:w="1556" w:type="dxa"/>
            <w:noWrap w:val="0"/>
            <w:vAlign w:val="top"/>
          </w:tcPr>
          <w:p w14:paraId="39D883D4">
            <w:pPr>
              <w:pStyle w:val="10"/>
              <w:adjustRightInd w:val="0"/>
              <w:snapToGrid w:val="0"/>
              <w:spacing w:before="156" w:after="156" w:line="440" w:lineRule="atLeast"/>
              <w:rPr>
                <w:rFonts w:hAnsi="宋体"/>
                <w:color w:val="auto"/>
                <w:sz w:val="22"/>
                <w:szCs w:val="22"/>
              </w:rPr>
            </w:pPr>
          </w:p>
        </w:tc>
      </w:tr>
      <w:tr w14:paraId="669B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4D7D13E6">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632B60C6">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0641C001">
            <w:pPr>
              <w:pStyle w:val="10"/>
              <w:adjustRightInd w:val="0"/>
              <w:snapToGrid w:val="0"/>
              <w:spacing w:before="156" w:after="156" w:line="440" w:lineRule="atLeast"/>
              <w:rPr>
                <w:rFonts w:hAnsi="宋体"/>
                <w:color w:val="auto"/>
                <w:sz w:val="22"/>
                <w:szCs w:val="22"/>
              </w:rPr>
            </w:pPr>
          </w:p>
        </w:tc>
        <w:tc>
          <w:tcPr>
            <w:tcW w:w="1491" w:type="dxa"/>
            <w:noWrap w:val="0"/>
            <w:vAlign w:val="top"/>
          </w:tcPr>
          <w:p w14:paraId="224CAEE3">
            <w:pPr>
              <w:pStyle w:val="10"/>
              <w:adjustRightInd w:val="0"/>
              <w:snapToGrid w:val="0"/>
              <w:spacing w:before="156" w:after="156" w:line="440" w:lineRule="atLeast"/>
              <w:rPr>
                <w:rFonts w:hAnsi="宋体"/>
                <w:color w:val="auto"/>
                <w:sz w:val="22"/>
                <w:szCs w:val="22"/>
              </w:rPr>
            </w:pPr>
          </w:p>
        </w:tc>
        <w:tc>
          <w:tcPr>
            <w:tcW w:w="1555" w:type="dxa"/>
            <w:noWrap w:val="0"/>
            <w:vAlign w:val="top"/>
          </w:tcPr>
          <w:p w14:paraId="3783E5FA">
            <w:pPr>
              <w:pStyle w:val="10"/>
              <w:adjustRightInd w:val="0"/>
              <w:snapToGrid w:val="0"/>
              <w:spacing w:before="156" w:after="156" w:line="440" w:lineRule="atLeast"/>
              <w:rPr>
                <w:rFonts w:hAnsi="宋体"/>
                <w:color w:val="auto"/>
                <w:sz w:val="22"/>
                <w:szCs w:val="22"/>
              </w:rPr>
            </w:pPr>
          </w:p>
        </w:tc>
        <w:tc>
          <w:tcPr>
            <w:tcW w:w="1556" w:type="dxa"/>
            <w:noWrap w:val="0"/>
            <w:vAlign w:val="top"/>
          </w:tcPr>
          <w:p w14:paraId="56542D4A">
            <w:pPr>
              <w:pStyle w:val="10"/>
              <w:adjustRightInd w:val="0"/>
              <w:snapToGrid w:val="0"/>
              <w:spacing w:before="156" w:after="156" w:line="440" w:lineRule="atLeast"/>
              <w:rPr>
                <w:rFonts w:hAnsi="宋体"/>
                <w:color w:val="auto"/>
                <w:sz w:val="22"/>
                <w:szCs w:val="22"/>
              </w:rPr>
            </w:pPr>
          </w:p>
        </w:tc>
        <w:tc>
          <w:tcPr>
            <w:tcW w:w="1556" w:type="dxa"/>
            <w:noWrap w:val="0"/>
            <w:vAlign w:val="top"/>
          </w:tcPr>
          <w:p w14:paraId="076947FE">
            <w:pPr>
              <w:pStyle w:val="10"/>
              <w:adjustRightInd w:val="0"/>
              <w:snapToGrid w:val="0"/>
              <w:spacing w:before="156" w:after="156" w:line="440" w:lineRule="atLeast"/>
              <w:rPr>
                <w:rFonts w:hAnsi="宋体"/>
                <w:color w:val="auto"/>
                <w:sz w:val="22"/>
                <w:szCs w:val="22"/>
              </w:rPr>
            </w:pPr>
          </w:p>
        </w:tc>
      </w:tr>
      <w:tr w14:paraId="268A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7696BDF3">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5C9008D2">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7CD63E97">
            <w:pPr>
              <w:pStyle w:val="10"/>
              <w:adjustRightInd w:val="0"/>
              <w:snapToGrid w:val="0"/>
              <w:spacing w:before="156" w:after="156" w:line="440" w:lineRule="atLeast"/>
              <w:rPr>
                <w:rFonts w:hAnsi="宋体"/>
                <w:color w:val="auto"/>
                <w:sz w:val="22"/>
                <w:szCs w:val="22"/>
              </w:rPr>
            </w:pPr>
          </w:p>
        </w:tc>
        <w:tc>
          <w:tcPr>
            <w:tcW w:w="1491" w:type="dxa"/>
            <w:noWrap w:val="0"/>
            <w:vAlign w:val="top"/>
          </w:tcPr>
          <w:p w14:paraId="7EA0CD75">
            <w:pPr>
              <w:pStyle w:val="10"/>
              <w:adjustRightInd w:val="0"/>
              <w:snapToGrid w:val="0"/>
              <w:spacing w:before="156" w:after="156" w:line="440" w:lineRule="atLeast"/>
              <w:rPr>
                <w:rFonts w:hAnsi="宋体"/>
                <w:color w:val="auto"/>
                <w:sz w:val="22"/>
                <w:szCs w:val="22"/>
              </w:rPr>
            </w:pPr>
          </w:p>
        </w:tc>
        <w:tc>
          <w:tcPr>
            <w:tcW w:w="1555" w:type="dxa"/>
            <w:noWrap w:val="0"/>
            <w:vAlign w:val="top"/>
          </w:tcPr>
          <w:p w14:paraId="71EDCD13">
            <w:pPr>
              <w:pStyle w:val="10"/>
              <w:adjustRightInd w:val="0"/>
              <w:snapToGrid w:val="0"/>
              <w:spacing w:before="156" w:after="156" w:line="440" w:lineRule="atLeast"/>
              <w:rPr>
                <w:rFonts w:hAnsi="宋体"/>
                <w:color w:val="auto"/>
                <w:sz w:val="22"/>
                <w:szCs w:val="22"/>
              </w:rPr>
            </w:pPr>
          </w:p>
        </w:tc>
        <w:tc>
          <w:tcPr>
            <w:tcW w:w="1556" w:type="dxa"/>
            <w:noWrap w:val="0"/>
            <w:vAlign w:val="top"/>
          </w:tcPr>
          <w:p w14:paraId="22DBAE7F">
            <w:pPr>
              <w:pStyle w:val="10"/>
              <w:adjustRightInd w:val="0"/>
              <w:snapToGrid w:val="0"/>
              <w:spacing w:before="156" w:after="156" w:line="440" w:lineRule="atLeast"/>
              <w:rPr>
                <w:rFonts w:hAnsi="宋体"/>
                <w:color w:val="auto"/>
                <w:sz w:val="22"/>
                <w:szCs w:val="22"/>
              </w:rPr>
            </w:pPr>
          </w:p>
        </w:tc>
        <w:tc>
          <w:tcPr>
            <w:tcW w:w="1556" w:type="dxa"/>
            <w:noWrap w:val="0"/>
            <w:vAlign w:val="top"/>
          </w:tcPr>
          <w:p w14:paraId="73656D64">
            <w:pPr>
              <w:pStyle w:val="10"/>
              <w:adjustRightInd w:val="0"/>
              <w:snapToGrid w:val="0"/>
              <w:spacing w:before="156" w:after="156" w:line="440" w:lineRule="atLeast"/>
              <w:rPr>
                <w:rFonts w:hAnsi="宋体"/>
                <w:color w:val="auto"/>
                <w:sz w:val="22"/>
                <w:szCs w:val="22"/>
              </w:rPr>
            </w:pPr>
          </w:p>
        </w:tc>
      </w:tr>
      <w:tr w14:paraId="231E7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09303637">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30059C54">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43827741">
            <w:pPr>
              <w:pStyle w:val="10"/>
              <w:adjustRightInd w:val="0"/>
              <w:snapToGrid w:val="0"/>
              <w:spacing w:before="156" w:after="156" w:line="440" w:lineRule="atLeast"/>
              <w:rPr>
                <w:rFonts w:hAnsi="宋体"/>
                <w:color w:val="auto"/>
                <w:sz w:val="22"/>
                <w:szCs w:val="22"/>
              </w:rPr>
            </w:pPr>
          </w:p>
        </w:tc>
        <w:tc>
          <w:tcPr>
            <w:tcW w:w="1491" w:type="dxa"/>
            <w:noWrap w:val="0"/>
            <w:vAlign w:val="top"/>
          </w:tcPr>
          <w:p w14:paraId="1E85F4D6">
            <w:pPr>
              <w:pStyle w:val="10"/>
              <w:adjustRightInd w:val="0"/>
              <w:snapToGrid w:val="0"/>
              <w:spacing w:before="156" w:after="156" w:line="440" w:lineRule="atLeast"/>
              <w:rPr>
                <w:rFonts w:hAnsi="宋体"/>
                <w:color w:val="auto"/>
                <w:sz w:val="22"/>
                <w:szCs w:val="22"/>
              </w:rPr>
            </w:pPr>
          </w:p>
        </w:tc>
        <w:tc>
          <w:tcPr>
            <w:tcW w:w="1555" w:type="dxa"/>
            <w:noWrap w:val="0"/>
            <w:vAlign w:val="top"/>
          </w:tcPr>
          <w:p w14:paraId="06B5C55C">
            <w:pPr>
              <w:pStyle w:val="10"/>
              <w:adjustRightInd w:val="0"/>
              <w:snapToGrid w:val="0"/>
              <w:spacing w:before="156" w:after="156" w:line="440" w:lineRule="atLeast"/>
              <w:rPr>
                <w:rFonts w:hAnsi="宋体"/>
                <w:color w:val="auto"/>
                <w:sz w:val="22"/>
                <w:szCs w:val="22"/>
              </w:rPr>
            </w:pPr>
          </w:p>
        </w:tc>
        <w:tc>
          <w:tcPr>
            <w:tcW w:w="1556" w:type="dxa"/>
            <w:noWrap w:val="0"/>
            <w:vAlign w:val="top"/>
          </w:tcPr>
          <w:p w14:paraId="6E1AA583">
            <w:pPr>
              <w:pStyle w:val="10"/>
              <w:adjustRightInd w:val="0"/>
              <w:snapToGrid w:val="0"/>
              <w:spacing w:before="156" w:after="156" w:line="440" w:lineRule="atLeast"/>
              <w:rPr>
                <w:rFonts w:hAnsi="宋体"/>
                <w:color w:val="auto"/>
                <w:sz w:val="22"/>
                <w:szCs w:val="22"/>
              </w:rPr>
            </w:pPr>
          </w:p>
        </w:tc>
        <w:tc>
          <w:tcPr>
            <w:tcW w:w="1556" w:type="dxa"/>
            <w:noWrap w:val="0"/>
            <w:vAlign w:val="top"/>
          </w:tcPr>
          <w:p w14:paraId="14DD59A5">
            <w:pPr>
              <w:pStyle w:val="10"/>
              <w:adjustRightInd w:val="0"/>
              <w:snapToGrid w:val="0"/>
              <w:spacing w:before="156" w:after="156" w:line="440" w:lineRule="atLeast"/>
              <w:rPr>
                <w:rFonts w:hAnsi="宋体"/>
                <w:color w:val="auto"/>
                <w:sz w:val="22"/>
                <w:szCs w:val="22"/>
              </w:rPr>
            </w:pPr>
          </w:p>
        </w:tc>
      </w:tr>
      <w:tr w14:paraId="11ED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4C1D4826">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37F40A1C">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1D00E9E1">
            <w:pPr>
              <w:pStyle w:val="10"/>
              <w:adjustRightInd w:val="0"/>
              <w:snapToGrid w:val="0"/>
              <w:spacing w:before="156" w:after="156" w:line="440" w:lineRule="atLeast"/>
              <w:rPr>
                <w:rFonts w:hAnsi="宋体"/>
                <w:color w:val="auto"/>
                <w:sz w:val="22"/>
                <w:szCs w:val="22"/>
              </w:rPr>
            </w:pPr>
          </w:p>
        </w:tc>
        <w:tc>
          <w:tcPr>
            <w:tcW w:w="1491" w:type="dxa"/>
            <w:noWrap w:val="0"/>
            <w:vAlign w:val="top"/>
          </w:tcPr>
          <w:p w14:paraId="5AF06CC3">
            <w:pPr>
              <w:pStyle w:val="10"/>
              <w:adjustRightInd w:val="0"/>
              <w:snapToGrid w:val="0"/>
              <w:spacing w:before="156" w:after="156" w:line="440" w:lineRule="atLeast"/>
              <w:rPr>
                <w:rFonts w:hAnsi="宋体"/>
                <w:color w:val="auto"/>
                <w:sz w:val="22"/>
                <w:szCs w:val="22"/>
              </w:rPr>
            </w:pPr>
          </w:p>
        </w:tc>
        <w:tc>
          <w:tcPr>
            <w:tcW w:w="1555" w:type="dxa"/>
            <w:noWrap w:val="0"/>
            <w:vAlign w:val="top"/>
          </w:tcPr>
          <w:p w14:paraId="703595AB">
            <w:pPr>
              <w:pStyle w:val="10"/>
              <w:adjustRightInd w:val="0"/>
              <w:snapToGrid w:val="0"/>
              <w:spacing w:before="156" w:after="156" w:line="440" w:lineRule="atLeast"/>
              <w:rPr>
                <w:rFonts w:hAnsi="宋体"/>
                <w:color w:val="auto"/>
                <w:sz w:val="22"/>
                <w:szCs w:val="22"/>
              </w:rPr>
            </w:pPr>
          </w:p>
        </w:tc>
        <w:tc>
          <w:tcPr>
            <w:tcW w:w="1556" w:type="dxa"/>
            <w:noWrap w:val="0"/>
            <w:vAlign w:val="top"/>
          </w:tcPr>
          <w:p w14:paraId="4510A96E">
            <w:pPr>
              <w:pStyle w:val="10"/>
              <w:adjustRightInd w:val="0"/>
              <w:snapToGrid w:val="0"/>
              <w:spacing w:before="156" w:after="156" w:line="440" w:lineRule="atLeast"/>
              <w:rPr>
                <w:rFonts w:hAnsi="宋体"/>
                <w:color w:val="auto"/>
                <w:sz w:val="22"/>
                <w:szCs w:val="22"/>
              </w:rPr>
            </w:pPr>
          </w:p>
        </w:tc>
        <w:tc>
          <w:tcPr>
            <w:tcW w:w="1556" w:type="dxa"/>
            <w:noWrap w:val="0"/>
            <w:vAlign w:val="top"/>
          </w:tcPr>
          <w:p w14:paraId="048747AD">
            <w:pPr>
              <w:pStyle w:val="10"/>
              <w:adjustRightInd w:val="0"/>
              <w:snapToGrid w:val="0"/>
              <w:spacing w:before="156" w:after="156" w:line="440" w:lineRule="atLeast"/>
              <w:rPr>
                <w:rFonts w:hAnsi="宋体"/>
                <w:color w:val="auto"/>
                <w:sz w:val="22"/>
                <w:szCs w:val="22"/>
              </w:rPr>
            </w:pPr>
          </w:p>
        </w:tc>
      </w:tr>
      <w:tr w14:paraId="3FAA5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4337213C">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32DD189E">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108D990F">
            <w:pPr>
              <w:pStyle w:val="10"/>
              <w:adjustRightInd w:val="0"/>
              <w:snapToGrid w:val="0"/>
              <w:spacing w:before="156" w:after="156" w:line="440" w:lineRule="atLeast"/>
              <w:rPr>
                <w:rFonts w:hAnsi="宋体"/>
                <w:color w:val="auto"/>
                <w:sz w:val="22"/>
                <w:szCs w:val="22"/>
              </w:rPr>
            </w:pPr>
          </w:p>
        </w:tc>
        <w:tc>
          <w:tcPr>
            <w:tcW w:w="1491" w:type="dxa"/>
            <w:noWrap w:val="0"/>
            <w:vAlign w:val="top"/>
          </w:tcPr>
          <w:p w14:paraId="02549A95">
            <w:pPr>
              <w:pStyle w:val="10"/>
              <w:adjustRightInd w:val="0"/>
              <w:snapToGrid w:val="0"/>
              <w:spacing w:before="156" w:after="156" w:line="440" w:lineRule="atLeast"/>
              <w:rPr>
                <w:rFonts w:hAnsi="宋体"/>
                <w:color w:val="auto"/>
                <w:sz w:val="22"/>
                <w:szCs w:val="22"/>
              </w:rPr>
            </w:pPr>
          </w:p>
        </w:tc>
        <w:tc>
          <w:tcPr>
            <w:tcW w:w="1555" w:type="dxa"/>
            <w:noWrap w:val="0"/>
            <w:vAlign w:val="top"/>
          </w:tcPr>
          <w:p w14:paraId="4C0A61C3">
            <w:pPr>
              <w:pStyle w:val="10"/>
              <w:adjustRightInd w:val="0"/>
              <w:snapToGrid w:val="0"/>
              <w:spacing w:before="156" w:after="156" w:line="440" w:lineRule="atLeast"/>
              <w:rPr>
                <w:rFonts w:hAnsi="宋体"/>
                <w:color w:val="auto"/>
                <w:sz w:val="22"/>
                <w:szCs w:val="22"/>
              </w:rPr>
            </w:pPr>
          </w:p>
        </w:tc>
        <w:tc>
          <w:tcPr>
            <w:tcW w:w="1556" w:type="dxa"/>
            <w:noWrap w:val="0"/>
            <w:vAlign w:val="top"/>
          </w:tcPr>
          <w:p w14:paraId="7FC1F6D9">
            <w:pPr>
              <w:pStyle w:val="10"/>
              <w:adjustRightInd w:val="0"/>
              <w:snapToGrid w:val="0"/>
              <w:spacing w:before="156" w:after="156" w:line="440" w:lineRule="atLeast"/>
              <w:rPr>
                <w:rFonts w:hAnsi="宋体"/>
                <w:color w:val="auto"/>
                <w:sz w:val="22"/>
                <w:szCs w:val="22"/>
              </w:rPr>
            </w:pPr>
          </w:p>
        </w:tc>
        <w:tc>
          <w:tcPr>
            <w:tcW w:w="1556" w:type="dxa"/>
            <w:noWrap w:val="0"/>
            <w:vAlign w:val="top"/>
          </w:tcPr>
          <w:p w14:paraId="36C909E3">
            <w:pPr>
              <w:pStyle w:val="10"/>
              <w:adjustRightInd w:val="0"/>
              <w:snapToGrid w:val="0"/>
              <w:spacing w:before="156" w:after="156" w:line="440" w:lineRule="atLeast"/>
              <w:rPr>
                <w:rFonts w:hAnsi="宋体"/>
                <w:color w:val="auto"/>
                <w:sz w:val="22"/>
                <w:szCs w:val="22"/>
              </w:rPr>
            </w:pPr>
          </w:p>
        </w:tc>
      </w:tr>
      <w:tr w14:paraId="6F78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4F5311BC">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6496D478">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4EFE07D7">
            <w:pPr>
              <w:pStyle w:val="10"/>
              <w:adjustRightInd w:val="0"/>
              <w:snapToGrid w:val="0"/>
              <w:spacing w:before="156" w:after="156" w:line="440" w:lineRule="atLeast"/>
              <w:rPr>
                <w:rFonts w:hAnsi="宋体"/>
                <w:color w:val="auto"/>
                <w:sz w:val="22"/>
                <w:szCs w:val="22"/>
              </w:rPr>
            </w:pPr>
          </w:p>
        </w:tc>
        <w:tc>
          <w:tcPr>
            <w:tcW w:w="1491" w:type="dxa"/>
            <w:noWrap w:val="0"/>
            <w:vAlign w:val="top"/>
          </w:tcPr>
          <w:p w14:paraId="5016EAE8">
            <w:pPr>
              <w:pStyle w:val="10"/>
              <w:adjustRightInd w:val="0"/>
              <w:snapToGrid w:val="0"/>
              <w:spacing w:before="156" w:after="156" w:line="440" w:lineRule="atLeast"/>
              <w:rPr>
                <w:rFonts w:hAnsi="宋体"/>
                <w:color w:val="auto"/>
                <w:sz w:val="22"/>
                <w:szCs w:val="22"/>
              </w:rPr>
            </w:pPr>
          </w:p>
        </w:tc>
        <w:tc>
          <w:tcPr>
            <w:tcW w:w="1555" w:type="dxa"/>
            <w:noWrap w:val="0"/>
            <w:vAlign w:val="top"/>
          </w:tcPr>
          <w:p w14:paraId="3265A607">
            <w:pPr>
              <w:pStyle w:val="10"/>
              <w:adjustRightInd w:val="0"/>
              <w:snapToGrid w:val="0"/>
              <w:spacing w:before="156" w:after="156" w:line="440" w:lineRule="atLeast"/>
              <w:rPr>
                <w:rFonts w:hAnsi="宋体"/>
                <w:color w:val="auto"/>
                <w:sz w:val="22"/>
                <w:szCs w:val="22"/>
              </w:rPr>
            </w:pPr>
          </w:p>
        </w:tc>
        <w:tc>
          <w:tcPr>
            <w:tcW w:w="1556" w:type="dxa"/>
            <w:noWrap w:val="0"/>
            <w:vAlign w:val="top"/>
          </w:tcPr>
          <w:p w14:paraId="75B412CD">
            <w:pPr>
              <w:pStyle w:val="10"/>
              <w:adjustRightInd w:val="0"/>
              <w:snapToGrid w:val="0"/>
              <w:spacing w:before="156" w:after="156" w:line="440" w:lineRule="atLeast"/>
              <w:rPr>
                <w:rFonts w:hAnsi="宋体"/>
                <w:color w:val="auto"/>
                <w:sz w:val="22"/>
                <w:szCs w:val="22"/>
              </w:rPr>
            </w:pPr>
          </w:p>
        </w:tc>
        <w:tc>
          <w:tcPr>
            <w:tcW w:w="1556" w:type="dxa"/>
            <w:noWrap w:val="0"/>
            <w:vAlign w:val="top"/>
          </w:tcPr>
          <w:p w14:paraId="0932D8B9">
            <w:pPr>
              <w:pStyle w:val="10"/>
              <w:adjustRightInd w:val="0"/>
              <w:snapToGrid w:val="0"/>
              <w:spacing w:before="156" w:after="156" w:line="440" w:lineRule="atLeast"/>
              <w:rPr>
                <w:rFonts w:hAnsi="宋体"/>
                <w:color w:val="auto"/>
                <w:sz w:val="22"/>
                <w:szCs w:val="22"/>
              </w:rPr>
            </w:pPr>
          </w:p>
        </w:tc>
      </w:tr>
      <w:tr w14:paraId="1D6A4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2AEA5D79">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70088E58">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7562AD5E">
            <w:pPr>
              <w:pStyle w:val="10"/>
              <w:adjustRightInd w:val="0"/>
              <w:snapToGrid w:val="0"/>
              <w:spacing w:before="156" w:after="156" w:line="440" w:lineRule="atLeast"/>
              <w:rPr>
                <w:rFonts w:hAnsi="宋体"/>
                <w:color w:val="auto"/>
                <w:sz w:val="22"/>
                <w:szCs w:val="22"/>
              </w:rPr>
            </w:pPr>
          </w:p>
        </w:tc>
        <w:tc>
          <w:tcPr>
            <w:tcW w:w="1491" w:type="dxa"/>
            <w:noWrap w:val="0"/>
            <w:vAlign w:val="top"/>
          </w:tcPr>
          <w:p w14:paraId="079928E2">
            <w:pPr>
              <w:pStyle w:val="10"/>
              <w:adjustRightInd w:val="0"/>
              <w:snapToGrid w:val="0"/>
              <w:spacing w:before="156" w:after="156" w:line="440" w:lineRule="atLeast"/>
              <w:rPr>
                <w:rFonts w:hAnsi="宋体"/>
                <w:color w:val="auto"/>
                <w:sz w:val="22"/>
                <w:szCs w:val="22"/>
              </w:rPr>
            </w:pPr>
          </w:p>
        </w:tc>
        <w:tc>
          <w:tcPr>
            <w:tcW w:w="1555" w:type="dxa"/>
            <w:noWrap w:val="0"/>
            <w:vAlign w:val="top"/>
          </w:tcPr>
          <w:p w14:paraId="364F40D6">
            <w:pPr>
              <w:pStyle w:val="10"/>
              <w:adjustRightInd w:val="0"/>
              <w:snapToGrid w:val="0"/>
              <w:spacing w:before="156" w:after="156" w:line="440" w:lineRule="atLeast"/>
              <w:rPr>
                <w:rFonts w:hAnsi="宋体"/>
                <w:color w:val="auto"/>
                <w:sz w:val="22"/>
                <w:szCs w:val="22"/>
              </w:rPr>
            </w:pPr>
          </w:p>
        </w:tc>
        <w:tc>
          <w:tcPr>
            <w:tcW w:w="1556" w:type="dxa"/>
            <w:noWrap w:val="0"/>
            <w:vAlign w:val="top"/>
          </w:tcPr>
          <w:p w14:paraId="37D81C42">
            <w:pPr>
              <w:pStyle w:val="10"/>
              <w:adjustRightInd w:val="0"/>
              <w:snapToGrid w:val="0"/>
              <w:spacing w:before="156" w:after="156" w:line="440" w:lineRule="atLeast"/>
              <w:rPr>
                <w:rFonts w:hAnsi="宋体"/>
                <w:color w:val="auto"/>
                <w:sz w:val="22"/>
                <w:szCs w:val="22"/>
              </w:rPr>
            </w:pPr>
          </w:p>
        </w:tc>
        <w:tc>
          <w:tcPr>
            <w:tcW w:w="1556" w:type="dxa"/>
            <w:noWrap w:val="0"/>
            <w:vAlign w:val="top"/>
          </w:tcPr>
          <w:p w14:paraId="61145147">
            <w:pPr>
              <w:pStyle w:val="10"/>
              <w:adjustRightInd w:val="0"/>
              <w:snapToGrid w:val="0"/>
              <w:spacing w:before="156" w:after="156" w:line="440" w:lineRule="atLeast"/>
              <w:rPr>
                <w:rFonts w:hAnsi="宋体"/>
                <w:color w:val="auto"/>
                <w:sz w:val="22"/>
                <w:szCs w:val="22"/>
              </w:rPr>
            </w:pPr>
          </w:p>
        </w:tc>
      </w:tr>
      <w:tr w14:paraId="2416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2622CDEC">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37B0FAB9">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07E8000C">
            <w:pPr>
              <w:pStyle w:val="10"/>
              <w:adjustRightInd w:val="0"/>
              <w:snapToGrid w:val="0"/>
              <w:spacing w:before="156" w:after="156" w:line="440" w:lineRule="atLeast"/>
              <w:rPr>
                <w:rFonts w:hAnsi="宋体"/>
                <w:color w:val="auto"/>
                <w:sz w:val="22"/>
                <w:szCs w:val="22"/>
              </w:rPr>
            </w:pPr>
          </w:p>
        </w:tc>
        <w:tc>
          <w:tcPr>
            <w:tcW w:w="1491" w:type="dxa"/>
            <w:noWrap w:val="0"/>
            <w:vAlign w:val="top"/>
          </w:tcPr>
          <w:p w14:paraId="6B7B0B75">
            <w:pPr>
              <w:pStyle w:val="10"/>
              <w:adjustRightInd w:val="0"/>
              <w:snapToGrid w:val="0"/>
              <w:spacing w:before="156" w:after="156" w:line="440" w:lineRule="atLeast"/>
              <w:rPr>
                <w:rFonts w:hAnsi="宋体"/>
                <w:color w:val="auto"/>
                <w:sz w:val="22"/>
                <w:szCs w:val="22"/>
              </w:rPr>
            </w:pPr>
          </w:p>
        </w:tc>
        <w:tc>
          <w:tcPr>
            <w:tcW w:w="1555" w:type="dxa"/>
            <w:noWrap w:val="0"/>
            <w:vAlign w:val="top"/>
          </w:tcPr>
          <w:p w14:paraId="5D98C890">
            <w:pPr>
              <w:pStyle w:val="10"/>
              <w:adjustRightInd w:val="0"/>
              <w:snapToGrid w:val="0"/>
              <w:spacing w:before="156" w:after="156" w:line="440" w:lineRule="atLeast"/>
              <w:rPr>
                <w:rFonts w:hAnsi="宋体"/>
                <w:color w:val="auto"/>
                <w:sz w:val="22"/>
                <w:szCs w:val="22"/>
              </w:rPr>
            </w:pPr>
          </w:p>
        </w:tc>
        <w:tc>
          <w:tcPr>
            <w:tcW w:w="1556" w:type="dxa"/>
            <w:noWrap w:val="0"/>
            <w:vAlign w:val="top"/>
          </w:tcPr>
          <w:p w14:paraId="6552B87D">
            <w:pPr>
              <w:pStyle w:val="10"/>
              <w:adjustRightInd w:val="0"/>
              <w:snapToGrid w:val="0"/>
              <w:spacing w:before="156" w:after="156" w:line="440" w:lineRule="atLeast"/>
              <w:rPr>
                <w:rFonts w:hAnsi="宋体"/>
                <w:color w:val="auto"/>
                <w:sz w:val="22"/>
                <w:szCs w:val="22"/>
              </w:rPr>
            </w:pPr>
          </w:p>
        </w:tc>
        <w:tc>
          <w:tcPr>
            <w:tcW w:w="1556" w:type="dxa"/>
            <w:noWrap w:val="0"/>
            <w:vAlign w:val="top"/>
          </w:tcPr>
          <w:p w14:paraId="59C6EA79">
            <w:pPr>
              <w:pStyle w:val="10"/>
              <w:adjustRightInd w:val="0"/>
              <w:snapToGrid w:val="0"/>
              <w:spacing w:before="156" w:after="156" w:line="440" w:lineRule="atLeast"/>
              <w:rPr>
                <w:rFonts w:hAnsi="宋体"/>
                <w:color w:val="auto"/>
                <w:sz w:val="22"/>
                <w:szCs w:val="22"/>
              </w:rPr>
            </w:pPr>
          </w:p>
        </w:tc>
      </w:tr>
      <w:tr w14:paraId="796B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524E413C">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22B65554">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586D8C73">
            <w:pPr>
              <w:pStyle w:val="10"/>
              <w:adjustRightInd w:val="0"/>
              <w:snapToGrid w:val="0"/>
              <w:spacing w:before="156" w:after="156" w:line="440" w:lineRule="atLeast"/>
              <w:rPr>
                <w:rFonts w:hAnsi="宋体"/>
                <w:color w:val="auto"/>
                <w:sz w:val="22"/>
                <w:szCs w:val="22"/>
              </w:rPr>
            </w:pPr>
          </w:p>
        </w:tc>
        <w:tc>
          <w:tcPr>
            <w:tcW w:w="1491" w:type="dxa"/>
            <w:noWrap w:val="0"/>
            <w:vAlign w:val="top"/>
          </w:tcPr>
          <w:p w14:paraId="161C618C">
            <w:pPr>
              <w:pStyle w:val="10"/>
              <w:adjustRightInd w:val="0"/>
              <w:snapToGrid w:val="0"/>
              <w:spacing w:before="156" w:after="156" w:line="440" w:lineRule="atLeast"/>
              <w:rPr>
                <w:rFonts w:hAnsi="宋体"/>
                <w:color w:val="auto"/>
                <w:sz w:val="22"/>
                <w:szCs w:val="22"/>
              </w:rPr>
            </w:pPr>
          </w:p>
        </w:tc>
        <w:tc>
          <w:tcPr>
            <w:tcW w:w="1555" w:type="dxa"/>
            <w:noWrap w:val="0"/>
            <w:vAlign w:val="top"/>
          </w:tcPr>
          <w:p w14:paraId="0529D866">
            <w:pPr>
              <w:pStyle w:val="10"/>
              <w:adjustRightInd w:val="0"/>
              <w:snapToGrid w:val="0"/>
              <w:spacing w:before="156" w:after="156" w:line="440" w:lineRule="atLeast"/>
              <w:rPr>
                <w:rFonts w:hAnsi="宋体"/>
                <w:color w:val="auto"/>
                <w:sz w:val="22"/>
                <w:szCs w:val="22"/>
              </w:rPr>
            </w:pPr>
          </w:p>
        </w:tc>
        <w:tc>
          <w:tcPr>
            <w:tcW w:w="1556" w:type="dxa"/>
            <w:noWrap w:val="0"/>
            <w:vAlign w:val="top"/>
          </w:tcPr>
          <w:p w14:paraId="2C7FF679">
            <w:pPr>
              <w:pStyle w:val="10"/>
              <w:adjustRightInd w:val="0"/>
              <w:snapToGrid w:val="0"/>
              <w:spacing w:before="156" w:after="156" w:line="440" w:lineRule="atLeast"/>
              <w:rPr>
                <w:rFonts w:hAnsi="宋体"/>
                <w:color w:val="auto"/>
                <w:sz w:val="22"/>
                <w:szCs w:val="22"/>
              </w:rPr>
            </w:pPr>
          </w:p>
        </w:tc>
        <w:tc>
          <w:tcPr>
            <w:tcW w:w="1556" w:type="dxa"/>
            <w:noWrap w:val="0"/>
            <w:vAlign w:val="top"/>
          </w:tcPr>
          <w:p w14:paraId="68157C28">
            <w:pPr>
              <w:pStyle w:val="10"/>
              <w:adjustRightInd w:val="0"/>
              <w:snapToGrid w:val="0"/>
              <w:spacing w:before="156" w:after="156" w:line="440" w:lineRule="atLeast"/>
              <w:rPr>
                <w:rFonts w:hAnsi="宋体"/>
                <w:color w:val="auto"/>
                <w:sz w:val="22"/>
                <w:szCs w:val="22"/>
              </w:rPr>
            </w:pPr>
          </w:p>
        </w:tc>
      </w:tr>
      <w:tr w14:paraId="57BF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6DF8FDB6">
            <w:pPr>
              <w:pStyle w:val="10"/>
              <w:adjustRightInd w:val="0"/>
              <w:snapToGrid w:val="0"/>
              <w:spacing w:before="156" w:after="156" w:line="440" w:lineRule="atLeast"/>
              <w:rPr>
                <w:rFonts w:hAnsi="宋体"/>
                <w:color w:val="auto"/>
                <w:sz w:val="22"/>
                <w:szCs w:val="22"/>
              </w:rPr>
            </w:pPr>
          </w:p>
        </w:tc>
        <w:tc>
          <w:tcPr>
            <w:tcW w:w="1266" w:type="dxa"/>
            <w:tcBorders>
              <w:right w:val="single" w:color="000000" w:sz="4" w:space="0"/>
            </w:tcBorders>
            <w:noWrap w:val="0"/>
            <w:vAlign w:val="top"/>
          </w:tcPr>
          <w:p w14:paraId="6D1B0C29">
            <w:pPr>
              <w:pStyle w:val="10"/>
              <w:adjustRightInd w:val="0"/>
              <w:snapToGrid w:val="0"/>
              <w:spacing w:before="156" w:after="156" w:line="440" w:lineRule="atLeast"/>
              <w:rPr>
                <w:rFonts w:hAnsi="宋体"/>
                <w:color w:val="auto"/>
                <w:sz w:val="22"/>
                <w:szCs w:val="22"/>
              </w:rPr>
            </w:pPr>
          </w:p>
        </w:tc>
        <w:tc>
          <w:tcPr>
            <w:tcW w:w="1477" w:type="dxa"/>
            <w:tcBorders>
              <w:left w:val="single" w:color="000000" w:sz="4" w:space="0"/>
            </w:tcBorders>
            <w:noWrap w:val="0"/>
            <w:vAlign w:val="top"/>
          </w:tcPr>
          <w:p w14:paraId="17B4F77C">
            <w:pPr>
              <w:pStyle w:val="10"/>
              <w:adjustRightInd w:val="0"/>
              <w:snapToGrid w:val="0"/>
              <w:spacing w:before="156" w:after="156" w:line="440" w:lineRule="atLeast"/>
              <w:rPr>
                <w:rFonts w:hAnsi="宋体"/>
                <w:color w:val="auto"/>
                <w:sz w:val="22"/>
                <w:szCs w:val="22"/>
              </w:rPr>
            </w:pPr>
          </w:p>
        </w:tc>
        <w:tc>
          <w:tcPr>
            <w:tcW w:w="1491" w:type="dxa"/>
            <w:noWrap w:val="0"/>
            <w:vAlign w:val="top"/>
          </w:tcPr>
          <w:p w14:paraId="202DEACF">
            <w:pPr>
              <w:pStyle w:val="10"/>
              <w:adjustRightInd w:val="0"/>
              <w:snapToGrid w:val="0"/>
              <w:spacing w:before="156" w:after="156" w:line="440" w:lineRule="atLeast"/>
              <w:rPr>
                <w:rFonts w:hAnsi="宋体"/>
                <w:color w:val="auto"/>
                <w:sz w:val="22"/>
                <w:szCs w:val="22"/>
              </w:rPr>
            </w:pPr>
          </w:p>
        </w:tc>
        <w:tc>
          <w:tcPr>
            <w:tcW w:w="1555" w:type="dxa"/>
            <w:noWrap w:val="0"/>
            <w:vAlign w:val="top"/>
          </w:tcPr>
          <w:p w14:paraId="097B7B75">
            <w:pPr>
              <w:pStyle w:val="10"/>
              <w:adjustRightInd w:val="0"/>
              <w:snapToGrid w:val="0"/>
              <w:spacing w:before="156" w:after="156" w:line="440" w:lineRule="atLeast"/>
              <w:rPr>
                <w:rFonts w:hAnsi="宋体"/>
                <w:color w:val="auto"/>
                <w:sz w:val="22"/>
                <w:szCs w:val="22"/>
              </w:rPr>
            </w:pPr>
          </w:p>
        </w:tc>
        <w:tc>
          <w:tcPr>
            <w:tcW w:w="1556" w:type="dxa"/>
            <w:noWrap w:val="0"/>
            <w:vAlign w:val="top"/>
          </w:tcPr>
          <w:p w14:paraId="64A65C93">
            <w:pPr>
              <w:pStyle w:val="10"/>
              <w:adjustRightInd w:val="0"/>
              <w:snapToGrid w:val="0"/>
              <w:spacing w:before="156" w:after="156" w:line="440" w:lineRule="atLeast"/>
              <w:rPr>
                <w:rFonts w:hAnsi="宋体"/>
                <w:color w:val="auto"/>
                <w:sz w:val="22"/>
                <w:szCs w:val="22"/>
              </w:rPr>
            </w:pPr>
          </w:p>
        </w:tc>
        <w:tc>
          <w:tcPr>
            <w:tcW w:w="1556" w:type="dxa"/>
            <w:noWrap w:val="0"/>
            <w:vAlign w:val="top"/>
          </w:tcPr>
          <w:p w14:paraId="7A390EAF">
            <w:pPr>
              <w:pStyle w:val="10"/>
              <w:adjustRightInd w:val="0"/>
              <w:snapToGrid w:val="0"/>
              <w:spacing w:before="156" w:after="156" w:line="440" w:lineRule="atLeast"/>
              <w:rPr>
                <w:rFonts w:hAnsi="宋体"/>
                <w:color w:val="auto"/>
                <w:sz w:val="22"/>
                <w:szCs w:val="22"/>
              </w:rPr>
            </w:pPr>
          </w:p>
        </w:tc>
      </w:tr>
    </w:tbl>
    <w:p w14:paraId="1B58DC51">
      <w:pPr>
        <w:pStyle w:val="10"/>
        <w:spacing w:before="156" w:after="156" w:line="440" w:lineRule="atLeast"/>
        <w:rPr>
          <w:rFonts w:hAnsi="宋体" w:cs="Arial"/>
          <w:bCs/>
          <w:color w:val="auto"/>
          <w:sz w:val="36"/>
          <w:szCs w:val="36"/>
        </w:rPr>
      </w:pPr>
      <w:r>
        <w:rPr>
          <w:rFonts w:hint="eastAsia" w:hAnsi="宋体"/>
          <w:color w:val="auto"/>
          <w:sz w:val="22"/>
          <w:szCs w:val="22"/>
        </w:rPr>
        <w:t>说明：按评分标准要求提供。</w:t>
      </w:r>
    </w:p>
    <w:p w14:paraId="2213A5CE">
      <w:pPr>
        <w:pStyle w:val="10"/>
        <w:spacing w:before="156" w:after="156" w:line="440" w:lineRule="atLeast"/>
        <w:jc w:val="center"/>
        <w:rPr>
          <w:rFonts w:hAnsi="宋体" w:cs="Arial"/>
          <w:bCs/>
          <w:color w:val="auto"/>
          <w:sz w:val="36"/>
          <w:szCs w:val="36"/>
        </w:rPr>
      </w:pPr>
    </w:p>
    <w:p w14:paraId="24C3DA5E">
      <w:pPr>
        <w:pStyle w:val="10"/>
        <w:spacing w:before="156" w:after="156" w:line="440" w:lineRule="atLeast"/>
        <w:jc w:val="left"/>
        <w:rPr>
          <w:rFonts w:hAnsi="宋体" w:cs="Arial"/>
          <w:bCs/>
          <w:color w:val="auto"/>
          <w:sz w:val="36"/>
          <w:szCs w:val="36"/>
        </w:rPr>
      </w:pPr>
      <w:r>
        <w:rPr>
          <w:rFonts w:hint="eastAsia"/>
          <w:color w:val="auto"/>
          <w:sz w:val="22"/>
        </w:rPr>
        <w:t>投标供应商（盖章）</w:t>
      </w:r>
      <w:r>
        <w:rPr>
          <w:rFonts w:hint="eastAsia"/>
          <w:color w:val="auto"/>
          <w:sz w:val="22"/>
          <w:u w:val="single"/>
        </w:rPr>
        <w:t xml:space="preserve">              </w:t>
      </w:r>
    </w:p>
    <w:p w14:paraId="2188AA96">
      <w:pPr>
        <w:pStyle w:val="10"/>
        <w:spacing w:before="156" w:after="156" w:line="440" w:lineRule="atLeast"/>
        <w:jc w:val="center"/>
        <w:rPr>
          <w:rFonts w:hAnsi="宋体" w:cs="Arial"/>
          <w:bCs/>
          <w:color w:val="auto"/>
          <w:sz w:val="36"/>
          <w:szCs w:val="36"/>
        </w:rPr>
      </w:pPr>
    </w:p>
    <w:p w14:paraId="78FEB311">
      <w:pPr>
        <w:pStyle w:val="10"/>
        <w:spacing w:before="156" w:after="156" w:line="460" w:lineRule="atLeast"/>
        <w:rPr>
          <w:rFonts w:hint="eastAsia" w:hAnsi="宋体" w:eastAsia="宋体"/>
          <w:color w:val="auto"/>
          <w:sz w:val="36"/>
          <w:szCs w:val="36"/>
          <w:lang w:eastAsia="zh-CN"/>
        </w:rPr>
      </w:pPr>
      <w:r>
        <w:rPr>
          <w:rFonts w:hint="eastAsia" w:cs="Arial"/>
          <w:color w:val="auto"/>
          <w:sz w:val="22"/>
          <w:szCs w:val="22"/>
        </w:rPr>
        <w:t>附件</w:t>
      </w:r>
      <w:r>
        <w:rPr>
          <w:rFonts w:hint="eastAsia" w:cs="Arial"/>
          <w:color w:val="auto"/>
          <w:sz w:val="22"/>
          <w:szCs w:val="22"/>
          <w:lang w:eastAsia="zh-CN"/>
        </w:rPr>
        <w:t>八</w:t>
      </w:r>
    </w:p>
    <w:p w14:paraId="3294DDE5">
      <w:pPr>
        <w:pStyle w:val="10"/>
        <w:spacing w:before="156" w:after="156" w:line="460" w:lineRule="atLeast"/>
        <w:jc w:val="center"/>
        <w:rPr>
          <w:rFonts w:hAnsi="宋体"/>
          <w:color w:val="auto"/>
          <w:sz w:val="36"/>
          <w:szCs w:val="36"/>
        </w:rPr>
      </w:pPr>
      <w:r>
        <w:rPr>
          <w:rFonts w:hint="eastAsia" w:hAnsi="宋体"/>
          <w:color w:val="auto"/>
          <w:sz w:val="36"/>
          <w:szCs w:val="36"/>
        </w:rPr>
        <w:t>拟派本项目成员组成表</w:t>
      </w:r>
    </w:p>
    <w:p w14:paraId="4AE9AA85">
      <w:pPr>
        <w:spacing w:line="400" w:lineRule="exact"/>
        <w:rPr>
          <w:rFonts w:ascii="宋体"/>
          <w:bCs/>
          <w:color w:val="auto"/>
          <w:sz w:val="22"/>
        </w:rPr>
      </w:pPr>
      <w:r>
        <w:rPr>
          <w:rFonts w:hint="eastAsia" w:ascii="宋体"/>
          <w:color w:val="auto"/>
          <w:sz w:val="22"/>
        </w:rPr>
        <w:t>项目名称：                                               招标编号：</w:t>
      </w:r>
    </w:p>
    <w:tbl>
      <w:tblPr>
        <w:tblStyle w:val="22"/>
        <w:tblW w:w="893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26"/>
        <w:gridCol w:w="690"/>
        <w:gridCol w:w="690"/>
        <w:gridCol w:w="1457"/>
        <w:gridCol w:w="1134"/>
        <w:gridCol w:w="2693"/>
      </w:tblGrid>
      <w:tr w14:paraId="63158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noWrap w:val="0"/>
            <w:vAlign w:val="center"/>
          </w:tcPr>
          <w:p w14:paraId="2019876A">
            <w:pPr>
              <w:jc w:val="center"/>
              <w:rPr>
                <w:rFonts w:ascii="宋体"/>
                <w:bCs/>
                <w:color w:val="auto"/>
                <w:sz w:val="20"/>
              </w:rPr>
            </w:pPr>
            <w:r>
              <w:rPr>
                <w:rFonts w:hint="eastAsia" w:ascii="宋体"/>
                <w:bCs/>
                <w:color w:val="auto"/>
                <w:sz w:val="20"/>
              </w:rPr>
              <w:t>姓名</w:t>
            </w:r>
          </w:p>
        </w:tc>
        <w:tc>
          <w:tcPr>
            <w:tcW w:w="1126" w:type="dxa"/>
            <w:noWrap w:val="0"/>
            <w:vAlign w:val="center"/>
          </w:tcPr>
          <w:p w14:paraId="66356613">
            <w:pPr>
              <w:jc w:val="center"/>
              <w:rPr>
                <w:rFonts w:ascii="宋体"/>
                <w:bCs/>
                <w:color w:val="auto"/>
                <w:sz w:val="20"/>
              </w:rPr>
            </w:pPr>
            <w:r>
              <w:rPr>
                <w:rFonts w:hint="eastAsia" w:ascii="宋体"/>
                <w:bCs/>
                <w:color w:val="auto"/>
                <w:sz w:val="20"/>
              </w:rPr>
              <w:t>本项目担任工作</w:t>
            </w:r>
          </w:p>
        </w:tc>
        <w:tc>
          <w:tcPr>
            <w:tcW w:w="690" w:type="dxa"/>
            <w:noWrap w:val="0"/>
            <w:vAlign w:val="center"/>
          </w:tcPr>
          <w:p w14:paraId="017DF4DF">
            <w:pPr>
              <w:jc w:val="center"/>
              <w:rPr>
                <w:rFonts w:ascii="宋体"/>
                <w:bCs/>
                <w:color w:val="auto"/>
                <w:sz w:val="20"/>
              </w:rPr>
            </w:pPr>
            <w:r>
              <w:rPr>
                <w:rFonts w:hint="eastAsia" w:ascii="宋体"/>
                <w:bCs/>
                <w:color w:val="auto"/>
                <w:sz w:val="20"/>
              </w:rPr>
              <w:t>年龄</w:t>
            </w:r>
          </w:p>
        </w:tc>
        <w:tc>
          <w:tcPr>
            <w:tcW w:w="690" w:type="dxa"/>
            <w:noWrap w:val="0"/>
            <w:vAlign w:val="center"/>
          </w:tcPr>
          <w:p w14:paraId="5EB8457C">
            <w:pPr>
              <w:jc w:val="center"/>
              <w:rPr>
                <w:rFonts w:ascii="宋体"/>
                <w:bCs/>
                <w:color w:val="auto"/>
                <w:sz w:val="20"/>
              </w:rPr>
            </w:pPr>
            <w:r>
              <w:rPr>
                <w:rFonts w:hint="eastAsia" w:ascii="宋体"/>
                <w:bCs/>
                <w:color w:val="auto"/>
                <w:sz w:val="20"/>
              </w:rPr>
              <w:t>性别</w:t>
            </w:r>
          </w:p>
        </w:tc>
        <w:tc>
          <w:tcPr>
            <w:tcW w:w="1457" w:type="dxa"/>
            <w:noWrap w:val="0"/>
            <w:vAlign w:val="center"/>
          </w:tcPr>
          <w:p w14:paraId="1D2A73E3">
            <w:pPr>
              <w:jc w:val="center"/>
              <w:rPr>
                <w:rFonts w:ascii="宋体"/>
                <w:bCs/>
                <w:color w:val="auto"/>
                <w:sz w:val="20"/>
              </w:rPr>
            </w:pPr>
            <w:r>
              <w:rPr>
                <w:rFonts w:hint="eastAsia" w:ascii="宋体"/>
                <w:bCs/>
                <w:color w:val="auto"/>
                <w:sz w:val="20"/>
              </w:rPr>
              <w:t>职称或资格</w:t>
            </w:r>
          </w:p>
        </w:tc>
        <w:tc>
          <w:tcPr>
            <w:tcW w:w="1134" w:type="dxa"/>
            <w:noWrap w:val="0"/>
            <w:vAlign w:val="center"/>
          </w:tcPr>
          <w:p w14:paraId="459FBBA7">
            <w:pPr>
              <w:jc w:val="center"/>
              <w:rPr>
                <w:rFonts w:ascii="宋体"/>
                <w:bCs/>
                <w:color w:val="auto"/>
                <w:sz w:val="20"/>
              </w:rPr>
            </w:pPr>
            <w:r>
              <w:rPr>
                <w:rFonts w:hint="eastAsia" w:ascii="宋体"/>
                <w:bCs/>
                <w:color w:val="auto"/>
                <w:sz w:val="20"/>
              </w:rPr>
              <w:t xml:space="preserve">专业 </w:t>
            </w:r>
          </w:p>
        </w:tc>
        <w:tc>
          <w:tcPr>
            <w:tcW w:w="2693" w:type="dxa"/>
            <w:noWrap w:val="0"/>
            <w:vAlign w:val="center"/>
          </w:tcPr>
          <w:p w14:paraId="132BC7BB">
            <w:pPr>
              <w:jc w:val="center"/>
              <w:rPr>
                <w:rFonts w:ascii="宋体"/>
                <w:bCs/>
                <w:color w:val="auto"/>
                <w:sz w:val="20"/>
              </w:rPr>
            </w:pPr>
            <w:r>
              <w:rPr>
                <w:rFonts w:hint="eastAsia" w:ascii="宋体"/>
                <w:bCs/>
                <w:color w:val="auto"/>
                <w:sz w:val="20"/>
              </w:rPr>
              <w:t>类似工作经验</w:t>
            </w:r>
          </w:p>
        </w:tc>
      </w:tr>
      <w:tr w14:paraId="0A2B23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60FA8486">
            <w:pPr>
              <w:spacing w:line="360" w:lineRule="auto"/>
              <w:rPr>
                <w:rFonts w:ascii="宋体"/>
                <w:color w:val="auto"/>
                <w:sz w:val="20"/>
              </w:rPr>
            </w:pPr>
          </w:p>
        </w:tc>
        <w:tc>
          <w:tcPr>
            <w:tcW w:w="1126" w:type="dxa"/>
            <w:noWrap w:val="0"/>
            <w:vAlign w:val="center"/>
          </w:tcPr>
          <w:p w14:paraId="6C6A80DE">
            <w:pPr>
              <w:pStyle w:val="34"/>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olor w:val="auto"/>
                <w:sz w:val="20"/>
                <w:szCs w:val="20"/>
              </w:rPr>
            </w:pPr>
          </w:p>
        </w:tc>
        <w:tc>
          <w:tcPr>
            <w:tcW w:w="690" w:type="dxa"/>
            <w:noWrap w:val="0"/>
            <w:vAlign w:val="center"/>
          </w:tcPr>
          <w:p w14:paraId="1CC88CCE">
            <w:pPr>
              <w:spacing w:line="360" w:lineRule="auto"/>
              <w:rPr>
                <w:rFonts w:ascii="宋体"/>
                <w:color w:val="auto"/>
                <w:sz w:val="20"/>
              </w:rPr>
            </w:pPr>
          </w:p>
        </w:tc>
        <w:tc>
          <w:tcPr>
            <w:tcW w:w="690" w:type="dxa"/>
            <w:noWrap w:val="0"/>
            <w:vAlign w:val="center"/>
          </w:tcPr>
          <w:p w14:paraId="4B368A31">
            <w:pPr>
              <w:spacing w:line="360" w:lineRule="auto"/>
              <w:rPr>
                <w:rFonts w:ascii="宋体"/>
                <w:color w:val="auto"/>
                <w:sz w:val="20"/>
              </w:rPr>
            </w:pPr>
          </w:p>
        </w:tc>
        <w:tc>
          <w:tcPr>
            <w:tcW w:w="1457" w:type="dxa"/>
            <w:noWrap w:val="0"/>
            <w:vAlign w:val="center"/>
          </w:tcPr>
          <w:p w14:paraId="761B7AC3">
            <w:pPr>
              <w:spacing w:line="360" w:lineRule="auto"/>
              <w:rPr>
                <w:rFonts w:ascii="宋体"/>
                <w:color w:val="auto"/>
                <w:sz w:val="20"/>
              </w:rPr>
            </w:pPr>
          </w:p>
        </w:tc>
        <w:tc>
          <w:tcPr>
            <w:tcW w:w="1134" w:type="dxa"/>
            <w:noWrap w:val="0"/>
            <w:vAlign w:val="center"/>
          </w:tcPr>
          <w:p w14:paraId="6913F8B8">
            <w:pPr>
              <w:spacing w:line="360" w:lineRule="auto"/>
              <w:rPr>
                <w:rFonts w:ascii="宋体"/>
                <w:color w:val="auto"/>
                <w:sz w:val="20"/>
              </w:rPr>
            </w:pPr>
          </w:p>
        </w:tc>
        <w:tc>
          <w:tcPr>
            <w:tcW w:w="2693" w:type="dxa"/>
            <w:noWrap w:val="0"/>
            <w:vAlign w:val="center"/>
          </w:tcPr>
          <w:p w14:paraId="6491BA8F">
            <w:pPr>
              <w:spacing w:line="360" w:lineRule="auto"/>
              <w:rPr>
                <w:rFonts w:ascii="宋体"/>
                <w:color w:val="auto"/>
                <w:sz w:val="20"/>
              </w:rPr>
            </w:pPr>
          </w:p>
        </w:tc>
      </w:tr>
      <w:tr w14:paraId="62ABB5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6B43DDC7">
            <w:pPr>
              <w:spacing w:line="360" w:lineRule="auto"/>
              <w:rPr>
                <w:rFonts w:ascii="宋体"/>
                <w:color w:val="auto"/>
                <w:sz w:val="20"/>
              </w:rPr>
            </w:pPr>
          </w:p>
        </w:tc>
        <w:tc>
          <w:tcPr>
            <w:tcW w:w="1126" w:type="dxa"/>
            <w:noWrap w:val="0"/>
            <w:vAlign w:val="center"/>
          </w:tcPr>
          <w:p w14:paraId="5E95FEE8">
            <w:pPr>
              <w:spacing w:line="360" w:lineRule="auto"/>
              <w:rPr>
                <w:rFonts w:ascii="宋体"/>
                <w:color w:val="auto"/>
                <w:sz w:val="20"/>
              </w:rPr>
            </w:pPr>
          </w:p>
        </w:tc>
        <w:tc>
          <w:tcPr>
            <w:tcW w:w="690" w:type="dxa"/>
            <w:noWrap w:val="0"/>
            <w:vAlign w:val="center"/>
          </w:tcPr>
          <w:p w14:paraId="7B09DDC9">
            <w:pPr>
              <w:spacing w:line="360" w:lineRule="auto"/>
              <w:rPr>
                <w:rFonts w:ascii="宋体"/>
                <w:color w:val="auto"/>
                <w:sz w:val="20"/>
              </w:rPr>
            </w:pPr>
          </w:p>
        </w:tc>
        <w:tc>
          <w:tcPr>
            <w:tcW w:w="690" w:type="dxa"/>
            <w:noWrap w:val="0"/>
            <w:vAlign w:val="center"/>
          </w:tcPr>
          <w:p w14:paraId="725D9F70">
            <w:pPr>
              <w:spacing w:line="360" w:lineRule="auto"/>
              <w:rPr>
                <w:rFonts w:ascii="宋体"/>
                <w:color w:val="auto"/>
                <w:sz w:val="20"/>
              </w:rPr>
            </w:pPr>
          </w:p>
        </w:tc>
        <w:tc>
          <w:tcPr>
            <w:tcW w:w="1457" w:type="dxa"/>
            <w:noWrap w:val="0"/>
            <w:vAlign w:val="center"/>
          </w:tcPr>
          <w:p w14:paraId="399E0622">
            <w:pPr>
              <w:spacing w:line="360" w:lineRule="auto"/>
              <w:rPr>
                <w:rFonts w:ascii="宋体"/>
                <w:color w:val="auto"/>
                <w:sz w:val="20"/>
              </w:rPr>
            </w:pPr>
          </w:p>
        </w:tc>
        <w:tc>
          <w:tcPr>
            <w:tcW w:w="1134" w:type="dxa"/>
            <w:noWrap w:val="0"/>
            <w:vAlign w:val="center"/>
          </w:tcPr>
          <w:p w14:paraId="6EA0A3F0">
            <w:pPr>
              <w:spacing w:line="360" w:lineRule="auto"/>
              <w:rPr>
                <w:rFonts w:ascii="宋体"/>
                <w:color w:val="auto"/>
                <w:sz w:val="20"/>
              </w:rPr>
            </w:pPr>
          </w:p>
        </w:tc>
        <w:tc>
          <w:tcPr>
            <w:tcW w:w="2693" w:type="dxa"/>
            <w:noWrap w:val="0"/>
            <w:vAlign w:val="center"/>
          </w:tcPr>
          <w:p w14:paraId="6AF6FF9C">
            <w:pPr>
              <w:pStyle w:val="11"/>
              <w:spacing w:line="360" w:lineRule="auto"/>
              <w:ind w:left="5250"/>
              <w:rPr>
                <w:rFonts w:ascii="宋体"/>
                <w:color w:val="auto"/>
                <w:sz w:val="20"/>
              </w:rPr>
            </w:pPr>
          </w:p>
        </w:tc>
      </w:tr>
      <w:tr w14:paraId="4AD41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642A0ADD">
            <w:pPr>
              <w:spacing w:line="360" w:lineRule="auto"/>
              <w:rPr>
                <w:rFonts w:ascii="宋体"/>
                <w:color w:val="auto"/>
                <w:sz w:val="20"/>
              </w:rPr>
            </w:pPr>
          </w:p>
        </w:tc>
        <w:tc>
          <w:tcPr>
            <w:tcW w:w="1126" w:type="dxa"/>
            <w:noWrap w:val="0"/>
            <w:vAlign w:val="center"/>
          </w:tcPr>
          <w:p w14:paraId="4FA8B190">
            <w:pPr>
              <w:spacing w:line="360" w:lineRule="auto"/>
              <w:rPr>
                <w:rFonts w:ascii="宋体"/>
                <w:color w:val="auto"/>
                <w:sz w:val="20"/>
              </w:rPr>
            </w:pPr>
          </w:p>
        </w:tc>
        <w:tc>
          <w:tcPr>
            <w:tcW w:w="690" w:type="dxa"/>
            <w:noWrap w:val="0"/>
            <w:vAlign w:val="center"/>
          </w:tcPr>
          <w:p w14:paraId="7ECAE572">
            <w:pPr>
              <w:spacing w:line="360" w:lineRule="auto"/>
              <w:rPr>
                <w:rFonts w:ascii="宋体"/>
                <w:color w:val="auto"/>
                <w:sz w:val="20"/>
              </w:rPr>
            </w:pPr>
          </w:p>
        </w:tc>
        <w:tc>
          <w:tcPr>
            <w:tcW w:w="690" w:type="dxa"/>
            <w:noWrap w:val="0"/>
            <w:vAlign w:val="center"/>
          </w:tcPr>
          <w:p w14:paraId="7EEA464F">
            <w:pPr>
              <w:spacing w:line="360" w:lineRule="auto"/>
              <w:rPr>
                <w:rFonts w:ascii="宋体"/>
                <w:color w:val="auto"/>
                <w:sz w:val="20"/>
              </w:rPr>
            </w:pPr>
          </w:p>
        </w:tc>
        <w:tc>
          <w:tcPr>
            <w:tcW w:w="1457" w:type="dxa"/>
            <w:noWrap w:val="0"/>
            <w:vAlign w:val="center"/>
          </w:tcPr>
          <w:p w14:paraId="45D3FFD0">
            <w:pPr>
              <w:spacing w:line="360" w:lineRule="auto"/>
              <w:rPr>
                <w:rFonts w:ascii="宋体"/>
                <w:color w:val="auto"/>
                <w:sz w:val="20"/>
              </w:rPr>
            </w:pPr>
          </w:p>
        </w:tc>
        <w:tc>
          <w:tcPr>
            <w:tcW w:w="1134" w:type="dxa"/>
            <w:noWrap w:val="0"/>
            <w:vAlign w:val="center"/>
          </w:tcPr>
          <w:p w14:paraId="13A2CDCB">
            <w:pPr>
              <w:spacing w:line="360" w:lineRule="auto"/>
              <w:rPr>
                <w:rFonts w:ascii="宋体"/>
                <w:color w:val="auto"/>
                <w:sz w:val="20"/>
              </w:rPr>
            </w:pPr>
          </w:p>
        </w:tc>
        <w:tc>
          <w:tcPr>
            <w:tcW w:w="2693" w:type="dxa"/>
            <w:noWrap w:val="0"/>
            <w:vAlign w:val="center"/>
          </w:tcPr>
          <w:p w14:paraId="3C8138FA">
            <w:pPr>
              <w:spacing w:line="360" w:lineRule="auto"/>
              <w:rPr>
                <w:rFonts w:ascii="宋体"/>
                <w:color w:val="auto"/>
                <w:sz w:val="20"/>
              </w:rPr>
            </w:pPr>
          </w:p>
        </w:tc>
      </w:tr>
      <w:tr w14:paraId="011486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64510700">
            <w:pPr>
              <w:spacing w:line="360" w:lineRule="auto"/>
              <w:rPr>
                <w:rFonts w:ascii="宋体"/>
                <w:color w:val="auto"/>
                <w:sz w:val="20"/>
              </w:rPr>
            </w:pPr>
          </w:p>
        </w:tc>
        <w:tc>
          <w:tcPr>
            <w:tcW w:w="1126" w:type="dxa"/>
            <w:noWrap w:val="0"/>
            <w:vAlign w:val="center"/>
          </w:tcPr>
          <w:p w14:paraId="7C2FBA7C">
            <w:pPr>
              <w:spacing w:line="360" w:lineRule="auto"/>
              <w:rPr>
                <w:rFonts w:ascii="宋体"/>
                <w:color w:val="auto"/>
                <w:sz w:val="20"/>
              </w:rPr>
            </w:pPr>
          </w:p>
        </w:tc>
        <w:tc>
          <w:tcPr>
            <w:tcW w:w="690" w:type="dxa"/>
            <w:noWrap w:val="0"/>
            <w:vAlign w:val="center"/>
          </w:tcPr>
          <w:p w14:paraId="44C4AE61">
            <w:pPr>
              <w:spacing w:line="360" w:lineRule="auto"/>
              <w:rPr>
                <w:rFonts w:ascii="宋体"/>
                <w:color w:val="auto"/>
                <w:sz w:val="20"/>
              </w:rPr>
            </w:pPr>
          </w:p>
        </w:tc>
        <w:tc>
          <w:tcPr>
            <w:tcW w:w="690" w:type="dxa"/>
            <w:noWrap w:val="0"/>
            <w:vAlign w:val="center"/>
          </w:tcPr>
          <w:p w14:paraId="6278B209">
            <w:pPr>
              <w:spacing w:line="360" w:lineRule="auto"/>
              <w:rPr>
                <w:rFonts w:ascii="宋体"/>
                <w:color w:val="auto"/>
                <w:sz w:val="20"/>
              </w:rPr>
            </w:pPr>
          </w:p>
        </w:tc>
        <w:tc>
          <w:tcPr>
            <w:tcW w:w="1457" w:type="dxa"/>
            <w:noWrap w:val="0"/>
            <w:vAlign w:val="center"/>
          </w:tcPr>
          <w:p w14:paraId="4C90E755">
            <w:pPr>
              <w:spacing w:line="360" w:lineRule="auto"/>
              <w:rPr>
                <w:rFonts w:ascii="宋体"/>
                <w:color w:val="auto"/>
                <w:sz w:val="20"/>
              </w:rPr>
            </w:pPr>
          </w:p>
        </w:tc>
        <w:tc>
          <w:tcPr>
            <w:tcW w:w="1134" w:type="dxa"/>
            <w:noWrap w:val="0"/>
            <w:vAlign w:val="center"/>
          </w:tcPr>
          <w:p w14:paraId="7BCA1365">
            <w:pPr>
              <w:spacing w:line="360" w:lineRule="auto"/>
              <w:rPr>
                <w:rFonts w:ascii="宋体"/>
                <w:color w:val="auto"/>
                <w:sz w:val="20"/>
              </w:rPr>
            </w:pPr>
          </w:p>
        </w:tc>
        <w:tc>
          <w:tcPr>
            <w:tcW w:w="2693" w:type="dxa"/>
            <w:noWrap w:val="0"/>
            <w:vAlign w:val="center"/>
          </w:tcPr>
          <w:p w14:paraId="3B23C742">
            <w:pPr>
              <w:spacing w:line="360" w:lineRule="auto"/>
              <w:rPr>
                <w:rFonts w:ascii="宋体"/>
                <w:color w:val="auto"/>
                <w:sz w:val="20"/>
              </w:rPr>
            </w:pPr>
          </w:p>
        </w:tc>
      </w:tr>
      <w:tr w14:paraId="3BE6B1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6670FE69">
            <w:pPr>
              <w:spacing w:line="360" w:lineRule="auto"/>
              <w:rPr>
                <w:rFonts w:ascii="宋体"/>
                <w:color w:val="auto"/>
                <w:sz w:val="20"/>
              </w:rPr>
            </w:pPr>
          </w:p>
        </w:tc>
        <w:tc>
          <w:tcPr>
            <w:tcW w:w="1126" w:type="dxa"/>
            <w:noWrap w:val="0"/>
            <w:vAlign w:val="center"/>
          </w:tcPr>
          <w:p w14:paraId="582B4B40">
            <w:pPr>
              <w:spacing w:line="360" w:lineRule="auto"/>
              <w:rPr>
                <w:rFonts w:ascii="宋体"/>
                <w:color w:val="auto"/>
                <w:sz w:val="20"/>
              </w:rPr>
            </w:pPr>
          </w:p>
        </w:tc>
        <w:tc>
          <w:tcPr>
            <w:tcW w:w="690" w:type="dxa"/>
            <w:noWrap w:val="0"/>
            <w:vAlign w:val="center"/>
          </w:tcPr>
          <w:p w14:paraId="3C1DB0E0">
            <w:pPr>
              <w:spacing w:line="360" w:lineRule="auto"/>
              <w:rPr>
                <w:rFonts w:ascii="宋体"/>
                <w:color w:val="auto"/>
                <w:sz w:val="20"/>
              </w:rPr>
            </w:pPr>
          </w:p>
        </w:tc>
        <w:tc>
          <w:tcPr>
            <w:tcW w:w="690" w:type="dxa"/>
            <w:noWrap w:val="0"/>
            <w:vAlign w:val="center"/>
          </w:tcPr>
          <w:p w14:paraId="324FDD49">
            <w:pPr>
              <w:spacing w:line="360" w:lineRule="auto"/>
              <w:rPr>
                <w:rFonts w:ascii="宋体"/>
                <w:color w:val="auto"/>
                <w:sz w:val="20"/>
              </w:rPr>
            </w:pPr>
          </w:p>
        </w:tc>
        <w:tc>
          <w:tcPr>
            <w:tcW w:w="1457" w:type="dxa"/>
            <w:noWrap w:val="0"/>
            <w:vAlign w:val="center"/>
          </w:tcPr>
          <w:p w14:paraId="4DA192F2">
            <w:pPr>
              <w:spacing w:line="360" w:lineRule="auto"/>
              <w:rPr>
                <w:rFonts w:ascii="宋体"/>
                <w:color w:val="auto"/>
                <w:sz w:val="20"/>
              </w:rPr>
            </w:pPr>
          </w:p>
        </w:tc>
        <w:tc>
          <w:tcPr>
            <w:tcW w:w="1134" w:type="dxa"/>
            <w:noWrap w:val="0"/>
            <w:vAlign w:val="center"/>
          </w:tcPr>
          <w:p w14:paraId="484BB7B2">
            <w:pPr>
              <w:spacing w:line="360" w:lineRule="auto"/>
              <w:rPr>
                <w:rFonts w:ascii="宋体"/>
                <w:color w:val="auto"/>
                <w:sz w:val="20"/>
              </w:rPr>
            </w:pPr>
          </w:p>
        </w:tc>
        <w:tc>
          <w:tcPr>
            <w:tcW w:w="2693" w:type="dxa"/>
            <w:noWrap w:val="0"/>
            <w:vAlign w:val="center"/>
          </w:tcPr>
          <w:p w14:paraId="0D980FBE">
            <w:pPr>
              <w:spacing w:line="360" w:lineRule="auto"/>
              <w:rPr>
                <w:rFonts w:ascii="宋体"/>
                <w:color w:val="auto"/>
                <w:sz w:val="20"/>
              </w:rPr>
            </w:pPr>
          </w:p>
        </w:tc>
      </w:tr>
      <w:tr w14:paraId="1DE0F3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48C6D25B">
            <w:pPr>
              <w:spacing w:line="360" w:lineRule="auto"/>
              <w:rPr>
                <w:rFonts w:ascii="宋体"/>
                <w:color w:val="auto"/>
                <w:sz w:val="20"/>
              </w:rPr>
            </w:pPr>
          </w:p>
        </w:tc>
        <w:tc>
          <w:tcPr>
            <w:tcW w:w="1126" w:type="dxa"/>
            <w:noWrap w:val="0"/>
            <w:vAlign w:val="center"/>
          </w:tcPr>
          <w:p w14:paraId="2271BBDD">
            <w:pPr>
              <w:spacing w:line="360" w:lineRule="auto"/>
              <w:rPr>
                <w:rFonts w:ascii="宋体"/>
                <w:color w:val="auto"/>
                <w:sz w:val="20"/>
              </w:rPr>
            </w:pPr>
          </w:p>
        </w:tc>
        <w:tc>
          <w:tcPr>
            <w:tcW w:w="690" w:type="dxa"/>
            <w:noWrap w:val="0"/>
            <w:vAlign w:val="center"/>
          </w:tcPr>
          <w:p w14:paraId="4497B526">
            <w:pPr>
              <w:spacing w:line="360" w:lineRule="auto"/>
              <w:rPr>
                <w:rFonts w:ascii="宋体"/>
                <w:color w:val="auto"/>
                <w:sz w:val="20"/>
              </w:rPr>
            </w:pPr>
          </w:p>
        </w:tc>
        <w:tc>
          <w:tcPr>
            <w:tcW w:w="690" w:type="dxa"/>
            <w:noWrap w:val="0"/>
            <w:vAlign w:val="center"/>
          </w:tcPr>
          <w:p w14:paraId="56399AE3">
            <w:pPr>
              <w:spacing w:line="360" w:lineRule="auto"/>
              <w:rPr>
                <w:rFonts w:ascii="宋体"/>
                <w:color w:val="auto"/>
                <w:sz w:val="20"/>
              </w:rPr>
            </w:pPr>
          </w:p>
        </w:tc>
        <w:tc>
          <w:tcPr>
            <w:tcW w:w="1457" w:type="dxa"/>
            <w:noWrap w:val="0"/>
            <w:vAlign w:val="center"/>
          </w:tcPr>
          <w:p w14:paraId="36D53B43">
            <w:pPr>
              <w:spacing w:line="360" w:lineRule="auto"/>
              <w:rPr>
                <w:rFonts w:ascii="宋体"/>
                <w:color w:val="auto"/>
                <w:sz w:val="20"/>
              </w:rPr>
            </w:pPr>
          </w:p>
        </w:tc>
        <w:tc>
          <w:tcPr>
            <w:tcW w:w="1134" w:type="dxa"/>
            <w:noWrap w:val="0"/>
            <w:vAlign w:val="center"/>
          </w:tcPr>
          <w:p w14:paraId="42D05549">
            <w:pPr>
              <w:spacing w:line="360" w:lineRule="auto"/>
              <w:rPr>
                <w:rFonts w:ascii="宋体"/>
                <w:color w:val="auto"/>
                <w:sz w:val="20"/>
              </w:rPr>
            </w:pPr>
          </w:p>
        </w:tc>
        <w:tc>
          <w:tcPr>
            <w:tcW w:w="2693" w:type="dxa"/>
            <w:noWrap w:val="0"/>
            <w:vAlign w:val="center"/>
          </w:tcPr>
          <w:p w14:paraId="55051CD8">
            <w:pPr>
              <w:spacing w:line="360" w:lineRule="auto"/>
              <w:rPr>
                <w:rFonts w:ascii="宋体"/>
                <w:color w:val="auto"/>
                <w:sz w:val="20"/>
              </w:rPr>
            </w:pPr>
          </w:p>
        </w:tc>
      </w:tr>
      <w:tr w14:paraId="3F237E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39852B31">
            <w:pPr>
              <w:spacing w:line="360" w:lineRule="auto"/>
              <w:rPr>
                <w:rFonts w:ascii="宋体"/>
                <w:color w:val="auto"/>
                <w:sz w:val="20"/>
              </w:rPr>
            </w:pPr>
          </w:p>
        </w:tc>
        <w:tc>
          <w:tcPr>
            <w:tcW w:w="1126" w:type="dxa"/>
            <w:noWrap w:val="0"/>
            <w:vAlign w:val="center"/>
          </w:tcPr>
          <w:p w14:paraId="4DB770C0">
            <w:pPr>
              <w:spacing w:line="360" w:lineRule="auto"/>
              <w:rPr>
                <w:rFonts w:ascii="宋体"/>
                <w:color w:val="auto"/>
                <w:sz w:val="20"/>
              </w:rPr>
            </w:pPr>
          </w:p>
        </w:tc>
        <w:tc>
          <w:tcPr>
            <w:tcW w:w="690" w:type="dxa"/>
            <w:noWrap w:val="0"/>
            <w:vAlign w:val="center"/>
          </w:tcPr>
          <w:p w14:paraId="6CA0687D">
            <w:pPr>
              <w:spacing w:line="360" w:lineRule="auto"/>
              <w:rPr>
                <w:rFonts w:ascii="宋体"/>
                <w:color w:val="auto"/>
                <w:sz w:val="20"/>
              </w:rPr>
            </w:pPr>
          </w:p>
        </w:tc>
        <w:tc>
          <w:tcPr>
            <w:tcW w:w="690" w:type="dxa"/>
            <w:noWrap w:val="0"/>
            <w:vAlign w:val="center"/>
          </w:tcPr>
          <w:p w14:paraId="00E92CD2">
            <w:pPr>
              <w:spacing w:line="360" w:lineRule="auto"/>
              <w:rPr>
                <w:rFonts w:ascii="宋体"/>
                <w:color w:val="auto"/>
                <w:sz w:val="20"/>
              </w:rPr>
            </w:pPr>
          </w:p>
        </w:tc>
        <w:tc>
          <w:tcPr>
            <w:tcW w:w="1457" w:type="dxa"/>
            <w:noWrap w:val="0"/>
            <w:vAlign w:val="center"/>
          </w:tcPr>
          <w:p w14:paraId="42FDD8D0">
            <w:pPr>
              <w:spacing w:line="360" w:lineRule="auto"/>
              <w:rPr>
                <w:rFonts w:ascii="宋体"/>
                <w:color w:val="auto"/>
                <w:sz w:val="20"/>
              </w:rPr>
            </w:pPr>
          </w:p>
        </w:tc>
        <w:tc>
          <w:tcPr>
            <w:tcW w:w="1134" w:type="dxa"/>
            <w:noWrap w:val="0"/>
            <w:vAlign w:val="center"/>
          </w:tcPr>
          <w:p w14:paraId="1F986403">
            <w:pPr>
              <w:spacing w:line="360" w:lineRule="auto"/>
              <w:rPr>
                <w:rFonts w:ascii="宋体"/>
                <w:color w:val="auto"/>
                <w:sz w:val="20"/>
              </w:rPr>
            </w:pPr>
          </w:p>
        </w:tc>
        <w:tc>
          <w:tcPr>
            <w:tcW w:w="2693" w:type="dxa"/>
            <w:noWrap w:val="0"/>
            <w:vAlign w:val="center"/>
          </w:tcPr>
          <w:p w14:paraId="6323D45D">
            <w:pPr>
              <w:spacing w:line="360" w:lineRule="auto"/>
              <w:rPr>
                <w:rFonts w:ascii="宋体"/>
                <w:color w:val="auto"/>
                <w:sz w:val="20"/>
              </w:rPr>
            </w:pPr>
          </w:p>
        </w:tc>
      </w:tr>
      <w:tr w14:paraId="3ADF7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4A3B45A9">
            <w:pPr>
              <w:spacing w:line="360" w:lineRule="auto"/>
              <w:rPr>
                <w:rFonts w:ascii="宋体"/>
                <w:color w:val="auto"/>
                <w:sz w:val="20"/>
              </w:rPr>
            </w:pPr>
          </w:p>
        </w:tc>
        <w:tc>
          <w:tcPr>
            <w:tcW w:w="1126" w:type="dxa"/>
            <w:noWrap w:val="0"/>
            <w:vAlign w:val="center"/>
          </w:tcPr>
          <w:p w14:paraId="503DFEF7">
            <w:pPr>
              <w:spacing w:line="360" w:lineRule="auto"/>
              <w:rPr>
                <w:rFonts w:ascii="宋体"/>
                <w:color w:val="auto"/>
                <w:sz w:val="20"/>
              </w:rPr>
            </w:pPr>
          </w:p>
        </w:tc>
        <w:tc>
          <w:tcPr>
            <w:tcW w:w="690" w:type="dxa"/>
            <w:noWrap w:val="0"/>
            <w:vAlign w:val="center"/>
          </w:tcPr>
          <w:p w14:paraId="0F931EB1">
            <w:pPr>
              <w:spacing w:line="360" w:lineRule="auto"/>
              <w:rPr>
                <w:rFonts w:ascii="宋体"/>
                <w:color w:val="auto"/>
                <w:sz w:val="20"/>
              </w:rPr>
            </w:pPr>
          </w:p>
        </w:tc>
        <w:tc>
          <w:tcPr>
            <w:tcW w:w="690" w:type="dxa"/>
            <w:noWrap w:val="0"/>
            <w:vAlign w:val="center"/>
          </w:tcPr>
          <w:p w14:paraId="694BF40F">
            <w:pPr>
              <w:spacing w:line="360" w:lineRule="auto"/>
              <w:rPr>
                <w:rFonts w:ascii="宋体"/>
                <w:color w:val="auto"/>
                <w:sz w:val="20"/>
              </w:rPr>
            </w:pPr>
          </w:p>
        </w:tc>
        <w:tc>
          <w:tcPr>
            <w:tcW w:w="1457" w:type="dxa"/>
            <w:noWrap w:val="0"/>
            <w:vAlign w:val="center"/>
          </w:tcPr>
          <w:p w14:paraId="3A556BA5">
            <w:pPr>
              <w:spacing w:line="360" w:lineRule="auto"/>
              <w:rPr>
                <w:rFonts w:ascii="宋体"/>
                <w:color w:val="auto"/>
                <w:sz w:val="20"/>
              </w:rPr>
            </w:pPr>
          </w:p>
        </w:tc>
        <w:tc>
          <w:tcPr>
            <w:tcW w:w="1134" w:type="dxa"/>
            <w:noWrap w:val="0"/>
            <w:vAlign w:val="center"/>
          </w:tcPr>
          <w:p w14:paraId="7DA8D424">
            <w:pPr>
              <w:spacing w:line="360" w:lineRule="auto"/>
              <w:rPr>
                <w:rFonts w:ascii="宋体"/>
                <w:color w:val="auto"/>
                <w:sz w:val="20"/>
              </w:rPr>
            </w:pPr>
          </w:p>
        </w:tc>
        <w:tc>
          <w:tcPr>
            <w:tcW w:w="2693" w:type="dxa"/>
            <w:noWrap w:val="0"/>
            <w:vAlign w:val="center"/>
          </w:tcPr>
          <w:p w14:paraId="6A7C5D54">
            <w:pPr>
              <w:spacing w:line="360" w:lineRule="auto"/>
              <w:rPr>
                <w:rFonts w:ascii="宋体"/>
                <w:color w:val="auto"/>
                <w:sz w:val="20"/>
              </w:rPr>
            </w:pPr>
          </w:p>
        </w:tc>
      </w:tr>
      <w:tr w14:paraId="17C640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1140" w:type="dxa"/>
            <w:noWrap w:val="0"/>
            <w:vAlign w:val="center"/>
          </w:tcPr>
          <w:p w14:paraId="46CE4B33">
            <w:pPr>
              <w:spacing w:line="360" w:lineRule="auto"/>
              <w:rPr>
                <w:rFonts w:ascii="宋体"/>
                <w:color w:val="auto"/>
                <w:sz w:val="20"/>
              </w:rPr>
            </w:pPr>
          </w:p>
        </w:tc>
        <w:tc>
          <w:tcPr>
            <w:tcW w:w="1126" w:type="dxa"/>
            <w:noWrap w:val="0"/>
            <w:vAlign w:val="center"/>
          </w:tcPr>
          <w:p w14:paraId="195539C5">
            <w:pPr>
              <w:spacing w:line="360" w:lineRule="auto"/>
              <w:rPr>
                <w:rFonts w:ascii="宋体"/>
                <w:color w:val="auto"/>
                <w:sz w:val="20"/>
              </w:rPr>
            </w:pPr>
          </w:p>
        </w:tc>
        <w:tc>
          <w:tcPr>
            <w:tcW w:w="690" w:type="dxa"/>
            <w:noWrap w:val="0"/>
            <w:vAlign w:val="center"/>
          </w:tcPr>
          <w:p w14:paraId="1B53F217">
            <w:pPr>
              <w:spacing w:line="360" w:lineRule="auto"/>
              <w:rPr>
                <w:rFonts w:ascii="宋体"/>
                <w:color w:val="auto"/>
                <w:sz w:val="20"/>
              </w:rPr>
            </w:pPr>
          </w:p>
        </w:tc>
        <w:tc>
          <w:tcPr>
            <w:tcW w:w="690" w:type="dxa"/>
            <w:noWrap w:val="0"/>
            <w:vAlign w:val="center"/>
          </w:tcPr>
          <w:p w14:paraId="7F45BE33">
            <w:pPr>
              <w:spacing w:line="360" w:lineRule="auto"/>
              <w:rPr>
                <w:rFonts w:ascii="宋体"/>
                <w:color w:val="auto"/>
                <w:sz w:val="20"/>
              </w:rPr>
            </w:pPr>
          </w:p>
        </w:tc>
        <w:tc>
          <w:tcPr>
            <w:tcW w:w="1457" w:type="dxa"/>
            <w:noWrap w:val="0"/>
            <w:vAlign w:val="center"/>
          </w:tcPr>
          <w:p w14:paraId="46E12FAB">
            <w:pPr>
              <w:spacing w:line="360" w:lineRule="auto"/>
              <w:rPr>
                <w:rFonts w:ascii="宋体"/>
                <w:color w:val="auto"/>
                <w:sz w:val="20"/>
              </w:rPr>
            </w:pPr>
          </w:p>
        </w:tc>
        <w:tc>
          <w:tcPr>
            <w:tcW w:w="1134" w:type="dxa"/>
            <w:noWrap w:val="0"/>
            <w:vAlign w:val="center"/>
          </w:tcPr>
          <w:p w14:paraId="3283E79A">
            <w:pPr>
              <w:spacing w:line="360" w:lineRule="auto"/>
              <w:rPr>
                <w:rFonts w:ascii="宋体"/>
                <w:color w:val="auto"/>
                <w:sz w:val="20"/>
              </w:rPr>
            </w:pPr>
          </w:p>
        </w:tc>
        <w:tc>
          <w:tcPr>
            <w:tcW w:w="2693" w:type="dxa"/>
            <w:noWrap w:val="0"/>
            <w:vAlign w:val="center"/>
          </w:tcPr>
          <w:p w14:paraId="0EEED0DF">
            <w:pPr>
              <w:spacing w:line="360" w:lineRule="auto"/>
              <w:rPr>
                <w:rFonts w:ascii="宋体"/>
                <w:color w:val="auto"/>
                <w:sz w:val="20"/>
              </w:rPr>
            </w:pPr>
          </w:p>
        </w:tc>
      </w:tr>
      <w:tr w14:paraId="12A9E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1516B67D">
            <w:pPr>
              <w:spacing w:line="360" w:lineRule="auto"/>
              <w:rPr>
                <w:rFonts w:ascii="宋体"/>
                <w:color w:val="auto"/>
                <w:sz w:val="20"/>
              </w:rPr>
            </w:pPr>
          </w:p>
        </w:tc>
        <w:tc>
          <w:tcPr>
            <w:tcW w:w="1126" w:type="dxa"/>
            <w:noWrap w:val="0"/>
            <w:vAlign w:val="center"/>
          </w:tcPr>
          <w:p w14:paraId="1D47A412">
            <w:pPr>
              <w:spacing w:line="360" w:lineRule="auto"/>
              <w:rPr>
                <w:rFonts w:ascii="宋体"/>
                <w:color w:val="auto"/>
                <w:sz w:val="20"/>
              </w:rPr>
            </w:pPr>
          </w:p>
        </w:tc>
        <w:tc>
          <w:tcPr>
            <w:tcW w:w="690" w:type="dxa"/>
            <w:noWrap w:val="0"/>
            <w:vAlign w:val="center"/>
          </w:tcPr>
          <w:p w14:paraId="21C11802">
            <w:pPr>
              <w:spacing w:line="360" w:lineRule="auto"/>
              <w:rPr>
                <w:rFonts w:ascii="宋体"/>
                <w:color w:val="auto"/>
                <w:sz w:val="20"/>
              </w:rPr>
            </w:pPr>
          </w:p>
        </w:tc>
        <w:tc>
          <w:tcPr>
            <w:tcW w:w="690" w:type="dxa"/>
            <w:noWrap w:val="0"/>
            <w:vAlign w:val="center"/>
          </w:tcPr>
          <w:p w14:paraId="3CD546A3">
            <w:pPr>
              <w:spacing w:line="360" w:lineRule="auto"/>
              <w:rPr>
                <w:rFonts w:ascii="宋体"/>
                <w:color w:val="auto"/>
                <w:sz w:val="20"/>
              </w:rPr>
            </w:pPr>
          </w:p>
        </w:tc>
        <w:tc>
          <w:tcPr>
            <w:tcW w:w="1457" w:type="dxa"/>
            <w:noWrap w:val="0"/>
            <w:vAlign w:val="center"/>
          </w:tcPr>
          <w:p w14:paraId="4628A2A0">
            <w:pPr>
              <w:spacing w:line="360" w:lineRule="auto"/>
              <w:rPr>
                <w:rFonts w:ascii="宋体"/>
                <w:color w:val="auto"/>
                <w:sz w:val="20"/>
              </w:rPr>
            </w:pPr>
          </w:p>
        </w:tc>
        <w:tc>
          <w:tcPr>
            <w:tcW w:w="1134" w:type="dxa"/>
            <w:noWrap w:val="0"/>
            <w:vAlign w:val="center"/>
          </w:tcPr>
          <w:p w14:paraId="0084E824">
            <w:pPr>
              <w:spacing w:line="360" w:lineRule="auto"/>
              <w:rPr>
                <w:rFonts w:ascii="宋体"/>
                <w:color w:val="auto"/>
                <w:sz w:val="20"/>
              </w:rPr>
            </w:pPr>
          </w:p>
        </w:tc>
        <w:tc>
          <w:tcPr>
            <w:tcW w:w="2693" w:type="dxa"/>
            <w:noWrap w:val="0"/>
            <w:vAlign w:val="center"/>
          </w:tcPr>
          <w:p w14:paraId="4FE40D01">
            <w:pPr>
              <w:spacing w:line="360" w:lineRule="auto"/>
              <w:rPr>
                <w:rFonts w:ascii="宋体"/>
                <w:color w:val="auto"/>
                <w:sz w:val="20"/>
              </w:rPr>
            </w:pPr>
          </w:p>
        </w:tc>
      </w:tr>
      <w:tr w14:paraId="23C608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38AB6B01">
            <w:pPr>
              <w:spacing w:line="360" w:lineRule="auto"/>
              <w:rPr>
                <w:rFonts w:ascii="宋体"/>
                <w:color w:val="auto"/>
                <w:sz w:val="20"/>
              </w:rPr>
            </w:pPr>
          </w:p>
        </w:tc>
        <w:tc>
          <w:tcPr>
            <w:tcW w:w="1126" w:type="dxa"/>
            <w:noWrap w:val="0"/>
            <w:vAlign w:val="center"/>
          </w:tcPr>
          <w:p w14:paraId="7A7A8727">
            <w:pPr>
              <w:spacing w:line="360" w:lineRule="auto"/>
              <w:rPr>
                <w:rFonts w:ascii="宋体"/>
                <w:color w:val="auto"/>
                <w:sz w:val="20"/>
              </w:rPr>
            </w:pPr>
          </w:p>
        </w:tc>
        <w:tc>
          <w:tcPr>
            <w:tcW w:w="690" w:type="dxa"/>
            <w:noWrap w:val="0"/>
            <w:vAlign w:val="center"/>
          </w:tcPr>
          <w:p w14:paraId="1FDED997">
            <w:pPr>
              <w:spacing w:line="360" w:lineRule="auto"/>
              <w:rPr>
                <w:rFonts w:ascii="宋体"/>
                <w:color w:val="auto"/>
                <w:sz w:val="20"/>
              </w:rPr>
            </w:pPr>
          </w:p>
        </w:tc>
        <w:tc>
          <w:tcPr>
            <w:tcW w:w="690" w:type="dxa"/>
            <w:noWrap w:val="0"/>
            <w:vAlign w:val="center"/>
          </w:tcPr>
          <w:p w14:paraId="6F5B8F92">
            <w:pPr>
              <w:spacing w:line="360" w:lineRule="auto"/>
              <w:rPr>
                <w:rFonts w:ascii="宋体"/>
                <w:color w:val="auto"/>
                <w:sz w:val="20"/>
              </w:rPr>
            </w:pPr>
          </w:p>
        </w:tc>
        <w:tc>
          <w:tcPr>
            <w:tcW w:w="1457" w:type="dxa"/>
            <w:noWrap w:val="0"/>
            <w:vAlign w:val="center"/>
          </w:tcPr>
          <w:p w14:paraId="49B8AA52">
            <w:pPr>
              <w:spacing w:line="360" w:lineRule="auto"/>
              <w:rPr>
                <w:rFonts w:ascii="宋体"/>
                <w:color w:val="auto"/>
                <w:sz w:val="20"/>
              </w:rPr>
            </w:pPr>
          </w:p>
        </w:tc>
        <w:tc>
          <w:tcPr>
            <w:tcW w:w="1134" w:type="dxa"/>
            <w:noWrap w:val="0"/>
            <w:vAlign w:val="center"/>
          </w:tcPr>
          <w:p w14:paraId="73CC9F09">
            <w:pPr>
              <w:spacing w:line="360" w:lineRule="auto"/>
              <w:rPr>
                <w:rFonts w:ascii="宋体"/>
                <w:color w:val="auto"/>
                <w:sz w:val="20"/>
              </w:rPr>
            </w:pPr>
          </w:p>
        </w:tc>
        <w:tc>
          <w:tcPr>
            <w:tcW w:w="2693" w:type="dxa"/>
            <w:noWrap w:val="0"/>
            <w:vAlign w:val="center"/>
          </w:tcPr>
          <w:p w14:paraId="3B71986C">
            <w:pPr>
              <w:spacing w:line="360" w:lineRule="auto"/>
              <w:rPr>
                <w:rFonts w:ascii="宋体"/>
                <w:color w:val="auto"/>
                <w:sz w:val="20"/>
              </w:rPr>
            </w:pPr>
          </w:p>
        </w:tc>
      </w:tr>
      <w:tr w14:paraId="445068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48E85D44">
            <w:pPr>
              <w:spacing w:line="360" w:lineRule="auto"/>
              <w:rPr>
                <w:rFonts w:ascii="宋体"/>
                <w:color w:val="auto"/>
                <w:sz w:val="20"/>
              </w:rPr>
            </w:pPr>
          </w:p>
        </w:tc>
        <w:tc>
          <w:tcPr>
            <w:tcW w:w="1126" w:type="dxa"/>
            <w:noWrap w:val="0"/>
            <w:vAlign w:val="center"/>
          </w:tcPr>
          <w:p w14:paraId="2E073FA2">
            <w:pPr>
              <w:spacing w:line="360" w:lineRule="auto"/>
              <w:rPr>
                <w:rFonts w:ascii="宋体"/>
                <w:color w:val="auto"/>
                <w:sz w:val="20"/>
              </w:rPr>
            </w:pPr>
          </w:p>
        </w:tc>
        <w:tc>
          <w:tcPr>
            <w:tcW w:w="690" w:type="dxa"/>
            <w:noWrap w:val="0"/>
            <w:vAlign w:val="center"/>
          </w:tcPr>
          <w:p w14:paraId="05F667E4">
            <w:pPr>
              <w:spacing w:line="360" w:lineRule="auto"/>
              <w:rPr>
                <w:rFonts w:ascii="宋体"/>
                <w:color w:val="auto"/>
                <w:sz w:val="20"/>
              </w:rPr>
            </w:pPr>
          </w:p>
        </w:tc>
        <w:tc>
          <w:tcPr>
            <w:tcW w:w="690" w:type="dxa"/>
            <w:noWrap w:val="0"/>
            <w:vAlign w:val="center"/>
          </w:tcPr>
          <w:p w14:paraId="0FFCD8F5">
            <w:pPr>
              <w:spacing w:line="360" w:lineRule="auto"/>
              <w:rPr>
                <w:rFonts w:ascii="宋体"/>
                <w:color w:val="auto"/>
                <w:sz w:val="20"/>
              </w:rPr>
            </w:pPr>
          </w:p>
        </w:tc>
        <w:tc>
          <w:tcPr>
            <w:tcW w:w="1457" w:type="dxa"/>
            <w:noWrap w:val="0"/>
            <w:vAlign w:val="center"/>
          </w:tcPr>
          <w:p w14:paraId="0FE5A4E2">
            <w:pPr>
              <w:spacing w:line="360" w:lineRule="auto"/>
              <w:rPr>
                <w:rFonts w:ascii="宋体"/>
                <w:color w:val="auto"/>
                <w:sz w:val="20"/>
              </w:rPr>
            </w:pPr>
          </w:p>
        </w:tc>
        <w:tc>
          <w:tcPr>
            <w:tcW w:w="1134" w:type="dxa"/>
            <w:noWrap w:val="0"/>
            <w:vAlign w:val="center"/>
          </w:tcPr>
          <w:p w14:paraId="127864F8">
            <w:pPr>
              <w:spacing w:line="360" w:lineRule="auto"/>
              <w:rPr>
                <w:rFonts w:ascii="宋体"/>
                <w:color w:val="auto"/>
                <w:sz w:val="20"/>
              </w:rPr>
            </w:pPr>
          </w:p>
        </w:tc>
        <w:tc>
          <w:tcPr>
            <w:tcW w:w="2693" w:type="dxa"/>
            <w:noWrap w:val="0"/>
            <w:vAlign w:val="center"/>
          </w:tcPr>
          <w:p w14:paraId="54FA34DE">
            <w:pPr>
              <w:spacing w:line="360" w:lineRule="auto"/>
              <w:rPr>
                <w:rFonts w:ascii="宋体"/>
                <w:color w:val="auto"/>
                <w:sz w:val="20"/>
              </w:rPr>
            </w:pPr>
          </w:p>
        </w:tc>
      </w:tr>
      <w:tr w14:paraId="65BFC5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026DBB20">
            <w:pPr>
              <w:spacing w:line="360" w:lineRule="auto"/>
              <w:rPr>
                <w:rFonts w:ascii="宋体"/>
                <w:color w:val="auto"/>
                <w:sz w:val="20"/>
              </w:rPr>
            </w:pPr>
          </w:p>
        </w:tc>
        <w:tc>
          <w:tcPr>
            <w:tcW w:w="1126" w:type="dxa"/>
            <w:noWrap w:val="0"/>
            <w:vAlign w:val="center"/>
          </w:tcPr>
          <w:p w14:paraId="54EDEE25">
            <w:pPr>
              <w:spacing w:line="360" w:lineRule="auto"/>
              <w:rPr>
                <w:rFonts w:ascii="宋体"/>
                <w:color w:val="auto"/>
                <w:sz w:val="20"/>
              </w:rPr>
            </w:pPr>
          </w:p>
        </w:tc>
        <w:tc>
          <w:tcPr>
            <w:tcW w:w="690" w:type="dxa"/>
            <w:noWrap w:val="0"/>
            <w:vAlign w:val="center"/>
          </w:tcPr>
          <w:p w14:paraId="25E5A771">
            <w:pPr>
              <w:spacing w:line="360" w:lineRule="auto"/>
              <w:rPr>
                <w:rFonts w:ascii="宋体"/>
                <w:color w:val="auto"/>
                <w:sz w:val="20"/>
              </w:rPr>
            </w:pPr>
          </w:p>
        </w:tc>
        <w:tc>
          <w:tcPr>
            <w:tcW w:w="690" w:type="dxa"/>
            <w:noWrap w:val="0"/>
            <w:vAlign w:val="center"/>
          </w:tcPr>
          <w:p w14:paraId="6B2032C9">
            <w:pPr>
              <w:spacing w:line="360" w:lineRule="auto"/>
              <w:rPr>
                <w:rFonts w:ascii="宋体"/>
                <w:color w:val="auto"/>
                <w:sz w:val="20"/>
              </w:rPr>
            </w:pPr>
          </w:p>
        </w:tc>
        <w:tc>
          <w:tcPr>
            <w:tcW w:w="1457" w:type="dxa"/>
            <w:noWrap w:val="0"/>
            <w:vAlign w:val="center"/>
          </w:tcPr>
          <w:p w14:paraId="0955EFCD">
            <w:pPr>
              <w:spacing w:line="360" w:lineRule="auto"/>
              <w:rPr>
                <w:rFonts w:ascii="宋体"/>
                <w:color w:val="auto"/>
                <w:sz w:val="20"/>
              </w:rPr>
            </w:pPr>
          </w:p>
        </w:tc>
        <w:tc>
          <w:tcPr>
            <w:tcW w:w="1134" w:type="dxa"/>
            <w:noWrap w:val="0"/>
            <w:vAlign w:val="center"/>
          </w:tcPr>
          <w:p w14:paraId="33E1ED9B">
            <w:pPr>
              <w:spacing w:line="360" w:lineRule="auto"/>
              <w:rPr>
                <w:rFonts w:ascii="宋体"/>
                <w:color w:val="auto"/>
                <w:sz w:val="20"/>
              </w:rPr>
            </w:pPr>
          </w:p>
        </w:tc>
        <w:tc>
          <w:tcPr>
            <w:tcW w:w="2693" w:type="dxa"/>
            <w:noWrap w:val="0"/>
            <w:vAlign w:val="center"/>
          </w:tcPr>
          <w:p w14:paraId="01EAAE41">
            <w:pPr>
              <w:spacing w:line="360" w:lineRule="auto"/>
              <w:rPr>
                <w:rFonts w:ascii="宋体"/>
                <w:color w:val="auto"/>
                <w:sz w:val="20"/>
              </w:rPr>
            </w:pPr>
          </w:p>
        </w:tc>
      </w:tr>
      <w:tr w14:paraId="36B164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0FB8544E">
            <w:pPr>
              <w:spacing w:line="360" w:lineRule="auto"/>
              <w:rPr>
                <w:rFonts w:ascii="宋体"/>
                <w:color w:val="auto"/>
                <w:sz w:val="20"/>
              </w:rPr>
            </w:pPr>
          </w:p>
        </w:tc>
        <w:tc>
          <w:tcPr>
            <w:tcW w:w="1126" w:type="dxa"/>
            <w:noWrap w:val="0"/>
            <w:vAlign w:val="center"/>
          </w:tcPr>
          <w:p w14:paraId="03E5698E">
            <w:pPr>
              <w:spacing w:line="360" w:lineRule="auto"/>
              <w:rPr>
                <w:rFonts w:ascii="宋体"/>
                <w:color w:val="auto"/>
                <w:sz w:val="20"/>
              </w:rPr>
            </w:pPr>
          </w:p>
        </w:tc>
        <w:tc>
          <w:tcPr>
            <w:tcW w:w="690" w:type="dxa"/>
            <w:noWrap w:val="0"/>
            <w:vAlign w:val="center"/>
          </w:tcPr>
          <w:p w14:paraId="342A7C47">
            <w:pPr>
              <w:spacing w:line="360" w:lineRule="auto"/>
              <w:rPr>
                <w:rFonts w:ascii="宋体"/>
                <w:color w:val="auto"/>
                <w:sz w:val="20"/>
              </w:rPr>
            </w:pPr>
          </w:p>
        </w:tc>
        <w:tc>
          <w:tcPr>
            <w:tcW w:w="690" w:type="dxa"/>
            <w:noWrap w:val="0"/>
            <w:vAlign w:val="center"/>
          </w:tcPr>
          <w:p w14:paraId="07BDFC15">
            <w:pPr>
              <w:spacing w:line="360" w:lineRule="auto"/>
              <w:rPr>
                <w:rFonts w:ascii="宋体"/>
                <w:color w:val="auto"/>
                <w:sz w:val="20"/>
              </w:rPr>
            </w:pPr>
          </w:p>
        </w:tc>
        <w:tc>
          <w:tcPr>
            <w:tcW w:w="1457" w:type="dxa"/>
            <w:noWrap w:val="0"/>
            <w:vAlign w:val="center"/>
          </w:tcPr>
          <w:p w14:paraId="3ED11F74">
            <w:pPr>
              <w:spacing w:line="360" w:lineRule="auto"/>
              <w:rPr>
                <w:rFonts w:ascii="宋体"/>
                <w:color w:val="auto"/>
                <w:sz w:val="20"/>
              </w:rPr>
            </w:pPr>
          </w:p>
        </w:tc>
        <w:tc>
          <w:tcPr>
            <w:tcW w:w="1134" w:type="dxa"/>
            <w:noWrap w:val="0"/>
            <w:vAlign w:val="center"/>
          </w:tcPr>
          <w:p w14:paraId="25E10024">
            <w:pPr>
              <w:spacing w:line="360" w:lineRule="auto"/>
              <w:rPr>
                <w:rFonts w:ascii="宋体"/>
                <w:color w:val="auto"/>
                <w:sz w:val="20"/>
              </w:rPr>
            </w:pPr>
          </w:p>
        </w:tc>
        <w:tc>
          <w:tcPr>
            <w:tcW w:w="2693" w:type="dxa"/>
            <w:noWrap w:val="0"/>
            <w:vAlign w:val="center"/>
          </w:tcPr>
          <w:p w14:paraId="130FF595">
            <w:pPr>
              <w:spacing w:line="360" w:lineRule="auto"/>
              <w:rPr>
                <w:rFonts w:ascii="宋体"/>
                <w:color w:val="auto"/>
                <w:sz w:val="20"/>
              </w:rPr>
            </w:pPr>
          </w:p>
        </w:tc>
      </w:tr>
      <w:tr w14:paraId="755C1A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930" w:type="dxa"/>
            <w:gridSpan w:val="7"/>
            <w:noWrap w:val="0"/>
            <w:vAlign w:val="center"/>
          </w:tcPr>
          <w:p w14:paraId="371F4D6B">
            <w:pPr>
              <w:spacing w:line="360" w:lineRule="auto"/>
              <w:rPr>
                <w:rFonts w:ascii="宋体"/>
                <w:color w:val="auto"/>
                <w:sz w:val="20"/>
              </w:rPr>
            </w:pPr>
            <w:r>
              <w:rPr>
                <w:rFonts w:hint="eastAsia" w:ascii="宋体"/>
                <w:color w:val="auto"/>
                <w:sz w:val="22"/>
              </w:rPr>
              <w:t>一旦我单位中标，将实行项目负责人负责制，我方保证按招标文件要求配备齐全相关人员。上述填报内容真实，若不真实，愿按有关规定接受处理。</w:t>
            </w:r>
          </w:p>
        </w:tc>
      </w:tr>
    </w:tbl>
    <w:p w14:paraId="598E7352">
      <w:pPr>
        <w:autoSpaceDE w:val="0"/>
        <w:autoSpaceDN w:val="0"/>
        <w:adjustRightInd w:val="0"/>
        <w:spacing w:line="360" w:lineRule="auto"/>
        <w:rPr>
          <w:rFonts w:ascii="宋体"/>
          <w:color w:val="auto"/>
          <w:sz w:val="22"/>
        </w:rPr>
      </w:pPr>
      <w:r>
        <w:rPr>
          <w:rFonts w:hint="eastAsia" w:ascii="宋体"/>
          <w:color w:val="auto"/>
          <w:sz w:val="22"/>
        </w:rPr>
        <w:t>注：1、本表人员</w:t>
      </w:r>
      <w:r>
        <w:rPr>
          <w:rFonts w:hint="eastAsia"/>
          <w:color w:val="auto"/>
          <w:sz w:val="22"/>
        </w:rPr>
        <w:t>如有证书的，同时</w:t>
      </w:r>
      <w:r>
        <w:rPr>
          <w:color w:val="auto"/>
          <w:sz w:val="22"/>
        </w:rPr>
        <w:t>提供</w:t>
      </w:r>
      <w:r>
        <w:rPr>
          <w:rFonts w:hint="eastAsia"/>
          <w:color w:val="auto"/>
          <w:sz w:val="22"/>
        </w:rPr>
        <w:t>证书及</w:t>
      </w:r>
      <w:r>
        <w:rPr>
          <w:rFonts w:hint="eastAsia" w:ascii="宋体"/>
          <w:color w:val="auto"/>
          <w:sz w:val="22"/>
        </w:rPr>
        <w:t>就近连续3个月在本单</w:t>
      </w:r>
      <w:r>
        <w:rPr>
          <w:rFonts w:hint="eastAsia"/>
          <w:color w:val="auto"/>
          <w:sz w:val="22"/>
        </w:rPr>
        <w:t>位缴纳社保证明</w:t>
      </w:r>
      <w:r>
        <w:rPr>
          <w:color w:val="auto"/>
          <w:sz w:val="22"/>
        </w:rPr>
        <w:t>扫描件加盖公章</w:t>
      </w:r>
      <w:r>
        <w:rPr>
          <w:rFonts w:hint="eastAsia" w:ascii="宋体"/>
          <w:color w:val="auto"/>
          <w:sz w:val="22"/>
        </w:rPr>
        <w:t>。</w:t>
      </w:r>
    </w:p>
    <w:p w14:paraId="1C0E8ACF">
      <w:pPr>
        <w:autoSpaceDE w:val="0"/>
        <w:autoSpaceDN w:val="0"/>
        <w:adjustRightInd w:val="0"/>
        <w:spacing w:line="360" w:lineRule="auto"/>
        <w:ind w:firstLine="323" w:firstLineChars="147"/>
        <w:rPr>
          <w:rFonts w:ascii="宋体"/>
          <w:color w:val="auto"/>
          <w:sz w:val="22"/>
        </w:rPr>
      </w:pPr>
      <w:r>
        <w:rPr>
          <w:rFonts w:hint="eastAsia" w:ascii="宋体"/>
          <w:color w:val="auto"/>
          <w:sz w:val="22"/>
        </w:rPr>
        <w:t xml:space="preserve"> 2</w:t>
      </w:r>
      <w:r>
        <w:rPr>
          <w:rFonts w:ascii="宋体"/>
          <w:color w:val="auto"/>
          <w:sz w:val="22"/>
        </w:rPr>
        <w:t>、</w:t>
      </w:r>
      <w:r>
        <w:rPr>
          <w:rFonts w:hint="eastAsia" w:ascii="宋体"/>
          <w:color w:val="auto"/>
          <w:sz w:val="22"/>
        </w:rPr>
        <w:t>列入本表人员如要更换，需经采购单位同意；擅自更换或不到位属违约行为。</w:t>
      </w:r>
    </w:p>
    <w:p w14:paraId="2E326D18">
      <w:pPr>
        <w:keepNext w:val="0"/>
        <w:keepLines w:val="0"/>
        <w:pageBreakBefore w:val="0"/>
        <w:widowControl w:val="0"/>
        <w:kinsoku/>
        <w:wordWrap/>
        <w:overflowPunct/>
        <w:topLinePunct w:val="0"/>
        <w:autoSpaceDE/>
        <w:autoSpaceDN/>
        <w:bidi w:val="0"/>
        <w:adjustRightInd/>
        <w:snapToGrid w:val="0"/>
        <w:spacing w:line="400" w:lineRule="atLeast"/>
        <w:ind w:firstLine="550" w:firstLineChars="250"/>
        <w:textAlignment w:val="auto"/>
        <w:rPr>
          <w:rFonts w:ascii="宋体"/>
          <w:color w:val="auto"/>
          <w:sz w:val="22"/>
        </w:rPr>
      </w:pPr>
      <w:r>
        <w:rPr>
          <w:rFonts w:hint="eastAsia" w:ascii="宋体"/>
          <w:color w:val="auto"/>
          <w:sz w:val="22"/>
        </w:rPr>
        <w:t>投标供应商（盖章）：</w:t>
      </w:r>
    </w:p>
    <w:p w14:paraId="18D7814D">
      <w:pPr>
        <w:keepNext w:val="0"/>
        <w:keepLines w:val="0"/>
        <w:pageBreakBefore w:val="0"/>
        <w:widowControl w:val="0"/>
        <w:kinsoku/>
        <w:wordWrap/>
        <w:overflowPunct/>
        <w:topLinePunct w:val="0"/>
        <w:autoSpaceDE/>
        <w:autoSpaceDN/>
        <w:bidi w:val="0"/>
        <w:adjustRightInd/>
        <w:snapToGrid w:val="0"/>
        <w:spacing w:line="400" w:lineRule="atLeast"/>
        <w:ind w:firstLine="550" w:firstLineChars="250"/>
        <w:textAlignment w:val="auto"/>
        <w:rPr>
          <w:rFonts w:ascii="宋体"/>
          <w:color w:val="auto"/>
          <w:sz w:val="22"/>
        </w:rPr>
      </w:pPr>
      <w:r>
        <w:rPr>
          <w:rFonts w:hint="eastAsia" w:ascii="宋体"/>
          <w:color w:val="auto"/>
          <w:sz w:val="22"/>
          <w:lang w:val="zh-CN"/>
        </w:rPr>
        <w:t>法定代表人或</w:t>
      </w:r>
      <w:r>
        <w:rPr>
          <w:rFonts w:hint="eastAsia" w:ascii="宋体" w:cs="Courier New"/>
          <w:color w:val="auto"/>
          <w:sz w:val="22"/>
        </w:rPr>
        <w:t>其</w:t>
      </w:r>
      <w:r>
        <w:rPr>
          <w:rFonts w:hint="eastAsia" w:ascii="宋体"/>
          <w:color w:val="auto"/>
          <w:sz w:val="22"/>
          <w:lang w:val="zh-CN"/>
        </w:rPr>
        <w:t>授权代表（签字或盖章）</w:t>
      </w:r>
      <w:r>
        <w:rPr>
          <w:rFonts w:hint="eastAsia" w:ascii="宋体"/>
          <w:color w:val="auto"/>
          <w:sz w:val="22"/>
        </w:rPr>
        <w:t>：</w:t>
      </w:r>
    </w:p>
    <w:p w14:paraId="7430E16B">
      <w:pPr>
        <w:keepNext w:val="0"/>
        <w:keepLines w:val="0"/>
        <w:pageBreakBefore w:val="0"/>
        <w:widowControl w:val="0"/>
        <w:kinsoku/>
        <w:wordWrap/>
        <w:overflowPunct/>
        <w:topLinePunct w:val="0"/>
        <w:autoSpaceDE/>
        <w:autoSpaceDN/>
        <w:bidi w:val="0"/>
        <w:adjustRightInd/>
        <w:snapToGrid w:val="0"/>
        <w:spacing w:line="400" w:lineRule="atLeast"/>
        <w:ind w:firstLine="550" w:firstLineChars="250"/>
        <w:textAlignment w:val="auto"/>
        <w:rPr>
          <w:rFonts w:ascii="宋体"/>
          <w:color w:val="auto"/>
        </w:rPr>
      </w:pPr>
      <w:r>
        <w:rPr>
          <w:rFonts w:hint="eastAsia" w:ascii="宋体"/>
          <w:color w:val="auto"/>
          <w:sz w:val="22"/>
        </w:rPr>
        <w:t xml:space="preserve">日期：  </w:t>
      </w:r>
      <w:r>
        <w:rPr>
          <w:rFonts w:hint="eastAsia" w:ascii="宋体"/>
          <w:color w:val="auto"/>
        </w:rPr>
        <w:t xml:space="preserve">          </w:t>
      </w:r>
    </w:p>
    <w:p w14:paraId="1702DE57">
      <w:pPr>
        <w:autoSpaceDE w:val="0"/>
        <w:autoSpaceDN w:val="0"/>
        <w:adjustRightInd w:val="0"/>
        <w:spacing w:line="460" w:lineRule="atLeast"/>
        <w:rPr>
          <w:rFonts w:hint="eastAsia" w:ascii="宋体" w:eastAsia="宋体"/>
          <w:color w:val="auto"/>
          <w:sz w:val="36"/>
          <w:lang w:val="zh-CN" w:eastAsia="zh-CN"/>
        </w:rPr>
      </w:pPr>
      <w:r>
        <w:rPr>
          <w:rFonts w:hint="eastAsia" w:ascii="宋体" w:hAnsi="Courier New" w:cs="Arial"/>
          <w:color w:val="auto"/>
          <w:sz w:val="22"/>
        </w:rPr>
        <w:t>附件</w:t>
      </w:r>
      <w:r>
        <w:rPr>
          <w:rFonts w:hint="eastAsia" w:ascii="宋体" w:hAnsi="Courier New" w:cs="Arial"/>
          <w:color w:val="auto"/>
          <w:sz w:val="22"/>
          <w:lang w:eastAsia="zh-CN"/>
        </w:rPr>
        <w:t>九</w:t>
      </w:r>
    </w:p>
    <w:p w14:paraId="587F5A1F">
      <w:pPr>
        <w:autoSpaceDE w:val="0"/>
        <w:autoSpaceDN w:val="0"/>
        <w:adjustRightInd w:val="0"/>
        <w:spacing w:line="460" w:lineRule="atLeast"/>
        <w:ind w:firstLine="3592" w:firstLineChars="998"/>
        <w:rPr>
          <w:rFonts w:ascii="宋体"/>
          <w:color w:val="auto"/>
          <w:sz w:val="36"/>
          <w:lang w:val="zh-CN"/>
        </w:rPr>
      </w:pPr>
      <w:r>
        <w:rPr>
          <w:rFonts w:hint="eastAsia" w:ascii="宋体"/>
          <w:color w:val="auto"/>
          <w:sz w:val="36"/>
          <w:lang w:val="zh-CN"/>
        </w:rPr>
        <w:t>偏离表</w:t>
      </w:r>
    </w:p>
    <w:tbl>
      <w:tblPr>
        <w:tblStyle w:val="22"/>
        <w:tblW w:w="919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14:paraId="44D6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5" w:hRule="atLeast"/>
        </w:trPr>
        <w:tc>
          <w:tcPr>
            <w:tcW w:w="9197" w:type="dxa"/>
            <w:gridSpan w:val="5"/>
            <w:noWrap w:val="0"/>
            <w:vAlign w:val="center"/>
          </w:tcPr>
          <w:p w14:paraId="0DBD4A54">
            <w:pPr>
              <w:autoSpaceDE w:val="0"/>
              <w:autoSpaceDN w:val="0"/>
              <w:adjustRightInd w:val="0"/>
              <w:spacing w:line="460" w:lineRule="atLeast"/>
              <w:jc w:val="center"/>
              <w:rPr>
                <w:rFonts w:ascii="宋体"/>
                <w:color w:val="auto"/>
                <w:sz w:val="22"/>
                <w:lang w:val="zh-CN"/>
              </w:rPr>
            </w:pPr>
            <w:r>
              <w:rPr>
                <w:rFonts w:ascii="宋体"/>
                <w:color w:val="auto"/>
                <w:sz w:val="22"/>
                <w:lang w:val="zh-CN"/>
              </w:rPr>
              <w:t>商务</w:t>
            </w:r>
            <w:r>
              <w:rPr>
                <w:rFonts w:hint="eastAsia" w:ascii="宋体"/>
                <w:color w:val="auto"/>
                <w:sz w:val="22"/>
                <w:lang w:val="zh-CN"/>
              </w:rPr>
              <w:t>偏离</w:t>
            </w:r>
          </w:p>
        </w:tc>
      </w:tr>
      <w:tr w14:paraId="544C0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center"/>
          </w:tcPr>
          <w:p w14:paraId="438C246F">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序</w:t>
            </w:r>
            <w:r>
              <w:rPr>
                <w:rFonts w:ascii="宋体"/>
                <w:color w:val="auto"/>
                <w:sz w:val="22"/>
                <w:lang w:val="zh-CN"/>
              </w:rPr>
              <w:t xml:space="preserve"> </w:t>
            </w:r>
            <w:r>
              <w:rPr>
                <w:rFonts w:hint="eastAsia" w:ascii="宋体"/>
                <w:color w:val="auto"/>
                <w:sz w:val="22"/>
                <w:lang w:val="zh-CN"/>
              </w:rPr>
              <w:t>号</w:t>
            </w:r>
          </w:p>
        </w:tc>
        <w:tc>
          <w:tcPr>
            <w:tcW w:w="1710" w:type="dxa"/>
            <w:noWrap w:val="0"/>
            <w:vAlign w:val="center"/>
          </w:tcPr>
          <w:p w14:paraId="0E0DE630">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内容</w:t>
            </w:r>
          </w:p>
        </w:tc>
        <w:tc>
          <w:tcPr>
            <w:tcW w:w="2664" w:type="dxa"/>
            <w:noWrap w:val="0"/>
            <w:vAlign w:val="center"/>
          </w:tcPr>
          <w:p w14:paraId="3CB8D5A3">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招标文件规范要求</w:t>
            </w:r>
          </w:p>
        </w:tc>
        <w:tc>
          <w:tcPr>
            <w:tcW w:w="2110" w:type="dxa"/>
            <w:noWrap w:val="0"/>
            <w:vAlign w:val="center"/>
          </w:tcPr>
          <w:p w14:paraId="34AE4109">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投标文件对应规范</w:t>
            </w:r>
          </w:p>
        </w:tc>
        <w:tc>
          <w:tcPr>
            <w:tcW w:w="1831" w:type="dxa"/>
            <w:noWrap w:val="0"/>
            <w:vAlign w:val="center"/>
          </w:tcPr>
          <w:p w14:paraId="1A170A2E">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备</w:t>
            </w:r>
            <w:r>
              <w:rPr>
                <w:rFonts w:ascii="宋体"/>
                <w:color w:val="auto"/>
                <w:sz w:val="22"/>
                <w:lang w:val="zh-CN"/>
              </w:rPr>
              <w:t xml:space="preserve"> </w:t>
            </w:r>
            <w:r>
              <w:rPr>
                <w:rFonts w:hint="eastAsia" w:ascii="宋体"/>
                <w:color w:val="auto"/>
                <w:sz w:val="22"/>
                <w:lang w:val="zh-CN"/>
              </w:rPr>
              <w:t>注</w:t>
            </w:r>
          </w:p>
        </w:tc>
      </w:tr>
      <w:tr w14:paraId="45336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5406D0AE">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1ED64019">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111ADF78">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64A54B36">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5C659B2F">
            <w:pPr>
              <w:autoSpaceDE w:val="0"/>
              <w:autoSpaceDN w:val="0"/>
              <w:adjustRightInd w:val="0"/>
              <w:spacing w:line="460" w:lineRule="atLeast"/>
              <w:jc w:val="center"/>
              <w:rPr>
                <w:rFonts w:ascii="宋体"/>
                <w:color w:val="auto"/>
                <w:sz w:val="22"/>
                <w:lang w:val="zh-CN"/>
              </w:rPr>
            </w:pPr>
          </w:p>
        </w:tc>
      </w:tr>
      <w:tr w14:paraId="78C0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244A8216">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16119C8B">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74BAEFCB">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37A46FF9">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092AFD37">
            <w:pPr>
              <w:autoSpaceDE w:val="0"/>
              <w:autoSpaceDN w:val="0"/>
              <w:adjustRightInd w:val="0"/>
              <w:spacing w:line="460" w:lineRule="atLeast"/>
              <w:jc w:val="center"/>
              <w:rPr>
                <w:rFonts w:ascii="宋体"/>
                <w:color w:val="auto"/>
                <w:sz w:val="22"/>
                <w:lang w:val="zh-CN"/>
              </w:rPr>
            </w:pPr>
          </w:p>
        </w:tc>
      </w:tr>
      <w:tr w14:paraId="2959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38991CE8">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62516628">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6ABF9F8E">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07E05E8C">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64AC6362">
            <w:pPr>
              <w:autoSpaceDE w:val="0"/>
              <w:autoSpaceDN w:val="0"/>
              <w:adjustRightInd w:val="0"/>
              <w:spacing w:line="460" w:lineRule="atLeast"/>
              <w:jc w:val="center"/>
              <w:rPr>
                <w:rFonts w:ascii="宋体"/>
                <w:color w:val="auto"/>
                <w:sz w:val="22"/>
                <w:lang w:val="zh-CN"/>
              </w:rPr>
            </w:pPr>
          </w:p>
        </w:tc>
      </w:tr>
      <w:tr w14:paraId="5FA7C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4975595A">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4A44DED5">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509100EC">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700A8687">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70361833">
            <w:pPr>
              <w:autoSpaceDE w:val="0"/>
              <w:autoSpaceDN w:val="0"/>
              <w:adjustRightInd w:val="0"/>
              <w:spacing w:line="460" w:lineRule="atLeast"/>
              <w:jc w:val="center"/>
              <w:rPr>
                <w:rFonts w:ascii="宋体"/>
                <w:color w:val="auto"/>
                <w:sz w:val="22"/>
                <w:lang w:val="zh-CN"/>
              </w:rPr>
            </w:pPr>
          </w:p>
        </w:tc>
      </w:tr>
      <w:tr w14:paraId="2D09B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033A81CB">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780830CC">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315E91DC">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5D6A8D6E">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40995A4F">
            <w:pPr>
              <w:autoSpaceDE w:val="0"/>
              <w:autoSpaceDN w:val="0"/>
              <w:adjustRightInd w:val="0"/>
              <w:spacing w:line="460" w:lineRule="atLeast"/>
              <w:jc w:val="center"/>
              <w:rPr>
                <w:rFonts w:ascii="宋体"/>
                <w:color w:val="auto"/>
                <w:sz w:val="22"/>
                <w:lang w:val="zh-CN"/>
              </w:rPr>
            </w:pPr>
          </w:p>
        </w:tc>
      </w:tr>
      <w:tr w14:paraId="64199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14:paraId="061F7BD1">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42C6D47F">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51E6D74E">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2318442F">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60AA76A0">
            <w:pPr>
              <w:autoSpaceDE w:val="0"/>
              <w:autoSpaceDN w:val="0"/>
              <w:adjustRightInd w:val="0"/>
              <w:spacing w:line="460" w:lineRule="atLeast"/>
              <w:jc w:val="center"/>
              <w:rPr>
                <w:rFonts w:ascii="宋体"/>
                <w:color w:val="auto"/>
                <w:sz w:val="22"/>
                <w:lang w:val="zh-CN"/>
              </w:rPr>
            </w:pPr>
          </w:p>
        </w:tc>
      </w:tr>
      <w:tr w14:paraId="0C324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noWrap w:val="0"/>
            <w:vAlign w:val="top"/>
          </w:tcPr>
          <w:p w14:paraId="5DEE0BEC">
            <w:pPr>
              <w:autoSpaceDE w:val="0"/>
              <w:autoSpaceDN w:val="0"/>
              <w:adjustRightInd w:val="0"/>
              <w:spacing w:line="460" w:lineRule="atLeast"/>
              <w:jc w:val="center"/>
              <w:rPr>
                <w:rFonts w:ascii="宋体"/>
                <w:color w:val="auto"/>
                <w:sz w:val="22"/>
                <w:lang w:val="zh-CN"/>
              </w:rPr>
            </w:pPr>
            <w:r>
              <w:rPr>
                <w:rFonts w:ascii="宋体"/>
                <w:color w:val="auto"/>
                <w:sz w:val="22"/>
                <w:lang w:val="zh-CN"/>
              </w:rPr>
              <w:t>技术</w:t>
            </w:r>
            <w:r>
              <w:rPr>
                <w:rFonts w:hint="eastAsia" w:ascii="宋体"/>
                <w:color w:val="auto"/>
                <w:sz w:val="22"/>
                <w:lang w:val="zh-CN"/>
              </w:rPr>
              <w:t>偏离</w:t>
            </w:r>
          </w:p>
        </w:tc>
      </w:tr>
      <w:tr w14:paraId="4FE94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center"/>
          </w:tcPr>
          <w:p w14:paraId="44ECEFBB">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序</w:t>
            </w:r>
            <w:r>
              <w:rPr>
                <w:rFonts w:ascii="宋体"/>
                <w:color w:val="auto"/>
                <w:sz w:val="22"/>
                <w:lang w:val="zh-CN"/>
              </w:rPr>
              <w:t xml:space="preserve"> </w:t>
            </w:r>
            <w:r>
              <w:rPr>
                <w:rFonts w:hint="eastAsia" w:ascii="宋体"/>
                <w:color w:val="auto"/>
                <w:sz w:val="22"/>
                <w:lang w:val="zh-CN"/>
              </w:rPr>
              <w:t>号</w:t>
            </w:r>
          </w:p>
        </w:tc>
        <w:tc>
          <w:tcPr>
            <w:tcW w:w="1710" w:type="dxa"/>
            <w:noWrap w:val="0"/>
            <w:vAlign w:val="center"/>
          </w:tcPr>
          <w:p w14:paraId="59B6AD5E">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内容</w:t>
            </w:r>
          </w:p>
        </w:tc>
        <w:tc>
          <w:tcPr>
            <w:tcW w:w="2664" w:type="dxa"/>
            <w:noWrap w:val="0"/>
            <w:vAlign w:val="center"/>
          </w:tcPr>
          <w:p w14:paraId="0E587B59">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招标文件规范要求</w:t>
            </w:r>
          </w:p>
        </w:tc>
        <w:tc>
          <w:tcPr>
            <w:tcW w:w="2110" w:type="dxa"/>
            <w:noWrap w:val="0"/>
            <w:vAlign w:val="center"/>
          </w:tcPr>
          <w:p w14:paraId="3B7E9805">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投标文件对应规范</w:t>
            </w:r>
          </w:p>
        </w:tc>
        <w:tc>
          <w:tcPr>
            <w:tcW w:w="1831" w:type="dxa"/>
            <w:noWrap w:val="0"/>
            <w:vAlign w:val="center"/>
          </w:tcPr>
          <w:p w14:paraId="7F96A42E">
            <w:pPr>
              <w:autoSpaceDE w:val="0"/>
              <w:autoSpaceDN w:val="0"/>
              <w:adjustRightInd w:val="0"/>
              <w:spacing w:line="460" w:lineRule="atLeast"/>
              <w:jc w:val="center"/>
              <w:rPr>
                <w:rFonts w:ascii="宋体"/>
                <w:color w:val="auto"/>
                <w:sz w:val="22"/>
                <w:lang w:val="zh-CN"/>
              </w:rPr>
            </w:pPr>
            <w:r>
              <w:rPr>
                <w:rFonts w:hint="eastAsia" w:ascii="宋体"/>
                <w:color w:val="auto"/>
                <w:sz w:val="22"/>
                <w:lang w:val="zh-CN"/>
              </w:rPr>
              <w:t>备</w:t>
            </w:r>
            <w:r>
              <w:rPr>
                <w:rFonts w:ascii="宋体"/>
                <w:color w:val="auto"/>
                <w:sz w:val="22"/>
                <w:lang w:val="zh-CN"/>
              </w:rPr>
              <w:t xml:space="preserve"> </w:t>
            </w:r>
            <w:r>
              <w:rPr>
                <w:rFonts w:hint="eastAsia" w:ascii="宋体"/>
                <w:color w:val="auto"/>
                <w:sz w:val="22"/>
                <w:lang w:val="zh-CN"/>
              </w:rPr>
              <w:t>注</w:t>
            </w:r>
          </w:p>
        </w:tc>
      </w:tr>
      <w:tr w14:paraId="2339B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3FAD2D5F">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31631761">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79AEA45B">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2B7AC29F">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4C0E7288">
            <w:pPr>
              <w:autoSpaceDE w:val="0"/>
              <w:autoSpaceDN w:val="0"/>
              <w:adjustRightInd w:val="0"/>
              <w:spacing w:line="460" w:lineRule="atLeast"/>
              <w:jc w:val="center"/>
              <w:rPr>
                <w:rFonts w:ascii="宋体"/>
                <w:color w:val="auto"/>
                <w:sz w:val="22"/>
                <w:lang w:val="zh-CN"/>
              </w:rPr>
            </w:pPr>
          </w:p>
        </w:tc>
      </w:tr>
      <w:tr w14:paraId="4318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0BCF9E29">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5629EC08">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7AE9B6B7">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6D1C2FF7">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5FFE95FF">
            <w:pPr>
              <w:autoSpaceDE w:val="0"/>
              <w:autoSpaceDN w:val="0"/>
              <w:adjustRightInd w:val="0"/>
              <w:spacing w:line="460" w:lineRule="atLeast"/>
              <w:jc w:val="center"/>
              <w:rPr>
                <w:rFonts w:ascii="宋体"/>
                <w:color w:val="auto"/>
                <w:sz w:val="22"/>
                <w:lang w:val="zh-CN"/>
              </w:rPr>
            </w:pPr>
          </w:p>
        </w:tc>
      </w:tr>
      <w:tr w14:paraId="798FB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1678A109">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4A9138AD">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5F6D1D78">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76DFF5B6">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15E474E9">
            <w:pPr>
              <w:autoSpaceDE w:val="0"/>
              <w:autoSpaceDN w:val="0"/>
              <w:adjustRightInd w:val="0"/>
              <w:spacing w:line="460" w:lineRule="atLeast"/>
              <w:jc w:val="center"/>
              <w:rPr>
                <w:rFonts w:ascii="宋体"/>
                <w:color w:val="auto"/>
                <w:sz w:val="22"/>
                <w:lang w:val="zh-CN"/>
              </w:rPr>
            </w:pPr>
          </w:p>
        </w:tc>
      </w:tr>
      <w:tr w14:paraId="546ED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283D2BBA">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789EBFC7">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76EFFF84">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1A68C493">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3926275D">
            <w:pPr>
              <w:autoSpaceDE w:val="0"/>
              <w:autoSpaceDN w:val="0"/>
              <w:adjustRightInd w:val="0"/>
              <w:spacing w:line="460" w:lineRule="atLeast"/>
              <w:jc w:val="center"/>
              <w:rPr>
                <w:rFonts w:ascii="宋体"/>
                <w:color w:val="auto"/>
                <w:sz w:val="22"/>
                <w:lang w:val="zh-CN"/>
              </w:rPr>
            </w:pPr>
          </w:p>
        </w:tc>
      </w:tr>
      <w:tr w14:paraId="50466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585E5DBC">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1D54E765">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01EEFE71">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42ED1E81">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78BF864C">
            <w:pPr>
              <w:autoSpaceDE w:val="0"/>
              <w:autoSpaceDN w:val="0"/>
              <w:adjustRightInd w:val="0"/>
              <w:spacing w:line="460" w:lineRule="atLeast"/>
              <w:jc w:val="center"/>
              <w:rPr>
                <w:rFonts w:ascii="宋体"/>
                <w:color w:val="auto"/>
                <w:sz w:val="22"/>
                <w:lang w:val="zh-CN"/>
              </w:rPr>
            </w:pPr>
          </w:p>
        </w:tc>
      </w:tr>
      <w:tr w14:paraId="2D59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14:paraId="39F3530A">
            <w:pPr>
              <w:autoSpaceDE w:val="0"/>
              <w:autoSpaceDN w:val="0"/>
              <w:adjustRightInd w:val="0"/>
              <w:spacing w:line="460" w:lineRule="atLeast"/>
              <w:jc w:val="center"/>
              <w:rPr>
                <w:rFonts w:ascii="宋体"/>
                <w:color w:val="auto"/>
                <w:sz w:val="22"/>
                <w:lang w:val="zh-CN"/>
              </w:rPr>
            </w:pPr>
          </w:p>
        </w:tc>
        <w:tc>
          <w:tcPr>
            <w:tcW w:w="1710" w:type="dxa"/>
            <w:noWrap w:val="0"/>
            <w:vAlign w:val="top"/>
          </w:tcPr>
          <w:p w14:paraId="548CCC3D">
            <w:pPr>
              <w:autoSpaceDE w:val="0"/>
              <w:autoSpaceDN w:val="0"/>
              <w:adjustRightInd w:val="0"/>
              <w:spacing w:line="460" w:lineRule="atLeast"/>
              <w:jc w:val="center"/>
              <w:rPr>
                <w:rFonts w:ascii="宋体"/>
                <w:color w:val="auto"/>
                <w:sz w:val="22"/>
                <w:lang w:val="zh-CN"/>
              </w:rPr>
            </w:pPr>
          </w:p>
        </w:tc>
        <w:tc>
          <w:tcPr>
            <w:tcW w:w="2664" w:type="dxa"/>
            <w:noWrap w:val="0"/>
            <w:vAlign w:val="top"/>
          </w:tcPr>
          <w:p w14:paraId="769AD690">
            <w:pPr>
              <w:autoSpaceDE w:val="0"/>
              <w:autoSpaceDN w:val="0"/>
              <w:adjustRightInd w:val="0"/>
              <w:spacing w:line="460" w:lineRule="atLeast"/>
              <w:jc w:val="center"/>
              <w:rPr>
                <w:rFonts w:ascii="宋体"/>
                <w:color w:val="auto"/>
                <w:sz w:val="22"/>
                <w:lang w:val="zh-CN"/>
              </w:rPr>
            </w:pPr>
          </w:p>
        </w:tc>
        <w:tc>
          <w:tcPr>
            <w:tcW w:w="2110" w:type="dxa"/>
            <w:noWrap w:val="0"/>
            <w:vAlign w:val="top"/>
          </w:tcPr>
          <w:p w14:paraId="52A14711">
            <w:pPr>
              <w:autoSpaceDE w:val="0"/>
              <w:autoSpaceDN w:val="0"/>
              <w:adjustRightInd w:val="0"/>
              <w:spacing w:line="460" w:lineRule="atLeast"/>
              <w:jc w:val="center"/>
              <w:rPr>
                <w:rFonts w:ascii="宋体"/>
                <w:color w:val="auto"/>
                <w:sz w:val="22"/>
                <w:lang w:val="zh-CN"/>
              </w:rPr>
            </w:pPr>
          </w:p>
        </w:tc>
        <w:tc>
          <w:tcPr>
            <w:tcW w:w="1831" w:type="dxa"/>
            <w:noWrap w:val="0"/>
            <w:vAlign w:val="top"/>
          </w:tcPr>
          <w:p w14:paraId="642C694F">
            <w:pPr>
              <w:autoSpaceDE w:val="0"/>
              <w:autoSpaceDN w:val="0"/>
              <w:adjustRightInd w:val="0"/>
              <w:spacing w:line="460" w:lineRule="atLeast"/>
              <w:jc w:val="center"/>
              <w:rPr>
                <w:rFonts w:ascii="宋体"/>
                <w:color w:val="auto"/>
                <w:sz w:val="22"/>
                <w:lang w:val="zh-CN"/>
              </w:rPr>
            </w:pPr>
          </w:p>
        </w:tc>
      </w:tr>
    </w:tbl>
    <w:p w14:paraId="57A051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2"/>
          <w:lang w:val="zh-CN"/>
        </w:rPr>
      </w:pPr>
    </w:p>
    <w:p w14:paraId="578A9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2"/>
          <w:lang w:val="zh-CN"/>
        </w:rPr>
      </w:pPr>
    </w:p>
    <w:p w14:paraId="10F67CD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2"/>
          <w:lang w:val="zh-CN"/>
        </w:rPr>
      </w:pPr>
      <w:r>
        <w:rPr>
          <w:rFonts w:hint="eastAsia" w:ascii="宋体"/>
          <w:b/>
          <w:bCs/>
          <w:color w:val="auto"/>
          <w:sz w:val="22"/>
          <w:lang w:val="zh-CN"/>
        </w:rPr>
        <w:t>备注栏填正偏离、负偏离或无偏离。若备注栏没有填写视为无偏离。</w:t>
      </w:r>
    </w:p>
    <w:p w14:paraId="71DA25E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rPr>
      </w:pPr>
      <w:r>
        <w:rPr>
          <w:rFonts w:hint="eastAsia" w:ascii="宋体"/>
          <w:color w:val="auto"/>
          <w:sz w:val="22"/>
          <w:lang w:val="zh-CN"/>
        </w:rPr>
        <w:t>投标供应商盖章：</w:t>
      </w:r>
      <w:r>
        <w:rPr>
          <w:rFonts w:hint="eastAsia" w:ascii="宋体"/>
          <w:color w:val="auto"/>
          <w:sz w:val="22"/>
          <w:u w:val="single"/>
          <w:lang w:val="zh-CN"/>
        </w:rPr>
        <w:t xml:space="preserve">           </w:t>
      </w:r>
    </w:p>
    <w:p w14:paraId="4CCDD33E">
      <w:pPr>
        <w:spacing w:before="156" w:beforeLines="50" w:after="156" w:afterLines="50" w:line="460" w:lineRule="atLeast"/>
        <w:ind w:right="-10"/>
        <w:jc w:val="center"/>
        <w:rPr>
          <w:rFonts w:ascii="宋体"/>
          <w:color w:val="auto"/>
          <w:sz w:val="36"/>
        </w:rPr>
      </w:pPr>
    </w:p>
    <w:p w14:paraId="72670D17">
      <w:pPr>
        <w:spacing w:before="156" w:beforeLines="50" w:after="156" w:afterLines="50" w:line="460" w:lineRule="atLeast"/>
        <w:ind w:right="-10"/>
        <w:jc w:val="center"/>
        <w:rPr>
          <w:rFonts w:ascii="宋体"/>
          <w:color w:val="auto"/>
          <w:sz w:val="36"/>
        </w:rPr>
      </w:pPr>
    </w:p>
    <w:p w14:paraId="0DE198AF">
      <w:pPr>
        <w:spacing w:before="156" w:beforeLines="50" w:after="156" w:afterLines="50" w:line="460" w:lineRule="atLeast"/>
        <w:ind w:right="-10"/>
        <w:jc w:val="center"/>
        <w:rPr>
          <w:rFonts w:ascii="宋体"/>
          <w:color w:val="auto"/>
          <w:sz w:val="36"/>
        </w:rPr>
      </w:pPr>
    </w:p>
    <w:p w14:paraId="4FE590F4">
      <w:pPr>
        <w:spacing w:before="156" w:beforeLines="50" w:after="156" w:afterLines="50" w:line="460" w:lineRule="atLeast"/>
        <w:ind w:right="-10"/>
        <w:rPr>
          <w:rFonts w:ascii="宋体"/>
          <w:color w:val="auto"/>
          <w:sz w:val="36"/>
        </w:rPr>
      </w:pPr>
    </w:p>
    <w:p w14:paraId="5DA073DC">
      <w:pPr>
        <w:rPr>
          <w:rFonts w:ascii="宋体"/>
          <w:color w:val="auto"/>
          <w:sz w:val="36"/>
          <w:lang w:val="zh-CN"/>
        </w:rPr>
      </w:pPr>
      <w:r>
        <w:rPr>
          <w:rFonts w:hint="eastAsia" w:ascii="宋体" w:hAnsi="Courier New" w:cs="Arial"/>
          <w:color w:val="auto"/>
          <w:sz w:val="22"/>
        </w:rPr>
        <w:br w:type="page"/>
      </w:r>
      <w:r>
        <w:rPr>
          <w:rFonts w:hint="eastAsia" w:ascii="宋体" w:hAnsi="Courier New" w:cs="Arial"/>
          <w:color w:val="auto"/>
          <w:sz w:val="22"/>
        </w:rPr>
        <w:t>附件十</w:t>
      </w:r>
    </w:p>
    <w:p w14:paraId="5C5B4421">
      <w:pPr>
        <w:spacing w:line="400" w:lineRule="exact"/>
        <w:ind w:left="1280" w:hanging="1440" w:hangingChars="400"/>
        <w:jc w:val="center"/>
        <w:rPr>
          <w:rFonts w:hint="eastAsia" w:ascii="宋体" w:eastAsia="宋体" w:cs="Arial"/>
          <w:bCs/>
          <w:color w:val="auto"/>
          <w:sz w:val="32"/>
          <w:lang w:eastAsia="zh-CN"/>
        </w:rPr>
      </w:pPr>
      <w:r>
        <w:rPr>
          <w:rFonts w:hint="eastAsia" w:ascii="宋体" w:cs="Arial"/>
          <w:bCs/>
          <w:color w:val="auto"/>
          <w:sz w:val="36"/>
          <w:szCs w:val="36"/>
          <w:lang w:eastAsia="zh-CN"/>
        </w:rPr>
        <w:t>所投货物的品牌型号（货物类）</w:t>
      </w:r>
    </w:p>
    <w:p w14:paraId="1917728F">
      <w:pPr>
        <w:spacing w:line="400" w:lineRule="exact"/>
        <w:ind w:left="1280" w:hanging="1280" w:hangingChars="400"/>
        <w:jc w:val="center"/>
        <w:rPr>
          <w:rFonts w:ascii="宋体" w:cs="Arial"/>
          <w:bCs/>
          <w:color w:val="auto"/>
          <w:sz w:val="32"/>
        </w:rPr>
      </w:pPr>
    </w:p>
    <w:p w14:paraId="4C4910D0">
      <w:pPr>
        <w:spacing w:line="380" w:lineRule="exact"/>
        <w:rPr>
          <w:rFonts w:ascii="宋体"/>
          <w:bCs/>
          <w:color w:val="auto"/>
          <w:sz w:val="22"/>
        </w:rPr>
      </w:pPr>
      <w:r>
        <w:rPr>
          <w:rFonts w:hint="eastAsia" w:ascii="宋体"/>
          <w:bCs/>
          <w:color w:val="auto"/>
          <w:sz w:val="22"/>
        </w:rPr>
        <w:t>项目名称：                                          招标编号：</w:t>
      </w:r>
    </w:p>
    <w:tbl>
      <w:tblPr>
        <w:tblStyle w:val="2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560"/>
        <w:gridCol w:w="1134"/>
        <w:gridCol w:w="1417"/>
      </w:tblGrid>
      <w:tr w14:paraId="74BDF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AEBAB2C">
            <w:pPr>
              <w:spacing w:line="400" w:lineRule="exact"/>
              <w:jc w:val="center"/>
              <w:rPr>
                <w:rFonts w:ascii="宋体" w:cs="Arial"/>
                <w:color w:val="auto"/>
                <w:sz w:val="22"/>
              </w:rPr>
            </w:pPr>
            <w:r>
              <w:rPr>
                <w:rFonts w:hint="eastAsia" w:ascii="宋体" w:cs="Arial"/>
                <w:color w:val="auto"/>
                <w:sz w:val="22"/>
              </w:rPr>
              <w:t>序号</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54DC1A42">
            <w:pPr>
              <w:spacing w:line="400" w:lineRule="exact"/>
              <w:jc w:val="center"/>
              <w:rPr>
                <w:rFonts w:ascii="宋体" w:cs="Arial"/>
                <w:color w:val="auto"/>
                <w:sz w:val="22"/>
              </w:rPr>
            </w:pPr>
            <w:r>
              <w:rPr>
                <w:rFonts w:hint="eastAsia" w:ascii="宋体" w:cs="Arial"/>
                <w:color w:val="auto"/>
                <w:sz w:val="22"/>
              </w:rPr>
              <w:t>设备名称</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DDE8E60">
            <w:pPr>
              <w:spacing w:line="400" w:lineRule="exact"/>
              <w:jc w:val="center"/>
              <w:rPr>
                <w:rFonts w:ascii="宋体" w:cs="Arial"/>
                <w:color w:val="auto"/>
                <w:sz w:val="22"/>
              </w:rPr>
            </w:pPr>
            <w:r>
              <w:rPr>
                <w:rFonts w:hint="eastAsia" w:ascii="宋体" w:cs="Arial"/>
                <w:color w:val="auto"/>
                <w:sz w:val="22"/>
              </w:rPr>
              <w:t>规格型号</w:t>
            </w:r>
          </w:p>
        </w:tc>
        <w:tc>
          <w:tcPr>
            <w:tcW w:w="1560" w:type="dxa"/>
            <w:tcBorders>
              <w:top w:val="single" w:color="auto" w:sz="4" w:space="0"/>
              <w:left w:val="single" w:color="auto" w:sz="4" w:space="0"/>
              <w:right w:val="single" w:color="auto" w:sz="4" w:space="0"/>
            </w:tcBorders>
            <w:noWrap w:val="0"/>
            <w:vAlign w:val="center"/>
          </w:tcPr>
          <w:p w14:paraId="105133FD">
            <w:pPr>
              <w:spacing w:line="400" w:lineRule="exact"/>
              <w:jc w:val="center"/>
              <w:rPr>
                <w:rFonts w:ascii="宋体" w:cs="Arial"/>
                <w:color w:val="auto"/>
                <w:sz w:val="22"/>
              </w:rPr>
            </w:pPr>
            <w:r>
              <w:rPr>
                <w:rFonts w:hint="eastAsia" w:ascii="宋体" w:cs="Arial"/>
                <w:color w:val="auto"/>
                <w:sz w:val="22"/>
              </w:rPr>
              <w:t>品牌</w:t>
            </w:r>
          </w:p>
        </w:tc>
        <w:tc>
          <w:tcPr>
            <w:tcW w:w="1134" w:type="dxa"/>
            <w:tcBorders>
              <w:top w:val="single" w:color="auto" w:sz="4" w:space="0"/>
              <w:left w:val="single" w:color="auto" w:sz="4" w:space="0"/>
              <w:right w:val="single" w:color="auto" w:sz="4" w:space="0"/>
            </w:tcBorders>
            <w:noWrap w:val="0"/>
            <w:vAlign w:val="center"/>
          </w:tcPr>
          <w:p w14:paraId="2B056933">
            <w:pPr>
              <w:spacing w:line="400" w:lineRule="exact"/>
              <w:jc w:val="center"/>
              <w:rPr>
                <w:rFonts w:ascii="宋体" w:cs="Arial"/>
                <w:color w:val="auto"/>
                <w:sz w:val="22"/>
              </w:rPr>
            </w:pPr>
            <w:r>
              <w:rPr>
                <w:rFonts w:hint="eastAsia" w:ascii="宋体" w:cs="Arial"/>
                <w:color w:val="auto"/>
                <w:sz w:val="22"/>
              </w:rPr>
              <w:t>数量</w:t>
            </w:r>
          </w:p>
        </w:tc>
        <w:tc>
          <w:tcPr>
            <w:tcW w:w="1417" w:type="dxa"/>
            <w:tcBorders>
              <w:top w:val="single" w:color="auto" w:sz="4" w:space="0"/>
              <w:left w:val="single" w:color="auto" w:sz="4" w:space="0"/>
              <w:right w:val="single" w:color="auto" w:sz="4" w:space="0"/>
            </w:tcBorders>
            <w:noWrap w:val="0"/>
            <w:vAlign w:val="center"/>
          </w:tcPr>
          <w:p w14:paraId="4344EF74">
            <w:pPr>
              <w:spacing w:line="400" w:lineRule="exact"/>
              <w:jc w:val="center"/>
              <w:rPr>
                <w:rFonts w:ascii="宋体" w:cs="Arial"/>
                <w:color w:val="auto"/>
                <w:sz w:val="22"/>
              </w:rPr>
            </w:pPr>
            <w:r>
              <w:rPr>
                <w:rFonts w:hint="eastAsia" w:ascii="宋体" w:cs="Arial"/>
                <w:color w:val="auto"/>
                <w:sz w:val="22"/>
              </w:rPr>
              <w:t>单位</w:t>
            </w:r>
          </w:p>
        </w:tc>
      </w:tr>
      <w:tr w14:paraId="44F7F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14:paraId="07653C5F">
            <w:pPr>
              <w:spacing w:line="400" w:lineRule="exact"/>
              <w:rPr>
                <w:rFonts w:ascii="宋体" w:cs="Arial"/>
                <w:color w:val="auto"/>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768A188D">
            <w:pPr>
              <w:spacing w:line="400" w:lineRule="exact"/>
              <w:rPr>
                <w:rFonts w:ascii="宋体" w:cs="Arial"/>
                <w:color w:val="auto"/>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978C107">
            <w:pPr>
              <w:spacing w:line="400" w:lineRule="exact"/>
              <w:rPr>
                <w:rFonts w:ascii="宋体" w:cs="Arial"/>
                <w:color w:val="auto"/>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6D758CE">
            <w:pPr>
              <w:spacing w:line="400" w:lineRule="exact"/>
              <w:rPr>
                <w:rFonts w:ascii="宋体" w:cs="Arial"/>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044B5F">
            <w:pPr>
              <w:spacing w:line="400" w:lineRule="exact"/>
              <w:rPr>
                <w:rFonts w:ascii="宋体" w:cs="Arial"/>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3D3CEFA">
            <w:pPr>
              <w:spacing w:line="400" w:lineRule="exact"/>
              <w:rPr>
                <w:rFonts w:ascii="宋体" w:cs="Arial"/>
                <w:color w:val="auto"/>
                <w:sz w:val="22"/>
              </w:rPr>
            </w:pPr>
          </w:p>
        </w:tc>
      </w:tr>
      <w:tr w14:paraId="3E802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14:paraId="57664ED0">
            <w:pPr>
              <w:spacing w:line="400" w:lineRule="exact"/>
              <w:rPr>
                <w:rFonts w:ascii="宋体" w:cs="Arial"/>
                <w:color w:val="auto"/>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6A600C18">
            <w:pPr>
              <w:spacing w:line="400" w:lineRule="exact"/>
              <w:rPr>
                <w:rFonts w:ascii="宋体" w:cs="Arial"/>
                <w:color w:val="auto"/>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B0504B0">
            <w:pPr>
              <w:spacing w:line="400" w:lineRule="exact"/>
              <w:rPr>
                <w:rFonts w:ascii="宋体" w:cs="Arial"/>
                <w:color w:val="auto"/>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59C77E2">
            <w:pPr>
              <w:spacing w:line="400" w:lineRule="exact"/>
              <w:rPr>
                <w:rFonts w:ascii="宋体" w:cs="Arial"/>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CFBE21">
            <w:pPr>
              <w:spacing w:line="400" w:lineRule="exact"/>
              <w:rPr>
                <w:rFonts w:ascii="宋体" w:cs="Arial"/>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8F515FE">
            <w:pPr>
              <w:spacing w:line="400" w:lineRule="exact"/>
              <w:rPr>
                <w:rFonts w:ascii="宋体" w:cs="Arial"/>
                <w:color w:val="auto"/>
                <w:sz w:val="22"/>
              </w:rPr>
            </w:pPr>
          </w:p>
        </w:tc>
      </w:tr>
      <w:tr w14:paraId="20589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14:paraId="03BE07EE">
            <w:pPr>
              <w:spacing w:line="400" w:lineRule="exact"/>
              <w:rPr>
                <w:rFonts w:ascii="宋体" w:cs="Arial"/>
                <w:color w:val="auto"/>
                <w:sz w:val="22"/>
              </w:rPr>
            </w:pPr>
          </w:p>
          <w:p w14:paraId="7450C9E8">
            <w:pPr>
              <w:spacing w:line="400" w:lineRule="exact"/>
              <w:rPr>
                <w:rFonts w:ascii="宋体" w:cs="Arial"/>
                <w:color w:val="auto"/>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34D08BDD">
            <w:pPr>
              <w:spacing w:line="400" w:lineRule="exact"/>
              <w:rPr>
                <w:rFonts w:ascii="宋体" w:cs="Arial"/>
                <w:color w:val="auto"/>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9E4D9C2">
            <w:pPr>
              <w:spacing w:line="400" w:lineRule="exact"/>
              <w:rPr>
                <w:rFonts w:ascii="宋体" w:cs="Arial"/>
                <w:color w:val="auto"/>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70F95B3">
            <w:pPr>
              <w:spacing w:line="400" w:lineRule="exact"/>
              <w:rPr>
                <w:rFonts w:ascii="宋体" w:cs="Arial"/>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0B3721C">
            <w:pPr>
              <w:spacing w:line="400" w:lineRule="exact"/>
              <w:rPr>
                <w:rFonts w:ascii="宋体" w:cs="Arial"/>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A71276E">
            <w:pPr>
              <w:spacing w:line="400" w:lineRule="exact"/>
              <w:rPr>
                <w:rFonts w:ascii="宋体" w:cs="Arial"/>
                <w:color w:val="auto"/>
                <w:sz w:val="22"/>
              </w:rPr>
            </w:pPr>
          </w:p>
        </w:tc>
      </w:tr>
      <w:tr w14:paraId="52001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14:paraId="67067737">
            <w:pPr>
              <w:spacing w:line="400" w:lineRule="exact"/>
              <w:rPr>
                <w:rFonts w:ascii="宋体" w:cs="Arial"/>
                <w:color w:val="auto"/>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778CD6CD">
            <w:pPr>
              <w:spacing w:line="400" w:lineRule="exact"/>
              <w:rPr>
                <w:rFonts w:ascii="宋体" w:cs="Arial"/>
                <w:color w:val="auto"/>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15D2F369">
            <w:pPr>
              <w:spacing w:line="400" w:lineRule="exact"/>
              <w:rPr>
                <w:rFonts w:ascii="宋体" w:cs="Arial"/>
                <w:color w:val="auto"/>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08BD0A7">
            <w:pPr>
              <w:spacing w:line="400" w:lineRule="exact"/>
              <w:rPr>
                <w:rFonts w:ascii="宋体" w:cs="Arial"/>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AF1DBC2">
            <w:pPr>
              <w:spacing w:line="400" w:lineRule="exact"/>
              <w:rPr>
                <w:rFonts w:ascii="宋体" w:cs="Arial"/>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2E6E511">
            <w:pPr>
              <w:spacing w:line="400" w:lineRule="exact"/>
              <w:rPr>
                <w:rFonts w:ascii="宋体" w:cs="Arial"/>
                <w:color w:val="auto"/>
                <w:sz w:val="22"/>
              </w:rPr>
            </w:pPr>
          </w:p>
        </w:tc>
      </w:tr>
      <w:tr w14:paraId="0DEF4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14:paraId="67FBAB96">
            <w:pPr>
              <w:spacing w:line="400" w:lineRule="exact"/>
              <w:rPr>
                <w:rFonts w:ascii="宋体" w:cs="Arial"/>
                <w:color w:val="auto"/>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2807851D">
            <w:pPr>
              <w:spacing w:line="400" w:lineRule="exact"/>
              <w:rPr>
                <w:rFonts w:ascii="宋体" w:cs="Arial"/>
                <w:color w:val="auto"/>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4D29493">
            <w:pPr>
              <w:spacing w:line="400" w:lineRule="exact"/>
              <w:rPr>
                <w:rFonts w:ascii="宋体" w:cs="Arial"/>
                <w:color w:val="auto"/>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F88A830">
            <w:pPr>
              <w:spacing w:line="400" w:lineRule="exact"/>
              <w:rPr>
                <w:rFonts w:ascii="宋体" w:cs="Arial"/>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C87B27C">
            <w:pPr>
              <w:spacing w:line="400" w:lineRule="exact"/>
              <w:rPr>
                <w:rFonts w:ascii="宋体" w:cs="Arial"/>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2930CE82">
            <w:pPr>
              <w:spacing w:line="400" w:lineRule="exact"/>
              <w:rPr>
                <w:rFonts w:ascii="宋体" w:cs="Arial"/>
                <w:color w:val="auto"/>
                <w:sz w:val="22"/>
              </w:rPr>
            </w:pPr>
          </w:p>
        </w:tc>
      </w:tr>
      <w:tr w14:paraId="515D4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14:paraId="7CF38C06">
            <w:pPr>
              <w:spacing w:line="400" w:lineRule="exact"/>
              <w:rPr>
                <w:rFonts w:ascii="宋体" w:cs="Arial"/>
                <w:color w:val="auto"/>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61F4F6EF">
            <w:pPr>
              <w:spacing w:line="400" w:lineRule="exact"/>
              <w:rPr>
                <w:rFonts w:ascii="宋体" w:cs="Arial"/>
                <w:color w:val="auto"/>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51A27F5">
            <w:pPr>
              <w:spacing w:line="400" w:lineRule="exact"/>
              <w:rPr>
                <w:rFonts w:ascii="宋体" w:cs="Arial"/>
                <w:color w:val="auto"/>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A16D95B">
            <w:pPr>
              <w:spacing w:line="400" w:lineRule="exact"/>
              <w:rPr>
                <w:rFonts w:ascii="宋体" w:cs="Arial"/>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BC829E8">
            <w:pPr>
              <w:spacing w:line="400" w:lineRule="exact"/>
              <w:rPr>
                <w:rFonts w:ascii="宋体" w:cs="Arial"/>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7F88705">
            <w:pPr>
              <w:spacing w:line="400" w:lineRule="exact"/>
              <w:rPr>
                <w:rFonts w:ascii="宋体" w:cs="Arial"/>
                <w:color w:val="auto"/>
                <w:sz w:val="22"/>
              </w:rPr>
            </w:pPr>
          </w:p>
        </w:tc>
      </w:tr>
      <w:tr w14:paraId="3FF5C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14:paraId="32D5844A">
            <w:pPr>
              <w:spacing w:line="400" w:lineRule="exact"/>
              <w:rPr>
                <w:rFonts w:ascii="宋体" w:cs="Arial"/>
                <w:color w:val="auto"/>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598FB035">
            <w:pPr>
              <w:spacing w:line="400" w:lineRule="exact"/>
              <w:rPr>
                <w:rFonts w:ascii="宋体" w:cs="Arial"/>
                <w:color w:val="auto"/>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C92B7DD">
            <w:pPr>
              <w:spacing w:line="400" w:lineRule="exact"/>
              <w:rPr>
                <w:rFonts w:ascii="宋体" w:cs="Arial"/>
                <w:color w:val="auto"/>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D2EA0B9">
            <w:pPr>
              <w:spacing w:line="400" w:lineRule="exact"/>
              <w:rPr>
                <w:rFonts w:ascii="宋体" w:cs="Arial"/>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F9DAA67">
            <w:pPr>
              <w:spacing w:line="400" w:lineRule="exact"/>
              <w:rPr>
                <w:rFonts w:ascii="宋体" w:cs="Arial"/>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02B363E">
            <w:pPr>
              <w:spacing w:line="400" w:lineRule="exact"/>
              <w:rPr>
                <w:rFonts w:ascii="宋体" w:cs="Arial"/>
                <w:color w:val="auto"/>
                <w:sz w:val="22"/>
              </w:rPr>
            </w:pPr>
          </w:p>
        </w:tc>
      </w:tr>
    </w:tbl>
    <w:p w14:paraId="4169E88D">
      <w:pPr>
        <w:pStyle w:val="10"/>
        <w:spacing w:before="156" w:after="156" w:line="400" w:lineRule="atLeast"/>
        <w:rPr>
          <w:rFonts w:hAnsi="宋体"/>
          <w:bCs/>
          <w:color w:val="auto"/>
          <w:sz w:val="22"/>
          <w:szCs w:val="22"/>
        </w:rPr>
      </w:pPr>
      <w:r>
        <w:rPr>
          <w:rFonts w:hint="eastAsia" w:hAnsi="宋体"/>
          <w:color w:val="auto"/>
          <w:sz w:val="22"/>
          <w:szCs w:val="22"/>
        </w:rPr>
        <w:t>注：1、</w:t>
      </w:r>
      <w:r>
        <w:rPr>
          <w:rFonts w:hint="eastAsia" w:hAnsi="宋体"/>
          <w:bCs/>
          <w:color w:val="auto"/>
          <w:sz w:val="22"/>
          <w:szCs w:val="22"/>
        </w:rPr>
        <w:t>表格可以延续。</w:t>
      </w:r>
    </w:p>
    <w:p w14:paraId="347BD46F">
      <w:pPr>
        <w:pStyle w:val="10"/>
        <w:spacing w:before="156" w:after="156" w:line="400" w:lineRule="atLeast"/>
        <w:ind w:left="1"/>
        <w:rPr>
          <w:rFonts w:hAnsi="宋体"/>
          <w:bCs/>
          <w:color w:val="auto"/>
          <w:sz w:val="22"/>
          <w:szCs w:val="22"/>
        </w:rPr>
      </w:pPr>
    </w:p>
    <w:p w14:paraId="553A4714">
      <w:pPr>
        <w:pStyle w:val="10"/>
        <w:spacing w:before="156" w:after="156" w:line="400" w:lineRule="atLeast"/>
        <w:ind w:left="425" w:hanging="424" w:hangingChars="193"/>
        <w:rPr>
          <w:rFonts w:hAnsi="宋体"/>
          <w:color w:val="auto"/>
          <w:sz w:val="22"/>
        </w:rPr>
      </w:pPr>
    </w:p>
    <w:p w14:paraId="36286DAE">
      <w:pPr>
        <w:snapToGrid w:val="0"/>
        <w:spacing w:line="500" w:lineRule="atLeast"/>
        <w:ind w:firstLine="550" w:firstLineChars="250"/>
        <w:rPr>
          <w:rFonts w:ascii="宋体"/>
          <w:color w:val="auto"/>
          <w:sz w:val="22"/>
        </w:rPr>
      </w:pPr>
      <w:r>
        <w:rPr>
          <w:rFonts w:hint="eastAsia" w:ascii="宋体"/>
          <w:color w:val="auto"/>
          <w:sz w:val="22"/>
        </w:rPr>
        <w:t>投标供应商（盖章）：</w:t>
      </w:r>
    </w:p>
    <w:p w14:paraId="4F775C5C">
      <w:pPr>
        <w:snapToGrid w:val="0"/>
        <w:spacing w:line="500" w:lineRule="atLeast"/>
        <w:ind w:firstLine="550" w:firstLineChars="250"/>
        <w:rPr>
          <w:rFonts w:ascii="宋体"/>
          <w:color w:val="auto"/>
          <w:sz w:val="22"/>
        </w:rPr>
      </w:pPr>
      <w:r>
        <w:rPr>
          <w:rFonts w:hint="eastAsia" w:ascii="宋体"/>
          <w:color w:val="auto"/>
          <w:sz w:val="22"/>
        </w:rPr>
        <w:t>法定代表人或</w:t>
      </w:r>
      <w:r>
        <w:rPr>
          <w:rFonts w:hint="eastAsia" w:ascii="宋体" w:cs="Courier New"/>
          <w:color w:val="auto"/>
          <w:sz w:val="22"/>
        </w:rPr>
        <w:t>其</w:t>
      </w:r>
      <w:r>
        <w:rPr>
          <w:rFonts w:hint="eastAsia" w:ascii="宋体"/>
          <w:color w:val="auto"/>
          <w:sz w:val="22"/>
        </w:rPr>
        <w:t>授权代表（签字或盖章）：</w:t>
      </w:r>
    </w:p>
    <w:p w14:paraId="0BE3D9E0">
      <w:pPr>
        <w:snapToGrid w:val="0"/>
        <w:spacing w:line="500" w:lineRule="atLeast"/>
        <w:ind w:firstLine="550" w:firstLineChars="250"/>
        <w:rPr>
          <w:rFonts w:hint="eastAsia" w:ascii="宋体"/>
          <w:color w:val="auto"/>
          <w:sz w:val="22"/>
        </w:rPr>
      </w:pPr>
      <w:r>
        <w:rPr>
          <w:rFonts w:hint="eastAsia" w:ascii="宋体"/>
          <w:color w:val="auto"/>
          <w:sz w:val="22"/>
        </w:rPr>
        <w:t xml:space="preserve">日期： </w:t>
      </w:r>
    </w:p>
    <w:p w14:paraId="14BB4C27">
      <w:pPr>
        <w:pStyle w:val="2"/>
        <w:rPr>
          <w:rFonts w:hint="eastAsia" w:ascii="宋体"/>
          <w:color w:val="auto"/>
          <w:sz w:val="22"/>
        </w:rPr>
      </w:pPr>
    </w:p>
    <w:p w14:paraId="3C7CCCA5">
      <w:pPr>
        <w:pStyle w:val="2"/>
        <w:rPr>
          <w:rFonts w:hint="eastAsia" w:ascii="宋体"/>
          <w:color w:val="auto"/>
          <w:sz w:val="22"/>
        </w:rPr>
        <w:sectPr>
          <w:pgSz w:w="11906" w:h="16838"/>
          <w:pgMar w:top="1440" w:right="1800" w:bottom="1440" w:left="1800" w:header="851" w:footer="992" w:gutter="0"/>
          <w:cols w:space="720" w:num="1"/>
          <w:docGrid w:type="lines" w:linePitch="312" w:charSpace="0"/>
        </w:sectPr>
      </w:pPr>
    </w:p>
    <w:p w14:paraId="3F163CA5">
      <w:pPr>
        <w:spacing w:line="460" w:lineRule="atLeast"/>
        <w:rPr>
          <w:rFonts w:ascii="宋体"/>
          <w:color w:val="auto"/>
          <w:sz w:val="24"/>
          <w:szCs w:val="24"/>
        </w:rPr>
      </w:pPr>
      <w:r>
        <w:rPr>
          <w:rFonts w:hint="eastAsia" w:ascii="宋体" w:cs="宋体"/>
          <w:color w:val="auto"/>
          <w:sz w:val="22"/>
        </w:rPr>
        <w:t>附件</w:t>
      </w:r>
      <w:r>
        <w:rPr>
          <w:rFonts w:hint="eastAsia" w:ascii="宋体" w:cs="宋体"/>
          <w:color w:val="auto"/>
          <w:sz w:val="22"/>
          <w:lang w:val="en-US" w:eastAsia="zh-CN"/>
        </w:rPr>
        <w:t>十一</w:t>
      </w:r>
      <w:r>
        <w:rPr>
          <w:rFonts w:hint="eastAsia" w:ascii="宋体" w:cs="宋体"/>
          <w:color w:val="auto"/>
          <w:sz w:val="22"/>
        </w:rPr>
        <w:t>：</w:t>
      </w:r>
    </w:p>
    <w:p w14:paraId="3258A616">
      <w:pPr>
        <w:spacing w:line="460" w:lineRule="atLeast"/>
        <w:ind w:firstLine="480" w:firstLineChars="200"/>
        <w:jc w:val="center"/>
        <w:rPr>
          <w:rFonts w:hint="eastAsia" w:ascii="宋体"/>
          <w:color w:val="auto"/>
          <w:sz w:val="24"/>
          <w:szCs w:val="24"/>
        </w:rPr>
      </w:pPr>
      <w:r>
        <w:rPr>
          <w:rFonts w:hint="eastAsia" w:ascii="宋体"/>
          <w:color w:val="auto"/>
          <w:sz w:val="24"/>
          <w:szCs w:val="24"/>
        </w:rPr>
        <w:t>中小企业声明函（货物）</w:t>
      </w:r>
    </w:p>
    <w:p w14:paraId="1AC34ED3">
      <w:pPr>
        <w:pStyle w:val="2"/>
        <w:ind w:firstLine="422"/>
        <w:rPr>
          <w:rFonts w:hint="eastAsia"/>
          <w:color w:val="auto"/>
        </w:rPr>
      </w:pPr>
    </w:p>
    <w:p w14:paraId="486B15E7">
      <w:pPr>
        <w:spacing w:line="360" w:lineRule="auto"/>
        <w:ind w:firstLine="480" w:firstLineChars="200"/>
        <w:rPr>
          <w:rFonts w:hint="eastAsia" w:ascii="宋体" w:cs="宋体"/>
          <w:color w:val="auto"/>
          <w:sz w:val="24"/>
          <w:szCs w:val="24"/>
        </w:rPr>
      </w:pPr>
      <w:r>
        <w:rPr>
          <w:rFonts w:hint="eastAsia" w:ascii="宋体" w:cs="宋体"/>
          <w:color w:val="auto"/>
          <w:sz w:val="24"/>
          <w:szCs w:val="24"/>
        </w:rPr>
        <w:t>本公司（联合体）郑重声明，根据《政府采购促进中小企业发展管理办法》（财库﹝2020﹞46 号）的规定，本公司（联合体）参加</w:t>
      </w:r>
      <w:r>
        <w:rPr>
          <w:rFonts w:hint="eastAsia" w:ascii="宋体" w:cs="宋体"/>
          <w:color w:val="auto"/>
          <w:sz w:val="24"/>
          <w:szCs w:val="24"/>
          <w:u w:val="single"/>
        </w:rPr>
        <w:t>（单位名称）</w:t>
      </w:r>
      <w:r>
        <w:rPr>
          <w:rFonts w:hint="eastAsia" w:ascii="宋体" w:cs="宋体"/>
          <w:color w:val="auto"/>
          <w:sz w:val="24"/>
          <w:szCs w:val="24"/>
        </w:rPr>
        <w:t>的</w:t>
      </w:r>
      <w:r>
        <w:rPr>
          <w:rFonts w:hint="eastAsia" w:ascii="宋体" w:cs="宋体"/>
          <w:color w:val="auto"/>
          <w:sz w:val="24"/>
          <w:szCs w:val="24"/>
          <w:u w:val="single"/>
        </w:rPr>
        <w:t>（项目名称）</w:t>
      </w:r>
      <w:r>
        <w:rPr>
          <w:rFonts w:hint="eastAsia" w:ascii="宋体" w:cs="宋体"/>
          <w:color w:val="auto"/>
          <w:sz w:val="24"/>
          <w:szCs w:val="24"/>
        </w:rPr>
        <w:t>采购活动，提供的货物全部由符合政策要求的中小企业制造。相关企业（含联合体中的中小企业、签订分包意向协议的中小企业）的具体情况如下：</w:t>
      </w:r>
    </w:p>
    <w:p w14:paraId="12156E56">
      <w:pPr>
        <w:pStyle w:val="2"/>
        <w:spacing w:line="360" w:lineRule="auto"/>
        <w:ind w:left="0" w:leftChars="0" w:firstLine="0" w:firstLineChars="0"/>
        <w:rPr>
          <w:rFonts w:hint="eastAsia"/>
          <w:color w:val="auto"/>
          <w:sz w:val="24"/>
          <w:szCs w:val="24"/>
        </w:rPr>
      </w:pPr>
      <w:r>
        <w:rPr>
          <w:rFonts w:hint="eastAsia"/>
          <w:color w:val="auto"/>
          <w:sz w:val="24"/>
          <w:szCs w:val="24"/>
          <w:lang w:val="en-US"/>
        </w:rPr>
        <w:t xml:space="preserve">    1.</w:t>
      </w:r>
      <w:r>
        <w:rPr>
          <w:rFonts w:hint="eastAsia"/>
          <w:color w:val="auto"/>
          <w:sz w:val="24"/>
          <w:szCs w:val="24"/>
          <w:u w:val="single"/>
        </w:rPr>
        <w:t>（标的名称）</w:t>
      </w:r>
      <w:r>
        <w:rPr>
          <w:rFonts w:hint="eastAsia"/>
          <w:color w:val="auto"/>
          <w:sz w:val="24"/>
          <w:szCs w:val="24"/>
        </w:rPr>
        <w:t xml:space="preserve"> ，属于</w:t>
      </w:r>
      <w:r>
        <w:rPr>
          <w:rFonts w:hint="eastAsia"/>
          <w:color w:val="auto"/>
          <w:sz w:val="24"/>
          <w:szCs w:val="24"/>
          <w:u w:val="single"/>
        </w:rPr>
        <w:t>（采购文件中明确的所属行业）</w:t>
      </w:r>
      <w:r>
        <w:rPr>
          <w:rFonts w:hint="eastAsia"/>
          <w:color w:val="auto"/>
          <w:sz w:val="24"/>
          <w:szCs w:val="24"/>
        </w:rPr>
        <w:t>行业；制造商为</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w:t>
      </w:r>
      <w:r>
        <w:rPr>
          <w:rFonts w:hint="eastAsia"/>
          <w:color w:val="auto"/>
          <w:sz w:val="24"/>
          <w:szCs w:val="24"/>
          <w:vertAlign w:val="superscript"/>
          <w:lang w:val="en-US"/>
        </w:rPr>
        <w:t>1</w:t>
      </w:r>
      <w:r>
        <w:rPr>
          <w:rFonts w:hint="eastAsia"/>
          <w:color w:val="auto"/>
          <w:sz w:val="24"/>
          <w:szCs w:val="24"/>
        </w:rPr>
        <w:t>，资产总额为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6880972D">
      <w:pPr>
        <w:pStyle w:val="2"/>
        <w:spacing w:line="360" w:lineRule="auto"/>
        <w:ind w:left="0" w:leftChars="0" w:firstLine="482"/>
        <w:rPr>
          <w:rFonts w:hint="eastAsia"/>
          <w:color w:val="auto"/>
          <w:sz w:val="24"/>
          <w:szCs w:val="24"/>
        </w:rPr>
      </w:pPr>
      <w:r>
        <w:rPr>
          <w:rFonts w:hint="eastAsia"/>
          <w:color w:val="auto"/>
          <w:sz w:val="24"/>
          <w:szCs w:val="24"/>
          <w:u w:val="single"/>
          <w:lang w:val="en-US"/>
        </w:rPr>
        <w:t>2.</w:t>
      </w:r>
      <w:r>
        <w:rPr>
          <w:rFonts w:hint="eastAsia"/>
          <w:color w:val="auto"/>
          <w:sz w:val="24"/>
          <w:szCs w:val="24"/>
          <w:u w:val="single"/>
        </w:rPr>
        <w:t>（标的名称）</w:t>
      </w:r>
      <w:r>
        <w:rPr>
          <w:rFonts w:hint="eastAsia"/>
          <w:color w:val="auto"/>
          <w:sz w:val="24"/>
          <w:szCs w:val="24"/>
        </w:rPr>
        <w:t xml:space="preserve"> ，属于</w:t>
      </w:r>
      <w:r>
        <w:rPr>
          <w:rFonts w:hint="eastAsia"/>
          <w:color w:val="auto"/>
          <w:sz w:val="24"/>
          <w:szCs w:val="24"/>
          <w:u w:val="single"/>
        </w:rPr>
        <w:t>（采购文件中明确的所属行业）</w:t>
      </w:r>
      <w:r>
        <w:rPr>
          <w:rFonts w:hint="eastAsia"/>
          <w:color w:val="auto"/>
          <w:sz w:val="24"/>
          <w:szCs w:val="24"/>
        </w:rPr>
        <w:t>行业；制造商为</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4A5BCE8D">
      <w:pPr>
        <w:pStyle w:val="2"/>
        <w:spacing w:line="360" w:lineRule="auto"/>
        <w:ind w:left="0" w:leftChars="0" w:firstLine="482"/>
        <w:rPr>
          <w:rFonts w:hint="eastAsia"/>
          <w:color w:val="auto"/>
          <w:sz w:val="24"/>
          <w:szCs w:val="24"/>
        </w:rPr>
      </w:pPr>
      <w:r>
        <w:rPr>
          <w:rFonts w:hint="eastAsia"/>
          <w:color w:val="auto"/>
          <w:sz w:val="24"/>
          <w:szCs w:val="24"/>
        </w:rPr>
        <w:t>……</w:t>
      </w:r>
    </w:p>
    <w:p w14:paraId="549E61CB">
      <w:pPr>
        <w:pStyle w:val="2"/>
        <w:spacing w:line="360" w:lineRule="auto"/>
        <w:ind w:left="0" w:leftChars="0" w:firstLine="482"/>
        <w:rPr>
          <w:rFonts w:hint="eastAsia"/>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4CA62854">
      <w:pPr>
        <w:pStyle w:val="2"/>
        <w:spacing w:line="360" w:lineRule="auto"/>
        <w:ind w:left="0" w:leftChars="0" w:firstLine="482"/>
        <w:rPr>
          <w:rFonts w:hint="eastAsia"/>
          <w:color w:val="auto"/>
          <w:sz w:val="24"/>
          <w:szCs w:val="24"/>
        </w:rPr>
      </w:pPr>
      <w:r>
        <w:rPr>
          <w:rFonts w:hint="eastAsia"/>
          <w:color w:val="auto"/>
          <w:sz w:val="24"/>
          <w:szCs w:val="24"/>
        </w:rPr>
        <w:t>本企业对上述声明内容的真实性负责。如有虚假，将依法承担相应责任。</w:t>
      </w:r>
    </w:p>
    <w:p w14:paraId="2F78FB73">
      <w:pPr>
        <w:spacing w:line="460" w:lineRule="atLeast"/>
        <w:ind w:firstLine="480" w:firstLineChars="200"/>
        <w:jc w:val="right"/>
        <w:rPr>
          <w:rFonts w:hint="eastAsia" w:ascii="宋体" w:cs="宋体"/>
          <w:color w:val="auto"/>
          <w:sz w:val="24"/>
          <w:szCs w:val="24"/>
        </w:rPr>
      </w:pPr>
      <w:r>
        <w:rPr>
          <w:rFonts w:hint="eastAsia" w:ascii="宋体" w:cs="宋体"/>
          <w:color w:val="auto"/>
          <w:sz w:val="24"/>
          <w:szCs w:val="24"/>
        </w:rPr>
        <w:t xml:space="preserve">    </w:t>
      </w:r>
    </w:p>
    <w:p w14:paraId="31F7F056">
      <w:pPr>
        <w:spacing w:line="460" w:lineRule="atLeast"/>
        <w:ind w:firstLine="482" w:firstLineChars="200"/>
        <w:jc w:val="right"/>
        <w:rPr>
          <w:rFonts w:hint="eastAsia" w:ascii="宋体" w:cs="宋体"/>
          <w:b/>
          <w:bCs/>
          <w:color w:val="auto"/>
          <w:sz w:val="24"/>
          <w:szCs w:val="24"/>
        </w:rPr>
      </w:pPr>
      <w:r>
        <w:rPr>
          <w:rFonts w:hint="eastAsia" w:ascii="宋体" w:cs="宋体"/>
          <w:b/>
          <w:bCs/>
          <w:color w:val="auto"/>
          <w:sz w:val="24"/>
          <w:szCs w:val="24"/>
        </w:rPr>
        <w:t>企业名称（盖章）：</w:t>
      </w:r>
    </w:p>
    <w:p w14:paraId="41F16368">
      <w:pPr>
        <w:spacing w:line="460" w:lineRule="atLeast"/>
        <w:ind w:firstLine="723" w:firstLineChars="300"/>
        <w:rPr>
          <w:rFonts w:ascii="宋体" w:cs="宋体"/>
          <w:color w:val="auto"/>
          <w:sz w:val="24"/>
          <w:szCs w:val="24"/>
        </w:rPr>
      </w:pPr>
      <w:r>
        <w:rPr>
          <w:rFonts w:hint="eastAsia" w:ascii="宋体" w:cs="宋体"/>
          <w:b/>
          <w:bCs/>
          <w:color w:val="auto"/>
          <w:sz w:val="24"/>
          <w:szCs w:val="24"/>
        </w:rPr>
        <w:t xml:space="preserve">                                                日 期：</w:t>
      </w:r>
    </w:p>
    <w:p w14:paraId="122858AF">
      <w:pPr>
        <w:spacing w:line="460" w:lineRule="atLeast"/>
        <w:rPr>
          <w:rFonts w:ascii="宋体" w:cs="宋体"/>
          <w:color w:val="auto"/>
          <w:sz w:val="22"/>
        </w:rPr>
      </w:pPr>
    </w:p>
    <w:p w14:paraId="5782FE98">
      <w:pPr>
        <w:pStyle w:val="2"/>
        <w:ind w:firstLine="442"/>
        <w:rPr>
          <w:rFonts w:ascii="宋体"/>
          <w:color w:val="auto"/>
          <w:sz w:val="22"/>
        </w:rPr>
      </w:pPr>
    </w:p>
    <w:p w14:paraId="41A78397">
      <w:pPr>
        <w:pStyle w:val="2"/>
        <w:ind w:firstLine="442"/>
        <w:rPr>
          <w:rFonts w:ascii="宋体"/>
          <w:color w:val="auto"/>
          <w:sz w:val="22"/>
        </w:rPr>
      </w:pPr>
    </w:p>
    <w:p w14:paraId="2B4D2ABC">
      <w:pPr>
        <w:pStyle w:val="2"/>
        <w:ind w:firstLine="442"/>
        <w:rPr>
          <w:rFonts w:ascii="宋体"/>
          <w:color w:val="auto"/>
          <w:sz w:val="22"/>
        </w:rPr>
      </w:pPr>
    </w:p>
    <w:p w14:paraId="070127EE">
      <w:pPr>
        <w:pStyle w:val="2"/>
        <w:ind w:firstLine="442"/>
        <w:rPr>
          <w:rFonts w:ascii="宋体"/>
          <w:color w:val="auto"/>
          <w:sz w:val="22"/>
        </w:rPr>
      </w:pPr>
    </w:p>
    <w:p w14:paraId="611F2C6C">
      <w:pPr>
        <w:pStyle w:val="2"/>
        <w:ind w:left="0" w:leftChars="0" w:firstLine="0" w:firstLineChars="0"/>
        <w:rPr>
          <w:rFonts w:hint="eastAsia" w:ascii="宋体"/>
          <w:color w:val="auto"/>
          <w:sz w:val="22"/>
          <w:u w:val="single"/>
          <w:lang w:val="en-US"/>
        </w:rPr>
      </w:pPr>
    </w:p>
    <w:p w14:paraId="745679C9">
      <w:pPr>
        <w:pStyle w:val="2"/>
        <w:ind w:left="0" w:leftChars="0" w:firstLine="0" w:firstLineChars="0"/>
        <w:rPr>
          <w:rFonts w:hint="eastAsia" w:ascii="宋体"/>
          <w:color w:val="auto"/>
          <w:sz w:val="22"/>
          <w:u w:val="single"/>
          <w:lang w:val="en-US"/>
        </w:rPr>
      </w:pPr>
    </w:p>
    <w:p w14:paraId="2B5576D3">
      <w:pPr>
        <w:pStyle w:val="2"/>
        <w:ind w:left="0" w:leftChars="0" w:firstLine="0" w:firstLineChars="0"/>
        <w:rPr>
          <w:rFonts w:hint="eastAsia" w:ascii="宋体"/>
          <w:color w:val="auto"/>
          <w:sz w:val="22"/>
          <w:u w:val="single"/>
          <w:lang w:val="en-US"/>
        </w:rPr>
      </w:pPr>
      <w:r>
        <w:rPr>
          <w:rFonts w:hint="eastAsia" w:ascii="宋体"/>
          <w:color w:val="auto"/>
          <w:sz w:val="22"/>
          <w:u w:val="single"/>
          <w:lang w:val="en-US"/>
        </w:rPr>
        <w:t xml:space="preserve">                         </w:t>
      </w:r>
    </w:p>
    <w:p w14:paraId="148EC46C">
      <w:pPr>
        <w:pStyle w:val="2"/>
        <w:ind w:left="0" w:leftChars="0" w:firstLine="0" w:firstLineChars="0"/>
        <w:rPr>
          <w:rFonts w:ascii="宋体"/>
          <w:color w:val="auto"/>
          <w:sz w:val="15"/>
          <w:szCs w:val="15"/>
          <w:lang w:val="en-US"/>
        </w:rPr>
        <w:sectPr>
          <w:pgSz w:w="11906" w:h="16838"/>
          <w:pgMar w:top="1440" w:right="1800" w:bottom="1440" w:left="1800" w:header="851" w:footer="992" w:gutter="0"/>
          <w:cols w:space="720" w:num="1"/>
          <w:docGrid w:type="lines" w:linePitch="312" w:charSpace="0"/>
        </w:sectPr>
      </w:pPr>
      <w:r>
        <w:rPr>
          <w:rFonts w:ascii="宋体"/>
          <w:color w:val="auto"/>
          <w:sz w:val="18"/>
          <w:szCs w:val="18"/>
          <w:vertAlign w:val="superscript"/>
          <w:lang w:val="en-US"/>
        </w:rPr>
        <w:t>1</w:t>
      </w:r>
      <w:r>
        <w:rPr>
          <w:rFonts w:ascii="宋体"/>
          <w:color w:val="auto"/>
          <w:sz w:val="15"/>
          <w:szCs w:val="15"/>
          <w:lang w:val="en-US"/>
        </w:rPr>
        <w:t>从业人员、营业收入、资产总额填报上一年度数据，无上一年度数据的新成立企业可不填报。</w:t>
      </w:r>
    </w:p>
    <w:p w14:paraId="28CB976B">
      <w:pPr>
        <w:spacing w:line="460" w:lineRule="exact"/>
        <w:rPr>
          <w:rFonts w:ascii="宋体" w:cs="宋体"/>
          <w:color w:val="auto"/>
          <w:sz w:val="22"/>
        </w:rPr>
      </w:pPr>
      <w:r>
        <w:rPr>
          <w:rFonts w:hint="eastAsia" w:ascii="宋体" w:cs="宋体"/>
          <w:color w:val="auto"/>
          <w:sz w:val="22"/>
        </w:rPr>
        <w:t>附件</w:t>
      </w:r>
      <w:r>
        <w:rPr>
          <w:rFonts w:hint="eastAsia" w:ascii="宋体" w:cs="宋体"/>
          <w:color w:val="auto"/>
          <w:sz w:val="22"/>
          <w:lang w:val="en-US" w:eastAsia="zh-CN"/>
        </w:rPr>
        <w:t>十二</w:t>
      </w:r>
      <w:r>
        <w:rPr>
          <w:rFonts w:hint="eastAsia" w:ascii="宋体" w:cs="宋体"/>
          <w:color w:val="auto"/>
          <w:sz w:val="22"/>
        </w:rPr>
        <w:t>：</w:t>
      </w:r>
    </w:p>
    <w:p w14:paraId="29A729DF">
      <w:pPr>
        <w:spacing w:line="460" w:lineRule="exact"/>
        <w:jc w:val="center"/>
        <w:rPr>
          <w:rFonts w:ascii="宋体" w:cs="宋体"/>
          <w:color w:val="auto"/>
          <w:sz w:val="22"/>
        </w:rPr>
      </w:pPr>
      <w:bookmarkStart w:id="48" w:name="OLE_LINK14"/>
      <w:bookmarkStart w:id="49" w:name="OLE_LINK13"/>
      <w:r>
        <w:rPr>
          <w:rFonts w:hint="eastAsia" w:ascii="宋体" w:cs="宋体"/>
          <w:color w:val="auto"/>
          <w:sz w:val="22"/>
        </w:rPr>
        <w:t>残疾人福利性单位声明函</w:t>
      </w:r>
    </w:p>
    <w:bookmarkEnd w:id="48"/>
    <w:bookmarkEnd w:id="49"/>
    <w:p w14:paraId="48EFB57C">
      <w:pPr>
        <w:spacing w:line="588" w:lineRule="exact"/>
        <w:rPr>
          <w:rFonts w:ascii="宋体"/>
          <w:color w:val="auto"/>
          <w:spacing w:val="6"/>
          <w:sz w:val="30"/>
          <w:szCs w:val="30"/>
        </w:rPr>
      </w:pPr>
    </w:p>
    <w:p w14:paraId="37D1115D">
      <w:pPr>
        <w:spacing w:line="588" w:lineRule="exact"/>
        <w:ind w:firstLine="440" w:firstLineChars="200"/>
        <w:rPr>
          <w:rFonts w:ascii="宋体" w:cs="宋体"/>
          <w:color w:val="auto"/>
          <w:sz w:val="22"/>
        </w:rPr>
      </w:pPr>
      <w:r>
        <w:rPr>
          <w:rFonts w:hint="eastAsia" w:ascii="宋体" w:cs="宋体"/>
          <w:color w:val="auto"/>
          <w:sz w:val="22"/>
        </w:rPr>
        <w:t>本单位郑重声明，根据《财政部 民政部 中国残疾人联合会关于促进残疾人就业政府采购政策的通知》（财库〔2017〕 141号）的规定，本单位为符合条件的残疾人福利性单位，且本单位参加</w:t>
      </w:r>
      <w:r>
        <w:rPr>
          <w:rFonts w:hint="eastAsia" w:ascii="宋体" w:cs="宋体"/>
          <w:color w:val="auto"/>
          <w:sz w:val="22"/>
          <w:u w:val="single"/>
          <w:lang w:val="en-US" w:eastAsia="zh-CN"/>
        </w:rPr>
        <w:t xml:space="preserve">     </w:t>
      </w:r>
      <w:r>
        <w:rPr>
          <w:rFonts w:hint="eastAsia" w:ascii="宋体" w:cs="宋体"/>
          <w:color w:val="auto"/>
          <w:sz w:val="22"/>
          <w:u w:val="single"/>
          <w:lang w:eastAsia="zh-CN"/>
        </w:rPr>
        <w:t>单位的</w:t>
      </w:r>
      <w:r>
        <w:rPr>
          <w:rFonts w:hint="eastAsia" w:ascii="宋体" w:cs="宋体"/>
          <w:color w:val="auto"/>
          <w:sz w:val="22"/>
          <w:u w:val="single"/>
          <w:lang w:val="en-US" w:eastAsia="zh-CN"/>
        </w:rPr>
        <w:t xml:space="preserve">    </w:t>
      </w:r>
      <w:r>
        <w:rPr>
          <w:rFonts w:hint="eastAsia" w:ascii="宋体" w:cs="宋体"/>
          <w:color w:val="auto"/>
          <w:sz w:val="22"/>
        </w:rPr>
        <w:t>项目采购活动由本单位提供服务。</w:t>
      </w:r>
    </w:p>
    <w:p w14:paraId="01DB9FD4">
      <w:pPr>
        <w:spacing w:line="588" w:lineRule="exact"/>
        <w:ind w:firstLine="440" w:firstLineChars="200"/>
        <w:rPr>
          <w:rFonts w:ascii="宋体" w:cs="宋体"/>
          <w:color w:val="auto"/>
          <w:sz w:val="22"/>
        </w:rPr>
      </w:pPr>
      <w:r>
        <w:rPr>
          <w:rFonts w:hint="eastAsia" w:ascii="宋体" w:cs="宋体"/>
          <w:color w:val="auto"/>
          <w:sz w:val="22"/>
        </w:rPr>
        <w:t>本单位对上述声明的真实性负责。如有虚假，将依法承担相应责任。</w:t>
      </w:r>
    </w:p>
    <w:p w14:paraId="555A8973">
      <w:pPr>
        <w:spacing w:line="588" w:lineRule="exact"/>
        <w:ind w:firstLine="624" w:firstLineChars="200"/>
        <w:rPr>
          <w:rFonts w:ascii="宋体"/>
          <w:color w:val="auto"/>
          <w:spacing w:val="6"/>
          <w:sz w:val="30"/>
          <w:szCs w:val="30"/>
        </w:rPr>
      </w:pPr>
    </w:p>
    <w:p w14:paraId="680F3184">
      <w:pPr>
        <w:spacing w:line="588" w:lineRule="exact"/>
        <w:ind w:firstLine="624" w:firstLineChars="200"/>
        <w:rPr>
          <w:rFonts w:ascii="宋体"/>
          <w:color w:val="auto"/>
          <w:spacing w:val="6"/>
          <w:sz w:val="30"/>
          <w:szCs w:val="30"/>
        </w:rPr>
      </w:pPr>
    </w:p>
    <w:p w14:paraId="5211C000">
      <w:pPr>
        <w:spacing w:line="460" w:lineRule="atLeast"/>
        <w:rPr>
          <w:rFonts w:ascii="宋体" w:cs="宋体"/>
          <w:color w:val="auto"/>
          <w:sz w:val="22"/>
        </w:rPr>
      </w:pPr>
      <w:r>
        <w:rPr>
          <w:rFonts w:hint="eastAsia" w:ascii="宋体" w:cs="宋体"/>
          <w:color w:val="auto"/>
          <w:sz w:val="22"/>
        </w:rPr>
        <w:t>投标供应商（盖章）：                </w:t>
      </w:r>
      <w:r>
        <w:rPr>
          <w:rFonts w:hint="eastAsia" w:ascii="宋体" w:cs="宋体"/>
          <w:color w:val="auto"/>
          <w:sz w:val="22"/>
        </w:rPr>
        <w:br w:type="textWrapping"/>
      </w:r>
      <w:r>
        <w:rPr>
          <w:rFonts w:hint="eastAsia" w:ascii="宋体" w:cs="宋体"/>
          <w:color w:val="auto"/>
          <w:sz w:val="22"/>
        </w:rPr>
        <w:t>日期：</w:t>
      </w:r>
    </w:p>
    <w:p w14:paraId="0A4D4C75">
      <w:pPr>
        <w:tabs>
          <w:tab w:val="left" w:pos="4860"/>
        </w:tabs>
        <w:spacing w:line="588" w:lineRule="exact"/>
        <w:ind w:right="1560" w:firstLine="624" w:firstLineChars="200"/>
        <w:jc w:val="center"/>
        <w:rPr>
          <w:rFonts w:ascii="宋体"/>
          <w:color w:val="auto"/>
          <w:spacing w:val="6"/>
          <w:sz w:val="30"/>
          <w:szCs w:val="30"/>
        </w:rPr>
      </w:pPr>
    </w:p>
    <w:p w14:paraId="3E9222FF">
      <w:pPr>
        <w:tabs>
          <w:tab w:val="left" w:pos="4860"/>
        </w:tabs>
        <w:spacing w:line="588" w:lineRule="exact"/>
        <w:ind w:right="1560" w:firstLine="624" w:firstLineChars="200"/>
        <w:jc w:val="center"/>
        <w:rPr>
          <w:rFonts w:ascii="宋体"/>
          <w:color w:val="auto"/>
          <w:spacing w:val="6"/>
          <w:sz w:val="30"/>
          <w:szCs w:val="30"/>
        </w:rPr>
      </w:pPr>
    </w:p>
    <w:p w14:paraId="79D50490">
      <w:pPr>
        <w:tabs>
          <w:tab w:val="left" w:pos="4860"/>
        </w:tabs>
        <w:spacing w:line="588" w:lineRule="exact"/>
        <w:ind w:right="1560"/>
        <w:jc w:val="left"/>
        <w:rPr>
          <w:rFonts w:ascii="宋体"/>
          <w:color w:val="auto"/>
          <w:sz w:val="22"/>
        </w:rPr>
      </w:pPr>
      <w:r>
        <w:rPr>
          <w:rFonts w:hint="eastAsia" w:ascii="宋体"/>
          <w:color w:val="auto"/>
          <w:sz w:val="22"/>
        </w:rPr>
        <w:t>备注说明：</w:t>
      </w:r>
    </w:p>
    <w:p w14:paraId="2DF94E4A">
      <w:pPr>
        <w:spacing w:line="588" w:lineRule="exact"/>
        <w:ind w:firstLine="440" w:firstLineChars="200"/>
        <w:rPr>
          <w:rFonts w:ascii="宋体" w:cs="宋体"/>
          <w:color w:val="auto"/>
          <w:sz w:val="22"/>
        </w:rPr>
      </w:pPr>
      <w:r>
        <w:rPr>
          <w:rFonts w:hint="eastAsia" w:ascii="宋体" w:cs="宋体"/>
          <w:color w:val="auto"/>
          <w:sz w:val="22"/>
        </w:rPr>
        <w:t>1、如中标，将在中标公告中将此残疾人福利性单位声明函予以公示，接受社会监督；</w:t>
      </w:r>
    </w:p>
    <w:p w14:paraId="6C4502B5">
      <w:pPr>
        <w:spacing w:line="588" w:lineRule="exact"/>
        <w:ind w:firstLine="440" w:firstLineChars="200"/>
        <w:rPr>
          <w:rFonts w:ascii="宋体" w:cs="宋体"/>
          <w:color w:val="auto"/>
          <w:sz w:val="22"/>
        </w:rPr>
      </w:pPr>
      <w:r>
        <w:rPr>
          <w:rFonts w:ascii="宋体" w:cs="宋体"/>
          <w:color w:val="auto"/>
          <w:sz w:val="22"/>
        </w:rPr>
        <w:t>2</w:t>
      </w:r>
      <w:r>
        <w:rPr>
          <w:rFonts w:hint="eastAsia" w:ascii="宋体" w:cs="宋体"/>
          <w:color w:val="auto"/>
          <w:sz w:val="22"/>
        </w:rPr>
        <w:t>、供应商提供的《残疾人福利性单位声明函》与事实不符的，依照《政府采购法》第七十七条第一款的规定追究法律责任。</w:t>
      </w:r>
    </w:p>
    <w:p w14:paraId="2B0B973F">
      <w:pPr>
        <w:pStyle w:val="2"/>
        <w:rPr>
          <w:color w:val="auto"/>
        </w:rPr>
      </w:pPr>
    </w:p>
    <w:p w14:paraId="3BE0F542">
      <w:pPr>
        <w:pStyle w:val="2"/>
        <w:rPr>
          <w:color w:val="auto"/>
        </w:rPr>
      </w:pPr>
    </w:p>
    <w:p w14:paraId="24789ACA">
      <w:pPr>
        <w:pStyle w:val="2"/>
        <w:rPr>
          <w:color w:val="auto"/>
        </w:rPr>
      </w:pPr>
    </w:p>
    <w:p w14:paraId="57AED206">
      <w:pPr>
        <w:pStyle w:val="2"/>
        <w:rPr>
          <w:color w:val="auto"/>
        </w:rPr>
      </w:pPr>
    </w:p>
    <w:p w14:paraId="559D4DCF">
      <w:pPr>
        <w:pStyle w:val="2"/>
        <w:rPr>
          <w:color w:val="auto"/>
        </w:rPr>
      </w:pPr>
    </w:p>
    <w:p w14:paraId="0C97B148">
      <w:pPr>
        <w:pStyle w:val="2"/>
        <w:rPr>
          <w:color w:val="auto"/>
        </w:rPr>
      </w:pPr>
    </w:p>
    <w:p w14:paraId="4D198773">
      <w:pPr>
        <w:pStyle w:val="2"/>
        <w:rPr>
          <w:color w:val="auto"/>
        </w:rPr>
      </w:pPr>
    </w:p>
    <w:p w14:paraId="47CCFC92">
      <w:pPr>
        <w:pStyle w:val="2"/>
        <w:rPr>
          <w:color w:val="auto"/>
        </w:rPr>
      </w:pPr>
    </w:p>
    <w:p w14:paraId="612C69FB">
      <w:pPr>
        <w:pStyle w:val="2"/>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Helvetica">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D0C1">
    <w:pPr>
      <w:pStyle w:val="14"/>
      <w:jc w:val="right"/>
    </w:pPr>
    <w:r>
      <w:fldChar w:fldCharType="begin"/>
    </w:r>
    <w:r>
      <w:instrText xml:space="preserve"> PAGE   \* MERGEFORMAT </w:instrText>
    </w:r>
    <w:r>
      <w:fldChar w:fldCharType="separate"/>
    </w:r>
    <w:r>
      <w:rPr>
        <w:lang w:val="zh-CN"/>
      </w:rPr>
      <w:t>42</w:t>
    </w:r>
    <w:r>
      <w:rPr>
        <w:lang w:val="zh-CN"/>
      </w:rPr>
      <w:fldChar w:fldCharType="end"/>
    </w:r>
  </w:p>
  <w:p w14:paraId="3CD0FEA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4923"/>
    </w:sdtPr>
    <w:sdtContent>
      <w:p w14:paraId="098D88F4">
        <w:pPr>
          <w:pStyle w:val="14"/>
          <w:jc w:val="right"/>
        </w:pPr>
        <w:r>
          <w:fldChar w:fldCharType="begin"/>
        </w:r>
        <w:r>
          <w:instrText xml:space="preserve"> PAGE   \* MERGEFORMAT </w:instrText>
        </w:r>
        <w:r>
          <w:fldChar w:fldCharType="separate"/>
        </w:r>
        <w:r>
          <w:rPr>
            <w:lang w:val="zh-CN"/>
          </w:rPr>
          <w:t>17</w:t>
        </w:r>
        <w:r>
          <w:rPr>
            <w:lang w:val="zh-CN"/>
          </w:rPr>
          <w:fldChar w:fldCharType="end"/>
        </w:r>
      </w:p>
    </w:sdtContent>
  </w:sdt>
  <w:p w14:paraId="0FD50FF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6735C"/>
    <w:multiLevelType w:val="singleLevel"/>
    <w:tmpl w:val="95D6735C"/>
    <w:lvl w:ilvl="0" w:tentative="0">
      <w:start w:val="2"/>
      <w:numFmt w:val="decimal"/>
      <w:suff w:val="nothing"/>
      <w:lvlText w:val="%1、"/>
      <w:lvlJc w:val="left"/>
    </w:lvl>
  </w:abstractNum>
  <w:abstractNum w:abstractNumId="1">
    <w:nsid w:val="F7D6886E"/>
    <w:multiLevelType w:val="singleLevel"/>
    <w:tmpl w:val="F7D6886E"/>
    <w:lvl w:ilvl="0" w:tentative="0">
      <w:start w:val="10"/>
      <w:numFmt w:val="decimal"/>
      <w:suff w:val="nothing"/>
      <w:lvlText w:val="%1、"/>
      <w:lvlJc w:val="left"/>
    </w:lvl>
  </w:abstractNum>
  <w:abstractNum w:abstractNumId="2">
    <w:nsid w:val="F99AE610"/>
    <w:multiLevelType w:val="singleLevel"/>
    <w:tmpl w:val="F99AE610"/>
    <w:lvl w:ilvl="0" w:tentative="0">
      <w:start w:val="6"/>
      <w:numFmt w:val="chineseCounting"/>
      <w:suff w:val="space"/>
      <w:lvlText w:val="第%1章"/>
      <w:lvlJc w:val="left"/>
      <w:rPr>
        <w:rFonts w:hint="eastAsia"/>
      </w:rPr>
    </w:lvl>
  </w:abstractNum>
  <w:abstractNum w:abstractNumId="3">
    <w:nsid w:val="326763CB"/>
    <w:multiLevelType w:val="multilevel"/>
    <w:tmpl w:val="326763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2848AC"/>
    <w:multiLevelType w:val="multilevel"/>
    <w:tmpl w:val="422848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23083D"/>
    <w:multiLevelType w:val="multilevel"/>
    <w:tmpl w:val="5023083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657597"/>
    <w:multiLevelType w:val="multilevel"/>
    <w:tmpl w:val="7C657597"/>
    <w:lvl w:ilvl="0" w:tentative="0">
      <w:start w:val="1"/>
      <w:numFmt w:val="japaneseCounting"/>
      <w:lvlText w:val="第%1章"/>
      <w:lvlJc w:val="left"/>
      <w:pPr>
        <w:ind w:left="1365" w:hanging="120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07A6"/>
    <w:rsid w:val="00026D66"/>
    <w:rsid w:val="00031099"/>
    <w:rsid w:val="00031981"/>
    <w:rsid w:val="000A162C"/>
    <w:rsid w:val="000C3922"/>
    <w:rsid w:val="000E36AE"/>
    <w:rsid w:val="00102695"/>
    <w:rsid w:val="00125CDC"/>
    <w:rsid w:val="00147DAC"/>
    <w:rsid w:val="0018512C"/>
    <w:rsid w:val="00197961"/>
    <w:rsid w:val="001B0D4A"/>
    <w:rsid w:val="001F068C"/>
    <w:rsid w:val="001F13C5"/>
    <w:rsid w:val="00252E6D"/>
    <w:rsid w:val="00254853"/>
    <w:rsid w:val="00277B35"/>
    <w:rsid w:val="00282BB7"/>
    <w:rsid w:val="0029405A"/>
    <w:rsid w:val="00296C83"/>
    <w:rsid w:val="002E0CB4"/>
    <w:rsid w:val="003369BF"/>
    <w:rsid w:val="00341192"/>
    <w:rsid w:val="00361E3F"/>
    <w:rsid w:val="00363D3F"/>
    <w:rsid w:val="0037600B"/>
    <w:rsid w:val="003928F9"/>
    <w:rsid w:val="003A0B29"/>
    <w:rsid w:val="003A7A6C"/>
    <w:rsid w:val="003A7D04"/>
    <w:rsid w:val="003C056B"/>
    <w:rsid w:val="00425CF5"/>
    <w:rsid w:val="00460F95"/>
    <w:rsid w:val="00464CB3"/>
    <w:rsid w:val="004948E1"/>
    <w:rsid w:val="004B245F"/>
    <w:rsid w:val="004C030A"/>
    <w:rsid w:val="004E7813"/>
    <w:rsid w:val="00540467"/>
    <w:rsid w:val="0054703C"/>
    <w:rsid w:val="00557068"/>
    <w:rsid w:val="00576E49"/>
    <w:rsid w:val="00593B57"/>
    <w:rsid w:val="0062616B"/>
    <w:rsid w:val="00655D74"/>
    <w:rsid w:val="006814D6"/>
    <w:rsid w:val="006870BA"/>
    <w:rsid w:val="006F1068"/>
    <w:rsid w:val="00704DDD"/>
    <w:rsid w:val="0072748E"/>
    <w:rsid w:val="00795DE4"/>
    <w:rsid w:val="007D131C"/>
    <w:rsid w:val="007D627E"/>
    <w:rsid w:val="00807410"/>
    <w:rsid w:val="00813481"/>
    <w:rsid w:val="008139D2"/>
    <w:rsid w:val="00836CC6"/>
    <w:rsid w:val="00853501"/>
    <w:rsid w:val="00897078"/>
    <w:rsid w:val="00912BBB"/>
    <w:rsid w:val="0091465F"/>
    <w:rsid w:val="00945C71"/>
    <w:rsid w:val="009669F8"/>
    <w:rsid w:val="009B5769"/>
    <w:rsid w:val="009E4782"/>
    <w:rsid w:val="00AA07CF"/>
    <w:rsid w:val="00AB4DC1"/>
    <w:rsid w:val="00AC5500"/>
    <w:rsid w:val="00AC6329"/>
    <w:rsid w:val="00AE31C3"/>
    <w:rsid w:val="00B21EF0"/>
    <w:rsid w:val="00B25208"/>
    <w:rsid w:val="00B85070"/>
    <w:rsid w:val="00BA06B7"/>
    <w:rsid w:val="00C00444"/>
    <w:rsid w:val="00C14AFF"/>
    <w:rsid w:val="00C320FC"/>
    <w:rsid w:val="00C343A4"/>
    <w:rsid w:val="00C82100"/>
    <w:rsid w:val="00CF611E"/>
    <w:rsid w:val="00D1363D"/>
    <w:rsid w:val="00D171AC"/>
    <w:rsid w:val="00D21C62"/>
    <w:rsid w:val="00D30599"/>
    <w:rsid w:val="00D44E07"/>
    <w:rsid w:val="00DC3E09"/>
    <w:rsid w:val="00DC6058"/>
    <w:rsid w:val="00DD01A5"/>
    <w:rsid w:val="00DD25B6"/>
    <w:rsid w:val="00E01F05"/>
    <w:rsid w:val="00E11CEF"/>
    <w:rsid w:val="00E3533C"/>
    <w:rsid w:val="00E5348D"/>
    <w:rsid w:val="00E56C02"/>
    <w:rsid w:val="00E7585E"/>
    <w:rsid w:val="00E86052"/>
    <w:rsid w:val="00EB1B89"/>
    <w:rsid w:val="00ED6A94"/>
    <w:rsid w:val="00F00100"/>
    <w:rsid w:val="00F3392B"/>
    <w:rsid w:val="00F573CB"/>
    <w:rsid w:val="00F62079"/>
    <w:rsid w:val="00F636FC"/>
    <w:rsid w:val="00F63B15"/>
    <w:rsid w:val="00FF5DEE"/>
    <w:rsid w:val="085D1BBB"/>
    <w:rsid w:val="09AE3920"/>
    <w:rsid w:val="09DA21A4"/>
    <w:rsid w:val="0CA16FF1"/>
    <w:rsid w:val="0F6625EF"/>
    <w:rsid w:val="121951DD"/>
    <w:rsid w:val="136F4C21"/>
    <w:rsid w:val="19F40457"/>
    <w:rsid w:val="1AEC2721"/>
    <w:rsid w:val="1CE21BEE"/>
    <w:rsid w:val="1DF879BF"/>
    <w:rsid w:val="1E4F29AB"/>
    <w:rsid w:val="1EFF77A6"/>
    <w:rsid w:val="20771A06"/>
    <w:rsid w:val="224E79A2"/>
    <w:rsid w:val="26796516"/>
    <w:rsid w:val="2BA771AD"/>
    <w:rsid w:val="2CC802A6"/>
    <w:rsid w:val="2CF033A8"/>
    <w:rsid w:val="2D497671"/>
    <w:rsid w:val="2FAEF66E"/>
    <w:rsid w:val="2FDF218C"/>
    <w:rsid w:val="35D0059C"/>
    <w:rsid w:val="39357335"/>
    <w:rsid w:val="39BA73A8"/>
    <w:rsid w:val="3DFD6D3C"/>
    <w:rsid w:val="3DFFEE3F"/>
    <w:rsid w:val="3EE8242A"/>
    <w:rsid w:val="3FBBFCD7"/>
    <w:rsid w:val="432C34F9"/>
    <w:rsid w:val="43A4712E"/>
    <w:rsid w:val="44EA73DC"/>
    <w:rsid w:val="47FD5813"/>
    <w:rsid w:val="483F1665"/>
    <w:rsid w:val="49425882"/>
    <w:rsid w:val="4A966E5E"/>
    <w:rsid w:val="4D3D4EC8"/>
    <w:rsid w:val="549E1B8E"/>
    <w:rsid w:val="56B363AC"/>
    <w:rsid w:val="57663C9A"/>
    <w:rsid w:val="57F85FBE"/>
    <w:rsid w:val="57FF4964"/>
    <w:rsid w:val="57FFBAE1"/>
    <w:rsid w:val="5A8C50D8"/>
    <w:rsid w:val="5DDB05E8"/>
    <w:rsid w:val="5DF64EF7"/>
    <w:rsid w:val="5F602174"/>
    <w:rsid w:val="60090AB1"/>
    <w:rsid w:val="60F11557"/>
    <w:rsid w:val="633A2DB5"/>
    <w:rsid w:val="634051F6"/>
    <w:rsid w:val="63802A32"/>
    <w:rsid w:val="64BE1112"/>
    <w:rsid w:val="6724635B"/>
    <w:rsid w:val="67C512BD"/>
    <w:rsid w:val="69E82CB4"/>
    <w:rsid w:val="69F2EE65"/>
    <w:rsid w:val="6A0A0B28"/>
    <w:rsid w:val="6BAF72B7"/>
    <w:rsid w:val="6DD9A97F"/>
    <w:rsid w:val="72342E32"/>
    <w:rsid w:val="729D6ADF"/>
    <w:rsid w:val="757D7153"/>
    <w:rsid w:val="768ED918"/>
    <w:rsid w:val="76FB07A6"/>
    <w:rsid w:val="783F8B50"/>
    <w:rsid w:val="78591895"/>
    <w:rsid w:val="7A181712"/>
    <w:rsid w:val="7AD21A3B"/>
    <w:rsid w:val="7B241CCA"/>
    <w:rsid w:val="7BA445EA"/>
    <w:rsid w:val="7BCF4915"/>
    <w:rsid w:val="7CFC412B"/>
    <w:rsid w:val="7D3F5E6D"/>
    <w:rsid w:val="7D7499F3"/>
    <w:rsid w:val="7D9F1E8E"/>
    <w:rsid w:val="7F55E579"/>
    <w:rsid w:val="7F6F1AE1"/>
    <w:rsid w:val="7F7C1773"/>
    <w:rsid w:val="7F7E65A7"/>
    <w:rsid w:val="7FBF76A0"/>
    <w:rsid w:val="7FD77B87"/>
    <w:rsid w:val="7FFB03FC"/>
    <w:rsid w:val="7FFB90D4"/>
    <w:rsid w:val="87FEB43F"/>
    <w:rsid w:val="98FFD93D"/>
    <w:rsid w:val="9BBF47EA"/>
    <w:rsid w:val="AF3C78CC"/>
    <w:rsid w:val="B29A1FBD"/>
    <w:rsid w:val="B73FBE01"/>
    <w:rsid w:val="BDAEA877"/>
    <w:rsid w:val="BE5B9642"/>
    <w:rsid w:val="BEDFEE1E"/>
    <w:rsid w:val="D965E685"/>
    <w:rsid w:val="DE7AF175"/>
    <w:rsid w:val="E87E63CE"/>
    <w:rsid w:val="E8DB242B"/>
    <w:rsid w:val="EFBDEE1E"/>
    <w:rsid w:val="EFFDCC99"/>
    <w:rsid w:val="F1FFB73E"/>
    <w:rsid w:val="F39AFA06"/>
    <w:rsid w:val="F3E56227"/>
    <w:rsid w:val="F56F4845"/>
    <w:rsid w:val="F7F72015"/>
    <w:rsid w:val="FBF11A94"/>
    <w:rsid w:val="FCFF816F"/>
    <w:rsid w:val="FF23612E"/>
    <w:rsid w:val="FF5751CB"/>
    <w:rsid w:val="FFAB734E"/>
    <w:rsid w:val="FFB935D6"/>
    <w:rsid w:val="FFDD209E"/>
    <w:rsid w:val="FFFB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7">
    <w:name w:val="heading 5"/>
    <w:basedOn w:val="1"/>
    <w:next w:val="1"/>
    <w:qFormat/>
    <w:uiPriority w:val="1"/>
    <w:pPr>
      <w:ind w:left="230"/>
      <w:outlineLvl w:val="4"/>
    </w:pPr>
    <w:rPr>
      <w:rFonts w:ascii="宋体" w:hAnsi="宋体" w:eastAsia="宋体" w:cs="宋体"/>
      <w:b/>
      <w:bCs/>
      <w:sz w:val="21"/>
      <w:szCs w:val="21"/>
      <w:lang w:val="zh-CN" w:eastAsia="zh-CN" w:bidi="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4"/>
    <w:unhideWhenUsed/>
    <w:qFormat/>
    <w:uiPriority w:val="99"/>
    <w:pPr>
      <w:spacing w:line="200" w:lineRule="exact"/>
      <w:ind w:firstLine="301"/>
    </w:pPr>
    <w:rPr>
      <w:rFonts w:ascii="宋体" w:hAnsi="Courier New"/>
      <w:spacing w:val="-4"/>
      <w:sz w:val="18"/>
      <w:szCs w:val="20"/>
    </w:rPr>
  </w:style>
  <w:style w:type="paragraph" w:styleId="4">
    <w:name w:val="Normal Indent"/>
    <w:basedOn w:val="1"/>
    <w:next w:val="3"/>
    <w:qFormat/>
    <w:uiPriority w:val="0"/>
    <w:pPr>
      <w:ind w:firstLine="420" w:firstLineChars="200"/>
    </w:pPr>
  </w:style>
  <w:style w:type="paragraph" w:customStyle="1" w:styleId="5">
    <w:name w:val="xl53"/>
    <w:basedOn w:val="1"/>
    <w:next w:val="1"/>
    <w:qFormat/>
    <w:uiPriority w:val="0"/>
    <w:pPr>
      <w:spacing w:before="280" w:after="280" w:line="100" w:lineRule="exact"/>
      <w:jc w:val="center"/>
    </w:pPr>
    <w:rPr>
      <w:rFonts w:ascii="宋体"/>
      <w:b/>
      <w:sz w:val="20"/>
    </w:rPr>
  </w:style>
  <w:style w:type="paragraph" w:styleId="8">
    <w:name w:val="toa heading"/>
    <w:basedOn w:val="1"/>
    <w:next w:val="1"/>
    <w:unhideWhenUsed/>
    <w:qFormat/>
    <w:uiPriority w:val="99"/>
    <w:pPr>
      <w:spacing w:before="120"/>
    </w:pPr>
    <w:rPr>
      <w:rFonts w:asciiTheme="majorHAnsi" w:hAnsiTheme="majorHAnsi" w:cstheme="majorBidi"/>
    </w:rPr>
  </w:style>
  <w:style w:type="paragraph" w:styleId="9">
    <w:name w:val="Body Text"/>
    <w:basedOn w:val="1"/>
    <w:qFormat/>
    <w:uiPriority w:val="0"/>
    <w:pPr>
      <w:spacing w:after="120"/>
    </w:pPr>
  </w:style>
  <w:style w:type="paragraph" w:styleId="10">
    <w:name w:val="Plain Text"/>
    <w:basedOn w:val="1"/>
    <w:next w:val="1"/>
    <w:link w:val="40"/>
    <w:unhideWhenUsed/>
    <w:qFormat/>
    <w:uiPriority w:val="0"/>
    <w:pPr>
      <w:spacing w:beforeLines="50" w:afterLines="50" w:line="400" w:lineRule="exact"/>
    </w:pPr>
    <w:rPr>
      <w:rFonts w:ascii="宋体" w:hAnsi="Courier New"/>
      <w:sz w:val="24"/>
      <w:szCs w:val="24"/>
    </w:rPr>
  </w:style>
  <w:style w:type="paragraph" w:styleId="11">
    <w:name w:val="Date"/>
    <w:basedOn w:val="1"/>
    <w:next w:val="1"/>
    <w:qFormat/>
    <w:uiPriority w:val="0"/>
    <w:pPr>
      <w:ind w:left="100" w:leftChars="2500"/>
    </w:pPr>
    <w:rPr>
      <w:sz w:val="24"/>
    </w:rPr>
  </w:style>
  <w:style w:type="paragraph" w:styleId="12">
    <w:name w:val="Body Text Indent 2"/>
    <w:basedOn w:val="1"/>
    <w:qFormat/>
    <w:uiPriority w:val="0"/>
    <w:pPr>
      <w:spacing w:line="480" w:lineRule="atLeast"/>
      <w:ind w:firstLine="480"/>
      <w:jc w:val="both"/>
    </w:pPr>
    <w:rPr>
      <w:rFonts w:ascii="宋体" w:hAnsi="宋体" w:eastAsia="仿宋_GB2312" w:cs="Times New Roman"/>
      <w:b/>
      <w:color w:val="000000"/>
      <w:sz w:val="24"/>
      <w:lang w:val="en-US" w:eastAsia="zh-CN" w:bidi="ar-SA"/>
    </w:rPr>
  </w:style>
  <w:style w:type="paragraph" w:styleId="13">
    <w:name w:val="Balloon Text"/>
    <w:basedOn w:val="1"/>
    <w:link w:val="41"/>
    <w:qFormat/>
    <w:uiPriority w:val="0"/>
    <w:rPr>
      <w:sz w:val="18"/>
      <w:szCs w:val="18"/>
    </w:rPr>
  </w:style>
  <w:style w:type="paragraph" w:styleId="14">
    <w:name w:val="footer"/>
    <w:basedOn w:val="1"/>
    <w:link w:val="36"/>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18">
    <w:name w:val="toc 2"/>
    <w:basedOn w:val="1"/>
    <w:next w:val="1"/>
    <w:qFormat/>
    <w:uiPriority w:val="39"/>
    <w:pPr>
      <w:tabs>
        <w:tab w:val="right" w:leader="dot" w:pos="9403"/>
      </w:tabs>
      <w:snapToGrid w:val="0"/>
      <w:spacing w:line="360" w:lineRule="auto"/>
      <w:ind w:firstLine="200" w:firstLineChars="200"/>
    </w:pPr>
    <w:rPr>
      <w:smallCaps/>
    </w:rPr>
  </w:style>
  <w:style w:type="paragraph" w:styleId="19">
    <w:name w:val="HTML Preformatted"/>
    <w:basedOn w:val="1"/>
    <w:link w:val="3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paragraph" w:styleId="21">
    <w:name w:val="Body Text First Indent"/>
    <w:basedOn w:val="9"/>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paragraph" w:customStyle="1" w:styleId="28">
    <w:name w:val="Char"/>
    <w:qFormat/>
    <w:uiPriority w:val="99"/>
    <w:pPr>
      <w:widowControl w:val="0"/>
      <w:jc w:val="both"/>
    </w:pPr>
    <w:rPr>
      <w:rFonts w:ascii="Calibri" w:hAnsi="Calibri" w:eastAsia="宋体" w:cs="Times New Roman"/>
      <w:kern w:val="2"/>
      <w:sz w:val="30"/>
      <w:szCs w:val="30"/>
      <w:lang w:val="en-US" w:eastAsia="zh-CN" w:bidi="ar-SA"/>
    </w:rPr>
  </w:style>
  <w:style w:type="paragraph" w:customStyle="1" w:styleId="29">
    <w:name w:val="模板普通正文"/>
    <w:basedOn w:val="3"/>
    <w:qFormat/>
    <w:uiPriority w:val="0"/>
    <w:pPr>
      <w:spacing w:beforeLines="50" w:after="10"/>
      <w:ind w:firstLine="490" w:firstLineChars="175"/>
      <w:jc w:val="left"/>
    </w:pPr>
  </w:style>
  <w:style w:type="paragraph" w:customStyle="1" w:styleId="30">
    <w:name w:val="正文段"/>
    <w:basedOn w:val="1"/>
    <w:qFormat/>
    <w:uiPriority w:val="0"/>
    <w:pPr>
      <w:widowControl/>
      <w:snapToGrid w:val="0"/>
      <w:spacing w:afterLines="50"/>
      <w:ind w:firstLine="200" w:firstLineChars="200"/>
    </w:pPr>
    <w:rPr>
      <w:kern w:val="0"/>
      <w:sz w:val="24"/>
      <w:szCs w:val="20"/>
    </w:rPr>
  </w:style>
  <w:style w:type="paragraph" w:customStyle="1" w:styleId="31">
    <w:name w:val="一级标题"/>
    <w:basedOn w:val="10"/>
    <w:qFormat/>
    <w:uiPriority w:val="0"/>
    <w:pPr>
      <w:spacing w:line="360" w:lineRule="auto"/>
      <w:jc w:val="center"/>
    </w:pPr>
    <w:rPr>
      <w:rFonts w:hAnsi="宋体"/>
      <w:b/>
      <w:sz w:val="36"/>
      <w:szCs w:val="36"/>
    </w:rPr>
  </w:style>
  <w:style w:type="paragraph" w:customStyle="1" w:styleId="32">
    <w:name w:val="正文2"/>
    <w:basedOn w:val="1"/>
    <w:qFormat/>
    <w:uiPriority w:val="0"/>
    <w:pPr>
      <w:spacing w:before="156" w:line="360" w:lineRule="auto"/>
      <w:ind w:firstLine="510" w:firstLineChars="200"/>
    </w:pPr>
    <w:rPr>
      <w:sz w:val="24"/>
    </w:rPr>
  </w:style>
  <w:style w:type="paragraph" w:customStyle="1" w:styleId="33">
    <w:name w:val="xl77"/>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sz w:val="28"/>
      <w:lang w:val="en-US" w:eastAsia="zh-CN" w:bidi="ar-SA"/>
    </w:rPr>
  </w:style>
  <w:style w:type="paragraph" w:customStyle="1" w:styleId="3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35">
    <w:name w:val="页眉 Char"/>
    <w:basedOn w:val="24"/>
    <w:link w:val="15"/>
    <w:qFormat/>
    <w:uiPriority w:val="0"/>
    <w:rPr>
      <w:kern w:val="2"/>
      <w:sz w:val="18"/>
      <w:szCs w:val="18"/>
    </w:rPr>
  </w:style>
  <w:style w:type="character" w:customStyle="1" w:styleId="36">
    <w:name w:val="页脚 Char"/>
    <w:basedOn w:val="24"/>
    <w:link w:val="14"/>
    <w:qFormat/>
    <w:uiPriority w:val="99"/>
    <w:rPr>
      <w:kern w:val="2"/>
      <w:sz w:val="18"/>
      <w:szCs w:val="18"/>
    </w:rPr>
  </w:style>
  <w:style w:type="character" w:customStyle="1" w:styleId="37">
    <w:name w:val="HTML 预设格式 Char"/>
    <w:qFormat/>
    <w:uiPriority w:val="99"/>
    <w:rPr>
      <w:rFonts w:ascii="宋体" w:hAnsi="宋体" w:cs="宋体"/>
      <w:sz w:val="24"/>
      <w:szCs w:val="24"/>
    </w:rPr>
  </w:style>
  <w:style w:type="character" w:customStyle="1" w:styleId="38">
    <w:name w:val="HTML 预设格式 Char1"/>
    <w:basedOn w:val="24"/>
    <w:link w:val="19"/>
    <w:qFormat/>
    <w:uiPriority w:val="0"/>
    <w:rPr>
      <w:rFonts w:ascii="Courier New" w:hAnsi="Courier New" w:cs="Courier New"/>
      <w:kern w:val="2"/>
    </w:rPr>
  </w:style>
  <w:style w:type="paragraph" w:styleId="39">
    <w:name w:val="List Paragraph"/>
    <w:basedOn w:val="1"/>
    <w:unhideWhenUsed/>
    <w:qFormat/>
    <w:uiPriority w:val="99"/>
    <w:pPr>
      <w:ind w:firstLine="420" w:firstLineChars="200"/>
    </w:pPr>
  </w:style>
  <w:style w:type="character" w:customStyle="1" w:styleId="40">
    <w:name w:val="纯文本 Char"/>
    <w:link w:val="10"/>
    <w:qFormat/>
    <w:uiPriority w:val="0"/>
    <w:rPr>
      <w:rFonts w:ascii="宋体" w:hAnsi="Courier New"/>
      <w:kern w:val="2"/>
      <w:sz w:val="24"/>
      <w:szCs w:val="24"/>
    </w:rPr>
  </w:style>
  <w:style w:type="character" w:customStyle="1" w:styleId="41">
    <w:name w:val="批注框文本 Char"/>
    <w:basedOn w:val="24"/>
    <w:link w:val="13"/>
    <w:qFormat/>
    <w:uiPriority w:val="0"/>
    <w:rPr>
      <w:kern w:val="2"/>
      <w:sz w:val="18"/>
      <w:szCs w:val="18"/>
    </w:rPr>
  </w:style>
  <w:style w:type="paragraph" w:customStyle="1" w:styleId="42">
    <w:name w:val="纯文本1"/>
    <w:basedOn w:val="32"/>
    <w:qFormat/>
    <w:uiPriority w:val="0"/>
    <w:rPr>
      <w:rFonts w:hint="default" w:ascii="宋体" w:hAnsi="Courier New"/>
      <w:kern w:val="0"/>
      <w:sz w:val="20"/>
      <w:szCs w:val="21"/>
    </w:rPr>
  </w:style>
  <w:style w:type="paragraph" w:customStyle="1" w:styleId="43">
    <w:name w:val="Normal Indent1"/>
    <w:basedOn w:val="1"/>
    <w:qFormat/>
    <w:uiPriority w:val="0"/>
    <w:pPr>
      <w:widowControl/>
      <w:ind w:firstLine="420"/>
      <w:jc w:val="left"/>
    </w:pPr>
    <w:rPr>
      <w:rFonts w:ascii="Times New Roman" w:hAnsi="Times New Roman"/>
      <w:kern w:val="0"/>
      <w:szCs w:val="20"/>
    </w:rPr>
  </w:style>
  <w:style w:type="paragraph" w:customStyle="1" w:styleId="44">
    <w:name w:val="默认段落字体 Para Char Char Char Char"/>
    <w:basedOn w:val="1"/>
    <w:qFormat/>
    <w:uiPriority w:val="0"/>
    <w:rPr>
      <w:spacing w:val="20"/>
      <w:sz w:val="28"/>
      <w:szCs w:val="21"/>
    </w:rPr>
  </w:style>
  <w:style w:type="paragraph" w:customStyle="1" w:styleId="45">
    <w:name w:val="font5"/>
    <w:basedOn w:val="1"/>
    <w:qFormat/>
    <w:uiPriority w:val="0"/>
    <w:pPr>
      <w:widowControl/>
      <w:spacing w:before="100" w:beforeAutospacing="1" w:after="100" w:afterAutospacing="1"/>
      <w:jc w:val="left"/>
    </w:pPr>
    <w:rPr>
      <w:rFonts w:ascii="仿宋" w:hAnsi="仿宋" w:eastAsia="仿宋" w:cs="宋体"/>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55</Pages>
  <Words>32254</Words>
  <Characters>33971</Characters>
  <Lines>258</Lines>
  <Paragraphs>72</Paragraphs>
  <TotalTime>30</TotalTime>
  <ScaleCrop>false</ScaleCrop>
  <LinksUpToDate>false</LinksUpToDate>
  <CharactersWithSpaces>35527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2020-05-19T00:54:00Z</dcterms:created>
  <dc:creator>心渃相依～</dc:creator>
  <cp:lastModifiedBy>梦</cp:lastModifiedBy>
  <cp:lastPrinted>2023-12-06T00:04:00Z</cp:lastPrinted>
  <dcterms:modified xsi:type="dcterms:W3CDTF">2024-08-22T10:34:51Z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1161315DCEE84D878C74EBE533B515B6_13</vt:lpwstr>
  </property>
</Properties>
</file>