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4C21933">
      <w:pPr>
        <w:spacing w:before="120" w:beforeLines="50" w:after="120" w:afterLines="50"/>
        <w:rPr>
          <w:rFonts w:ascii="宋体" w:hAnsi="宋体" w:cs="宋体"/>
          <w:b/>
          <w:color w:val="auto"/>
          <w:szCs w:val="21"/>
          <w:highlight w:val="none"/>
        </w:rPr>
      </w:pPr>
      <w:r>
        <w:rPr>
          <w:rFonts w:hint="eastAsia" w:ascii="宋体" w:hAnsi="宋体" w:cs="宋体"/>
          <w:b/>
          <w:color w:val="auto"/>
          <w:szCs w:val="21"/>
          <w:highlight w:val="none"/>
        </w:rPr>
        <w:br w:type="textWrapping"/>
      </w:r>
    </w:p>
    <w:p w14:paraId="577738CB">
      <w:pPr>
        <w:spacing w:before="120" w:beforeLines="50" w:line="800" w:lineRule="exact"/>
        <w:jc w:val="center"/>
        <w:rPr>
          <w:rFonts w:hint="eastAsia" w:ascii="宋体" w:hAnsi="宋体" w:eastAsia="宋体" w:cs="宋体"/>
          <w:b/>
          <w:color w:val="auto"/>
          <w:kern w:val="0"/>
          <w:sz w:val="48"/>
          <w:szCs w:val="48"/>
          <w:highlight w:val="none"/>
          <w:lang w:eastAsia="zh-CN"/>
        </w:rPr>
      </w:pPr>
      <w:r>
        <w:rPr>
          <w:rFonts w:hint="eastAsia" w:ascii="宋体" w:hAnsi="宋体" w:cs="宋体"/>
          <w:b/>
          <w:color w:val="auto"/>
          <w:kern w:val="0"/>
          <w:sz w:val="48"/>
          <w:szCs w:val="48"/>
          <w:highlight w:val="none"/>
          <w:lang w:eastAsia="zh-CN"/>
        </w:rPr>
        <w:t>婺城区2025-2026年水库（山塘）维修养护（物业化管理）项目</w:t>
      </w:r>
    </w:p>
    <w:p w14:paraId="130941F0">
      <w:pPr>
        <w:spacing w:before="120" w:beforeLines="50" w:line="800" w:lineRule="exact"/>
        <w:jc w:val="center"/>
        <w:rPr>
          <w:rFonts w:ascii="宋体" w:hAnsi="宋体" w:cs="宋体"/>
          <w:b/>
          <w:color w:val="auto"/>
          <w:szCs w:val="21"/>
          <w:highlight w:val="none"/>
        </w:rPr>
      </w:pPr>
    </w:p>
    <w:p w14:paraId="1930FF73">
      <w:pPr>
        <w:rPr>
          <w:rFonts w:ascii="宋体" w:hAnsi="宋体" w:cs="宋体"/>
          <w:color w:val="auto"/>
          <w:szCs w:val="21"/>
          <w:highlight w:val="none"/>
        </w:rPr>
      </w:pPr>
    </w:p>
    <w:p w14:paraId="07F4EED0">
      <w:pPr>
        <w:rPr>
          <w:rFonts w:ascii="宋体" w:hAnsi="宋体" w:cs="宋体"/>
          <w:color w:val="auto"/>
          <w:szCs w:val="21"/>
          <w:highlight w:val="none"/>
        </w:rPr>
      </w:pPr>
    </w:p>
    <w:p w14:paraId="534F055C">
      <w:pPr>
        <w:pStyle w:val="83"/>
        <w:rPr>
          <w:rFonts w:hAnsi="宋体"/>
          <w:color w:val="auto"/>
          <w:sz w:val="21"/>
          <w:szCs w:val="21"/>
          <w:highlight w:val="none"/>
        </w:rPr>
      </w:pPr>
    </w:p>
    <w:p w14:paraId="2A402D21">
      <w:pPr>
        <w:pStyle w:val="83"/>
        <w:rPr>
          <w:rFonts w:hAnsi="宋体"/>
          <w:color w:val="auto"/>
          <w:sz w:val="21"/>
          <w:szCs w:val="21"/>
          <w:highlight w:val="none"/>
        </w:rPr>
      </w:pPr>
    </w:p>
    <w:p w14:paraId="514E24CA">
      <w:pPr>
        <w:rPr>
          <w:rFonts w:ascii="宋体" w:hAnsi="宋体" w:cs="宋体"/>
          <w:color w:val="auto"/>
          <w:szCs w:val="21"/>
          <w:highlight w:val="none"/>
        </w:rPr>
      </w:pPr>
    </w:p>
    <w:p w14:paraId="7401D2A4">
      <w:pPr>
        <w:rPr>
          <w:rFonts w:ascii="宋体" w:hAnsi="宋体" w:cs="宋体"/>
          <w:color w:val="auto"/>
          <w:szCs w:val="21"/>
          <w:highlight w:val="none"/>
        </w:rPr>
      </w:pPr>
    </w:p>
    <w:p w14:paraId="504F19E4">
      <w:pPr>
        <w:rPr>
          <w:rFonts w:ascii="宋体" w:hAnsi="宋体" w:cs="宋体"/>
          <w:color w:val="auto"/>
          <w:szCs w:val="21"/>
          <w:highlight w:val="none"/>
        </w:rPr>
      </w:pPr>
    </w:p>
    <w:p w14:paraId="61635C43">
      <w:pPr>
        <w:rPr>
          <w:rFonts w:ascii="宋体" w:hAnsi="宋体" w:cs="宋体"/>
          <w:color w:val="auto"/>
          <w:szCs w:val="21"/>
          <w:highlight w:val="none"/>
        </w:rPr>
      </w:pPr>
    </w:p>
    <w:p w14:paraId="6AE88E4B">
      <w:pPr>
        <w:autoSpaceDE w:val="0"/>
        <w:autoSpaceDN w:val="0"/>
        <w:adjustRightInd w:val="0"/>
        <w:spacing w:before="120" w:beforeLines="50"/>
        <w:jc w:val="center"/>
        <w:textAlignment w:val="baseline"/>
        <w:rPr>
          <w:rFonts w:ascii="宋体" w:hAnsi="宋体" w:cs="宋体"/>
          <w:b/>
          <w:color w:val="auto"/>
          <w:kern w:val="0"/>
          <w:sz w:val="48"/>
          <w:szCs w:val="48"/>
          <w:highlight w:val="none"/>
        </w:rPr>
      </w:pPr>
    </w:p>
    <w:p w14:paraId="7C9E4B97">
      <w:pPr>
        <w:autoSpaceDE w:val="0"/>
        <w:autoSpaceDN w:val="0"/>
        <w:adjustRightInd w:val="0"/>
        <w:spacing w:before="120" w:beforeLines="50"/>
        <w:jc w:val="center"/>
        <w:textAlignment w:val="baseline"/>
        <w:rPr>
          <w:rFonts w:ascii="宋体" w:hAnsi="宋体" w:cs="宋体"/>
          <w:b/>
          <w:color w:val="auto"/>
          <w:kern w:val="0"/>
          <w:sz w:val="48"/>
          <w:szCs w:val="48"/>
          <w:highlight w:val="none"/>
        </w:rPr>
      </w:pPr>
      <w:r>
        <w:rPr>
          <w:rFonts w:hint="eastAsia" w:ascii="宋体" w:hAnsi="宋体" w:cs="宋体"/>
          <w:b/>
          <w:color w:val="auto"/>
          <w:kern w:val="0"/>
          <w:sz w:val="48"/>
          <w:szCs w:val="48"/>
          <w:highlight w:val="none"/>
        </w:rPr>
        <w:t>公开招标采购文件</w:t>
      </w:r>
    </w:p>
    <w:p w14:paraId="063B508B">
      <w:pPr>
        <w:snapToGrid w:val="0"/>
        <w:spacing w:before="120" w:beforeLines="50" w:line="360" w:lineRule="auto"/>
        <w:rPr>
          <w:rFonts w:ascii="宋体" w:hAnsi="宋体" w:cs="宋体"/>
          <w:color w:val="auto"/>
          <w:szCs w:val="21"/>
          <w:highlight w:val="none"/>
        </w:rPr>
      </w:pPr>
    </w:p>
    <w:p w14:paraId="7356B38B">
      <w:pPr>
        <w:snapToGrid w:val="0"/>
        <w:spacing w:before="120" w:beforeLines="50" w:line="360" w:lineRule="auto"/>
        <w:rPr>
          <w:rFonts w:ascii="宋体" w:hAnsi="宋体" w:cs="宋体"/>
          <w:color w:val="auto"/>
          <w:szCs w:val="21"/>
          <w:highlight w:val="none"/>
        </w:rPr>
      </w:pPr>
    </w:p>
    <w:p w14:paraId="3F80603A">
      <w:pPr>
        <w:pStyle w:val="45"/>
        <w:ind w:firstLine="560"/>
        <w:rPr>
          <w:rFonts w:ascii="宋体" w:hAnsi="宋体" w:cs="宋体"/>
          <w:color w:val="auto"/>
          <w:szCs w:val="21"/>
          <w:highlight w:val="none"/>
        </w:rPr>
      </w:pPr>
    </w:p>
    <w:p w14:paraId="7EC6105A">
      <w:pPr>
        <w:pStyle w:val="45"/>
        <w:ind w:firstLine="560"/>
        <w:rPr>
          <w:rFonts w:ascii="宋体" w:hAnsi="宋体" w:cs="宋体"/>
          <w:color w:val="auto"/>
          <w:szCs w:val="21"/>
          <w:highlight w:val="none"/>
        </w:rPr>
      </w:pPr>
    </w:p>
    <w:p w14:paraId="36FA647F">
      <w:pPr>
        <w:pStyle w:val="45"/>
        <w:ind w:firstLine="560"/>
        <w:rPr>
          <w:rFonts w:ascii="宋体" w:hAnsi="宋体" w:cs="宋体"/>
          <w:color w:val="auto"/>
          <w:szCs w:val="21"/>
          <w:highlight w:val="none"/>
        </w:rPr>
      </w:pPr>
    </w:p>
    <w:p w14:paraId="5F09ED73">
      <w:pPr>
        <w:pStyle w:val="45"/>
        <w:ind w:firstLine="560"/>
        <w:rPr>
          <w:rFonts w:ascii="宋体" w:hAnsi="宋体" w:cs="宋体"/>
          <w:color w:val="auto"/>
          <w:szCs w:val="21"/>
          <w:highlight w:val="none"/>
        </w:rPr>
      </w:pPr>
    </w:p>
    <w:p w14:paraId="2D1B30B2">
      <w:pPr>
        <w:pStyle w:val="45"/>
        <w:ind w:firstLine="560"/>
        <w:rPr>
          <w:rFonts w:ascii="宋体" w:hAnsi="宋体" w:cs="宋体"/>
          <w:color w:val="auto"/>
          <w:szCs w:val="21"/>
          <w:highlight w:val="none"/>
        </w:rPr>
      </w:pPr>
    </w:p>
    <w:p w14:paraId="52C279CA">
      <w:pPr>
        <w:snapToGrid w:val="0"/>
        <w:spacing w:before="120" w:beforeLines="50" w:line="360" w:lineRule="auto"/>
        <w:rPr>
          <w:rFonts w:ascii="宋体" w:hAnsi="宋体" w:cs="宋体"/>
          <w:color w:val="auto"/>
          <w:szCs w:val="21"/>
          <w:highlight w:val="none"/>
        </w:rPr>
      </w:pPr>
    </w:p>
    <w:p w14:paraId="506C6E98">
      <w:pPr>
        <w:pStyle w:val="26"/>
        <w:autoSpaceDE w:val="0"/>
        <w:autoSpaceDN w:val="0"/>
        <w:adjustRightInd w:val="0"/>
        <w:snapToGrid w:val="0"/>
        <w:spacing w:before="120" w:after="120" w:line="360" w:lineRule="auto"/>
        <w:ind w:firstLine="904" w:firstLineChars="300"/>
        <w:jc w:val="left"/>
        <w:textAlignment w:val="baseline"/>
        <w:rPr>
          <w:rFonts w:hint="eastAsia" w:hAnsi="宋体" w:eastAsia="宋体" w:cs="宋体"/>
          <w:b/>
          <w:color w:val="auto"/>
          <w:sz w:val="30"/>
          <w:szCs w:val="48"/>
          <w:highlight w:val="none"/>
          <w:lang w:eastAsia="zh-CN"/>
        </w:rPr>
      </w:pPr>
      <w:r>
        <w:rPr>
          <w:rFonts w:hAnsi="宋体" w:cs="宋体"/>
          <w:b/>
          <w:color w:val="auto"/>
          <w:sz w:val="30"/>
          <w:szCs w:val="48"/>
          <w:highlight w:val="none"/>
        </w:rPr>
        <w:t>项目编号：</w:t>
      </w:r>
      <w:r>
        <w:rPr>
          <w:rFonts w:hint="eastAsia" w:hAnsi="宋体"/>
          <w:b/>
          <w:color w:val="auto"/>
          <w:sz w:val="28"/>
          <w:szCs w:val="28"/>
          <w:highlight w:val="none"/>
          <w:lang w:eastAsia="zh-CN"/>
        </w:rPr>
        <w:t>JHTY2025-ZFCG002</w:t>
      </w:r>
    </w:p>
    <w:p w14:paraId="65893F8A">
      <w:pPr>
        <w:pStyle w:val="26"/>
        <w:autoSpaceDE w:val="0"/>
        <w:autoSpaceDN w:val="0"/>
        <w:adjustRightInd w:val="0"/>
        <w:snapToGrid w:val="0"/>
        <w:spacing w:before="120" w:after="120" w:line="360" w:lineRule="auto"/>
        <w:ind w:firstLine="904" w:firstLineChars="300"/>
        <w:jc w:val="left"/>
        <w:textAlignment w:val="baseline"/>
        <w:rPr>
          <w:rFonts w:hint="eastAsia" w:hAnsi="宋体" w:eastAsia="宋体" w:cs="宋体"/>
          <w:b/>
          <w:color w:val="auto"/>
          <w:sz w:val="30"/>
          <w:szCs w:val="48"/>
          <w:highlight w:val="none"/>
          <w:lang w:eastAsia="zh-CN"/>
        </w:rPr>
      </w:pPr>
      <w:r>
        <w:rPr>
          <w:rFonts w:hAnsi="宋体" w:cs="宋体"/>
          <w:b/>
          <w:color w:val="auto"/>
          <w:sz w:val="30"/>
          <w:szCs w:val="48"/>
          <w:highlight w:val="none"/>
        </w:rPr>
        <w:t>采购单位：</w:t>
      </w:r>
      <w:r>
        <w:rPr>
          <w:rFonts w:hint="eastAsia" w:hAnsi="宋体" w:cs="宋体"/>
          <w:b/>
          <w:color w:val="auto"/>
          <w:sz w:val="30"/>
          <w:szCs w:val="48"/>
          <w:highlight w:val="none"/>
          <w:lang w:eastAsia="zh-CN"/>
        </w:rPr>
        <w:t>金华市婺城区水务局</w:t>
      </w:r>
    </w:p>
    <w:p w14:paraId="08252C28">
      <w:pPr>
        <w:pStyle w:val="26"/>
        <w:autoSpaceDE w:val="0"/>
        <w:autoSpaceDN w:val="0"/>
        <w:adjustRightInd w:val="0"/>
        <w:snapToGrid w:val="0"/>
        <w:spacing w:before="120" w:after="120" w:line="360" w:lineRule="auto"/>
        <w:ind w:firstLine="904" w:firstLineChars="300"/>
        <w:jc w:val="left"/>
        <w:textAlignment w:val="baseline"/>
        <w:rPr>
          <w:rFonts w:hint="default" w:hAnsi="宋体" w:cs="宋体"/>
          <w:b/>
          <w:color w:val="auto"/>
          <w:sz w:val="30"/>
          <w:szCs w:val="48"/>
          <w:highlight w:val="none"/>
        </w:rPr>
      </w:pPr>
      <w:r>
        <w:rPr>
          <w:rFonts w:hAnsi="宋体" w:cs="宋体"/>
          <w:b/>
          <w:color w:val="auto"/>
          <w:sz w:val="30"/>
          <w:szCs w:val="48"/>
          <w:highlight w:val="none"/>
        </w:rPr>
        <w:t>代理机构：</w:t>
      </w:r>
      <w:r>
        <w:rPr>
          <w:rFonts w:hint="eastAsia" w:hAnsi="宋体"/>
          <w:b/>
          <w:bCs/>
          <w:color w:val="auto"/>
          <w:sz w:val="30"/>
          <w:szCs w:val="30"/>
          <w:highlight w:val="none"/>
          <w:lang w:eastAsia="zh-CN"/>
        </w:rPr>
        <w:t>金华天逸工程咨询有限公司</w:t>
      </w:r>
      <w:r>
        <w:rPr>
          <w:rFonts w:hAnsi="宋体" w:cs="宋体"/>
          <w:b/>
          <w:color w:val="auto"/>
          <w:sz w:val="30"/>
          <w:szCs w:val="48"/>
          <w:highlight w:val="none"/>
        </w:rPr>
        <w:t xml:space="preserve"> </w:t>
      </w:r>
    </w:p>
    <w:p w14:paraId="33C99491">
      <w:pPr>
        <w:snapToGrid w:val="0"/>
        <w:spacing w:before="120" w:beforeLines="50" w:line="360" w:lineRule="auto"/>
        <w:ind w:firstLine="3092" w:firstLineChars="1100"/>
        <w:rPr>
          <w:rFonts w:hint="eastAsia" w:ascii="宋体" w:hAnsi="宋体" w:cs="宋体"/>
          <w:b/>
          <w:color w:val="auto"/>
          <w:sz w:val="28"/>
          <w:szCs w:val="28"/>
          <w:highlight w:val="none"/>
        </w:rPr>
        <w:sectPr>
          <w:footerReference r:id="rId4" w:type="first"/>
          <w:footerReference r:id="rId3" w:type="default"/>
          <w:pgSz w:w="11907" w:h="16840"/>
          <w:pgMar w:top="1304" w:right="1418" w:bottom="1304" w:left="1418" w:header="851" w:footer="850" w:gutter="0"/>
          <w:cols w:space="720" w:num="1"/>
          <w:docGrid w:linePitch="462" w:charSpace="0"/>
        </w:sectPr>
      </w:pPr>
      <w:r>
        <w:rPr>
          <w:rFonts w:hint="eastAsia" w:ascii="宋体" w:hAnsi="宋体" w:cs="宋体"/>
          <w:b/>
          <w:color w:val="auto"/>
          <w:sz w:val="28"/>
          <w:szCs w:val="28"/>
          <w:highlight w:val="none"/>
        </w:rPr>
        <w:t>202</w:t>
      </w:r>
      <w:r>
        <w:rPr>
          <w:rFonts w:hint="eastAsia" w:ascii="宋体" w:hAnsi="宋体" w:cs="宋体"/>
          <w:b/>
          <w:color w:val="auto"/>
          <w:sz w:val="28"/>
          <w:szCs w:val="28"/>
          <w:highlight w:val="none"/>
          <w:lang w:val="en-US" w:eastAsia="zh-CN"/>
        </w:rPr>
        <w:t>5</w:t>
      </w:r>
      <w:r>
        <w:rPr>
          <w:rFonts w:hint="eastAsia" w:ascii="宋体" w:hAnsi="宋体" w:cs="宋体"/>
          <w:b/>
          <w:color w:val="auto"/>
          <w:sz w:val="28"/>
          <w:szCs w:val="28"/>
          <w:highlight w:val="none"/>
        </w:rPr>
        <w:t>年</w:t>
      </w:r>
      <w:r>
        <w:rPr>
          <w:rFonts w:hint="eastAsia" w:ascii="宋体" w:hAnsi="宋体" w:cs="宋体"/>
          <w:b/>
          <w:color w:val="auto"/>
          <w:sz w:val="28"/>
          <w:szCs w:val="28"/>
          <w:highlight w:val="none"/>
          <w:lang w:val="en-US" w:eastAsia="zh-CN"/>
        </w:rPr>
        <w:t>02</w:t>
      </w:r>
      <w:r>
        <w:rPr>
          <w:rFonts w:hint="eastAsia" w:ascii="宋体" w:hAnsi="宋体" w:cs="宋体"/>
          <w:b/>
          <w:color w:val="auto"/>
          <w:sz w:val="28"/>
          <w:szCs w:val="28"/>
          <w:highlight w:val="none"/>
        </w:rPr>
        <w:t>月</w:t>
      </w:r>
    </w:p>
    <w:p w14:paraId="12EE2756">
      <w:pPr>
        <w:pStyle w:val="20"/>
        <w:rPr>
          <w:color w:val="auto"/>
          <w:highlight w:val="none"/>
        </w:rPr>
      </w:pPr>
    </w:p>
    <w:p w14:paraId="28A3FBA9">
      <w:pPr>
        <w:rPr>
          <w:rFonts w:hint="eastAsia" w:ascii="宋体" w:hAnsi="宋体" w:cs="宋体"/>
          <w:b/>
          <w:color w:val="auto"/>
          <w:kern w:val="0"/>
          <w:sz w:val="34"/>
          <w:szCs w:val="22"/>
          <w:highlight w:val="none"/>
        </w:rPr>
      </w:pPr>
      <w:r>
        <w:rPr>
          <w:rFonts w:hint="eastAsia" w:ascii="宋体" w:hAnsi="宋体" w:cs="宋体"/>
          <w:b/>
          <w:color w:val="auto"/>
          <w:kern w:val="0"/>
          <w:sz w:val="34"/>
          <w:szCs w:val="22"/>
          <w:highlight w:val="none"/>
        </w:rPr>
        <w:br w:type="page"/>
      </w:r>
    </w:p>
    <w:p w14:paraId="4660B9AA">
      <w:pPr>
        <w:autoSpaceDE w:val="0"/>
        <w:autoSpaceDN w:val="0"/>
        <w:adjustRightInd w:val="0"/>
        <w:snapToGrid w:val="0"/>
        <w:spacing w:before="120" w:beforeLines="50" w:line="360" w:lineRule="auto"/>
        <w:jc w:val="center"/>
        <w:textAlignment w:val="baseline"/>
        <w:rPr>
          <w:rFonts w:ascii="宋体" w:hAnsi="宋体" w:cs="宋体"/>
          <w:b/>
          <w:color w:val="auto"/>
          <w:kern w:val="0"/>
          <w:sz w:val="34"/>
          <w:szCs w:val="22"/>
          <w:highlight w:val="none"/>
        </w:rPr>
      </w:pPr>
      <w:r>
        <w:rPr>
          <w:rFonts w:hint="eastAsia" w:ascii="宋体" w:hAnsi="宋体" w:cs="宋体"/>
          <w:b/>
          <w:color w:val="auto"/>
          <w:kern w:val="0"/>
          <w:sz w:val="34"/>
          <w:szCs w:val="22"/>
          <w:highlight w:val="none"/>
        </w:rPr>
        <w:t>目        录</w:t>
      </w:r>
      <w:bookmarkStart w:id="0" w:name="_Toc237182500"/>
    </w:p>
    <w:p w14:paraId="74C8E21D">
      <w:pPr>
        <w:pStyle w:val="33"/>
        <w:tabs>
          <w:tab w:val="right" w:leader="dot" w:pos="9452"/>
        </w:tabs>
        <w:spacing w:line="600" w:lineRule="exact"/>
        <w:rPr>
          <w:rFonts w:ascii="宋体" w:hAnsi="宋体" w:cs="宋体"/>
          <w:color w:val="auto"/>
          <w:sz w:val="21"/>
          <w:szCs w:val="21"/>
          <w:highlight w:val="none"/>
        </w:rPr>
      </w:pPr>
      <w:r>
        <w:rPr>
          <w:rFonts w:hint="eastAsia" w:ascii="宋体" w:hAnsi="宋体" w:cs="宋体"/>
          <w:color w:val="auto"/>
          <w:sz w:val="21"/>
          <w:szCs w:val="21"/>
          <w:highlight w:val="none"/>
        </w:rPr>
        <w:fldChar w:fldCharType="begin"/>
      </w:r>
      <w:r>
        <w:rPr>
          <w:rFonts w:hint="eastAsia" w:ascii="宋体" w:hAnsi="宋体" w:cs="宋体"/>
          <w:color w:val="auto"/>
          <w:sz w:val="21"/>
          <w:szCs w:val="21"/>
          <w:highlight w:val="none"/>
        </w:rPr>
        <w:instrText xml:space="preserve"> TOC \o "1-3" \h \z \u </w:instrText>
      </w:r>
      <w:r>
        <w:rPr>
          <w:rFonts w:hint="eastAsia" w:ascii="宋体" w:hAnsi="宋体" w:cs="宋体"/>
          <w:color w:val="auto"/>
          <w:sz w:val="21"/>
          <w:szCs w:val="21"/>
          <w:highlight w:val="none"/>
        </w:rPr>
        <w:fldChar w:fldCharType="separate"/>
      </w:r>
      <w:r>
        <w:rPr>
          <w:color w:val="auto"/>
          <w:highlight w:val="none"/>
        </w:rPr>
        <w:fldChar w:fldCharType="begin"/>
      </w:r>
      <w:r>
        <w:rPr>
          <w:color w:val="auto"/>
          <w:highlight w:val="none"/>
        </w:rPr>
        <w:instrText xml:space="preserve"> HYPERLINK \l "_Toc502069654" </w:instrText>
      </w:r>
      <w:r>
        <w:rPr>
          <w:color w:val="auto"/>
          <w:highlight w:val="none"/>
        </w:rPr>
        <w:fldChar w:fldCharType="separate"/>
      </w:r>
      <w:r>
        <w:rPr>
          <w:rFonts w:hint="eastAsia" w:ascii="宋体" w:hAnsi="宋体" w:cs="宋体"/>
          <w:color w:val="auto"/>
          <w:sz w:val="21"/>
          <w:szCs w:val="21"/>
          <w:highlight w:val="none"/>
        </w:rPr>
        <w:t>第一章  公开招标采购公告</w:t>
      </w:r>
      <w:r>
        <w:rPr>
          <w:rFonts w:hint="eastAsia" w:ascii="宋体" w:hAnsi="宋体" w:cs="宋体"/>
          <w:color w:val="auto"/>
          <w:sz w:val="21"/>
          <w:szCs w:val="21"/>
          <w:highlight w:val="none"/>
        </w:rPr>
        <w:tab/>
      </w:r>
      <w:r>
        <w:rPr>
          <w:rFonts w:hint="eastAsia" w:ascii="宋体" w:hAnsi="宋体" w:cs="宋体"/>
          <w:color w:val="auto"/>
          <w:sz w:val="21"/>
          <w:szCs w:val="21"/>
          <w:highlight w:val="none"/>
        </w:rPr>
        <w:fldChar w:fldCharType="begin"/>
      </w:r>
      <w:r>
        <w:rPr>
          <w:rFonts w:hint="eastAsia" w:ascii="宋体" w:hAnsi="宋体" w:cs="宋体"/>
          <w:color w:val="auto"/>
          <w:sz w:val="21"/>
          <w:szCs w:val="21"/>
          <w:highlight w:val="none"/>
        </w:rPr>
        <w:instrText xml:space="preserve"> PAGEREF _Toc502069654 \h </w:instrText>
      </w:r>
      <w:r>
        <w:rPr>
          <w:rFonts w:hint="eastAsia" w:ascii="宋体" w:hAnsi="宋体" w:cs="宋体"/>
          <w:color w:val="auto"/>
          <w:sz w:val="21"/>
          <w:szCs w:val="21"/>
          <w:highlight w:val="none"/>
        </w:rPr>
        <w:fldChar w:fldCharType="separate"/>
      </w:r>
      <w:r>
        <w:rPr>
          <w:rFonts w:hint="eastAsia" w:ascii="宋体" w:hAnsi="宋体" w:cs="宋体"/>
          <w:color w:val="auto"/>
          <w:sz w:val="21"/>
          <w:szCs w:val="21"/>
          <w:highlight w:val="none"/>
        </w:rPr>
        <w:t>1</w:t>
      </w:r>
      <w:r>
        <w:rPr>
          <w:rFonts w:hint="eastAsia" w:ascii="宋体" w:hAnsi="宋体" w:cs="宋体"/>
          <w:color w:val="auto"/>
          <w:sz w:val="21"/>
          <w:szCs w:val="21"/>
          <w:highlight w:val="none"/>
        </w:rPr>
        <w:fldChar w:fldCharType="end"/>
      </w:r>
      <w:r>
        <w:rPr>
          <w:rFonts w:hint="eastAsia" w:ascii="宋体" w:hAnsi="宋体" w:cs="宋体"/>
          <w:color w:val="auto"/>
          <w:sz w:val="21"/>
          <w:szCs w:val="21"/>
          <w:highlight w:val="none"/>
        </w:rPr>
        <w:fldChar w:fldCharType="end"/>
      </w:r>
    </w:p>
    <w:p w14:paraId="7231D4A2">
      <w:pPr>
        <w:pStyle w:val="33"/>
        <w:tabs>
          <w:tab w:val="right" w:leader="dot" w:pos="9452"/>
        </w:tabs>
        <w:spacing w:line="600" w:lineRule="exact"/>
        <w:rPr>
          <w:rFonts w:ascii="宋体" w:hAnsi="宋体" w:cs="宋体"/>
          <w:color w:val="auto"/>
          <w:sz w:val="21"/>
          <w:szCs w:val="21"/>
          <w:highlight w:val="none"/>
        </w:rPr>
      </w:pPr>
      <w:r>
        <w:rPr>
          <w:color w:val="auto"/>
          <w:highlight w:val="none"/>
        </w:rPr>
        <w:fldChar w:fldCharType="begin"/>
      </w:r>
      <w:r>
        <w:rPr>
          <w:color w:val="auto"/>
          <w:highlight w:val="none"/>
        </w:rPr>
        <w:instrText xml:space="preserve"> HYPERLINK \l "_Toc502069655" </w:instrText>
      </w:r>
      <w:r>
        <w:rPr>
          <w:color w:val="auto"/>
          <w:highlight w:val="none"/>
        </w:rPr>
        <w:fldChar w:fldCharType="separate"/>
      </w:r>
      <w:r>
        <w:rPr>
          <w:rFonts w:hint="eastAsia" w:ascii="宋体" w:hAnsi="宋体" w:cs="宋体"/>
          <w:color w:val="auto"/>
          <w:sz w:val="21"/>
          <w:szCs w:val="21"/>
          <w:highlight w:val="none"/>
        </w:rPr>
        <w:t>第二章  招标需求</w:t>
      </w:r>
      <w:r>
        <w:rPr>
          <w:rFonts w:hint="eastAsia" w:ascii="宋体" w:hAnsi="宋体" w:cs="宋体"/>
          <w:color w:val="auto"/>
          <w:sz w:val="21"/>
          <w:szCs w:val="21"/>
          <w:highlight w:val="none"/>
        </w:rPr>
        <w:tab/>
      </w:r>
      <w:r>
        <w:rPr>
          <w:rFonts w:hint="eastAsia" w:ascii="宋体" w:hAnsi="宋体" w:cs="宋体"/>
          <w:color w:val="auto"/>
          <w:sz w:val="21"/>
          <w:szCs w:val="21"/>
          <w:highlight w:val="none"/>
        </w:rPr>
        <w:fldChar w:fldCharType="begin"/>
      </w:r>
      <w:r>
        <w:rPr>
          <w:rFonts w:hint="eastAsia" w:ascii="宋体" w:hAnsi="宋体" w:cs="宋体"/>
          <w:color w:val="auto"/>
          <w:sz w:val="21"/>
          <w:szCs w:val="21"/>
          <w:highlight w:val="none"/>
        </w:rPr>
        <w:instrText xml:space="preserve"> PAGEREF _Toc502069655 \h </w:instrText>
      </w:r>
      <w:r>
        <w:rPr>
          <w:rFonts w:hint="eastAsia" w:ascii="宋体" w:hAnsi="宋体" w:cs="宋体"/>
          <w:color w:val="auto"/>
          <w:sz w:val="21"/>
          <w:szCs w:val="21"/>
          <w:highlight w:val="none"/>
        </w:rPr>
        <w:fldChar w:fldCharType="separate"/>
      </w:r>
      <w:r>
        <w:rPr>
          <w:rFonts w:hint="eastAsia" w:ascii="宋体" w:hAnsi="宋体" w:cs="宋体"/>
          <w:color w:val="auto"/>
          <w:sz w:val="21"/>
          <w:szCs w:val="21"/>
          <w:highlight w:val="none"/>
        </w:rPr>
        <w:t>5</w:t>
      </w:r>
      <w:r>
        <w:rPr>
          <w:rFonts w:hint="eastAsia" w:ascii="宋体" w:hAnsi="宋体" w:cs="宋体"/>
          <w:color w:val="auto"/>
          <w:sz w:val="21"/>
          <w:szCs w:val="21"/>
          <w:highlight w:val="none"/>
        </w:rPr>
        <w:fldChar w:fldCharType="end"/>
      </w:r>
      <w:r>
        <w:rPr>
          <w:rFonts w:hint="eastAsia" w:ascii="宋体" w:hAnsi="宋体" w:cs="宋体"/>
          <w:color w:val="auto"/>
          <w:sz w:val="21"/>
          <w:szCs w:val="21"/>
          <w:highlight w:val="none"/>
        </w:rPr>
        <w:fldChar w:fldCharType="end"/>
      </w:r>
    </w:p>
    <w:p w14:paraId="2E2F5565">
      <w:pPr>
        <w:pStyle w:val="33"/>
        <w:tabs>
          <w:tab w:val="right" w:leader="dot" w:pos="9452"/>
        </w:tabs>
        <w:spacing w:line="600" w:lineRule="exact"/>
        <w:rPr>
          <w:rFonts w:ascii="宋体" w:hAnsi="宋体" w:cs="宋体"/>
          <w:color w:val="auto"/>
          <w:sz w:val="21"/>
          <w:szCs w:val="21"/>
          <w:highlight w:val="none"/>
        </w:rPr>
      </w:pPr>
      <w:r>
        <w:rPr>
          <w:color w:val="auto"/>
          <w:highlight w:val="none"/>
        </w:rPr>
        <w:fldChar w:fldCharType="begin"/>
      </w:r>
      <w:r>
        <w:rPr>
          <w:color w:val="auto"/>
          <w:highlight w:val="none"/>
        </w:rPr>
        <w:instrText xml:space="preserve"> HYPERLINK \l "_Toc502069656" </w:instrText>
      </w:r>
      <w:r>
        <w:rPr>
          <w:color w:val="auto"/>
          <w:highlight w:val="none"/>
        </w:rPr>
        <w:fldChar w:fldCharType="separate"/>
      </w:r>
      <w:r>
        <w:rPr>
          <w:rFonts w:hint="eastAsia" w:ascii="宋体" w:hAnsi="宋体" w:cs="宋体"/>
          <w:color w:val="auto"/>
          <w:sz w:val="21"/>
          <w:szCs w:val="21"/>
          <w:highlight w:val="none"/>
        </w:rPr>
        <w:t>第三章  投标人须知</w:t>
      </w:r>
      <w:r>
        <w:rPr>
          <w:rFonts w:hint="eastAsia" w:ascii="宋体" w:hAnsi="宋体" w:cs="宋体"/>
          <w:color w:val="auto"/>
          <w:sz w:val="21"/>
          <w:szCs w:val="21"/>
          <w:highlight w:val="none"/>
        </w:rPr>
        <w:tab/>
      </w:r>
      <w:r>
        <w:rPr>
          <w:rFonts w:hint="eastAsia" w:ascii="宋体" w:hAnsi="宋体" w:cs="宋体"/>
          <w:color w:val="auto"/>
          <w:sz w:val="21"/>
          <w:szCs w:val="21"/>
          <w:highlight w:val="none"/>
        </w:rPr>
        <w:fldChar w:fldCharType="begin"/>
      </w:r>
      <w:r>
        <w:rPr>
          <w:rFonts w:hint="eastAsia" w:ascii="宋体" w:hAnsi="宋体" w:cs="宋体"/>
          <w:color w:val="auto"/>
          <w:sz w:val="21"/>
          <w:szCs w:val="21"/>
          <w:highlight w:val="none"/>
        </w:rPr>
        <w:instrText xml:space="preserve"> PAGEREF _Toc502069656 \h </w:instrText>
      </w:r>
      <w:r>
        <w:rPr>
          <w:rFonts w:hint="eastAsia" w:ascii="宋体" w:hAnsi="宋体" w:cs="宋体"/>
          <w:color w:val="auto"/>
          <w:sz w:val="21"/>
          <w:szCs w:val="21"/>
          <w:highlight w:val="none"/>
        </w:rPr>
        <w:fldChar w:fldCharType="separate"/>
      </w:r>
      <w:r>
        <w:rPr>
          <w:rFonts w:hint="eastAsia" w:ascii="宋体" w:hAnsi="宋体" w:cs="宋体"/>
          <w:color w:val="auto"/>
          <w:sz w:val="21"/>
          <w:szCs w:val="21"/>
          <w:highlight w:val="none"/>
        </w:rPr>
        <w:t>5</w:t>
      </w:r>
      <w:r>
        <w:rPr>
          <w:rFonts w:hint="eastAsia" w:ascii="宋体" w:hAnsi="宋体" w:cs="宋体"/>
          <w:color w:val="auto"/>
          <w:sz w:val="21"/>
          <w:szCs w:val="21"/>
          <w:highlight w:val="none"/>
        </w:rPr>
        <w:fldChar w:fldCharType="end"/>
      </w:r>
      <w:r>
        <w:rPr>
          <w:rFonts w:hint="eastAsia" w:ascii="宋体" w:hAnsi="宋体" w:cs="宋体"/>
          <w:color w:val="auto"/>
          <w:sz w:val="21"/>
          <w:szCs w:val="21"/>
          <w:highlight w:val="none"/>
        </w:rPr>
        <w:fldChar w:fldCharType="end"/>
      </w:r>
    </w:p>
    <w:p w14:paraId="44126FD0">
      <w:pPr>
        <w:pStyle w:val="33"/>
        <w:tabs>
          <w:tab w:val="right" w:leader="dot" w:pos="9452"/>
        </w:tabs>
        <w:spacing w:line="600" w:lineRule="exact"/>
        <w:rPr>
          <w:rFonts w:ascii="宋体" w:hAnsi="宋体" w:cs="宋体"/>
          <w:color w:val="auto"/>
          <w:sz w:val="21"/>
          <w:szCs w:val="21"/>
          <w:highlight w:val="none"/>
        </w:rPr>
      </w:pPr>
      <w:r>
        <w:rPr>
          <w:color w:val="auto"/>
          <w:highlight w:val="none"/>
        </w:rPr>
        <w:fldChar w:fldCharType="begin"/>
      </w:r>
      <w:r>
        <w:rPr>
          <w:color w:val="auto"/>
          <w:highlight w:val="none"/>
        </w:rPr>
        <w:instrText xml:space="preserve"> HYPERLINK \l "_Toc502069658" </w:instrText>
      </w:r>
      <w:r>
        <w:rPr>
          <w:color w:val="auto"/>
          <w:highlight w:val="none"/>
        </w:rPr>
        <w:fldChar w:fldCharType="separate"/>
      </w:r>
      <w:r>
        <w:rPr>
          <w:rFonts w:hint="eastAsia" w:ascii="宋体" w:hAnsi="宋体" w:cs="宋体"/>
          <w:color w:val="auto"/>
          <w:sz w:val="21"/>
          <w:szCs w:val="21"/>
          <w:highlight w:val="none"/>
        </w:rPr>
        <w:t>第四章 评标办法及评分标准</w:t>
      </w:r>
      <w:r>
        <w:rPr>
          <w:rFonts w:hint="eastAsia" w:ascii="宋体" w:hAnsi="宋体" w:cs="宋体"/>
          <w:color w:val="auto"/>
          <w:sz w:val="21"/>
          <w:szCs w:val="21"/>
          <w:highlight w:val="none"/>
        </w:rPr>
        <w:tab/>
      </w:r>
      <w:r>
        <w:rPr>
          <w:rFonts w:hint="eastAsia" w:ascii="宋体" w:hAnsi="宋体" w:cs="宋体"/>
          <w:color w:val="auto"/>
          <w:sz w:val="21"/>
          <w:szCs w:val="21"/>
          <w:highlight w:val="none"/>
        </w:rPr>
        <w:fldChar w:fldCharType="begin"/>
      </w:r>
      <w:r>
        <w:rPr>
          <w:rFonts w:hint="eastAsia" w:ascii="宋体" w:hAnsi="宋体" w:cs="宋体"/>
          <w:color w:val="auto"/>
          <w:sz w:val="21"/>
          <w:szCs w:val="21"/>
          <w:highlight w:val="none"/>
        </w:rPr>
        <w:instrText xml:space="preserve"> PAGEREF _Toc502069658 \h </w:instrText>
      </w:r>
      <w:r>
        <w:rPr>
          <w:rFonts w:hint="eastAsia" w:ascii="宋体" w:hAnsi="宋体" w:cs="宋体"/>
          <w:color w:val="auto"/>
          <w:sz w:val="21"/>
          <w:szCs w:val="21"/>
          <w:highlight w:val="none"/>
        </w:rPr>
        <w:fldChar w:fldCharType="separate"/>
      </w:r>
      <w:r>
        <w:rPr>
          <w:rFonts w:hint="eastAsia" w:ascii="宋体" w:hAnsi="宋体" w:cs="宋体"/>
          <w:color w:val="auto"/>
          <w:sz w:val="21"/>
          <w:szCs w:val="21"/>
          <w:highlight w:val="none"/>
        </w:rPr>
        <w:t>29</w:t>
      </w:r>
      <w:r>
        <w:rPr>
          <w:rFonts w:hint="eastAsia" w:ascii="宋体" w:hAnsi="宋体" w:cs="宋体"/>
          <w:color w:val="auto"/>
          <w:sz w:val="21"/>
          <w:szCs w:val="21"/>
          <w:highlight w:val="none"/>
        </w:rPr>
        <w:fldChar w:fldCharType="end"/>
      </w:r>
      <w:r>
        <w:rPr>
          <w:rFonts w:hint="eastAsia" w:ascii="宋体" w:hAnsi="宋体" w:cs="宋体"/>
          <w:color w:val="auto"/>
          <w:sz w:val="21"/>
          <w:szCs w:val="21"/>
          <w:highlight w:val="none"/>
        </w:rPr>
        <w:fldChar w:fldCharType="end"/>
      </w:r>
    </w:p>
    <w:p w14:paraId="17AAC559">
      <w:pPr>
        <w:pStyle w:val="33"/>
        <w:tabs>
          <w:tab w:val="right" w:leader="dot" w:pos="9452"/>
        </w:tabs>
        <w:spacing w:line="600" w:lineRule="exact"/>
        <w:rPr>
          <w:rFonts w:ascii="宋体" w:hAnsi="宋体" w:cs="宋体"/>
          <w:color w:val="auto"/>
          <w:sz w:val="21"/>
          <w:szCs w:val="21"/>
          <w:highlight w:val="none"/>
        </w:rPr>
      </w:pPr>
      <w:r>
        <w:rPr>
          <w:color w:val="auto"/>
          <w:highlight w:val="none"/>
        </w:rPr>
        <w:fldChar w:fldCharType="begin"/>
      </w:r>
      <w:r>
        <w:rPr>
          <w:color w:val="auto"/>
          <w:highlight w:val="none"/>
        </w:rPr>
        <w:instrText xml:space="preserve"> HYPERLINK \l "_Toc502069659" </w:instrText>
      </w:r>
      <w:r>
        <w:rPr>
          <w:color w:val="auto"/>
          <w:highlight w:val="none"/>
        </w:rPr>
        <w:fldChar w:fldCharType="separate"/>
      </w:r>
      <w:r>
        <w:rPr>
          <w:rFonts w:hint="eastAsia" w:ascii="宋体" w:hAnsi="宋体" w:cs="宋体"/>
          <w:color w:val="auto"/>
          <w:sz w:val="21"/>
          <w:szCs w:val="21"/>
          <w:highlight w:val="none"/>
        </w:rPr>
        <w:t>第五章  合同文本</w:t>
      </w:r>
      <w:r>
        <w:rPr>
          <w:rFonts w:hint="eastAsia" w:ascii="宋体" w:hAnsi="宋体" w:cs="宋体"/>
          <w:color w:val="auto"/>
          <w:sz w:val="21"/>
          <w:szCs w:val="21"/>
          <w:highlight w:val="none"/>
        </w:rPr>
        <w:tab/>
      </w:r>
      <w:r>
        <w:rPr>
          <w:rFonts w:hint="eastAsia" w:ascii="宋体" w:hAnsi="宋体" w:cs="宋体"/>
          <w:color w:val="auto"/>
          <w:sz w:val="21"/>
          <w:szCs w:val="21"/>
          <w:highlight w:val="none"/>
        </w:rPr>
        <w:fldChar w:fldCharType="begin"/>
      </w:r>
      <w:r>
        <w:rPr>
          <w:rFonts w:hint="eastAsia" w:ascii="宋体" w:hAnsi="宋体" w:cs="宋体"/>
          <w:color w:val="auto"/>
          <w:sz w:val="21"/>
          <w:szCs w:val="21"/>
          <w:highlight w:val="none"/>
        </w:rPr>
        <w:instrText xml:space="preserve"> PAGEREF _Toc502069659 \h </w:instrText>
      </w:r>
      <w:r>
        <w:rPr>
          <w:rFonts w:hint="eastAsia" w:ascii="宋体" w:hAnsi="宋体" w:cs="宋体"/>
          <w:color w:val="auto"/>
          <w:sz w:val="21"/>
          <w:szCs w:val="21"/>
          <w:highlight w:val="none"/>
        </w:rPr>
        <w:fldChar w:fldCharType="separate"/>
      </w:r>
      <w:r>
        <w:rPr>
          <w:rFonts w:hint="eastAsia" w:ascii="宋体" w:hAnsi="宋体" w:cs="宋体"/>
          <w:color w:val="auto"/>
          <w:sz w:val="21"/>
          <w:szCs w:val="21"/>
          <w:highlight w:val="none"/>
        </w:rPr>
        <w:t>32</w:t>
      </w:r>
      <w:r>
        <w:rPr>
          <w:rFonts w:hint="eastAsia" w:ascii="宋体" w:hAnsi="宋体" w:cs="宋体"/>
          <w:color w:val="auto"/>
          <w:sz w:val="21"/>
          <w:szCs w:val="21"/>
          <w:highlight w:val="none"/>
        </w:rPr>
        <w:fldChar w:fldCharType="end"/>
      </w:r>
      <w:r>
        <w:rPr>
          <w:rFonts w:hint="eastAsia" w:ascii="宋体" w:hAnsi="宋体" w:cs="宋体"/>
          <w:color w:val="auto"/>
          <w:sz w:val="21"/>
          <w:szCs w:val="21"/>
          <w:highlight w:val="none"/>
        </w:rPr>
        <w:fldChar w:fldCharType="end"/>
      </w:r>
    </w:p>
    <w:p w14:paraId="19779FFA">
      <w:pPr>
        <w:pStyle w:val="33"/>
        <w:tabs>
          <w:tab w:val="right" w:leader="dot" w:pos="9452"/>
        </w:tabs>
        <w:spacing w:line="600" w:lineRule="exact"/>
        <w:rPr>
          <w:rFonts w:ascii="宋体" w:hAnsi="宋体" w:cs="宋体"/>
          <w:color w:val="auto"/>
          <w:sz w:val="21"/>
          <w:szCs w:val="21"/>
          <w:highlight w:val="none"/>
        </w:rPr>
      </w:pPr>
      <w:r>
        <w:rPr>
          <w:color w:val="auto"/>
          <w:highlight w:val="none"/>
        </w:rPr>
        <w:fldChar w:fldCharType="begin"/>
      </w:r>
      <w:r>
        <w:rPr>
          <w:color w:val="auto"/>
          <w:highlight w:val="none"/>
        </w:rPr>
        <w:instrText xml:space="preserve"> HYPERLINK \l "_Toc502069660" </w:instrText>
      </w:r>
      <w:r>
        <w:rPr>
          <w:color w:val="auto"/>
          <w:highlight w:val="none"/>
        </w:rPr>
        <w:fldChar w:fldCharType="separate"/>
      </w:r>
      <w:r>
        <w:rPr>
          <w:rFonts w:hint="eastAsia" w:ascii="宋体" w:hAnsi="宋体" w:cs="宋体"/>
          <w:color w:val="auto"/>
          <w:sz w:val="21"/>
          <w:szCs w:val="21"/>
          <w:highlight w:val="none"/>
        </w:rPr>
        <w:t>第六章　投标文件格式</w:t>
      </w:r>
      <w:r>
        <w:rPr>
          <w:rFonts w:hint="eastAsia" w:ascii="宋体" w:hAnsi="宋体" w:cs="宋体"/>
          <w:color w:val="auto"/>
          <w:sz w:val="21"/>
          <w:szCs w:val="21"/>
          <w:highlight w:val="none"/>
        </w:rPr>
        <w:tab/>
      </w:r>
      <w:r>
        <w:rPr>
          <w:rFonts w:hint="eastAsia" w:ascii="宋体" w:hAnsi="宋体" w:cs="宋体"/>
          <w:color w:val="auto"/>
          <w:sz w:val="21"/>
          <w:szCs w:val="21"/>
          <w:highlight w:val="none"/>
        </w:rPr>
        <w:fldChar w:fldCharType="begin"/>
      </w:r>
      <w:r>
        <w:rPr>
          <w:rFonts w:hint="eastAsia" w:ascii="宋体" w:hAnsi="宋体" w:cs="宋体"/>
          <w:color w:val="auto"/>
          <w:sz w:val="21"/>
          <w:szCs w:val="21"/>
          <w:highlight w:val="none"/>
        </w:rPr>
        <w:instrText xml:space="preserve"> PAGEREF _Toc502069660 \h </w:instrText>
      </w:r>
      <w:r>
        <w:rPr>
          <w:rFonts w:hint="eastAsia" w:ascii="宋体" w:hAnsi="宋体" w:cs="宋体"/>
          <w:color w:val="auto"/>
          <w:sz w:val="21"/>
          <w:szCs w:val="21"/>
          <w:highlight w:val="none"/>
        </w:rPr>
        <w:fldChar w:fldCharType="separate"/>
      </w:r>
      <w:r>
        <w:rPr>
          <w:rFonts w:hint="eastAsia" w:ascii="宋体" w:hAnsi="宋体" w:cs="宋体"/>
          <w:color w:val="auto"/>
          <w:sz w:val="21"/>
          <w:szCs w:val="21"/>
          <w:highlight w:val="none"/>
        </w:rPr>
        <w:t>32</w:t>
      </w:r>
      <w:r>
        <w:rPr>
          <w:rFonts w:hint="eastAsia" w:ascii="宋体" w:hAnsi="宋体" w:cs="宋体"/>
          <w:color w:val="auto"/>
          <w:sz w:val="21"/>
          <w:szCs w:val="21"/>
          <w:highlight w:val="none"/>
        </w:rPr>
        <w:fldChar w:fldCharType="end"/>
      </w:r>
      <w:r>
        <w:rPr>
          <w:rFonts w:hint="eastAsia" w:ascii="宋体" w:hAnsi="宋体" w:cs="宋体"/>
          <w:color w:val="auto"/>
          <w:sz w:val="21"/>
          <w:szCs w:val="21"/>
          <w:highlight w:val="none"/>
        </w:rPr>
        <w:fldChar w:fldCharType="end"/>
      </w:r>
    </w:p>
    <w:p w14:paraId="71FA86AF">
      <w:pPr>
        <w:pStyle w:val="33"/>
        <w:tabs>
          <w:tab w:val="right" w:leader="dot" w:pos="9452"/>
        </w:tabs>
        <w:rPr>
          <w:rFonts w:ascii="宋体" w:hAnsi="宋体" w:cs="宋体"/>
          <w:b w:val="0"/>
          <w:bCs w:val="0"/>
          <w:color w:val="auto"/>
          <w:sz w:val="21"/>
          <w:szCs w:val="21"/>
          <w:highlight w:val="none"/>
        </w:rPr>
      </w:pPr>
      <w:r>
        <w:rPr>
          <w:rFonts w:hint="eastAsia" w:ascii="宋体" w:hAnsi="宋体" w:cs="宋体"/>
          <w:color w:val="auto"/>
          <w:sz w:val="21"/>
          <w:szCs w:val="21"/>
          <w:highlight w:val="none"/>
        </w:rPr>
        <w:fldChar w:fldCharType="end"/>
      </w:r>
    </w:p>
    <w:p w14:paraId="580E46A5">
      <w:pPr>
        <w:spacing w:line="360" w:lineRule="auto"/>
        <w:ind w:firstLine="211" w:firstLineChars="100"/>
        <w:rPr>
          <w:rFonts w:ascii="宋体" w:hAnsi="宋体" w:cs="宋体"/>
          <w:b/>
          <w:bCs/>
          <w:color w:val="auto"/>
          <w:szCs w:val="21"/>
          <w:highlight w:val="none"/>
        </w:rPr>
      </w:pPr>
    </w:p>
    <w:p w14:paraId="7E22DEE0">
      <w:pPr>
        <w:spacing w:line="360" w:lineRule="auto"/>
        <w:ind w:firstLine="211" w:firstLineChars="100"/>
        <w:rPr>
          <w:rFonts w:ascii="宋体" w:hAnsi="宋体" w:cs="宋体"/>
          <w:b/>
          <w:bCs/>
          <w:color w:val="auto"/>
          <w:szCs w:val="21"/>
          <w:highlight w:val="none"/>
        </w:rPr>
      </w:pPr>
    </w:p>
    <w:p w14:paraId="4141F647">
      <w:pPr>
        <w:spacing w:line="360" w:lineRule="auto"/>
        <w:ind w:firstLine="211" w:firstLineChars="100"/>
        <w:rPr>
          <w:rFonts w:ascii="宋体" w:hAnsi="宋体" w:cs="宋体"/>
          <w:b/>
          <w:bCs/>
          <w:color w:val="auto"/>
          <w:szCs w:val="21"/>
          <w:highlight w:val="none"/>
        </w:rPr>
      </w:pPr>
    </w:p>
    <w:p w14:paraId="55CD9569">
      <w:pPr>
        <w:spacing w:line="360" w:lineRule="auto"/>
        <w:ind w:firstLine="211" w:firstLineChars="100"/>
        <w:rPr>
          <w:rFonts w:ascii="宋体" w:hAnsi="宋体" w:cs="宋体"/>
          <w:b/>
          <w:bCs/>
          <w:color w:val="auto"/>
          <w:szCs w:val="21"/>
          <w:highlight w:val="none"/>
        </w:rPr>
      </w:pPr>
    </w:p>
    <w:p w14:paraId="6CB99A2A">
      <w:pPr>
        <w:spacing w:line="360" w:lineRule="auto"/>
        <w:ind w:firstLine="211" w:firstLineChars="100"/>
        <w:rPr>
          <w:rFonts w:ascii="宋体" w:hAnsi="宋体" w:cs="宋体"/>
          <w:b/>
          <w:bCs/>
          <w:color w:val="auto"/>
          <w:szCs w:val="21"/>
          <w:highlight w:val="none"/>
        </w:rPr>
      </w:pPr>
    </w:p>
    <w:p w14:paraId="6C288FFC">
      <w:pPr>
        <w:spacing w:line="360" w:lineRule="auto"/>
        <w:ind w:firstLine="211" w:firstLineChars="100"/>
        <w:rPr>
          <w:rFonts w:ascii="宋体" w:hAnsi="宋体" w:cs="宋体"/>
          <w:b/>
          <w:bCs/>
          <w:color w:val="auto"/>
          <w:szCs w:val="21"/>
          <w:highlight w:val="none"/>
        </w:rPr>
      </w:pPr>
    </w:p>
    <w:p w14:paraId="03F3ADCB">
      <w:pPr>
        <w:pStyle w:val="45"/>
        <w:ind w:firstLine="560"/>
        <w:rPr>
          <w:rFonts w:ascii="宋体" w:hAnsi="宋体" w:cs="宋体"/>
          <w:color w:val="auto"/>
          <w:szCs w:val="21"/>
          <w:highlight w:val="none"/>
        </w:rPr>
      </w:pPr>
    </w:p>
    <w:p w14:paraId="34F678B7">
      <w:pPr>
        <w:spacing w:line="360" w:lineRule="auto"/>
        <w:rPr>
          <w:rFonts w:ascii="宋体" w:hAnsi="宋体" w:cs="宋体"/>
          <w:b/>
          <w:bCs/>
          <w:color w:val="auto"/>
          <w:szCs w:val="21"/>
          <w:highlight w:val="none"/>
        </w:rPr>
      </w:pPr>
    </w:p>
    <w:p w14:paraId="63399E25">
      <w:pPr>
        <w:spacing w:line="360" w:lineRule="auto"/>
        <w:rPr>
          <w:rFonts w:ascii="宋体" w:hAnsi="宋体" w:cs="宋体"/>
          <w:b/>
          <w:bCs/>
          <w:color w:val="auto"/>
          <w:szCs w:val="21"/>
          <w:highlight w:val="none"/>
        </w:rPr>
      </w:pPr>
    </w:p>
    <w:p w14:paraId="3A787C65">
      <w:pPr>
        <w:spacing w:line="360" w:lineRule="auto"/>
        <w:ind w:firstLine="211" w:firstLineChars="100"/>
        <w:rPr>
          <w:rFonts w:ascii="宋体" w:hAnsi="宋体" w:cs="宋体"/>
          <w:b/>
          <w:bCs/>
          <w:color w:val="auto"/>
          <w:szCs w:val="21"/>
          <w:highlight w:val="none"/>
        </w:rPr>
      </w:pPr>
    </w:p>
    <w:p w14:paraId="518C5F0F">
      <w:pPr>
        <w:spacing w:line="380" w:lineRule="exact"/>
        <w:ind w:firstLine="211" w:firstLineChars="100"/>
        <w:rPr>
          <w:rFonts w:ascii="宋体" w:hAnsi="宋体" w:cs="宋体"/>
          <w:b/>
          <w:bCs/>
          <w:color w:val="auto"/>
          <w:szCs w:val="21"/>
          <w:highlight w:val="none"/>
        </w:rPr>
      </w:pPr>
      <w:r>
        <w:rPr>
          <w:rFonts w:hint="eastAsia" w:ascii="宋体" w:hAnsi="宋体" w:cs="宋体"/>
          <w:b/>
          <w:bCs/>
          <w:color w:val="auto"/>
          <w:szCs w:val="21"/>
          <w:highlight w:val="none"/>
        </w:rPr>
        <w:t>温馨提示：</w:t>
      </w:r>
    </w:p>
    <w:p w14:paraId="49C22A21">
      <w:pPr>
        <w:numPr>
          <w:ilvl w:val="0"/>
          <w:numId w:val="3"/>
        </w:numPr>
        <w:spacing w:line="380" w:lineRule="exact"/>
        <w:rPr>
          <w:rFonts w:ascii="宋体" w:hAnsi="宋体" w:cs="宋体"/>
          <w:b/>
          <w:color w:val="auto"/>
          <w:szCs w:val="21"/>
          <w:highlight w:val="none"/>
        </w:rPr>
      </w:pPr>
      <w:r>
        <w:rPr>
          <w:rFonts w:hint="eastAsia" w:ascii="宋体" w:hAnsi="宋体" w:cs="宋体"/>
          <w:b/>
          <w:color w:val="auto"/>
          <w:szCs w:val="21"/>
          <w:highlight w:val="none"/>
        </w:rPr>
        <w:t>投标人不得向招标人、政府采购工作人员、评标专家行贿，违者一经查实，将列入政府采购黑名单！</w:t>
      </w:r>
    </w:p>
    <w:p w14:paraId="3FD615E6">
      <w:pPr>
        <w:numPr>
          <w:ilvl w:val="0"/>
          <w:numId w:val="3"/>
        </w:numPr>
        <w:spacing w:line="380" w:lineRule="exact"/>
        <w:rPr>
          <w:rFonts w:ascii="宋体" w:hAnsi="宋体" w:cs="宋体"/>
          <w:b/>
          <w:color w:val="auto"/>
          <w:szCs w:val="21"/>
          <w:highlight w:val="none"/>
        </w:rPr>
      </w:pPr>
      <w:r>
        <w:rPr>
          <w:rFonts w:hint="eastAsia" w:ascii="宋体" w:hAnsi="宋体" w:cs="宋体"/>
          <w:b/>
          <w:color w:val="auto"/>
          <w:szCs w:val="21"/>
          <w:highlight w:val="none"/>
        </w:rPr>
        <w:t>投标人可在政采云平台（</w:t>
      </w:r>
      <w:r>
        <w:rPr>
          <w:color w:val="auto"/>
          <w:highlight w:val="none"/>
        </w:rPr>
        <w:fldChar w:fldCharType="begin"/>
      </w:r>
      <w:r>
        <w:rPr>
          <w:color w:val="auto"/>
          <w:highlight w:val="none"/>
        </w:rPr>
        <w:instrText xml:space="preserve"> HYPERLINK "http://www.zjzfcg.gov.cn/" </w:instrText>
      </w:r>
      <w:r>
        <w:rPr>
          <w:color w:val="auto"/>
          <w:highlight w:val="none"/>
        </w:rPr>
        <w:fldChar w:fldCharType="separate"/>
      </w:r>
      <w:r>
        <w:rPr>
          <w:rFonts w:hint="eastAsia" w:ascii="宋体" w:hAnsi="宋体" w:cs="宋体"/>
          <w:b/>
          <w:color w:val="auto"/>
          <w:szCs w:val="21"/>
          <w:highlight w:val="none"/>
        </w:rPr>
        <w:t>http://zfcg.czt.zj.gov.cn/</w:t>
      </w:r>
      <w:r>
        <w:rPr>
          <w:rFonts w:hint="eastAsia" w:ascii="宋体" w:hAnsi="宋体" w:cs="宋体"/>
          <w:b/>
          <w:color w:val="auto"/>
          <w:szCs w:val="21"/>
          <w:highlight w:val="none"/>
        </w:rPr>
        <w:fldChar w:fldCharType="end"/>
      </w:r>
      <w:r>
        <w:rPr>
          <w:rFonts w:hint="eastAsia" w:ascii="宋体" w:hAnsi="宋体" w:cs="宋体"/>
          <w:b/>
          <w:color w:val="auto"/>
          <w:szCs w:val="21"/>
          <w:highlight w:val="none"/>
        </w:rPr>
        <w:t>）进行免费注册，具体详见网站供应商注册要求，投标供应商获取中标资格后应在合同签订前完成注册并成为正式注册供应商。否则将无法完成合同签订与付款程序。</w:t>
      </w:r>
    </w:p>
    <w:p w14:paraId="13204506">
      <w:pPr>
        <w:spacing w:line="380" w:lineRule="exact"/>
        <w:ind w:left="562"/>
        <w:rPr>
          <w:rFonts w:ascii="宋体" w:hAnsi="宋体" w:cs="宋体"/>
          <w:b/>
          <w:color w:val="auto"/>
          <w:szCs w:val="21"/>
          <w:highlight w:val="none"/>
        </w:rPr>
      </w:pPr>
      <w:r>
        <w:rPr>
          <w:rFonts w:hint="eastAsia" w:ascii="宋体" w:hAnsi="宋体" w:cs="宋体"/>
          <w:b/>
          <w:color w:val="auto"/>
          <w:szCs w:val="21"/>
          <w:highlight w:val="none"/>
        </w:rPr>
        <w:t>（注：请认真阅读此招标文件，并按规定制作投标文件，否则我们的努力将是徒劳。）</w:t>
      </w:r>
    </w:p>
    <w:bookmarkEnd w:id="0"/>
    <w:p w14:paraId="5106F705">
      <w:pPr>
        <w:spacing w:line="380" w:lineRule="exact"/>
        <w:ind w:firstLine="211" w:firstLineChars="100"/>
        <w:rPr>
          <w:rFonts w:ascii="宋体" w:hAnsi="宋体" w:cs="宋体"/>
          <w:b/>
          <w:bCs/>
          <w:color w:val="auto"/>
          <w:szCs w:val="21"/>
          <w:highlight w:val="none"/>
        </w:rPr>
        <w:sectPr>
          <w:footerReference r:id="rId5" w:type="default"/>
          <w:pgSz w:w="11907" w:h="16840"/>
          <w:pgMar w:top="1304" w:right="1418" w:bottom="1304" w:left="1418" w:header="851" w:footer="850" w:gutter="0"/>
          <w:pgNumType w:start="1"/>
          <w:cols w:space="720" w:num="1"/>
          <w:docGrid w:linePitch="462" w:charSpace="0"/>
        </w:sectPr>
      </w:pPr>
    </w:p>
    <w:p w14:paraId="1E286547">
      <w:pPr>
        <w:pStyle w:val="20"/>
        <w:rPr>
          <w:color w:val="auto"/>
          <w:highlight w:val="none"/>
        </w:rPr>
      </w:pPr>
    </w:p>
    <w:p w14:paraId="1BAC3062">
      <w:pPr>
        <w:pStyle w:val="2"/>
        <w:keepLines w:val="0"/>
        <w:autoSpaceDE w:val="0"/>
        <w:autoSpaceDN w:val="0"/>
        <w:adjustRightInd w:val="0"/>
        <w:spacing w:before="0" w:line="360" w:lineRule="auto"/>
        <w:textAlignment w:val="baseline"/>
        <w:rPr>
          <w:rFonts w:hint="eastAsia" w:cs="宋体"/>
          <w:bCs w:val="0"/>
          <w:color w:val="auto"/>
          <w:kern w:val="0"/>
          <w:highlight w:val="none"/>
        </w:rPr>
        <w:sectPr>
          <w:footerReference r:id="rId7" w:type="first"/>
          <w:footerReference r:id="rId6" w:type="default"/>
          <w:pgSz w:w="11906" w:h="16838"/>
          <w:pgMar w:top="1418" w:right="1418" w:bottom="1134" w:left="1418" w:header="851" w:footer="851" w:gutter="0"/>
          <w:cols w:space="720" w:num="1"/>
          <w:titlePg/>
          <w:docGrid w:type="linesAndChars" w:linePitch="312" w:charSpace="0"/>
        </w:sectPr>
      </w:pPr>
      <w:bookmarkStart w:id="1" w:name="_Toc502069654"/>
      <w:bookmarkStart w:id="2" w:name="_Toc205638623"/>
      <w:bookmarkStart w:id="3" w:name="_Toc237176505"/>
      <w:bookmarkStart w:id="4" w:name="_Toc184785918"/>
      <w:bookmarkStart w:id="5" w:name="_Toc217289129"/>
    </w:p>
    <w:p w14:paraId="27D1B0E9">
      <w:pPr>
        <w:pStyle w:val="2"/>
        <w:keepLines w:val="0"/>
        <w:autoSpaceDE w:val="0"/>
        <w:autoSpaceDN w:val="0"/>
        <w:adjustRightInd w:val="0"/>
        <w:spacing w:before="0" w:line="360" w:lineRule="auto"/>
        <w:textAlignment w:val="baseline"/>
        <w:rPr>
          <w:rFonts w:cs="宋体"/>
          <w:bCs w:val="0"/>
          <w:color w:val="auto"/>
          <w:kern w:val="0"/>
          <w:highlight w:val="none"/>
        </w:rPr>
      </w:pPr>
      <w:r>
        <w:rPr>
          <w:rFonts w:hint="eastAsia" w:cs="宋体"/>
          <w:bCs w:val="0"/>
          <w:color w:val="auto"/>
          <w:kern w:val="0"/>
          <w:highlight w:val="none"/>
        </w:rPr>
        <w:t>第一章  公开招标采购公告</w:t>
      </w:r>
      <w:bookmarkEnd w:id="1"/>
    </w:p>
    <w:p w14:paraId="0AF31DB0">
      <w:pPr>
        <w:rPr>
          <w:rFonts w:hint="eastAsia" w:ascii="宋体" w:hAnsi="宋体" w:cs="宋体"/>
          <w:color w:val="auto"/>
          <w:szCs w:val="21"/>
          <w:highlight w:val="none"/>
        </w:rPr>
      </w:pPr>
      <w:r>
        <w:rPr>
          <w:rFonts w:hint="eastAsia" w:ascii="宋体" w:hAnsi="宋体" w:cs="宋体"/>
          <w:color w:val="auto"/>
          <w:szCs w:val="21"/>
          <w:highlight w:val="none"/>
        </w:rPr>
        <w:t> </w:t>
      </w:r>
    </w:p>
    <w:tbl>
      <w:tblPr>
        <w:tblStyle w:val="4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80"/>
      </w:tblGrid>
      <w:tr w14:paraId="6307BF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7" w:hRule="atLeast"/>
        </w:trPr>
        <w:tc>
          <w:tcPr>
            <w:tcW w:w="9280" w:type="dxa"/>
            <w:noWrap w:val="0"/>
            <w:vAlign w:val="center"/>
          </w:tcPr>
          <w:p w14:paraId="1165FC16">
            <w:pPr>
              <w:pStyle w:val="4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0" w:right="0" w:firstLine="0"/>
              <w:textAlignment w:val="auto"/>
              <w:rPr>
                <w:rFonts w:hint="eastAsia" w:ascii="宋体" w:hAnsi="宋体" w:eastAsia="宋体" w:cs="宋体"/>
                <w:i w:val="0"/>
                <w:iCs w:val="0"/>
                <w:caps w:val="0"/>
                <w:color w:val="auto"/>
                <w:spacing w:val="0"/>
                <w:sz w:val="21"/>
                <w:szCs w:val="21"/>
                <w:highlight w:val="none"/>
              </w:rPr>
            </w:pPr>
            <w:r>
              <w:rPr>
                <w:rFonts w:hint="eastAsia" w:ascii="宋体" w:hAnsi="宋体" w:eastAsia="宋体" w:cs="宋体"/>
                <w:i w:val="0"/>
                <w:iCs w:val="0"/>
                <w:caps w:val="0"/>
                <w:color w:val="auto"/>
                <w:spacing w:val="0"/>
                <w:sz w:val="21"/>
                <w:szCs w:val="21"/>
                <w:highlight w:val="none"/>
              </w:rPr>
              <w:t>项目概况</w:t>
            </w:r>
          </w:p>
          <w:p w14:paraId="3376ED2C">
            <w:pPr>
              <w:pStyle w:val="4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0" w:right="0" w:firstLine="0"/>
              <w:textAlignment w:val="auto"/>
              <w:rPr>
                <w:rFonts w:hint="eastAsia" w:ascii="宋体" w:hAnsi="宋体" w:cs="宋体"/>
                <w:color w:val="auto"/>
                <w:szCs w:val="21"/>
                <w:highlight w:val="none"/>
              </w:rPr>
            </w:pPr>
            <w:r>
              <w:rPr>
                <w:rFonts w:hint="eastAsia" w:ascii="宋体" w:hAnsi="宋体" w:eastAsia="宋体" w:cs="宋体"/>
                <w:i w:val="0"/>
                <w:iCs w:val="0"/>
                <w:caps w:val="0"/>
                <w:color w:val="auto"/>
                <w:spacing w:val="0"/>
                <w:sz w:val="21"/>
                <w:szCs w:val="21"/>
                <w:highlight w:val="none"/>
              </w:rPr>
              <w:t> </w:t>
            </w:r>
            <w:r>
              <w:rPr>
                <w:rFonts w:hint="eastAsia" w:ascii="宋体" w:hAnsi="宋体" w:eastAsia="宋体" w:cs="宋体"/>
                <w:i w:val="0"/>
                <w:iCs w:val="0"/>
                <w:caps w:val="0"/>
                <w:color w:val="auto"/>
                <w:spacing w:val="0"/>
                <w:sz w:val="21"/>
                <w:szCs w:val="21"/>
                <w:highlight w:val="none"/>
                <w:lang w:val="en-US" w:eastAsia="zh-CN"/>
              </w:rPr>
              <w:t xml:space="preserve"> </w:t>
            </w:r>
            <w:r>
              <w:rPr>
                <w:rFonts w:hint="eastAsia" w:ascii="宋体" w:hAnsi="宋体" w:eastAsia="宋体" w:cs="宋体"/>
                <w:i w:val="0"/>
                <w:iCs w:val="0"/>
                <w:caps w:val="0"/>
                <w:color w:val="auto"/>
                <w:spacing w:val="0"/>
                <w:sz w:val="21"/>
                <w:szCs w:val="21"/>
                <w:highlight w:val="none"/>
              </w:rPr>
              <w:t xml:space="preserve"> </w:t>
            </w:r>
            <w:r>
              <w:rPr>
                <w:rFonts w:hint="eastAsia" w:ascii="宋体" w:cs="宋体"/>
                <w:i w:val="0"/>
                <w:iCs w:val="0"/>
                <w:caps w:val="0"/>
                <w:color w:val="auto"/>
                <w:spacing w:val="0"/>
                <w:sz w:val="21"/>
                <w:szCs w:val="21"/>
                <w:highlight w:val="none"/>
                <w:lang w:eastAsia="zh-CN"/>
              </w:rPr>
              <w:t>婺城区2025-2026年水库（山塘）维修养护（物业化管理）项目</w:t>
            </w:r>
            <w:r>
              <w:rPr>
                <w:rFonts w:hint="eastAsia" w:ascii="宋体" w:hAnsi="宋体" w:eastAsia="宋体" w:cs="宋体"/>
                <w:i w:val="0"/>
                <w:iCs w:val="0"/>
                <w:caps w:val="0"/>
                <w:color w:val="auto"/>
                <w:spacing w:val="0"/>
                <w:sz w:val="21"/>
                <w:szCs w:val="21"/>
                <w:highlight w:val="none"/>
              </w:rPr>
              <w:t>招标项目的潜在投标人应在政采云平台线上获取获取（下载）招标文件，并于202</w:t>
            </w:r>
            <w:r>
              <w:rPr>
                <w:rFonts w:hint="eastAsia" w:ascii="宋体" w:cs="宋体"/>
                <w:i w:val="0"/>
                <w:iCs w:val="0"/>
                <w:caps w:val="0"/>
                <w:color w:val="auto"/>
                <w:spacing w:val="0"/>
                <w:sz w:val="21"/>
                <w:szCs w:val="21"/>
                <w:highlight w:val="none"/>
                <w:lang w:val="en-US" w:eastAsia="zh-CN"/>
              </w:rPr>
              <w:t>5</w:t>
            </w:r>
            <w:r>
              <w:rPr>
                <w:rFonts w:hint="eastAsia" w:ascii="宋体" w:hAnsi="宋体" w:eastAsia="宋体" w:cs="宋体"/>
                <w:i w:val="0"/>
                <w:iCs w:val="0"/>
                <w:caps w:val="0"/>
                <w:color w:val="auto"/>
                <w:spacing w:val="0"/>
                <w:sz w:val="21"/>
                <w:szCs w:val="21"/>
                <w:highlight w:val="none"/>
              </w:rPr>
              <w:t>年</w:t>
            </w:r>
            <w:r>
              <w:rPr>
                <w:rFonts w:hint="eastAsia" w:ascii="宋体" w:cs="宋体"/>
                <w:i w:val="0"/>
                <w:iCs w:val="0"/>
                <w:caps w:val="0"/>
                <w:color w:val="auto"/>
                <w:spacing w:val="0"/>
                <w:sz w:val="21"/>
                <w:szCs w:val="21"/>
                <w:highlight w:val="none"/>
                <w:lang w:val="en-US" w:eastAsia="zh-CN"/>
              </w:rPr>
              <w:t>03</w:t>
            </w:r>
            <w:r>
              <w:rPr>
                <w:rFonts w:hint="eastAsia" w:ascii="宋体" w:hAnsi="宋体" w:eastAsia="宋体" w:cs="宋体"/>
                <w:i w:val="0"/>
                <w:iCs w:val="0"/>
                <w:caps w:val="0"/>
                <w:color w:val="auto"/>
                <w:spacing w:val="0"/>
                <w:sz w:val="21"/>
                <w:szCs w:val="21"/>
                <w:highlight w:val="none"/>
              </w:rPr>
              <w:t>月</w:t>
            </w:r>
            <w:r>
              <w:rPr>
                <w:rFonts w:hint="eastAsia" w:ascii="宋体" w:cs="宋体"/>
                <w:i w:val="0"/>
                <w:iCs w:val="0"/>
                <w:caps w:val="0"/>
                <w:color w:val="auto"/>
                <w:spacing w:val="0"/>
                <w:sz w:val="21"/>
                <w:szCs w:val="21"/>
                <w:highlight w:val="none"/>
                <w:lang w:val="en-US" w:eastAsia="zh-CN"/>
              </w:rPr>
              <w:t>20</w:t>
            </w:r>
            <w:r>
              <w:rPr>
                <w:rFonts w:hint="eastAsia" w:ascii="宋体" w:hAnsi="宋体" w:eastAsia="宋体" w:cs="宋体"/>
                <w:i w:val="0"/>
                <w:iCs w:val="0"/>
                <w:caps w:val="0"/>
                <w:color w:val="auto"/>
                <w:spacing w:val="0"/>
                <w:sz w:val="21"/>
                <w:szCs w:val="21"/>
                <w:highlight w:val="none"/>
              </w:rPr>
              <w:t>日 09:30（北京时间）前递交（上传）投标文件。</w:t>
            </w:r>
          </w:p>
        </w:tc>
      </w:tr>
    </w:tbl>
    <w:p w14:paraId="2D36FD66">
      <w:pPr>
        <w:pStyle w:val="4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60" w:lineRule="exact"/>
        <w:ind w:left="0" w:right="0"/>
        <w:jc w:val="both"/>
        <w:textAlignment w:val="auto"/>
        <w:rPr>
          <w:rStyle w:val="49"/>
          <w:rFonts w:hint="eastAsia" w:ascii="宋体" w:hAnsi="宋体" w:eastAsia="宋体" w:cs="宋体"/>
          <w:i w:val="0"/>
          <w:iCs w:val="0"/>
          <w:caps w:val="0"/>
          <w:color w:val="auto"/>
          <w:spacing w:val="0"/>
          <w:sz w:val="21"/>
          <w:szCs w:val="21"/>
          <w:highlight w:val="none"/>
        </w:rPr>
      </w:pPr>
      <w:r>
        <w:rPr>
          <w:rStyle w:val="49"/>
          <w:rFonts w:hint="eastAsia" w:ascii="宋体" w:hAnsi="宋体" w:eastAsia="宋体" w:cs="宋体"/>
          <w:i w:val="0"/>
          <w:iCs w:val="0"/>
          <w:caps w:val="0"/>
          <w:color w:val="auto"/>
          <w:spacing w:val="0"/>
          <w:sz w:val="21"/>
          <w:szCs w:val="21"/>
          <w:highlight w:val="none"/>
        </w:rPr>
        <w:t>一、项目基本情况</w:t>
      </w:r>
    </w:p>
    <w:p w14:paraId="036C3330">
      <w:pPr>
        <w:pStyle w:val="4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60" w:lineRule="exact"/>
        <w:ind w:left="0" w:right="0"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i w:val="0"/>
          <w:iCs w:val="0"/>
          <w:caps w:val="0"/>
          <w:color w:val="auto"/>
          <w:spacing w:val="0"/>
          <w:sz w:val="21"/>
          <w:szCs w:val="21"/>
          <w:highlight w:val="none"/>
        </w:rPr>
        <w:t>项目编号：</w:t>
      </w:r>
      <w:r>
        <w:rPr>
          <w:rFonts w:hint="eastAsia" w:ascii="宋体" w:cs="宋体"/>
          <w:i w:val="0"/>
          <w:iCs w:val="0"/>
          <w:caps w:val="0"/>
          <w:color w:val="auto"/>
          <w:spacing w:val="0"/>
          <w:sz w:val="21"/>
          <w:szCs w:val="21"/>
          <w:highlight w:val="none"/>
          <w:lang w:eastAsia="zh-CN"/>
        </w:rPr>
        <w:t>JHTY2025-ZFCG002</w:t>
      </w:r>
    </w:p>
    <w:p w14:paraId="602898A3">
      <w:pPr>
        <w:pStyle w:val="4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60" w:lineRule="exact"/>
        <w:ind w:left="0" w:righ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rPr>
        <w:t>项目名称：</w:t>
      </w:r>
      <w:r>
        <w:rPr>
          <w:rFonts w:hint="eastAsia" w:ascii="宋体" w:cs="宋体"/>
          <w:i w:val="0"/>
          <w:iCs w:val="0"/>
          <w:caps w:val="0"/>
          <w:color w:val="auto"/>
          <w:spacing w:val="0"/>
          <w:sz w:val="21"/>
          <w:szCs w:val="21"/>
          <w:highlight w:val="none"/>
          <w:lang w:eastAsia="zh-CN"/>
        </w:rPr>
        <w:t>婺城区2025-2026年水库（山塘）维修养护（物业化管理）项目</w:t>
      </w:r>
    </w:p>
    <w:p w14:paraId="2CBF79E1">
      <w:pPr>
        <w:pStyle w:val="4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60" w:lineRule="exact"/>
        <w:ind w:left="0" w:right="0" w:firstLine="420" w:firstLineChars="200"/>
        <w:textAlignment w:val="auto"/>
        <w:rPr>
          <w:rFonts w:hint="default" w:ascii="宋体" w:hAnsi="宋体" w:eastAsia="宋体" w:cs="宋体"/>
          <w:color w:val="auto"/>
          <w:sz w:val="21"/>
          <w:szCs w:val="21"/>
          <w:highlight w:val="none"/>
          <w:lang w:val="en-US" w:eastAsia="zh-CN"/>
        </w:rPr>
      </w:pPr>
      <w:r>
        <w:rPr>
          <w:rFonts w:hint="eastAsia" w:ascii="宋体" w:hAnsi="宋体" w:eastAsia="宋体" w:cs="宋体"/>
          <w:i w:val="0"/>
          <w:iCs w:val="0"/>
          <w:caps w:val="0"/>
          <w:color w:val="auto"/>
          <w:spacing w:val="0"/>
          <w:sz w:val="21"/>
          <w:szCs w:val="21"/>
          <w:highlight w:val="none"/>
        </w:rPr>
        <w:t>预算金额（元）：</w:t>
      </w:r>
      <w:r>
        <w:rPr>
          <w:rFonts w:hint="eastAsia" w:ascii="宋体" w:cs="宋体"/>
          <w:i w:val="0"/>
          <w:iCs w:val="0"/>
          <w:caps w:val="0"/>
          <w:color w:val="auto"/>
          <w:spacing w:val="0"/>
          <w:sz w:val="21"/>
          <w:szCs w:val="21"/>
          <w:highlight w:val="none"/>
          <w:lang w:val="en-US" w:eastAsia="zh-CN"/>
        </w:rPr>
        <w:t>4198800</w:t>
      </w:r>
    </w:p>
    <w:p w14:paraId="24ED9AF2">
      <w:pPr>
        <w:pStyle w:val="4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60" w:lineRule="exact"/>
        <w:ind w:left="0" w:right="0"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i w:val="0"/>
          <w:iCs w:val="0"/>
          <w:caps w:val="0"/>
          <w:color w:val="auto"/>
          <w:spacing w:val="0"/>
          <w:sz w:val="21"/>
          <w:szCs w:val="21"/>
          <w:highlight w:val="none"/>
        </w:rPr>
        <w:t>最高限价（元）：</w:t>
      </w:r>
      <w:r>
        <w:rPr>
          <w:rFonts w:hint="eastAsia" w:ascii="宋体" w:cs="宋体"/>
          <w:i w:val="0"/>
          <w:iCs w:val="0"/>
          <w:caps w:val="0"/>
          <w:color w:val="auto"/>
          <w:spacing w:val="0"/>
          <w:sz w:val="21"/>
          <w:szCs w:val="21"/>
          <w:highlight w:val="none"/>
          <w:lang w:val="en-US" w:eastAsia="zh-CN"/>
        </w:rPr>
        <w:t>4198800</w:t>
      </w:r>
    </w:p>
    <w:p w14:paraId="4717D995">
      <w:pPr>
        <w:pStyle w:val="4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60" w:lineRule="exact"/>
        <w:ind w:left="0" w:righ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rPr>
        <w:t>采购需求：</w:t>
      </w:r>
    </w:p>
    <w:p w14:paraId="3009311B">
      <w:pPr>
        <w:pStyle w:val="4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60" w:lineRule="exact"/>
        <w:ind w:left="420" w:leftChars="200" w:right="0" w:firstLine="0" w:firstLineChars="0"/>
        <w:textAlignment w:val="auto"/>
        <w:rPr>
          <w:rFonts w:hint="eastAsia" w:ascii="宋体" w:hAnsi="宋体" w:eastAsia="宋体" w:cs="宋体"/>
          <w:i w:val="0"/>
          <w:iCs w:val="0"/>
          <w:caps w:val="0"/>
          <w:color w:val="auto"/>
          <w:spacing w:val="0"/>
          <w:sz w:val="21"/>
          <w:szCs w:val="21"/>
          <w:highlight w:val="none"/>
          <w:shd w:val="clear" w:fill="F7F7F7"/>
        </w:rPr>
      </w:pPr>
      <w:r>
        <w:rPr>
          <w:rFonts w:hint="eastAsia" w:ascii="宋体" w:hAnsi="宋体" w:eastAsia="宋体" w:cs="宋体"/>
          <w:i w:val="0"/>
          <w:iCs w:val="0"/>
          <w:caps w:val="0"/>
          <w:color w:val="auto"/>
          <w:spacing w:val="0"/>
          <w:sz w:val="21"/>
          <w:szCs w:val="21"/>
          <w:highlight w:val="none"/>
          <w:shd w:val="clear" w:fill="F7F7F7"/>
        </w:rPr>
        <w:br w:type="textWrapping"/>
      </w:r>
      <w:r>
        <w:rPr>
          <w:rFonts w:hint="eastAsia" w:ascii="宋体" w:hAnsi="宋体" w:eastAsia="宋体" w:cs="宋体"/>
          <w:i w:val="0"/>
          <w:iCs w:val="0"/>
          <w:caps w:val="0"/>
          <w:color w:val="auto"/>
          <w:spacing w:val="0"/>
          <w:sz w:val="21"/>
          <w:szCs w:val="21"/>
          <w:highlight w:val="none"/>
          <w:shd w:val="clear" w:fill="F7F7F7"/>
        </w:rPr>
        <w:t>标项名称:</w:t>
      </w:r>
      <w:r>
        <w:rPr>
          <w:rFonts w:hint="eastAsia" w:ascii="宋体" w:cs="宋体"/>
          <w:i w:val="0"/>
          <w:iCs w:val="0"/>
          <w:caps w:val="0"/>
          <w:color w:val="auto"/>
          <w:spacing w:val="0"/>
          <w:sz w:val="21"/>
          <w:szCs w:val="21"/>
          <w:highlight w:val="none"/>
          <w:shd w:val="clear" w:fill="F7F7F7"/>
          <w:lang w:eastAsia="zh-CN"/>
        </w:rPr>
        <w:t>婺城区2025-2026年水库（山塘）维修养护（物业化管理）项目</w:t>
      </w:r>
      <w:r>
        <w:rPr>
          <w:rFonts w:hint="eastAsia" w:ascii="宋体" w:hAnsi="宋体" w:eastAsia="宋体" w:cs="宋体"/>
          <w:i w:val="0"/>
          <w:iCs w:val="0"/>
          <w:caps w:val="0"/>
          <w:color w:val="auto"/>
          <w:spacing w:val="0"/>
          <w:sz w:val="21"/>
          <w:szCs w:val="21"/>
          <w:highlight w:val="none"/>
          <w:shd w:val="clear" w:fill="F7F7F7"/>
        </w:rPr>
        <w:br w:type="textWrapping"/>
      </w:r>
      <w:r>
        <w:rPr>
          <w:rFonts w:hint="eastAsia" w:ascii="宋体" w:hAnsi="宋体" w:eastAsia="宋体" w:cs="宋体"/>
          <w:i w:val="0"/>
          <w:iCs w:val="0"/>
          <w:caps w:val="0"/>
          <w:color w:val="auto"/>
          <w:spacing w:val="0"/>
          <w:sz w:val="21"/>
          <w:szCs w:val="21"/>
          <w:highlight w:val="none"/>
          <w:shd w:val="clear" w:fill="F7F7F7"/>
        </w:rPr>
        <w:t>数量:不限</w:t>
      </w:r>
      <w:r>
        <w:rPr>
          <w:rFonts w:hint="eastAsia" w:ascii="宋体" w:hAnsi="宋体" w:eastAsia="宋体" w:cs="宋体"/>
          <w:i w:val="0"/>
          <w:iCs w:val="0"/>
          <w:caps w:val="0"/>
          <w:color w:val="auto"/>
          <w:spacing w:val="0"/>
          <w:sz w:val="21"/>
          <w:szCs w:val="21"/>
          <w:highlight w:val="none"/>
          <w:shd w:val="clear" w:fill="F7F7F7"/>
        </w:rPr>
        <w:br w:type="textWrapping"/>
      </w:r>
      <w:r>
        <w:rPr>
          <w:rFonts w:hint="eastAsia" w:ascii="宋体" w:hAnsi="宋体" w:eastAsia="宋体" w:cs="宋体"/>
          <w:i w:val="0"/>
          <w:iCs w:val="0"/>
          <w:caps w:val="0"/>
          <w:color w:val="auto"/>
          <w:spacing w:val="0"/>
          <w:sz w:val="21"/>
          <w:szCs w:val="21"/>
          <w:highlight w:val="none"/>
          <w:shd w:val="clear" w:fill="F7F7F7"/>
        </w:rPr>
        <w:t>预算金额（元）:</w:t>
      </w:r>
      <w:r>
        <w:rPr>
          <w:rFonts w:hint="eastAsia" w:ascii="宋体" w:cs="宋体"/>
          <w:i w:val="0"/>
          <w:iCs w:val="0"/>
          <w:caps w:val="0"/>
          <w:color w:val="auto"/>
          <w:spacing w:val="0"/>
          <w:sz w:val="21"/>
          <w:szCs w:val="21"/>
          <w:highlight w:val="none"/>
          <w:lang w:val="en-US" w:eastAsia="zh-CN"/>
        </w:rPr>
        <w:t>4198800</w:t>
      </w:r>
      <w:r>
        <w:rPr>
          <w:rFonts w:hint="eastAsia" w:ascii="宋体" w:hAnsi="宋体" w:eastAsia="宋体" w:cs="宋体"/>
          <w:i w:val="0"/>
          <w:iCs w:val="0"/>
          <w:caps w:val="0"/>
          <w:color w:val="auto"/>
          <w:spacing w:val="0"/>
          <w:sz w:val="21"/>
          <w:szCs w:val="21"/>
          <w:highlight w:val="none"/>
          <w:shd w:val="clear" w:fill="F7F7F7"/>
        </w:rPr>
        <w:br w:type="textWrapping"/>
      </w:r>
      <w:r>
        <w:rPr>
          <w:rFonts w:hint="eastAsia" w:ascii="宋体" w:hAnsi="宋体" w:eastAsia="宋体" w:cs="宋体"/>
          <w:i w:val="0"/>
          <w:iCs w:val="0"/>
          <w:caps w:val="0"/>
          <w:color w:val="auto"/>
          <w:spacing w:val="0"/>
          <w:sz w:val="21"/>
          <w:szCs w:val="21"/>
          <w:highlight w:val="none"/>
          <w:shd w:val="clear" w:fill="F7F7F7"/>
        </w:rPr>
        <w:t>简要规格描述或项目基本概况介绍、用途：详见第二章招标需求</w:t>
      </w:r>
      <w:r>
        <w:rPr>
          <w:rFonts w:hint="eastAsia" w:ascii="宋体" w:hAnsi="宋体" w:eastAsia="宋体" w:cs="宋体"/>
          <w:i w:val="0"/>
          <w:iCs w:val="0"/>
          <w:caps w:val="0"/>
          <w:color w:val="auto"/>
          <w:spacing w:val="0"/>
          <w:sz w:val="21"/>
          <w:szCs w:val="21"/>
          <w:highlight w:val="none"/>
          <w:shd w:val="clear" w:fill="F7F7F7"/>
        </w:rPr>
        <w:br w:type="textWrapping"/>
      </w:r>
      <w:r>
        <w:rPr>
          <w:rFonts w:hint="eastAsia" w:ascii="宋体" w:hAnsi="宋体" w:eastAsia="宋体" w:cs="宋体"/>
          <w:i w:val="0"/>
          <w:iCs w:val="0"/>
          <w:caps w:val="0"/>
          <w:color w:val="auto"/>
          <w:spacing w:val="0"/>
          <w:sz w:val="21"/>
          <w:szCs w:val="21"/>
          <w:highlight w:val="none"/>
          <w:shd w:val="clear" w:fill="F7F7F7"/>
        </w:rPr>
        <w:t>备注：</w:t>
      </w:r>
    </w:p>
    <w:p w14:paraId="639BA529">
      <w:pPr>
        <w:pStyle w:val="4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60" w:lineRule="exact"/>
        <w:ind w:left="420" w:leftChars="200" w:right="0" w:firstLine="0" w:firstLineChars="0"/>
        <w:textAlignment w:val="auto"/>
        <w:rPr>
          <w:rFonts w:hint="eastAsia" w:ascii="宋体" w:hAnsi="宋体" w:eastAsia="宋体" w:cs="宋体"/>
          <w:i w:val="0"/>
          <w:iCs w:val="0"/>
          <w:caps w:val="0"/>
          <w:color w:val="auto"/>
          <w:spacing w:val="0"/>
          <w:sz w:val="21"/>
          <w:szCs w:val="21"/>
          <w:highlight w:val="none"/>
        </w:rPr>
      </w:pPr>
      <w:r>
        <w:rPr>
          <w:rFonts w:hint="eastAsia" w:ascii="宋体" w:hAnsi="宋体" w:eastAsia="宋体" w:cs="宋体"/>
          <w:i w:val="0"/>
          <w:iCs w:val="0"/>
          <w:caps w:val="0"/>
          <w:color w:val="auto"/>
          <w:spacing w:val="0"/>
          <w:sz w:val="21"/>
          <w:szCs w:val="21"/>
          <w:highlight w:val="none"/>
        </w:rPr>
        <w:t>合同履约期限：标项 1，</w:t>
      </w:r>
      <w:r>
        <w:rPr>
          <w:rFonts w:hint="eastAsia" w:ascii="宋体" w:cs="宋体"/>
          <w:color w:val="auto"/>
          <w:sz w:val="21"/>
          <w:szCs w:val="21"/>
          <w:highlight w:val="none"/>
          <w:lang w:eastAsia="zh-CN"/>
        </w:rPr>
        <w:t>自合同签订之日起</w:t>
      </w:r>
      <w:r>
        <w:rPr>
          <w:rFonts w:hint="eastAsia" w:ascii="宋体" w:cs="宋体"/>
          <w:color w:val="auto"/>
          <w:sz w:val="21"/>
          <w:szCs w:val="21"/>
          <w:highlight w:val="none"/>
          <w:lang w:val="en-US" w:eastAsia="zh-CN"/>
        </w:rPr>
        <w:t>2</w:t>
      </w:r>
      <w:r>
        <w:rPr>
          <w:rFonts w:hint="default" w:ascii="宋体" w:cs="宋体"/>
          <w:color w:val="auto"/>
          <w:sz w:val="21"/>
          <w:szCs w:val="21"/>
          <w:highlight w:val="none"/>
        </w:rPr>
        <w:t>年</w:t>
      </w:r>
      <w:r>
        <w:rPr>
          <w:rFonts w:hint="eastAsia" w:ascii="宋体" w:hAnsi="宋体" w:eastAsia="宋体" w:cs="宋体"/>
          <w:i w:val="0"/>
          <w:iCs w:val="0"/>
          <w:caps w:val="0"/>
          <w:color w:val="auto"/>
          <w:spacing w:val="0"/>
          <w:sz w:val="21"/>
          <w:szCs w:val="21"/>
          <w:highlight w:val="none"/>
        </w:rPr>
        <w:t>。</w:t>
      </w:r>
    </w:p>
    <w:p w14:paraId="38BA3922">
      <w:pPr>
        <w:pStyle w:val="4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60" w:lineRule="exact"/>
        <w:ind w:left="420" w:leftChars="200" w:right="0"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rPr>
        <w:t>本项目（否）接受联合体投标。</w:t>
      </w:r>
    </w:p>
    <w:p w14:paraId="6171681D">
      <w:pPr>
        <w:pStyle w:val="4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60" w:lineRule="exact"/>
        <w:ind w:left="0" w:right="0"/>
        <w:jc w:val="both"/>
        <w:textAlignment w:val="auto"/>
        <w:rPr>
          <w:rStyle w:val="49"/>
          <w:rFonts w:hint="eastAsia" w:ascii="宋体" w:hAnsi="宋体" w:eastAsia="宋体" w:cs="宋体"/>
          <w:i w:val="0"/>
          <w:iCs w:val="0"/>
          <w:caps w:val="0"/>
          <w:color w:val="auto"/>
          <w:spacing w:val="0"/>
          <w:sz w:val="21"/>
          <w:szCs w:val="21"/>
          <w:highlight w:val="none"/>
        </w:rPr>
      </w:pPr>
      <w:r>
        <w:rPr>
          <w:rStyle w:val="49"/>
          <w:rFonts w:hint="eastAsia" w:ascii="宋体" w:hAnsi="宋体" w:eastAsia="宋体" w:cs="宋体"/>
          <w:i w:val="0"/>
          <w:iCs w:val="0"/>
          <w:caps w:val="0"/>
          <w:color w:val="auto"/>
          <w:spacing w:val="0"/>
          <w:sz w:val="21"/>
          <w:szCs w:val="21"/>
          <w:highlight w:val="none"/>
        </w:rPr>
        <w:t>二、申请人的资格要求：</w:t>
      </w:r>
    </w:p>
    <w:p w14:paraId="5341EE0C">
      <w:pPr>
        <w:pStyle w:val="4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60" w:lineRule="exact"/>
        <w:ind w:left="0" w:righ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rPr>
        <w:t>1.满足《中华人民共和国政府采购法》第二十二条规定；未被“信用中国”（www.creditchina.gov.cn)、中国政府采购网（www.ccgp.gov.cn）列入失信被执行人、重大税收违法失信主体、政府采购严重违法失信行为记录名单。</w:t>
      </w:r>
    </w:p>
    <w:p w14:paraId="35DE9E7B">
      <w:pPr>
        <w:pStyle w:val="4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60" w:lineRule="exact"/>
        <w:ind w:left="0" w:righ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rPr>
        <w:t>2.落实政府采购政策需满足的资格要求：标项1：本项目所属行业为</w:t>
      </w:r>
      <w:r>
        <w:rPr>
          <w:rFonts w:hint="eastAsia" w:ascii="宋体" w:cs="宋体"/>
          <w:i w:val="0"/>
          <w:iCs w:val="0"/>
          <w:caps w:val="0"/>
          <w:color w:val="auto"/>
          <w:spacing w:val="0"/>
          <w:sz w:val="21"/>
          <w:szCs w:val="21"/>
          <w:highlight w:val="none"/>
          <w:lang w:eastAsia="zh-CN"/>
        </w:rPr>
        <w:t>“</w:t>
      </w:r>
      <w:r>
        <w:rPr>
          <w:rFonts w:hint="eastAsia" w:ascii="宋体" w:hAnsi="宋体" w:eastAsia="宋体" w:cs="宋体"/>
          <w:i w:val="0"/>
          <w:iCs w:val="0"/>
          <w:caps w:val="0"/>
          <w:color w:val="auto"/>
          <w:spacing w:val="0"/>
          <w:sz w:val="21"/>
          <w:szCs w:val="21"/>
          <w:highlight w:val="none"/>
        </w:rPr>
        <w:t>其他未列明行业</w:t>
      </w:r>
      <w:r>
        <w:rPr>
          <w:rFonts w:hint="eastAsia" w:ascii="宋体" w:cs="宋体"/>
          <w:i w:val="0"/>
          <w:iCs w:val="0"/>
          <w:caps w:val="0"/>
          <w:color w:val="auto"/>
          <w:spacing w:val="0"/>
          <w:sz w:val="21"/>
          <w:szCs w:val="21"/>
          <w:highlight w:val="none"/>
          <w:lang w:eastAsia="zh-CN"/>
        </w:rPr>
        <w:t>”</w:t>
      </w:r>
      <w:r>
        <w:rPr>
          <w:rFonts w:hint="eastAsia" w:ascii="宋体" w:hAnsi="宋体" w:eastAsia="宋体" w:cs="宋体"/>
          <w:i w:val="0"/>
          <w:iCs w:val="0"/>
          <w:caps w:val="0"/>
          <w:color w:val="auto"/>
          <w:spacing w:val="0"/>
          <w:sz w:val="21"/>
          <w:szCs w:val="21"/>
          <w:highlight w:val="none"/>
        </w:rPr>
        <w:t>，投标人为中小企业/小微企业。</w:t>
      </w:r>
    </w:p>
    <w:p w14:paraId="47C8580C">
      <w:pPr>
        <w:pStyle w:val="4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60" w:lineRule="exact"/>
        <w:ind w:left="0" w:right="0" w:firstLine="420" w:firstLineChars="200"/>
        <w:textAlignment w:val="auto"/>
        <w:rPr>
          <w:rFonts w:hint="eastAsia" w:ascii="宋体" w:hAnsi="宋体" w:eastAsia="宋体" w:cs="宋体"/>
          <w:i w:val="0"/>
          <w:iCs w:val="0"/>
          <w:caps w:val="0"/>
          <w:color w:val="auto"/>
          <w:spacing w:val="0"/>
          <w:sz w:val="21"/>
          <w:szCs w:val="21"/>
          <w:highlight w:val="none"/>
        </w:rPr>
      </w:pPr>
      <w:r>
        <w:rPr>
          <w:rFonts w:hint="eastAsia" w:ascii="宋体" w:hAnsi="宋体" w:eastAsia="宋体" w:cs="宋体"/>
          <w:i w:val="0"/>
          <w:iCs w:val="0"/>
          <w:caps w:val="0"/>
          <w:color w:val="auto"/>
          <w:spacing w:val="0"/>
          <w:sz w:val="21"/>
          <w:szCs w:val="21"/>
          <w:highlight w:val="none"/>
        </w:rPr>
        <w:t>3.本项目的特定资格要求：</w:t>
      </w:r>
    </w:p>
    <w:p w14:paraId="50201087">
      <w:pPr>
        <w:pStyle w:val="4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60" w:lineRule="exact"/>
        <w:ind w:left="0" w:right="0" w:firstLine="420" w:firstLineChars="200"/>
        <w:textAlignment w:val="auto"/>
        <w:rPr>
          <w:rFonts w:hint="eastAsia" w:ascii="宋体" w:hAnsi="宋体" w:eastAsia="宋体" w:cs="宋体"/>
          <w:i w:val="0"/>
          <w:iCs w:val="0"/>
          <w:caps w:val="0"/>
          <w:color w:val="auto"/>
          <w:spacing w:val="0"/>
          <w:sz w:val="21"/>
          <w:szCs w:val="21"/>
          <w:highlight w:val="none"/>
          <w:lang w:val="zh-CN"/>
        </w:rPr>
      </w:pPr>
      <w:r>
        <w:rPr>
          <w:rFonts w:hint="eastAsia" w:ascii="宋体" w:hAnsi="宋体" w:eastAsia="宋体" w:cs="宋体"/>
          <w:i w:val="0"/>
          <w:iCs w:val="0"/>
          <w:caps w:val="0"/>
          <w:color w:val="auto"/>
          <w:spacing w:val="0"/>
          <w:sz w:val="21"/>
          <w:szCs w:val="21"/>
          <w:highlight w:val="none"/>
          <w:lang w:val="zh-CN"/>
        </w:rPr>
        <w:t>（1）企业具有水利水电工程施工总承包叁级及以上资质。</w:t>
      </w:r>
    </w:p>
    <w:p w14:paraId="5E26500B">
      <w:pPr>
        <w:pStyle w:val="4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60" w:lineRule="exact"/>
        <w:ind w:left="0" w:right="0" w:firstLine="420" w:firstLineChars="200"/>
        <w:textAlignment w:val="auto"/>
        <w:rPr>
          <w:rFonts w:hint="eastAsia" w:ascii="宋体" w:hAnsi="宋体" w:eastAsia="宋体" w:cs="宋体"/>
          <w:i w:val="0"/>
          <w:iCs w:val="0"/>
          <w:caps w:val="0"/>
          <w:color w:val="auto"/>
          <w:spacing w:val="0"/>
          <w:sz w:val="21"/>
          <w:szCs w:val="21"/>
          <w:highlight w:val="none"/>
          <w:lang w:val="zh-CN"/>
        </w:rPr>
      </w:pPr>
      <w:r>
        <w:rPr>
          <w:rFonts w:hint="eastAsia" w:ascii="宋体" w:hAnsi="宋体" w:eastAsia="宋体" w:cs="宋体"/>
          <w:i w:val="0"/>
          <w:iCs w:val="0"/>
          <w:caps w:val="0"/>
          <w:color w:val="auto"/>
          <w:spacing w:val="0"/>
          <w:sz w:val="21"/>
          <w:szCs w:val="21"/>
          <w:highlight w:val="none"/>
          <w:lang w:val="zh-CN"/>
        </w:rPr>
        <w:t>（2）项目负责人为水利水电工程二级（含）以上资格的建造师且无因犯罪被判刑在刑期内。</w:t>
      </w:r>
    </w:p>
    <w:p w14:paraId="62F155BC">
      <w:pPr>
        <w:pStyle w:val="4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60" w:lineRule="exact"/>
        <w:ind w:left="0" w:right="0" w:firstLine="420" w:firstLineChars="200"/>
        <w:textAlignment w:val="auto"/>
        <w:rPr>
          <w:rFonts w:hint="eastAsia" w:ascii="宋体" w:hAnsi="宋体" w:eastAsia="宋体" w:cs="宋体"/>
          <w:i w:val="0"/>
          <w:iCs w:val="0"/>
          <w:caps w:val="0"/>
          <w:color w:val="auto"/>
          <w:spacing w:val="0"/>
          <w:sz w:val="21"/>
          <w:szCs w:val="21"/>
          <w:highlight w:val="none"/>
          <w:lang w:val="zh-CN"/>
        </w:rPr>
      </w:pPr>
      <w:r>
        <w:rPr>
          <w:rFonts w:hint="eastAsia" w:ascii="宋体" w:hAnsi="宋体" w:eastAsia="宋体" w:cs="宋体"/>
          <w:i w:val="0"/>
          <w:iCs w:val="0"/>
          <w:caps w:val="0"/>
          <w:color w:val="auto"/>
          <w:spacing w:val="0"/>
          <w:sz w:val="21"/>
          <w:szCs w:val="21"/>
          <w:highlight w:val="none"/>
          <w:lang w:val="zh-CN"/>
        </w:rPr>
        <w:t>（3）企业具备“三类人员”证书：</w:t>
      </w:r>
    </w:p>
    <w:p w14:paraId="527D5A13">
      <w:pPr>
        <w:pStyle w:val="4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60" w:lineRule="exact"/>
        <w:ind w:left="0" w:right="0" w:firstLine="420" w:firstLineChars="200"/>
        <w:textAlignment w:val="auto"/>
        <w:rPr>
          <w:rFonts w:hint="eastAsia" w:ascii="宋体" w:hAnsi="宋体" w:eastAsia="宋体" w:cs="宋体"/>
          <w:i w:val="0"/>
          <w:iCs w:val="0"/>
          <w:caps w:val="0"/>
          <w:color w:val="auto"/>
          <w:spacing w:val="0"/>
          <w:sz w:val="21"/>
          <w:szCs w:val="21"/>
          <w:highlight w:val="none"/>
          <w:lang w:val="zh-CN"/>
        </w:rPr>
      </w:pPr>
      <w:r>
        <w:rPr>
          <w:rFonts w:hint="eastAsia" w:ascii="宋体" w:hAnsi="宋体" w:eastAsia="宋体" w:cs="宋体"/>
          <w:i w:val="0"/>
          <w:iCs w:val="0"/>
          <w:caps w:val="0"/>
          <w:color w:val="auto"/>
          <w:spacing w:val="0"/>
          <w:sz w:val="21"/>
          <w:szCs w:val="21"/>
          <w:highlight w:val="none"/>
          <w:lang w:val="zh-CN"/>
        </w:rPr>
        <w:t>①企业法定代表人、企业经理（须附任职文件）、企业安全生产副经理（须附任职文件）、企业技术负责人（须附任职文件）A类证书项目负责人B类证书；</w:t>
      </w:r>
    </w:p>
    <w:p w14:paraId="103E8252">
      <w:pPr>
        <w:pStyle w:val="4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60" w:lineRule="exact"/>
        <w:ind w:left="0" w:righ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lang w:val="zh-CN"/>
        </w:rPr>
        <w:t>②安全生产专职管理人员C类证书。</w:t>
      </w:r>
    </w:p>
    <w:p w14:paraId="7E7239BE">
      <w:pPr>
        <w:pStyle w:val="4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60" w:lineRule="exact"/>
        <w:ind w:left="0" w:right="0"/>
        <w:jc w:val="both"/>
        <w:textAlignment w:val="auto"/>
        <w:rPr>
          <w:rStyle w:val="49"/>
          <w:rFonts w:hint="eastAsia" w:ascii="宋体" w:hAnsi="宋体" w:eastAsia="宋体" w:cs="宋体"/>
          <w:i w:val="0"/>
          <w:iCs w:val="0"/>
          <w:caps w:val="0"/>
          <w:color w:val="auto"/>
          <w:spacing w:val="0"/>
          <w:sz w:val="21"/>
          <w:szCs w:val="21"/>
          <w:highlight w:val="none"/>
        </w:rPr>
      </w:pPr>
      <w:r>
        <w:rPr>
          <w:rStyle w:val="49"/>
          <w:rFonts w:hint="eastAsia" w:ascii="宋体" w:hAnsi="宋体" w:eastAsia="宋体" w:cs="宋体"/>
          <w:i w:val="0"/>
          <w:iCs w:val="0"/>
          <w:caps w:val="0"/>
          <w:color w:val="auto"/>
          <w:spacing w:val="0"/>
          <w:sz w:val="21"/>
          <w:szCs w:val="21"/>
          <w:highlight w:val="none"/>
        </w:rPr>
        <w:t>三、获取招标文件</w:t>
      </w:r>
    </w:p>
    <w:p w14:paraId="06B08F63">
      <w:pPr>
        <w:pStyle w:val="4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60" w:lineRule="exact"/>
        <w:ind w:left="0" w:righ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rPr>
        <w:t>时间：/至202</w:t>
      </w:r>
      <w:r>
        <w:rPr>
          <w:rFonts w:hint="eastAsia" w:ascii="宋体" w:cs="宋体"/>
          <w:i w:val="0"/>
          <w:iCs w:val="0"/>
          <w:caps w:val="0"/>
          <w:color w:val="auto"/>
          <w:spacing w:val="0"/>
          <w:sz w:val="21"/>
          <w:szCs w:val="21"/>
          <w:highlight w:val="none"/>
          <w:lang w:val="en-US" w:eastAsia="zh-CN"/>
        </w:rPr>
        <w:t>5</w:t>
      </w:r>
      <w:r>
        <w:rPr>
          <w:rFonts w:hint="eastAsia" w:ascii="宋体" w:hAnsi="宋体" w:eastAsia="宋体" w:cs="宋体"/>
          <w:i w:val="0"/>
          <w:iCs w:val="0"/>
          <w:caps w:val="0"/>
          <w:color w:val="auto"/>
          <w:spacing w:val="0"/>
          <w:sz w:val="21"/>
          <w:szCs w:val="21"/>
          <w:highlight w:val="none"/>
        </w:rPr>
        <w:t>年</w:t>
      </w:r>
      <w:r>
        <w:rPr>
          <w:rFonts w:hint="eastAsia" w:ascii="宋体" w:cs="宋体"/>
          <w:i w:val="0"/>
          <w:iCs w:val="0"/>
          <w:caps w:val="0"/>
          <w:color w:val="auto"/>
          <w:spacing w:val="0"/>
          <w:sz w:val="21"/>
          <w:szCs w:val="21"/>
          <w:highlight w:val="none"/>
          <w:lang w:val="en-US" w:eastAsia="zh-CN"/>
        </w:rPr>
        <w:t>03</w:t>
      </w:r>
      <w:r>
        <w:rPr>
          <w:rFonts w:hint="eastAsia" w:ascii="宋体" w:hAnsi="宋体" w:eastAsia="宋体" w:cs="宋体"/>
          <w:i w:val="0"/>
          <w:iCs w:val="0"/>
          <w:caps w:val="0"/>
          <w:color w:val="auto"/>
          <w:spacing w:val="0"/>
          <w:sz w:val="21"/>
          <w:szCs w:val="21"/>
          <w:highlight w:val="none"/>
        </w:rPr>
        <w:t>月</w:t>
      </w:r>
      <w:r>
        <w:rPr>
          <w:rFonts w:hint="eastAsia" w:ascii="宋体" w:cs="宋体"/>
          <w:i w:val="0"/>
          <w:iCs w:val="0"/>
          <w:caps w:val="0"/>
          <w:color w:val="auto"/>
          <w:spacing w:val="0"/>
          <w:sz w:val="21"/>
          <w:szCs w:val="21"/>
          <w:highlight w:val="none"/>
          <w:lang w:val="en-US" w:eastAsia="zh-CN"/>
        </w:rPr>
        <w:t>20</w:t>
      </w:r>
      <w:r>
        <w:rPr>
          <w:rFonts w:hint="eastAsia" w:ascii="宋体" w:hAnsi="宋体" w:eastAsia="宋体" w:cs="宋体"/>
          <w:i w:val="0"/>
          <w:iCs w:val="0"/>
          <w:caps w:val="0"/>
          <w:color w:val="auto"/>
          <w:spacing w:val="0"/>
          <w:sz w:val="21"/>
          <w:szCs w:val="21"/>
          <w:highlight w:val="none"/>
        </w:rPr>
        <w:t>日，每天上午00:00至12:00，下午12:00至23:59（北京时间，线上获取法定节假日均可，线下获取文件法定节假日除外）</w:t>
      </w:r>
    </w:p>
    <w:p w14:paraId="13F71874">
      <w:pPr>
        <w:pStyle w:val="4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60" w:lineRule="exact"/>
        <w:ind w:left="0" w:righ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rPr>
        <w:t>地点（网址）：政采云平台线上获取</w:t>
      </w:r>
    </w:p>
    <w:p w14:paraId="5A089241">
      <w:pPr>
        <w:pStyle w:val="4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60" w:lineRule="exact"/>
        <w:ind w:left="0" w:righ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rPr>
        <w:t>方式：供应商登录政采云平台https://www.zcygov.cn/在线申请获取采购文件（进入“项目采购”应用，在获取采购文件菜单中选择项目，申请获取采购文件）</w:t>
      </w:r>
    </w:p>
    <w:p w14:paraId="74CB9867">
      <w:pPr>
        <w:pStyle w:val="4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60" w:lineRule="exact"/>
        <w:ind w:left="0" w:righ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rPr>
        <w:t>售价（元）：0</w:t>
      </w:r>
    </w:p>
    <w:p w14:paraId="32B0ED75">
      <w:pPr>
        <w:pStyle w:val="4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60" w:lineRule="exact"/>
        <w:ind w:left="0" w:right="0"/>
        <w:jc w:val="both"/>
        <w:textAlignment w:val="auto"/>
        <w:rPr>
          <w:rStyle w:val="49"/>
          <w:rFonts w:hint="eastAsia" w:ascii="宋体" w:hAnsi="宋体" w:eastAsia="宋体" w:cs="宋体"/>
          <w:i w:val="0"/>
          <w:iCs w:val="0"/>
          <w:caps w:val="0"/>
          <w:color w:val="auto"/>
          <w:spacing w:val="0"/>
          <w:sz w:val="21"/>
          <w:szCs w:val="21"/>
          <w:highlight w:val="none"/>
        </w:rPr>
      </w:pPr>
      <w:r>
        <w:rPr>
          <w:rStyle w:val="49"/>
          <w:rFonts w:hint="eastAsia" w:ascii="宋体" w:hAnsi="宋体" w:eastAsia="宋体" w:cs="宋体"/>
          <w:i w:val="0"/>
          <w:iCs w:val="0"/>
          <w:caps w:val="0"/>
          <w:color w:val="auto"/>
          <w:spacing w:val="0"/>
          <w:sz w:val="21"/>
          <w:szCs w:val="21"/>
          <w:highlight w:val="none"/>
        </w:rPr>
        <w:t>四、提交投标文件截止时间、开标时间和地点</w:t>
      </w:r>
    </w:p>
    <w:p w14:paraId="7158571F">
      <w:pPr>
        <w:pStyle w:val="4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60" w:lineRule="exact"/>
        <w:ind w:left="0" w:righ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rPr>
        <w:t>提交投标文件截止时间：202</w:t>
      </w:r>
      <w:r>
        <w:rPr>
          <w:rFonts w:hint="eastAsia" w:ascii="宋体" w:cs="宋体"/>
          <w:i w:val="0"/>
          <w:iCs w:val="0"/>
          <w:caps w:val="0"/>
          <w:color w:val="auto"/>
          <w:spacing w:val="0"/>
          <w:sz w:val="21"/>
          <w:szCs w:val="21"/>
          <w:highlight w:val="none"/>
          <w:lang w:val="en-US" w:eastAsia="zh-CN"/>
        </w:rPr>
        <w:t>5</w:t>
      </w:r>
      <w:r>
        <w:rPr>
          <w:rFonts w:hint="eastAsia" w:ascii="宋体" w:hAnsi="宋体" w:eastAsia="宋体" w:cs="宋体"/>
          <w:i w:val="0"/>
          <w:iCs w:val="0"/>
          <w:caps w:val="0"/>
          <w:color w:val="auto"/>
          <w:spacing w:val="0"/>
          <w:sz w:val="21"/>
          <w:szCs w:val="21"/>
          <w:highlight w:val="none"/>
        </w:rPr>
        <w:t>年</w:t>
      </w:r>
      <w:r>
        <w:rPr>
          <w:rFonts w:hint="eastAsia" w:ascii="宋体" w:cs="宋体"/>
          <w:i w:val="0"/>
          <w:iCs w:val="0"/>
          <w:caps w:val="0"/>
          <w:color w:val="auto"/>
          <w:spacing w:val="0"/>
          <w:sz w:val="21"/>
          <w:szCs w:val="21"/>
          <w:highlight w:val="none"/>
          <w:lang w:val="en-US" w:eastAsia="zh-CN"/>
        </w:rPr>
        <w:t>03</w:t>
      </w:r>
      <w:r>
        <w:rPr>
          <w:rFonts w:hint="eastAsia" w:ascii="宋体" w:hAnsi="宋体" w:eastAsia="宋体" w:cs="宋体"/>
          <w:i w:val="0"/>
          <w:iCs w:val="0"/>
          <w:caps w:val="0"/>
          <w:color w:val="auto"/>
          <w:spacing w:val="0"/>
          <w:sz w:val="21"/>
          <w:szCs w:val="21"/>
          <w:highlight w:val="none"/>
        </w:rPr>
        <w:t>月</w:t>
      </w:r>
      <w:r>
        <w:rPr>
          <w:rFonts w:hint="eastAsia" w:ascii="宋体" w:cs="宋体"/>
          <w:i w:val="0"/>
          <w:iCs w:val="0"/>
          <w:caps w:val="0"/>
          <w:color w:val="auto"/>
          <w:spacing w:val="0"/>
          <w:sz w:val="21"/>
          <w:szCs w:val="21"/>
          <w:highlight w:val="none"/>
          <w:lang w:val="en-US" w:eastAsia="zh-CN"/>
        </w:rPr>
        <w:t>20</w:t>
      </w:r>
      <w:r>
        <w:rPr>
          <w:rFonts w:hint="eastAsia" w:ascii="宋体" w:hAnsi="宋体" w:eastAsia="宋体" w:cs="宋体"/>
          <w:i w:val="0"/>
          <w:iCs w:val="0"/>
          <w:caps w:val="0"/>
          <w:color w:val="auto"/>
          <w:spacing w:val="0"/>
          <w:sz w:val="21"/>
          <w:szCs w:val="21"/>
          <w:highlight w:val="none"/>
        </w:rPr>
        <w:t>日</w:t>
      </w:r>
      <w:r>
        <w:rPr>
          <w:rFonts w:hint="eastAsia" w:ascii="宋体" w:cs="宋体"/>
          <w:i w:val="0"/>
          <w:iCs w:val="0"/>
          <w:caps w:val="0"/>
          <w:color w:val="auto"/>
          <w:spacing w:val="0"/>
          <w:sz w:val="21"/>
          <w:szCs w:val="21"/>
          <w:highlight w:val="none"/>
          <w:lang w:val="en-US" w:eastAsia="zh-CN"/>
        </w:rPr>
        <w:t>09</w:t>
      </w:r>
      <w:r>
        <w:rPr>
          <w:rFonts w:hint="eastAsia" w:ascii="宋体" w:hAnsi="宋体" w:eastAsia="宋体" w:cs="宋体"/>
          <w:i w:val="0"/>
          <w:iCs w:val="0"/>
          <w:caps w:val="0"/>
          <w:color w:val="auto"/>
          <w:spacing w:val="0"/>
          <w:sz w:val="21"/>
          <w:szCs w:val="21"/>
          <w:highlight w:val="none"/>
        </w:rPr>
        <w:t>:30（北京时间）</w:t>
      </w:r>
    </w:p>
    <w:p w14:paraId="4DAAAA9C">
      <w:pPr>
        <w:pStyle w:val="4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60" w:lineRule="exact"/>
        <w:ind w:left="0" w:righ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rPr>
        <w:t>投标地点（网址）：请登录政采云投标客户端投标</w:t>
      </w:r>
    </w:p>
    <w:p w14:paraId="4CC78B90">
      <w:pPr>
        <w:pStyle w:val="4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60" w:lineRule="exact"/>
        <w:ind w:left="0" w:righ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rPr>
        <w:t>开标时间：202</w:t>
      </w:r>
      <w:r>
        <w:rPr>
          <w:rFonts w:hint="eastAsia" w:ascii="宋体" w:cs="宋体"/>
          <w:i w:val="0"/>
          <w:iCs w:val="0"/>
          <w:caps w:val="0"/>
          <w:color w:val="auto"/>
          <w:spacing w:val="0"/>
          <w:sz w:val="21"/>
          <w:szCs w:val="21"/>
          <w:highlight w:val="none"/>
          <w:lang w:val="en-US" w:eastAsia="zh-CN"/>
        </w:rPr>
        <w:t>5</w:t>
      </w:r>
      <w:r>
        <w:rPr>
          <w:rFonts w:hint="eastAsia" w:ascii="宋体" w:hAnsi="宋体" w:eastAsia="宋体" w:cs="宋体"/>
          <w:i w:val="0"/>
          <w:iCs w:val="0"/>
          <w:caps w:val="0"/>
          <w:color w:val="auto"/>
          <w:spacing w:val="0"/>
          <w:sz w:val="21"/>
          <w:szCs w:val="21"/>
          <w:highlight w:val="none"/>
        </w:rPr>
        <w:t>年</w:t>
      </w:r>
      <w:r>
        <w:rPr>
          <w:rFonts w:hint="eastAsia" w:ascii="宋体" w:cs="宋体"/>
          <w:i w:val="0"/>
          <w:iCs w:val="0"/>
          <w:caps w:val="0"/>
          <w:color w:val="auto"/>
          <w:spacing w:val="0"/>
          <w:sz w:val="21"/>
          <w:szCs w:val="21"/>
          <w:highlight w:val="none"/>
          <w:lang w:val="en-US" w:eastAsia="zh-CN"/>
        </w:rPr>
        <w:t>03</w:t>
      </w:r>
      <w:r>
        <w:rPr>
          <w:rFonts w:hint="eastAsia" w:ascii="宋体" w:hAnsi="宋体" w:eastAsia="宋体" w:cs="宋体"/>
          <w:i w:val="0"/>
          <w:iCs w:val="0"/>
          <w:caps w:val="0"/>
          <w:color w:val="auto"/>
          <w:spacing w:val="0"/>
          <w:sz w:val="21"/>
          <w:szCs w:val="21"/>
          <w:highlight w:val="none"/>
        </w:rPr>
        <w:t>月</w:t>
      </w:r>
      <w:r>
        <w:rPr>
          <w:rFonts w:hint="eastAsia" w:ascii="宋体" w:cs="宋体"/>
          <w:i w:val="0"/>
          <w:iCs w:val="0"/>
          <w:caps w:val="0"/>
          <w:color w:val="auto"/>
          <w:spacing w:val="0"/>
          <w:sz w:val="21"/>
          <w:szCs w:val="21"/>
          <w:highlight w:val="none"/>
          <w:lang w:val="en-US" w:eastAsia="zh-CN"/>
        </w:rPr>
        <w:t>20</w:t>
      </w:r>
      <w:r>
        <w:rPr>
          <w:rFonts w:hint="eastAsia" w:ascii="宋体" w:hAnsi="宋体" w:eastAsia="宋体" w:cs="宋体"/>
          <w:i w:val="0"/>
          <w:iCs w:val="0"/>
          <w:caps w:val="0"/>
          <w:color w:val="auto"/>
          <w:spacing w:val="0"/>
          <w:sz w:val="21"/>
          <w:szCs w:val="21"/>
          <w:highlight w:val="none"/>
        </w:rPr>
        <w:t>日</w:t>
      </w:r>
      <w:r>
        <w:rPr>
          <w:rFonts w:hint="eastAsia" w:ascii="宋体" w:cs="宋体"/>
          <w:i w:val="0"/>
          <w:iCs w:val="0"/>
          <w:caps w:val="0"/>
          <w:color w:val="auto"/>
          <w:spacing w:val="0"/>
          <w:sz w:val="21"/>
          <w:szCs w:val="21"/>
          <w:highlight w:val="none"/>
          <w:lang w:val="en-US" w:eastAsia="zh-CN"/>
        </w:rPr>
        <w:t>09</w:t>
      </w:r>
      <w:r>
        <w:rPr>
          <w:rFonts w:hint="eastAsia" w:ascii="宋体" w:hAnsi="宋体" w:eastAsia="宋体" w:cs="宋体"/>
          <w:i w:val="0"/>
          <w:iCs w:val="0"/>
          <w:caps w:val="0"/>
          <w:color w:val="auto"/>
          <w:spacing w:val="0"/>
          <w:sz w:val="21"/>
          <w:szCs w:val="21"/>
          <w:highlight w:val="none"/>
        </w:rPr>
        <w:t>:30</w:t>
      </w:r>
    </w:p>
    <w:p w14:paraId="44D72F21">
      <w:pPr>
        <w:pStyle w:val="4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60" w:lineRule="exact"/>
        <w:ind w:right="0" w:firstLine="420" w:firstLineChars="200"/>
        <w:textAlignment w:val="auto"/>
        <w:rPr>
          <w:rFonts w:hint="eastAsia" w:ascii="宋体" w:hAnsi="宋体" w:eastAsia="宋体" w:cs="宋体"/>
          <w:i w:val="0"/>
          <w:iCs w:val="0"/>
          <w:caps w:val="0"/>
          <w:color w:val="auto"/>
          <w:spacing w:val="0"/>
          <w:sz w:val="21"/>
          <w:szCs w:val="21"/>
          <w:highlight w:val="none"/>
        </w:rPr>
      </w:pPr>
      <w:r>
        <w:rPr>
          <w:rFonts w:hint="eastAsia" w:ascii="宋体" w:hAnsi="宋体" w:eastAsia="宋体" w:cs="宋体"/>
          <w:i w:val="0"/>
          <w:iCs w:val="0"/>
          <w:caps w:val="0"/>
          <w:color w:val="auto"/>
          <w:spacing w:val="0"/>
          <w:sz w:val="21"/>
          <w:szCs w:val="21"/>
          <w:highlight w:val="none"/>
        </w:rPr>
        <w:t>开标地点（网址）：本项目通过浙江政府采购网政府采购云平台在线开标，供应商无需到开标现场，但须准时在线参加，直至评审结束。</w:t>
      </w:r>
    </w:p>
    <w:p w14:paraId="424CE130">
      <w:pPr>
        <w:pStyle w:val="4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60" w:lineRule="exact"/>
        <w:ind w:right="0" w:firstLine="420" w:firstLineChars="200"/>
        <w:textAlignment w:val="auto"/>
        <w:rPr>
          <w:rFonts w:hint="eastAsia" w:ascii="宋体" w:hAnsi="宋体" w:eastAsia="宋体" w:cs="宋体"/>
          <w:color w:val="auto"/>
          <w:sz w:val="21"/>
          <w:szCs w:val="21"/>
          <w:highlight w:val="none"/>
          <w:lang w:eastAsia="zh-CN"/>
        </w:rPr>
      </w:pPr>
      <w:r>
        <w:rPr>
          <w:rFonts w:hint="eastAsia" w:ascii="宋体" w:cs="宋体"/>
          <w:color w:val="auto"/>
          <w:sz w:val="21"/>
          <w:szCs w:val="21"/>
          <w:highlight w:val="none"/>
        </w:rPr>
        <w:t>本项目通过浙江政府采购网政府采购云平台在线开标，投标人无须前往投标现场。但须准时在线参加，直至评审结束。</w:t>
      </w:r>
    </w:p>
    <w:p w14:paraId="7B07ADE7">
      <w:pPr>
        <w:pStyle w:val="4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60" w:lineRule="exact"/>
        <w:ind w:left="0" w:right="0"/>
        <w:jc w:val="both"/>
        <w:textAlignment w:val="auto"/>
        <w:rPr>
          <w:rStyle w:val="49"/>
          <w:rFonts w:hint="eastAsia" w:ascii="宋体" w:hAnsi="宋体" w:eastAsia="宋体" w:cs="宋体"/>
          <w:i w:val="0"/>
          <w:iCs w:val="0"/>
          <w:caps w:val="0"/>
          <w:color w:val="auto"/>
          <w:spacing w:val="0"/>
          <w:sz w:val="21"/>
          <w:szCs w:val="21"/>
          <w:highlight w:val="none"/>
        </w:rPr>
      </w:pPr>
      <w:r>
        <w:rPr>
          <w:rStyle w:val="49"/>
          <w:rFonts w:hint="eastAsia" w:ascii="宋体" w:hAnsi="宋体" w:eastAsia="宋体" w:cs="宋体"/>
          <w:i w:val="0"/>
          <w:iCs w:val="0"/>
          <w:caps w:val="0"/>
          <w:color w:val="auto"/>
          <w:spacing w:val="0"/>
          <w:sz w:val="21"/>
          <w:szCs w:val="21"/>
          <w:highlight w:val="none"/>
        </w:rPr>
        <w:t>五、采购意向公开链接</w:t>
      </w:r>
    </w:p>
    <w:p w14:paraId="1E276DAF">
      <w:pPr>
        <w:pStyle w:val="4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60" w:lineRule="exact"/>
        <w:ind w:left="0" w:right="0"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rPr>
        <w:t>https://zfcg.czt.zj.gov.cn/site/detail?categoryCode=ZcyAnnouncement&amp;parentId=600007&amp;articleId=7c9m4zHcYCdrDeK/wMV2YQ==</w:t>
      </w:r>
    </w:p>
    <w:p w14:paraId="7CCA5D8F">
      <w:pPr>
        <w:pStyle w:val="4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60" w:lineRule="exact"/>
        <w:ind w:left="0" w:right="0"/>
        <w:jc w:val="both"/>
        <w:textAlignment w:val="auto"/>
        <w:rPr>
          <w:rStyle w:val="49"/>
          <w:rFonts w:hint="eastAsia" w:ascii="宋体" w:hAnsi="宋体" w:eastAsia="宋体" w:cs="宋体"/>
          <w:i w:val="0"/>
          <w:iCs w:val="0"/>
          <w:caps w:val="0"/>
          <w:color w:val="auto"/>
          <w:spacing w:val="0"/>
          <w:sz w:val="21"/>
          <w:szCs w:val="21"/>
          <w:highlight w:val="none"/>
        </w:rPr>
      </w:pPr>
      <w:r>
        <w:rPr>
          <w:rStyle w:val="49"/>
          <w:rFonts w:hint="eastAsia" w:ascii="宋体" w:hAnsi="宋体" w:eastAsia="宋体" w:cs="宋体"/>
          <w:i w:val="0"/>
          <w:iCs w:val="0"/>
          <w:caps w:val="0"/>
          <w:color w:val="auto"/>
          <w:spacing w:val="0"/>
          <w:sz w:val="21"/>
          <w:szCs w:val="21"/>
          <w:highlight w:val="none"/>
        </w:rPr>
        <w:t>六、公告期限</w:t>
      </w:r>
    </w:p>
    <w:p w14:paraId="7AFD6445">
      <w:pPr>
        <w:pStyle w:val="4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60" w:lineRule="exact"/>
        <w:ind w:left="0" w:righ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rPr>
        <w:t>自本公告发布之日起5个工作日。</w:t>
      </w:r>
    </w:p>
    <w:p w14:paraId="06880703">
      <w:pPr>
        <w:pStyle w:val="4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60" w:lineRule="exact"/>
        <w:ind w:left="0" w:right="0"/>
        <w:jc w:val="both"/>
        <w:textAlignment w:val="auto"/>
        <w:rPr>
          <w:rStyle w:val="49"/>
          <w:rFonts w:hint="eastAsia" w:ascii="宋体" w:hAnsi="宋体" w:eastAsia="宋体" w:cs="宋体"/>
          <w:i w:val="0"/>
          <w:iCs w:val="0"/>
          <w:caps w:val="0"/>
          <w:color w:val="auto"/>
          <w:spacing w:val="0"/>
          <w:sz w:val="21"/>
          <w:szCs w:val="21"/>
          <w:highlight w:val="none"/>
        </w:rPr>
      </w:pPr>
      <w:r>
        <w:rPr>
          <w:rStyle w:val="49"/>
          <w:rFonts w:hint="eastAsia" w:ascii="宋体" w:hAnsi="宋体" w:eastAsia="宋体" w:cs="宋体"/>
          <w:i w:val="0"/>
          <w:iCs w:val="0"/>
          <w:caps w:val="0"/>
          <w:color w:val="auto"/>
          <w:spacing w:val="0"/>
          <w:sz w:val="21"/>
          <w:szCs w:val="21"/>
          <w:highlight w:val="none"/>
        </w:rPr>
        <w:t>七、其他补充事宜</w:t>
      </w:r>
    </w:p>
    <w:p w14:paraId="081E8D1B">
      <w:pPr>
        <w:pStyle w:val="4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60" w:lineRule="exact"/>
        <w:ind w:right="0" w:firstLine="420" w:firstLineChars="200"/>
        <w:textAlignment w:val="auto"/>
        <w:rPr>
          <w:rFonts w:hint="eastAsia" w:ascii="宋体" w:hAnsi="宋体" w:eastAsia="宋体" w:cs="宋体"/>
          <w:i w:val="0"/>
          <w:iCs w:val="0"/>
          <w:caps w:val="0"/>
          <w:color w:val="auto"/>
          <w:spacing w:val="0"/>
          <w:sz w:val="21"/>
          <w:szCs w:val="21"/>
          <w:highlight w:val="none"/>
        </w:rPr>
      </w:pPr>
      <w:r>
        <w:rPr>
          <w:rFonts w:hint="eastAsia" w:ascii="宋体" w:hAnsi="宋体" w:eastAsia="宋体" w:cs="宋体"/>
          <w:i w:val="0"/>
          <w:iCs w:val="0"/>
          <w:caps w:val="0"/>
          <w:color w:val="auto"/>
          <w:spacing w:val="0"/>
          <w:sz w:val="21"/>
          <w:szCs w:val="21"/>
          <w:highlight w:val="none"/>
        </w:rPr>
        <w:t>1.《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w:t>
      </w:r>
    </w:p>
    <w:p w14:paraId="7395CB95">
      <w:pPr>
        <w:pStyle w:val="4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60" w:lineRule="exact"/>
        <w:ind w:right="0" w:firstLine="420" w:firstLineChars="200"/>
        <w:textAlignment w:val="auto"/>
        <w:rPr>
          <w:rFonts w:hint="eastAsia" w:ascii="宋体" w:hAnsi="宋体" w:eastAsia="宋体" w:cs="宋体"/>
          <w:i w:val="0"/>
          <w:iCs w:val="0"/>
          <w:caps w:val="0"/>
          <w:color w:val="auto"/>
          <w:spacing w:val="0"/>
          <w:sz w:val="21"/>
          <w:szCs w:val="21"/>
          <w:highlight w:val="none"/>
        </w:rPr>
      </w:pPr>
      <w:r>
        <w:rPr>
          <w:rFonts w:hint="eastAsia" w:ascii="宋体" w:hAnsi="宋体" w:eastAsia="宋体" w:cs="宋体"/>
          <w:i w:val="0"/>
          <w:iCs w:val="0"/>
          <w:caps w:val="0"/>
          <w:color w:val="auto"/>
          <w:spacing w:val="0"/>
          <w:sz w:val="21"/>
          <w:szCs w:val="21"/>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务服务网-政府采购投诉处理-在线办理。</w:t>
      </w:r>
    </w:p>
    <w:p w14:paraId="568EA646">
      <w:pPr>
        <w:pStyle w:val="4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60" w:lineRule="exact"/>
        <w:ind w:right="0" w:firstLine="420" w:firstLineChars="200"/>
        <w:textAlignment w:val="auto"/>
        <w:rPr>
          <w:rFonts w:hint="eastAsia" w:ascii="宋体" w:hAnsi="宋体" w:eastAsia="宋体" w:cs="宋体"/>
          <w:i w:val="0"/>
          <w:iCs w:val="0"/>
          <w:caps w:val="0"/>
          <w:color w:val="auto"/>
          <w:spacing w:val="0"/>
          <w:sz w:val="21"/>
          <w:szCs w:val="21"/>
          <w:highlight w:val="none"/>
        </w:rPr>
      </w:pPr>
      <w:r>
        <w:rPr>
          <w:rFonts w:hint="eastAsia" w:ascii="宋体" w:hAnsi="宋体" w:eastAsia="宋体" w:cs="宋体"/>
          <w:i w:val="0"/>
          <w:iCs w:val="0"/>
          <w:caps w:val="0"/>
          <w:color w:val="auto"/>
          <w:spacing w:val="0"/>
          <w:sz w:val="21"/>
          <w:szCs w:val="21"/>
          <w:highlight w:val="none"/>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6F20144B">
      <w:pPr>
        <w:pStyle w:val="4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60" w:lineRule="exact"/>
        <w:ind w:right="0" w:firstLine="420" w:firstLineChars="200"/>
        <w:textAlignment w:val="auto"/>
        <w:rPr>
          <w:rFonts w:hint="eastAsia" w:ascii="宋体" w:hAnsi="宋体" w:eastAsia="宋体" w:cs="宋体"/>
          <w:i w:val="0"/>
          <w:iCs w:val="0"/>
          <w:caps w:val="0"/>
          <w:color w:val="auto"/>
          <w:spacing w:val="0"/>
          <w:sz w:val="21"/>
          <w:szCs w:val="21"/>
          <w:highlight w:val="none"/>
        </w:rPr>
      </w:pPr>
      <w:r>
        <w:rPr>
          <w:rFonts w:hint="eastAsia" w:ascii="宋体" w:hAnsi="宋体" w:eastAsia="宋体" w:cs="宋体"/>
          <w:i w:val="0"/>
          <w:iCs w:val="0"/>
          <w:caps w:val="0"/>
          <w:color w:val="auto"/>
          <w:spacing w:val="0"/>
          <w:sz w:val="21"/>
          <w:szCs w:val="21"/>
          <w:highlight w:val="none"/>
        </w:rPr>
        <w:t>4.其他事项：（1）按公告上述的要求为供应商依法获取招标文件的方式，未按上述方式获取招标文件的，不得对招标文件提起质疑投诉。同时请供应商在参加投标前随时关注项目的更正公告情况。浙江政府采购网上随公告发布的招标文件仅供阅览。（2）本项目为在线电子招、投标项目，不提供招标文件纸质版。（3）《浙江省财政厅关于进一步发挥政府采购政策功能全力推动经济稳进提质的通知》 （浙财采监（〔2022〕3号）、《浙江省财政厅关于进一步促进政府采购公平竞争打造最优营商环境的通知》（浙财采监〔2021〕22号）、《财政部关于进一步加大政府采购支持中小企业力度的通知》（财库〔2022〕19号）已分别于2022年1月29日、2022年2月1日和2022年7月1日开始实施，此前有关规定与上述文件内容不一致的，按上述文件要求执行。（4）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5）企业信用融资: 省财政厅、浙江银监局、省金融办制定了《浙江省政府采购支持中小企业信用融资试点办法》浙财采监[2012]13号)，所称的政府采购信用融资，是指银行业金融机构(以下简称银行)以政府采购诚信考核和信用审查为基础，凭借政府采购合同，按优于一般中小企业的贷款利率直接向申请贷款的投标人发放贷款的一种融资方式。投标人可登录浙江政府采购( http://zfcg.czt.zj.gov.cn)的中小企业信用融资栏目了解相关信息。 供应商可以通过浙江政府采购网(https://zfcg.czt.zj. gov.cn/)首页的“浙江政采贷”模块进入申请，还可以通过政府采购云平台(https://www.zcygov.cn/)首页的“金融服务”模块进入申请。（6）根据《浙江省财政厅关于进一步加大政府采购支持中小企业力度 助力扎实稳住经济的通知》（浙财采监〔2022〕8号）简化对政府采购供应商资格条件的形式审查，供应商书面承诺符合参与政府采购活动资格条件的，不需要再提供财务状况报告、依法缴纳税收和社会保障资金记录、无重大违法记录等证明材料。</w:t>
      </w:r>
    </w:p>
    <w:p w14:paraId="4A18247A">
      <w:pPr>
        <w:pStyle w:val="4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60" w:lineRule="exact"/>
        <w:ind w:left="0" w:right="0"/>
        <w:jc w:val="both"/>
        <w:textAlignment w:val="auto"/>
        <w:rPr>
          <w:rFonts w:hint="eastAsia" w:ascii="宋体" w:hAnsi="宋体" w:eastAsia="宋体" w:cs="宋体"/>
          <w:color w:val="auto"/>
          <w:sz w:val="21"/>
          <w:szCs w:val="21"/>
          <w:highlight w:val="none"/>
        </w:rPr>
      </w:pPr>
      <w:r>
        <w:rPr>
          <w:rStyle w:val="49"/>
          <w:rFonts w:hint="eastAsia" w:ascii="宋体" w:hAnsi="宋体" w:eastAsia="宋体" w:cs="宋体"/>
          <w:i w:val="0"/>
          <w:iCs w:val="0"/>
          <w:caps w:val="0"/>
          <w:color w:val="auto"/>
          <w:spacing w:val="0"/>
          <w:sz w:val="21"/>
          <w:szCs w:val="21"/>
          <w:highlight w:val="none"/>
        </w:rPr>
        <w:t>八、对本次采购提出询问、质疑、投诉，请按以下方式联系</w:t>
      </w:r>
    </w:p>
    <w:p w14:paraId="52DAF3F5">
      <w:pPr>
        <w:pStyle w:val="4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60" w:lineRule="exact"/>
        <w:ind w:left="0" w:righ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rPr>
        <w:t>1.采购人信息</w:t>
      </w:r>
    </w:p>
    <w:p w14:paraId="4CD505B6">
      <w:pPr>
        <w:pStyle w:val="42"/>
        <w:keepNext w:val="0"/>
        <w:keepLines w:val="0"/>
        <w:pageBreakBefore w:val="0"/>
        <w:widowControl/>
        <w:kinsoku/>
        <w:wordWrap/>
        <w:overflowPunct/>
        <w:topLinePunct w:val="0"/>
        <w:autoSpaceDE/>
        <w:autoSpaceDN/>
        <w:bidi w:val="0"/>
        <w:adjustRightInd/>
        <w:snapToGrid/>
        <w:spacing w:before="0" w:beforeAutospacing="0" w:after="0" w:afterAutospacing="0" w:line="460" w:lineRule="exact"/>
        <w:ind w:firstLine="420" w:firstLineChars="200"/>
        <w:textAlignment w:val="auto"/>
        <w:rPr>
          <w:rFonts w:hint="eastAsia" w:ascii="宋体" w:eastAsia="宋体" w:cs="宋体"/>
          <w:color w:val="auto"/>
          <w:sz w:val="21"/>
          <w:szCs w:val="21"/>
          <w:highlight w:val="none"/>
          <w:lang w:eastAsia="zh-CN"/>
        </w:rPr>
      </w:pPr>
      <w:r>
        <w:rPr>
          <w:rFonts w:ascii="宋体" w:cs="宋体"/>
          <w:color w:val="auto"/>
          <w:sz w:val="21"/>
          <w:szCs w:val="21"/>
          <w:highlight w:val="none"/>
        </w:rPr>
        <w:t>名 称：</w:t>
      </w:r>
      <w:r>
        <w:rPr>
          <w:rFonts w:hint="eastAsia" w:ascii="宋体" w:cs="宋体"/>
          <w:color w:val="auto"/>
          <w:sz w:val="21"/>
          <w:szCs w:val="21"/>
          <w:highlight w:val="none"/>
          <w:lang w:eastAsia="zh-CN"/>
        </w:rPr>
        <w:t>金华市婺城区水务局</w:t>
      </w:r>
    </w:p>
    <w:p w14:paraId="106678F3">
      <w:pPr>
        <w:pStyle w:val="42"/>
        <w:keepNext w:val="0"/>
        <w:keepLines w:val="0"/>
        <w:pageBreakBefore w:val="0"/>
        <w:widowControl/>
        <w:kinsoku/>
        <w:wordWrap/>
        <w:overflowPunct/>
        <w:topLinePunct w:val="0"/>
        <w:autoSpaceDE/>
        <w:autoSpaceDN/>
        <w:bidi w:val="0"/>
        <w:adjustRightInd/>
        <w:snapToGrid/>
        <w:spacing w:before="0" w:beforeAutospacing="0" w:after="0" w:afterAutospacing="0" w:line="460" w:lineRule="exact"/>
        <w:ind w:firstLine="420" w:firstLineChars="200"/>
        <w:textAlignment w:val="auto"/>
        <w:rPr>
          <w:rFonts w:hint="eastAsia" w:ascii="宋体" w:eastAsia="宋体" w:cs="宋体"/>
          <w:color w:val="auto"/>
          <w:sz w:val="21"/>
          <w:szCs w:val="21"/>
          <w:highlight w:val="none"/>
          <w:lang w:eastAsia="zh-CN"/>
        </w:rPr>
      </w:pPr>
      <w:r>
        <w:rPr>
          <w:rFonts w:ascii="宋体" w:cs="宋体"/>
          <w:color w:val="auto"/>
          <w:sz w:val="21"/>
          <w:szCs w:val="21"/>
          <w:highlight w:val="none"/>
        </w:rPr>
        <w:t>地 址：</w:t>
      </w:r>
      <w:r>
        <w:rPr>
          <w:rFonts w:hint="eastAsia" w:ascii="宋体" w:cs="宋体"/>
          <w:color w:val="auto"/>
          <w:sz w:val="21"/>
          <w:szCs w:val="21"/>
          <w:highlight w:val="none"/>
          <w:lang w:eastAsia="zh-CN"/>
        </w:rPr>
        <w:t>浙江省金华市宾虹西路2666号</w:t>
      </w:r>
    </w:p>
    <w:p w14:paraId="0FB11B5D">
      <w:pPr>
        <w:pStyle w:val="42"/>
        <w:keepNext w:val="0"/>
        <w:keepLines w:val="0"/>
        <w:pageBreakBefore w:val="0"/>
        <w:widowControl/>
        <w:kinsoku/>
        <w:wordWrap/>
        <w:overflowPunct/>
        <w:topLinePunct w:val="0"/>
        <w:autoSpaceDE/>
        <w:autoSpaceDN/>
        <w:bidi w:val="0"/>
        <w:adjustRightInd/>
        <w:snapToGrid/>
        <w:spacing w:before="0" w:beforeAutospacing="0" w:after="0" w:afterAutospacing="0" w:line="460" w:lineRule="exact"/>
        <w:ind w:firstLine="420" w:firstLineChars="200"/>
        <w:textAlignment w:val="auto"/>
        <w:rPr>
          <w:rFonts w:hint="eastAsia" w:ascii="宋体" w:eastAsia="宋体" w:cs="宋体"/>
          <w:color w:val="auto"/>
          <w:sz w:val="21"/>
          <w:szCs w:val="21"/>
          <w:highlight w:val="none"/>
          <w:lang w:val="en-US" w:eastAsia="zh-CN"/>
        </w:rPr>
      </w:pPr>
      <w:r>
        <w:rPr>
          <w:rFonts w:ascii="宋体" w:cs="宋体"/>
          <w:color w:val="auto"/>
          <w:sz w:val="21"/>
          <w:szCs w:val="21"/>
          <w:highlight w:val="none"/>
        </w:rPr>
        <w:t xml:space="preserve">项目联系人（询问）： </w:t>
      </w:r>
      <w:r>
        <w:rPr>
          <w:rFonts w:hint="eastAsia" w:ascii="宋体" w:cs="宋体"/>
          <w:color w:val="auto"/>
          <w:sz w:val="21"/>
          <w:szCs w:val="21"/>
          <w:highlight w:val="none"/>
          <w:lang w:val="en-US" w:eastAsia="zh-CN"/>
        </w:rPr>
        <w:t>许先生</w:t>
      </w:r>
    </w:p>
    <w:p w14:paraId="07B76FCB">
      <w:pPr>
        <w:pStyle w:val="42"/>
        <w:keepNext w:val="0"/>
        <w:keepLines w:val="0"/>
        <w:pageBreakBefore w:val="0"/>
        <w:widowControl/>
        <w:kinsoku/>
        <w:wordWrap/>
        <w:overflowPunct/>
        <w:topLinePunct w:val="0"/>
        <w:autoSpaceDE/>
        <w:autoSpaceDN/>
        <w:bidi w:val="0"/>
        <w:adjustRightInd/>
        <w:snapToGrid/>
        <w:spacing w:before="0" w:beforeAutospacing="0" w:after="0" w:afterAutospacing="0" w:line="460" w:lineRule="exact"/>
        <w:ind w:firstLine="420" w:firstLineChars="200"/>
        <w:textAlignment w:val="auto"/>
        <w:rPr>
          <w:rFonts w:ascii="宋体" w:cs="宋体"/>
          <w:color w:val="auto"/>
          <w:sz w:val="21"/>
          <w:szCs w:val="21"/>
          <w:highlight w:val="none"/>
        </w:rPr>
      </w:pPr>
      <w:r>
        <w:rPr>
          <w:rFonts w:ascii="宋体" w:cs="宋体"/>
          <w:color w:val="auto"/>
          <w:sz w:val="21"/>
          <w:szCs w:val="21"/>
          <w:highlight w:val="none"/>
        </w:rPr>
        <w:t>项目联系方式（询问）：</w:t>
      </w:r>
      <w:r>
        <w:rPr>
          <w:rFonts w:hint="eastAsia" w:ascii="宋体" w:cs="宋体"/>
          <w:color w:val="auto"/>
          <w:sz w:val="21"/>
          <w:szCs w:val="21"/>
          <w:highlight w:val="none"/>
          <w:lang w:eastAsia="zh-CN"/>
        </w:rPr>
        <w:t>0579-82467257</w:t>
      </w:r>
      <w:r>
        <w:rPr>
          <w:rFonts w:ascii="宋体" w:cs="宋体"/>
          <w:color w:val="auto"/>
          <w:sz w:val="21"/>
          <w:szCs w:val="21"/>
          <w:highlight w:val="none"/>
        </w:rPr>
        <w:t xml:space="preserve"> </w:t>
      </w:r>
    </w:p>
    <w:p w14:paraId="4EC16B1D">
      <w:pPr>
        <w:pStyle w:val="42"/>
        <w:keepNext w:val="0"/>
        <w:keepLines w:val="0"/>
        <w:pageBreakBefore w:val="0"/>
        <w:widowControl/>
        <w:kinsoku/>
        <w:wordWrap/>
        <w:overflowPunct/>
        <w:topLinePunct w:val="0"/>
        <w:autoSpaceDE/>
        <w:autoSpaceDN/>
        <w:bidi w:val="0"/>
        <w:adjustRightInd/>
        <w:snapToGrid/>
        <w:spacing w:before="0" w:beforeAutospacing="0" w:after="0" w:afterAutospacing="0" w:line="460" w:lineRule="exact"/>
        <w:ind w:firstLine="420" w:firstLineChars="200"/>
        <w:textAlignment w:val="auto"/>
        <w:rPr>
          <w:rFonts w:ascii="宋体" w:cs="宋体"/>
          <w:color w:val="auto"/>
          <w:sz w:val="21"/>
          <w:szCs w:val="21"/>
          <w:highlight w:val="none"/>
        </w:rPr>
      </w:pPr>
      <w:r>
        <w:rPr>
          <w:rFonts w:ascii="宋体" w:cs="宋体"/>
          <w:color w:val="auto"/>
          <w:sz w:val="21"/>
          <w:szCs w:val="21"/>
          <w:highlight w:val="none"/>
        </w:rPr>
        <w:t>质疑联系人：</w:t>
      </w:r>
      <w:r>
        <w:rPr>
          <w:rFonts w:hint="eastAsia" w:ascii="宋体" w:cs="宋体"/>
          <w:color w:val="auto"/>
          <w:sz w:val="21"/>
          <w:szCs w:val="21"/>
          <w:highlight w:val="none"/>
          <w:lang w:eastAsia="zh-CN"/>
        </w:rPr>
        <w:t>陈先生</w:t>
      </w:r>
      <w:r>
        <w:rPr>
          <w:rFonts w:ascii="宋体" w:cs="宋体"/>
          <w:color w:val="auto"/>
          <w:sz w:val="21"/>
          <w:szCs w:val="21"/>
          <w:highlight w:val="none"/>
        </w:rPr>
        <w:t xml:space="preserve"> </w:t>
      </w:r>
    </w:p>
    <w:p w14:paraId="5A6F119D">
      <w:pPr>
        <w:pStyle w:val="42"/>
        <w:keepNext w:val="0"/>
        <w:keepLines w:val="0"/>
        <w:pageBreakBefore w:val="0"/>
        <w:widowControl/>
        <w:kinsoku/>
        <w:wordWrap/>
        <w:overflowPunct/>
        <w:topLinePunct w:val="0"/>
        <w:autoSpaceDE/>
        <w:autoSpaceDN/>
        <w:bidi w:val="0"/>
        <w:adjustRightInd/>
        <w:snapToGrid/>
        <w:spacing w:before="0" w:beforeAutospacing="0" w:after="0" w:afterAutospacing="0" w:line="460" w:lineRule="exact"/>
        <w:ind w:firstLine="420" w:firstLineChars="200"/>
        <w:textAlignment w:val="auto"/>
        <w:rPr>
          <w:rFonts w:ascii="宋体" w:cs="宋体"/>
          <w:color w:val="auto"/>
          <w:sz w:val="21"/>
          <w:szCs w:val="21"/>
          <w:highlight w:val="none"/>
        </w:rPr>
      </w:pPr>
      <w:r>
        <w:rPr>
          <w:rFonts w:ascii="宋体" w:cs="宋体"/>
          <w:color w:val="auto"/>
          <w:sz w:val="21"/>
          <w:szCs w:val="21"/>
          <w:highlight w:val="none"/>
        </w:rPr>
        <w:t>质疑联系方式：</w:t>
      </w:r>
      <w:r>
        <w:rPr>
          <w:rFonts w:hint="eastAsia" w:ascii="宋体" w:cs="宋体"/>
          <w:color w:val="auto"/>
          <w:sz w:val="21"/>
          <w:szCs w:val="21"/>
          <w:highlight w:val="none"/>
        </w:rPr>
        <w:t>0579-82467257</w:t>
      </w:r>
    </w:p>
    <w:p w14:paraId="245122BC">
      <w:pPr>
        <w:pStyle w:val="4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60" w:lineRule="exact"/>
        <w:ind w:left="0" w:righ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rPr>
        <w:t>2.采购代理机构信息</w:t>
      </w:r>
    </w:p>
    <w:p w14:paraId="036D2B3E">
      <w:pPr>
        <w:pStyle w:val="42"/>
        <w:keepNext w:val="0"/>
        <w:keepLines w:val="0"/>
        <w:pageBreakBefore w:val="0"/>
        <w:widowControl/>
        <w:kinsoku/>
        <w:wordWrap/>
        <w:overflowPunct/>
        <w:topLinePunct w:val="0"/>
        <w:autoSpaceDE/>
        <w:autoSpaceDN/>
        <w:bidi w:val="0"/>
        <w:adjustRightInd/>
        <w:snapToGrid/>
        <w:spacing w:before="0" w:beforeAutospacing="0" w:after="0" w:afterAutospacing="0" w:line="460"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名 称：金华天逸工程咨询有限公司</w:t>
      </w:r>
    </w:p>
    <w:p w14:paraId="3DCAD342">
      <w:pPr>
        <w:pStyle w:val="42"/>
        <w:keepNext w:val="0"/>
        <w:keepLines w:val="0"/>
        <w:pageBreakBefore w:val="0"/>
        <w:widowControl/>
        <w:kinsoku/>
        <w:wordWrap/>
        <w:overflowPunct/>
        <w:topLinePunct w:val="0"/>
        <w:autoSpaceDE/>
        <w:autoSpaceDN/>
        <w:bidi w:val="0"/>
        <w:adjustRightInd/>
        <w:snapToGrid/>
        <w:spacing w:before="0" w:beforeAutospacing="0" w:after="0" w:afterAutospacing="0" w:line="460"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地 址：金华市婺城区王下滩社区贤达路65号</w:t>
      </w:r>
    </w:p>
    <w:p w14:paraId="2F064F61">
      <w:pPr>
        <w:pStyle w:val="42"/>
        <w:keepNext w:val="0"/>
        <w:keepLines w:val="0"/>
        <w:pageBreakBefore w:val="0"/>
        <w:widowControl/>
        <w:kinsoku/>
        <w:wordWrap/>
        <w:overflowPunct/>
        <w:topLinePunct w:val="0"/>
        <w:autoSpaceDE/>
        <w:autoSpaceDN/>
        <w:bidi w:val="0"/>
        <w:adjustRightInd/>
        <w:snapToGrid/>
        <w:spacing w:before="0" w:beforeAutospacing="0" w:after="0" w:afterAutospacing="0" w:line="46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项目联系人（询问）：</w:t>
      </w:r>
      <w:r>
        <w:rPr>
          <w:rFonts w:hint="eastAsia" w:ascii="宋体" w:cs="宋体"/>
          <w:color w:val="auto"/>
          <w:sz w:val="21"/>
          <w:szCs w:val="21"/>
          <w:highlight w:val="none"/>
          <w:lang w:val="en-US" w:eastAsia="zh-CN"/>
        </w:rPr>
        <w:t>吴工</w:t>
      </w:r>
    </w:p>
    <w:p w14:paraId="4E32BB1B">
      <w:pPr>
        <w:pStyle w:val="42"/>
        <w:keepNext w:val="0"/>
        <w:keepLines w:val="0"/>
        <w:pageBreakBefore w:val="0"/>
        <w:widowControl/>
        <w:kinsoku/>
        <w:wordWrap/>
        <w:overflowPunct/>
        <w:topLinePunct w:val="0"/>
        <w:autoSpaceDE/>
        <w:autoSpaceDN/>
        <w:bidi w:val="0"/>
        <w:adjustRightInd/>
        <w:snapToGrid/>
        <w:spacing w:before="0" w:beforeAutospacing="0" w:after="0" w:afterAutospacing="0" w:line="460" w:lineRule="exact"/>
        <w:ind w:firstLine="420" w:firstLineChars="200"/>
        <w:textAlignment w:val="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项目联系方式（询问）：</w:t>
      </w:r>
      <w:r>
        <w:rPr>
          <w:rFonts w:hint="eastAsia" w:ascii="宋体" w:cs="宋体"/>
          <w:color w:val="auto"/>
          <w:sz w:val="21"/>
          <w:szCs w:val="21"/>
          <w:highlight w:val="none"/>
          <w:lang w:val="en-US" w:eastAsia="zh-CN"/>
        </w:rPr>
        <w:t>15805798901</w:t>
      </w:r>
    </w:p>
    <w:p w14:paraId="7C2C134D">
      <w:pPr>
        <w:pStyle w:val="42"/>
        <w:keepNext w:val="0"/>
        <w:keepLines w:val="0"/>
        <w:pageBreakBefore w:val="0"/>
        <w:widowControl/>
        <w:kinsoku/>
        <w:wordWrap/>
        <w:overflowPunct/>
        <w:topLinePunct w:val="0"/>
        <w:autoSpaceDE/>
        <w:autoSpaceDN/>
        <w:bidi w:val="0"/>
        <w:adjustRightInd/>
        <w:snapToGrid/>
        <w:spacing w:before="0" w:beforeAutospacing="0" w:after="0" w:afterAutospacing="0" w:line="460"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质疑联系人：周先生</w:t>
      </w:r>
    </w:p>
    <w:p w14:paraId="1908AFBA">
      <w:pPr>
        <w:pStyle w:val="42"/>
        <w:keepNext w:val="0"/>
        <w:keepLines w:val="0"/>
        <w:pageBreakBefore w:val="0"/>
        <w:widowControl/>
        <w:kinsoku/>
        <w:wordWrap/>
        <w:overflowPunct/>
        <w:topLinePunct w:val="0"/>
        <w:autoSpaceDE/>
        <w:autoSpaceDN/>
        <w:bidi w:val="0"/>
        <w:adjustRightInd/>
        <w:snapToGrid/>
        <w:spacing w:before="0" w:beforeAutospacing="0" w:after="0" w:afterAutospacing="0" w:line="460" w:lineRule="exact"/>
        <w:ind w:left="420" w:leftChars="200"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质疑联系方式：0579-82569123</w:t>
      </w:r>
      <w:r>
        <w:rPr>
          <w:rFonts w:hint="eastAsia" w:ascii="宋体" w:hAnsi="宋体" w:eastAsia="宋体" w:cs="宋体"/>
          <w:i w:val="0"/>
          <w:iCs w:val="0"/>
          <w:caps w:val="0"/>
          <w:color w:val="auto"/>
          <w:spacing w:val="0"/>
          <w:sz w:val="21"/>
          <w:szCs w:val="21"/>
          <w:highlight w:val="none"/>
        </w:rPr>
        <w:br w:type="textWrapping"/>
      </w:r>
      <w:r>
        <w:rPr>
          <w:rFonts w:hint="eastAsia" w:ascii="宋体" w:cs="宋体"/>
          <w:i w:val="0"/>
          <w:iCs w:val="0"/>
          <w:caps w:val="0"/>
          <w:color w:val="auto"/>
          <w:spacing w:val="0"/>
          <w:sz w:val="21"/>
          <w:szCs w:val="21"/>
          <w:highlight w:val="none"/>
          <w:lang w:val="en-US" w:eastAsia="zh-CN"/>
        </w:rPr>
        <w:t>3.</w:t>
      </w:r>
      <w:r>
        <w:rPr>
          <w:rStyle w:val="59"/>
          <w:rFonts w:hint="eastAsia" w:ascii="宋体" w:hAnsi="宋体" w:eastAsia="宋体" w:cs="宋体"/>
          <w:i w:val="0"/>
          <w:iCs w:val="0"/>
          <w:caps w:val="0"/>
          <w:color w:val="auto"/>
          <w:spacing w:val="0"/>
          <w:sz w:val="21"/>
          <w:szCs w:val="21"/>
          <w:highlight w:val="none"/>
        </w:rPr>
        <w:t>同级政府采购监督管理部门</w:t>
      </w:r>
    </w:p>
    <w:p w14:paraId="7700E934">
      <w:pPr>
        <w:keepNext w:val="0"/>
        <w:keepLines w:val="0"/>
        <w:pageBreakBefore w:val="0"/>
        <w:widowControl/>
        <w:suppressLineNumbers w:val="0"/>
        <w:kinsoku/>
        <w:wordWrap/>
        <w:overflowPunct/>
        <w:topLinePunct w:val="0"/>
        <w:autoSpaceDE/>
        <w:autoSpaceDN/>
        <w:bidi w:val="0"/>
        <w:adjustRightInd/>
        <w:snapToGrid/>
        <w:spacing w:line="460" w:lineRule="exact"/>
        <w:ind w:left="0" w:firstLine="420" w:firstLineChars="200"/>
        <w:jc w:val="left"/>
        <w:textAlignment w:val="auto"/>
        <w:rPr>
          <w:rFonts w:hint="eastAsia" w:ascii="宋体" w:hAnsi="宋体" w:eastAsia="宋体" w:cs="宋体"/>
          <w:i w:val="0"/>
          <w:iCs w:val="0"/>
          <w:caps w:val="0"/>
          <w:color w:val="auto"/>
          <w:spacing w:val="0"/>
          <w:sz w:val="21"/>
          <w:szCs w:val="21"/>
          <w:highlight w:val="none"/>
        </w:rPr>
      </w:pPr>
      <w:r>
        <w:rPr>
          <w:rFonts w:hint="eastAsia" w:ascii="宋体" w:hAnsi="宋体" w:eastAsia="宋体" w:cs="宋体"/>
          <w:i w:val="0"/>
          <w:iCs w:val="0"/>
          <w:caps w:val="0"/>
          <w:color w:val="auto"/>
          <w:spacing w:val="0"/>
          <w:sz w:val="21"/>
          <w:szCs w:val="21"/>
          <w:highlight w:val="none"/>
        </w:rPr>
        <w:t>名 称：金华市婺城区财政局政府采购监督管理办公室</w:t>
      </w:r>
    </w:p>
    <w:p w14:paraId="24C60555">
      <w:pPr>
        <w:keepNext w:val="0"/>
        <w:keepLines w:val="0"/>
        <w:pageBreakBefore w:val="0"/>
        <w:widowControl/>
        <w:suppressLineNumbers w:val="0"/>
        <w:kinsoku/>
        <w:wordWrap/>
        <w:overflowPunct/>
        <w:topLinePunct w:val="0"/>
        <w:autoSpaceDE/>
        <w:autoSpaceDN/>
        <w:bidi w:val="0"/>
        <w:adjustRightInd/>
        <w:snapToGrid/>
        <w:spacing w:line="460" w:lineRule="exact"/>
        <w:ind w:left="0" w:firstLine="420" w:firstLineChars="200"/>
        <w:jc w:val="left"/>
        <w:textAlignment w:val="auto"/>
        <w:rPr>
          <w:rFonts w:hint="eastAsia" w:ascii="宋体" w:hAnsi="宋体" w:eastAsia="宋体" w:cs="宋体"/>
          <w:i w:val="0"/>
          <w:iCs w:val="0"/>
          <w:caps w:val="0"/>
          <w:color w:val="auto"/>
          <w:spacing w:val="0"/>
          <w:sz w:val="21"/>
          <w:szCs w:val="21"/>
          <w:highlight w:val="none"/>
        </w:rPr>
      </w:pPr>
      <w:r>
        <w:rPr>
          <w:rFonts w:hint="eastAsia" w:ascii="宋体" w:hAnsi="宋体" w:eastAsia="宋体" w:cs="宋体"/>
          <w:i w:val="0"/>
          <w:iCs w:val="0"/>
          <w:caps w:val="0"/>
          <w:color w:val="auto"/>
          <w:spacing w:val="0"/>
          <w:sz w:val="21"/>
          <w:szCs w:val="21"/>
          <w:highlight w:val="none"/>
        </w:rPr>
        <w:t>地 址：金华市婺城区宾虹路2666号</w:t>
      </w:r>
    </w:p>
    <w:p w14:paraId="3336B7F0">
      <w:pPr>
        <w:keepNext w:val="0"/>
        <w:keepLines w:val="0"/>
        <w:pageBreakBefore w:val="0"/>
        <w:widowControl/>
        <w:suppressLineNumbers w:val="0"/>
        <w:kinsoku/>
        <w:wordWrap/>
        <w:overflowPunct/>
        <w:topLinePunct w:val="0"/>
        <w:autoSpaceDE/>
        <w:autoSpaceDN/>
        <w:bidi w:val="0"/>
        <w:adjustRightInd/>
        <w:snapToGrid/>
        <w:spacing w:line="460" w:lineRule="exact"/>
        <w:ind w:left="0" w:firstLine="420" w:firstLineChars="200"/>
        <w:jc w:val="left"/>
        <w:textAlignment w:val="auto"/>
        <w:rPr>
          <w:rFonts w:hint="eastAsia" w:ascii="宋体" w:hAnsi="宋体" w:eastAsia="宋体" w:cs="宋体"/>
          <w:i w:val="0"/>
          <w:iCs w:val="0"/>
          <w:caps w:val="0"/>
          <w:color w:val="auto"/>
          <w:spacing w:val="0"/>
          <w:sz w:val="21"/>
          <w:szCs w:val="21"/>
          <w:highlight w:val="none"/>
        </w:rPr>
      </w:pPr>
      <w:r>
        <w:rPr>
          <w:rFonts w:hint="eastAsia" w:ascii="宋体" w:hAnsi="宋体" w:eastAsia="宋体" w:cs="宋体"/>
          <w:i w:val="0"/>
          <w:iCs w:val="0"/>
          <w:caps w:val="0"/>
          <w:color w:val="auto"/>
          <w:spacing w:val="0"/>
          <w:sz w:val="21"/>
          <w:szCs w:val="21"/>
          <w:highlight w:val="none"/>
        </w:rPr>
        <w:t>联系人 ：李女士</w:t>
      </w:r>
    </w:p>
    <w:p w14:paraId="094EB129">
      <w:pPr>
        <w:keepNext w:val="0"/>
        <w:keepLines w:val="0"/>
        <w:pageBreakBefore w:val="0"/>
        <w:widowControl/>
        <w:suppressLineNumbers w:val="0"/>
        <w:kinsoku/>
        <w:wordWrap/>
        <w:overflowPunct/>
        <w:topLinePunct w:val="0"/>
        <w:autoSpaceDE/>
        <w:autoSpaceDN/>
        <w:bidi w:val="0"/>
        <w:adjustRightInd/>
        <w:snapToGrid/>
        <w:spacing w:line="460" w:lineRule="exact"/>
        <w:ind w:left="0" w:firstLine="420" w:firstLineChars="200"/>
        <w:jc w:val="left"/>
        <w:textAlignment w:val="auto"/>
        <w:rPr>
          <w:rFonts w:hint="eastAsia" w:ascii="宋体" w:hAnsi="宋体" w:eastAsia="宋体" w:cs="宋体"/>
          <w:i w:val="0"/>
          <w:iCs w:val="0"/>
          <w:caps w:val="0"/>
          <w:color w:val="auto"/>
          <w:spacing w:val="0"/>
          <w:sz w:val="21"/>
          <w:szCs w:val="21"/>
          <w:highlight w:val="none"/>
        </w:rPr>
      </w:pPr>
      <w:r>
        <w:rPr>
          <w:rFonts w:hint="eastAsia" w:ascii="宋体" w:hAnsi="宋体" w:eastAsia="宋体" w:cs="宋体"/>
          <w:i w:val="0"/>
          <w:iCs w:val="0"/>
          <w:caps w:val="0"/>
          <w:color w:val="auto"/>
          <w:spacing w:val="0"/>
          <w:sz w:val="21"/>
          <w:szCs w:val="21"/>
          <w:highlight w:val="none"/>
        </w:rPr>
        <w:t>监督投诉电话：0579-82487292</w:t>
      </w:r>
      <w:r>
        <w:rPr>
          <w:rFonts w:hint="eastAsia" w:ascii="宋体" w:hAnsi="宋体" w:eastAsia="宋体" w:cs="宋体"/>
          <w:i w:val="0"/>
          <w:iCs w:val="0"/>
          <w:caps w:val="0"/>
          <w:color w:val="auto"/>
          <w:spacing w:val="0"/>
          <w:kern w:val="0"/>
          <w:sz w:val="21"/>
          <w:szCs w:val="21"/>
          <w:highlight w:val="none"/>
          <w:lang w:val="en-US" w:eastAsia="zh-CN" w:bidi="ar"/>
        </w:rPr>
        <w:t> </w:t>
      </w:r>
    </w:p>
    <w:p w14:paraId="1B7F6686">
      <w:pPr>
        <w:keepNext w:val="0"/>
        <w:keepLines w:val="0"/>
        <w:pageBreakBefore w:val="0"/>
        <w:widowControl/>
        <w:suppressLineNumbers w:val="0"/>
        <w:kinsoku/>
        <w:wordWrap/>
        <w:overflowPunct/>
        <w:topLinePunct w:val="0"/>
        <w:autoSpaceDE/>
        <w:autoSpaceDN/>
        <w:bidi w:val="0"/>
        <w:adjustRightInd/>
        <w:snapToGrid/>
        <w:spacing w:line="460" w:lineRule="exact"/>
        <w:ind w:firstLine="420" w:firstLineChars="200"/>
        <w:jc w:val="left"/>
        <w:textAlignment w:val="auto"/>
        <w:rPr>
          <w:rFonts w:hint="eastAsia" w:ascii="宋体" w:hAnsi="宋体" w:eastAsia="宋体" w:cs="宋体"/>
          <w:i w:val="0"/>
          <w:iCs w:val="0"/>
          <w:caps w:val="0"/>
          <w:color w:val="auto"/>
          <w:spacing w:val="0"/>
          <w:kern w:val="0"/>
          <w:sz w:val="21"/>
          <w:szCs w:val="21"/>
          <w:highlight w:val="none"/>
          <w:lang w:val="en-US" w:eastAsia="zh-CN" w:bidi="ar"/>
        </w:rPr>
      </w:pPr>
    </w:p>
    <w:p w14:paraId="4A281A76">
      <w:pPr>
        <w:keepNext w:val="0"/>
        <w:keepLines w:val="0"/>
        <w:pageBreakBefore w:val="0"/>
        <w:widowControl/>
        <w:suppressLineNumbers w:val="0"/>
        <w:kinsoku/>
        <w:wordWrap/>
        <w:overflowPunct/>
        <w:topLinePunct w:val="0"/>
        <w:autoSpaceDE/>
        <w:autoSpaceDN/>
        <w:bidi w:val="0"/>
        <w:adjustRightInd/>
        <w:snapToGrid/>
        <w:spacing w:line="460" w:lineRule="exact"/>
        <w:ind w:firstLine="420" w:firstLineChars="200"/>
        <w:jc w:val="left"/>
        <w:textAlignment w:val="auto"/>
        <w:rPr>
          <w:rFonts w:hint="eastAsia" w:ascii="宋体" w:hAnsi="宋体" w:eastAsia="宋体" w:cs="宋体"/>
          <w:i w:val="0"/>
          <w:iCs w:val="0"/>
          <w:caps w:val="0"/>
          <w:color w:val="auto"/>
          <w:spacing w:val="0"/>
          <w:sz w:val="21"/>
          <w:szCs w:val="21"/>
          <w:highlight w:val="none"/>
        </w:rPr>
      </w:pPr>
      <w:r>
        <w:rPr>
          <w:rFonts w:hint="eastAsia" w:ascii="宋体" w:hAnsi="宋体" w:eastAsia="宋体" w:cs="宋体"/>
          <w:i w:val="0"/>
          <w:iCs w:val="0"/>
          <w:caps w:val="0"/>
          <w:color w:val="auto"/>
          <w:spacing w:val="0"/>
          <w:kern w:val="0"/>
          <w:sz w:val="21"/>
          <w:szCs w:val="21"/>
          <w:highlight w:val="none"/>
          <w:lang w:val="en-US" w:eastAsia="zh-CN" w:bidi="ar"/>
        </w:rPr>
        <w:t>若对项目采购电子交易系统操作有疑问，可登录政采云（https://www.zcygov.cn/），点击右侧咨询小采，获取采小蜜智能服务管家帮助，或拨打政采云服务热线95763获取热线服务帮助。CA问题联系电话（人工）：汇信CA 400-888-4636；天谷CA 400-087-8198。</w:t>
      </w:r>
    </w:p>
    <w:p w14:paraId="0815CAAA">
      <w:pPr>
        <w:widowControl/>
        <w:jc w:val="left"/>
        <w:rPr>
          <w:rFonts w:hint="eastAsia" w:ascii="仿宋" w:hAnsi="仿宋" w:eastAsia="仿宋" w:cs="仿宋"/>
          <w:color w:val="auto"/>
          <w:sz w:val="24"/>
          <w:highlight w:val="none"/>
        </w:rPr>
      </w:pPr>
    </w:p>
    <w:p w14:paraId="2F737D88">
      <w:pPr>
        <w:rPr>
          <w:rFonts w:ascii="宋体" w:hAnsi="宋体" w:cs="宋体"/>
          <w:b/>
          <w:color w:val="auto"/>
          <w:szCs w:val="21"/>
          <w:highlight w:val="none"/>
        </w:rPr>
      </w:pPr>
      <w:r>
        <w:rPr>
          <w:rFonts w:hint="eastAsia" w:ascii="宋体" w:hAnsi="宋体" w:cs="宋体"/>
          <w:color w:val="auto"/>
          <w:szCs w:val="21"/>
          <w:highlight w:val="none"/>
        </w:rPr>
        <w:br w:type="page"/>
      </w:r>
    </w:p>
    <w:bookmarkEnd w:id="2"/>
    <w:bookmarkEnd w:id="3"/>
    <w:bookmarkEnd w:id="4"/>
    <w:bookmarkEnd w:id="5"/>
    <w:p w14:paraId="4FDE31A8">
      <w:pPr>
        <w:pStyle w:val="2"/>
        <w:keepLines w:val="0"/>
        <w:numPr>
          <w:ilvl w:val="0"/>
          <w:numId w:val="0"/>
        </w:numPr>
        <w:autoSpaceDE w:val="0"/>
        <w:autoSpaceDN w:val="0"/>
        <w:adjustRightInd w:val="0"/>
        <w:spacing w:before="0"/>
        <w:textAlignment w:val="baseline"/>
        <w:rPr>
          <w:rFonts w:cs="宋体"/>
          <w:bCs w:val="0"/>
          <w:color w:val="auto"/>
          <w:kern w:val="0"/>
          <w:highlight w:val="none"/>
        </w:rPr>
      </w:pPr>
      <w:bookmarkStart w:id="6" w:name="_Toc502069655"/>
      <w:r>
        <w:rPr>
          <w:rFonts w:hint="eastAsia" w:ascii="宋体" w:hAnsi="宋体" w:eastAsia="宋体" w:cs="宋体"/>
          <w:b/>
          <w:bCs w:val="0"/>
          <w:color w:val="auto"/>
          <w:kern w:val="0"/>
          <w:sz w:val="30"/>
          <w:szCs w:val="30"/>
          <w:highlight w:val="none"/>
          <w:lang w:val="en-US" w:eastAsia="zh-CN" w:bidi="ar-SA"/>
        </w:rPr>
        <w:t>第二章</w:t>
      </w:r>
      <w:r>
        <w:rPr>
          <w:rFonts w:hint="eastAsia" w:cs="宋体"/>
          <w:b/>
          <w:bCs w:val="0"/>
          <w:color w:val="auto"/>
          <w:kern w:val="0"/>
          <w:sz w:val="30"/>
          <w:szCs w:val="30"/>
          <w:highlight w:val="none"/>
          <w:lang w:val="en-US" w:eastAsia="zh-CN" w:bidi="ar-SA"/>
        </w:rPr>
        <w:t xml:space="preserve">  </w:t>
      </w:r>
      <w:r>
        <w:rPr>
          <w:rFonts w:hint="eastAsia" w:cs="宋体"/>
          <w:bCs w:val="0"/>
          <w:color w:val="auto"/>
          <w:kern w:val="0"/>
          <w:highlight w:val="none"/>
        </w:rPr>
        <w:t>招标需求</w:t>
      </w:r>
      <w:bookmarkEnd w:id="6"/>
    </w:p>
    <w:p w14:paraId="5F233F55">
      <w:pPr>
        <w:rPr>
          <w:rFonts w:ascii="宋体" w:hAnsi="宋体" w:cs="宋体"/>
          <w:color w:val="auto"/>
          <w:highlight w:val="none"/>
        </w:rPr>
      </w:pPr>
    </w:p>
    <w:p w14:paraId="734DDA78">
      <w:pPr>
        <w:pStyle w:val="118"/>
        <w:spacing w:line="500" w:lineRule="exact"/>
        <w:jc w:val="left"/>
        <w:rPr>
          <w:rFonts w:ascii="宋体" w:hAnsi="宋体" w:cs="宋体"/>
          <w:b/>
          <w:bCs/>
          <w:color w:val="auto"/>
          <w:sz w:val="21"/>
          <w:szCs w:val="21"/>
          <w:highlight w:val="none"/>
        </w:rPr>
      </w:pPr>
      <w:bookmarkStart w:id="7" w:name="_Toc502069656"/>
      <w:r>
        <w:rPr>
          <w:rFonts w:hint="eastAsia" w:ascii="宋体" w:hAnsi="宋体" w:cs="宋体"/>
          <w:b/>
          <w:bCs/>
          <w:color w:val="auto"/>
          <w:sz w:val="21"/>
          <w:szCs w:val="21"/>
          <w:highlight w:val="none"/>
        </w:rPr>
        <w:t>一、招标需求一览表</w:t>
      </w:r>
    </w:p>
    <w:tbl>
      <w:tblPr>
        <w:tblStyle w:val="46"/>
        <w:tblW w:w="10077"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808"/>
        <w:gridCol w:w="2359"/>
        <w:gridCol w:w="763"/>
        <w:gridCol w:w="696"/>
        <w:gridCol w:w="1077"/>
        <w:gridCol w:w="1549"/>
        <w:gridCol w:w="1606"/>
        <w:gridCol w:w="1219"/>
      </w:tblGrid>
      <w:tr w14:paraId="66A75D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7" w:hRule="atLeast"/>
          <w:jc w:val="center"/>
        </w:trPr>
        <w:tc>
          <w:tcPr>
            <w:tcW w:w="8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4542E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序号</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E4754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内容</w:t>
            </w:r>
          </w:p>
        </w:tc>
        <w:tc>
          <w:tcPr>
            <w:tcW w:w="7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BDDF2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数量</w:t>
            </w:r>
          </w:p>
        </w:tc>
        <w:tc>
          <w:tcPr>
            <w:tcW w:w="6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4D850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单位</w:t>
            </w:r>
          </w:p>
        </w:tc>
        <w:tc>
          <w:tcPr>
            <w:tcW w:w="1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1C059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单价最高限价（元）</w:t>
            </w:r>
          </w:p>
        </w:tc>
        <w:tc>
          <w:tcPr>
            <w:tcW w:w="15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B3667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服务期限（年）</w:t>
            </w:r>
          </w:p>
        </w:tc>
        <w:tc>
          <w:tcPr>
            <w:tcW w:w="16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A68C3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最高限价（元）</w:t>
            </w:r>
          </w:p>
        </w:tc>
        <w:tc>
          <w:tcPr>
            <w:tcW w:w="12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FB723A">
            <w:pPr>
              <w:keepNext w:val="0"/>
              <w:keepLines w:val="0"/>
              <w:widowControl/>
              <w:suppressLineNumbers w:val="0"/>
              <w:jc w:val="center"/>
              <w:textAlignment w:val="center"/>
              <w:rPr>
                <w:rFonts w:hint="default"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备注</w:t>
            </w:r>
          </w:p>
        </w:tc>
      </w:tr>
      <w:tr w14:paraId="4886DA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36" w:hRule="atLeast"/>
          <w:jc w:val="center"/>
        </w:trPr>
        <w:tc>
          <w:tcPr>
            <w:tcW w:w="8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EAC42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2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6FFB4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婺城区2025-2026年水库（山塘）维修养护（物业化管理）项目</w:t>
            </w:r>
          </w:p>
        </w:tc>
        <w:tc>
          <w:tcPr>
            <w:tcW w:w="7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BB5A85">
            <w:pPr>
              <w:jc w:val="center"/>
              <w:rPr>
                <w:rFonts w:hint="default" w:ascii="宋体" w:hAnsi="宋体" w:eastAsia="宋体" w:cs="宋体"/>
                <w:i w:val="0"/>
                <w:iCs w:val="0"/>
                <w:color w:val="auto"/>
                <w:sz w:val="21"/>
                <w:szCs w:val="21"/>
                <w:highlight w:val="none"/>
                <w:u w:val="none"/>
                <w:lang w:val="en-US" w:eastAsia="zh-CN"/>
              </w:rPr>
            </w:pPr>
            <w:r>
              <w:rPr>
                <w:rFonts w:hint="eastAsia" w:ascii="宋体" w:hAnsi="宋体" w:eastAsia="宋体" w:cs="宋体"/>
                <w:i w:val="0"/>
                <w:iCs w:val="0"/>
                <w:color w:val="auto"/>
                <w:sz w:val="21"/>
                <w:szCs w:val="21"/>
                <w:highlight w:val="none"/>
                <w:u w:val="none"/>
                <w:lang w:val="en-US" w:eastAsia="zh-CN"/>
              </w:rPr>
              <w:t>68</w:t>
            </w:r>
          </w:p>
        </w:tc>
        <w:tc>
          <w:tcPr>
            <w:tcW w:w="6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930073">
            <w:pPr>
              <w:jc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座</w:t>
            </w:r>
          </w:p>
        </w:tc>
        <w:tc>
          <w:tcPr>
            <w:tcW w:w="1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10DB81">
            <w:pPr>
              <w:jc w:val="center"/>
              <w:rPr>
                <w:rFonts w:hint="eastAsia" w:ascii="宋体" w:hAnsi="宋体" w:eastAsia="宋体" w:cs="宋体"/>
                <w:i w:val="0"/>
                <w:iCs w:val="0"/>
                <w:color w:val="auto"/>
                <w:sz w:val="21"/>
                <w:szCs w:val="21"/>
                <w:highlight w:val="none"/>
                <w:u w:val="none"/>
                <w:lang w:val="en-US" w:eastAsia="zh-CN"/>
              </w:rPr>
            </w:pPr>
            <w:r>
              <w:rPr>
                <w:rFonts w:hint="eastAsia" w:ascii="宋体" w:hAnsi="宋体" w:eastAsia="宋体" w:cs="宋体"/>
                <w:i w:val="0"/>
                <w:iCs w:val="0"/>
                <w:color w:val="auto"/>
                <w:sz w:val="21"/>
                <w:szCs w:val="21"/>
                <w:highlight w:val="none"/>
                <w:u w:val="none"/>
                <w:lang w:val="en-US" w:eastAsia="zh-CN"/>
              </w:rPr>
              <w:t>/</w:t>
            </w:r>
          </w:p>
        </w:tc>
        <w:tc>
          <w:tcPr>
            <w:tcW w:w="15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EA9234">
            <w:pPr>
              <w:jc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2年</w:t>
            </w:r>
          </w:p>
        </w:tc>
        <w:tc>
          <w:tcPr>
            <w:tcW w:w="16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FE8D6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4198800</w:t>
            </w:r>
          </w:p>
        </w:tc>
        <w:tc>
          <w:tcPr>
            <w:tcW w:w="12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4871D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4FCD7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5" w:hRule="atLeast"/>
          <w:jc w:val="center"/>
        </w:trPr>
        <w:tc>
          <w:tcPr>
            <w:tcW w:w="8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0DD9E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1.1</w:t>
            </w:r>
          </w:p>
        </w:tc>
        <w:tc>
          <w:tcPr>
            <w:tcW w:w="2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DF706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小（1）型水库</w:t>
            </w:r>
          </w:p>
        </w:tc>
        <w:tc>
          <w:tcPr>
            <w:tcW w:w="7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3FED8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10</w:t>
            </w:r>
          </w:p>
        </w:tc>
        <w:tc>
          <w:tcPr>
            <w:tcW w:w="6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1D10E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座</w:t>
            </w:r>
          </w:p>
        </w:tc>
        <w:tc>
          <w:tcPr>
            <w:tcW w:w="1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7584E0">
            <w:pPr>
              <w:jc w:val="center"/>
              <w:rPr>
                <w:rFonts w:hint="eastAsia" w:ascii="宋体" w:hAnsi="宋体" w:eastAsia="宋体" w:cs="宋体"/>
                <w:i w:val="0"/>
                <w:iCs w:val="0"/>
                <w:color w:val="auto"/>
                <w:sz w:val="21"/>
                <w:szCs w:val="21"/>
                <w:highlight w:val="none"/>
                <w:u w:val="none"/>
                <w:lang w:val="en-US" w:eastAsia="zh-CN"/>
              </w:rPr>
            </w:pPr>
            <w:r>
              <w:rPr>
                <w:rFonts w:hint="eastAsia" w:ascii="宋体" w:hAnsi="宋体" w:eastAsia="宋体" w:cs="宋体"/>
                <w:i w:val="0"/>
                <w:iCs w:val="0"/>
                <w:color w:val="auto"/>
                <w:sz w:val="21"/>
                <w:szCs w:val="21"/>
                <w:highlight w:val="none"/>
                <w:u w:val="none"/>
                <w:lang w:val="en-US" w:eastAsia="zh-CN"/>
              </w:rPr>
              <w:t>/</w:t>
            </w:r>
          </w:p>
        </w:tc>
        <w:tc>
          <w:tcPr>
            <w:tcW w:w="15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D5C39E">
            <w:pPr>
              <w:jc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2年</w:t>
            </w:r>
          </w:p>
        </w:tc>
        <w:tc>
          <w:tcPr>
            <w:tcW w:w="16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FF228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852000</w:t>
            </w:r>
          </w:p>
        </w:tc>
        <w:tc>
          <w:tcPr>
            <w:tcW w:w="12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29B182">
            <w:pPr>
              <w:keepNext w:val="0"/>
              <w:keepLines w:val="0"/>
              <w:widowControl/>
              <w:suppressLineNumbers w:val="0"/>
              <w:jc w:val="center"/>
              <w:textAlignment w:val="center"/>
              <w:rPr>
                <w:rFonts w:hint="default"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水库名称及地点详见附件1</w:t>
            </w:r>
          </w:p>
        </w:tc>
      </w:tr>
      <w:tr w14:paraId="7A289C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5" w:hRule="atLeast"/>
          <w:jc w:val="center"/>
        </w:trPr>
        <w:tc>
          <w:tcPr>
            <w:tcW w:w="8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F9C6A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1.1.1</w:t>
            </w:r>
          </w:p>
        </w:tc>
        <w:tc>
          <w:tcPr>
            <w:tcW w:w="2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06D3E9">
            <w:pPr>
              <w:keepNext w:val="0"/>
              <w:keepLines w:val="0"/>
              <w:widowControl/>
              <w:suppressLineNumbers w:val="0"/>
              <w:jc w:val="center"/>
              <w:textAlignment w:val="center"/>
              <w:rPr>
                <w:rFonts w:hint="default" w:ascii="宋体" w:hAnsi="宋体" w:eastAsia="宋体" w:cs="宋体"/>
                <w:i w:val="0"/>
                <w:iCs w:val="0"/>
                <w:color w:val="auto"/>
                <w:sz w:val="21"/>
                <w:szCs w:val="21"/>
                <w:highlight w:val="none"/>
                <w:u w:val="none"/>
                <w:lang w:val="en-US"/>
              </w:rPr>
            </w:pPr>
            <w:r>
              <w:rPr>
                <w:rFonts w:hint="eastAsia" w:ascii="宋体" w:hAnsi="宋体" w:eastAsia="宋体" w:cs="宋体"/>
                <w:i w:val="0"/>
                <w:iCs w:val="0"/>
                <w:color w:val="auto"/>
                <w:kern w:val="0"/>
                <w:sz w:val="21"/>
                <w:szCs w:val="21"/>
                <w:highlight w:val="none"/>
                <w:u w:val="none"/>
                <w:lang w:val="en-US" w:eastAsia="zh-CN" w:bidi="ar"/>
              </w:rPr>
              <w:t>水库巡查，保洁、增设水位特性值标记</w:t>
            </w:r>
            <w:r>
              <w:rPr>
                <w:rFonts w:hint="eastAsia" w:ascii="宋体" w:hAnsi="宋体" w:cs="宋体"/>
                <w:i w:val="0"/>
                <w:iCs w:val="0"/>
                <w:color w:val="auto"/>
                <w:kern w:val="0"/>
                <w:sz w:val="21"/>
                <w:szCs w:val="21"/>
                <w:highlight w:val="none"/>
                <w:u w:val="none"/>
                <w:lang w:val="en-US" w:eastAsia="zh-CN" w:bidi="ar"/>
              </w:rPr>
              <w:t>，大坝坝顶、坝面、溢洪道等维修</w:t>
            </w:r>
          </w:p>
        </w:tc>
        <w:tc>
          <w:tcPr>
            <w:tcW w:w="7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D8C9B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10</w:t>
            </w:r>
          </w:p>
        </w:tc>
        <w:tc>
          <w:tcPr>
            <w:tcW w:w="6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44316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座</w:t>
            </w:r>
          </w:p>
        </w:tc>
        <w:tc>
          <w:tcPr>
            <w:tcW w:w="1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2D6D5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30000元/座/年</w:t>
            </w:r>
          </w:p>
        </w:tc>
        <w:tc>
          <w:tcPr>
            <w:tcW w:w="15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E0377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2年</w:t>
            </w:r>
          </w:p>
        </w:tc>
        <w:tc>
          <w:tcPr>
            <w:tcW w:w="16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F4C1A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600000</w:t>
            </w:r>
          </w:p>
        </w:tc>
        <w:tc>
          <w:tcPr>
            <w:tcW w:w="12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C704D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87027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5" w:hRule="atLeast"/>
          <w:jc w:val="center"/>
        </w:trPr>
        <w:tc>
          <w:tcPr>
            <w:tcW w:w="8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0ABD2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1.1.2</w:t>
            </w:r>
          </w:p>
        </w:tc>
        <w:tc>
          <w:tcPr>
            <w:tcW w:w="2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A328E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坝体表面水平位移、垂直位移观测</w:t>
            </w:r>
          </w:p>
        </w:tc>
        <w:tc>
          <w:tcPr>
            <w:tcW w:w="7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95807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9</w:t>
            </w:r>
          </w:p>
        </w:tc>
        <w:tc>
          <w:tcPr>
            <w:tcW w:w="6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52881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座</w:t>
            </w:r>
          </w:p>
        </w:tc>
        <w:tc>
          <w:tcPr>
            <w:tcW w:w="1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E2EB6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8000元/座/年</w:t>
            </w:r>
          </w:p>
        </w:tc>
        <w:tc>
          <w:tcPr>
            <w:tcW w:w="15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D68F2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2年</w:t>
            </w:r>
          </w:p>
        </w:tc>
        <w:tc>
          <w:tcPr>
            <w:tcW w:w="16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60F01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144000</w:t>
            </w:r>
          </w:p>
        </w:tc>
        <w:tc>
          <w:tcPr>
            <w:tcW w:w="12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84C93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CAF0B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5" w:hRule="atLeast"/>
          <w:jc w:val="center"/>
        </w:trPr>
        <w:tc>
          <w:tcPr>
            <w:tcW w:w="8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35A93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1.1.3</w:t>
            </w:r>
          </w:p>
        </w:tc>
        <w:tc>
          <w:tcPr>
            <w:tcW w:w="2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B52D1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坝体渗流压力观测（测压管观测、渗流量）</w:t>
            </w:r>
          </w:p>
        </w:tc>
        <w:tc>
          <w:tcPr>
            <w:tcW w:w="7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64663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9</w:t>
            </w:r>
          </w:p>
        </w:tc>
        <w:tc>
          <w:tcPr>
            <w:tcW w:w="6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CE605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座</w:t>
            </w:r>
          </w:p>
        </w:tc>
        <w:tc>
          <w:tcPr>
            <w:tcW w:w="1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46FD5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6000元/座/年</w:t>
            </w:r>
          </w:p>
        </w:tc>
        <w:tc>
          <w:tcPr>
            <w:tcW w:w="15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75647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2年</w:t>
            </w:r>
          </w:p>
        </w:tc>
        <w:tc>
          <w:tcPr>
            <w:tcW w:w="16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A2774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108000</w:t>
            </w:r>
          </w:p>
        </w:tc>
        <w:tc>
          <w:tcPr>
            <w:tcW w:w="12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58714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C84942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1" w:hRule="atLeast"/>
          <w:jc w:val="center"/>
        </w:trPr>
        <w:tc>
          <w:tcPr>
            <w:tcW w:w="8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0CF0E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1.2</w:t>
            </w:r>
          </w:p>
        </w:tc>
        <w:tc>
          <w:tcPr>
            <w:tcW w:w="2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B54B8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小（2）型水库</w:t>
            </w:r>
          </w:p>
        </w:tc>
        <w:tc>
          <w:tcPr>
            <w:tcW w:w="7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417CC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46</w:t>
            </w:r>
          </w:p>
        </w:tc>
        <w:tc>
          <w:tcPr>
            <w:tcW w:w="6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81A74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座</w:t>
            </w:r>
          </w:p>
        </w:tc>
        <w:tc>
          <w:tcPr>
            <w:tcW w:w="1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1ACF5F">
            <w:pPr>
              <w:jc w:val="center"/>
              <w:rPr>
                <w:rFonts w:hint="eastAsia" w:ascii="宋体" w:hAnsi="宋体" w:eastAsia="宋体" w:cs="宋体"/>
                <w:i w:val="0"/>
                <w:iCs w:val="0"/>
                <w:color w:val="auto"/>
                <w:sz w:val="21"/>
                <w:szCs w:val="21"/>
                <w:highlight w:val="none"/>
                <w:u w:val="none"/>
                <w:lang w:val="en-US" w:eastAsia="zh-CN"/>
              </w:rPr>
            </w:pPr>
            <w:r>
              <w:rPr>
                <w:rFonts w:hint="eastAsia" w:ascii="宋体" w:hAnsi="宋体" w:eastAsia="宋体" w:cs="宋体"/>
                <w:i w:val="0"/>
                <w:iCs w:val="0"/>
                <w:color w:val="auto"/>
                <w:sz w:val="21"/>
                <w:szCs w:val="21"/>
                <w:highlight w:val="none"/>
                <w:u w:val="none"/>
                <w:lang w:val="en-US" w:eastAsia="zh-CN"/>
              </w:rPr>
              <w:t>/</w:t>
            </w:r>
          </w:p>
        </w:tc>
        <w:tc>
          <w:tcPr>
            <w:tcW w:w="15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3FD2D2">
            <w:pPr>
              <w:jc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2年</w:t>
            </w:r>
          </w:p>
        </w:tc>
        <w:tc>
          <w:tcPr>
            <w:tcW w:w="16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7F455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3058800</w:t>
            </w:r>
          </w:p>
        </w:tc>
        <w:tc>
          <w:tcPr>
            <w:tcW w:w="12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56249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水库名称及地点详见附件2</w:t>
            </w:r>
          </w:p>
        </w:tc>
      </w:tr>
      <w:tr w14:paraId="4EC8F2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5" w:hRule="atLeast"/>
          <w:jc w:val="center"/>
        </w:trPr>
        <w:tc>
          <w:tcPr>
            <w:tcW w:w="8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977DC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1.2.1</w:t>
            </w:r>
          </w:p>
        </w:tc>
        <w:tc>
          <w:tcPr>
            <w:tcW w:w="2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4BFB0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水库巡查，保洁、增设水位特性值标记</w:t>
            </w:r>
            <w:r>
              <w:rPr>
                <w:rFonts w:hint="eastAsia" w:ascii="宋体" w:hAnsi="宋体" w:cs="宋体"/>
                <w:i w:val="0"/>
                <w:iCs w:val="0"/>
                <w:color w:val="auto"/>
                <w:kern w:val="0"/>
                <w:sz w:val="21"/>
                <w:szCs w:val="21"/>
                <w:highlight w:val="none"/>
                <w:u w:val="none"/>
                <w:lang w:val="en-US" w:eastAsia="zh-CN" w:bidi="ar"/>
              </w:rPr>
              <w:t>，大坝坝顶、坝面、溢洪道等维修</w:t>
            </w:r>
          </w:p>
        </w:tc>
        <w:tc>
          <w:tcPr>
            <w:tcW w:w="7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5F0A6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46</w:t>
            </w:r>
          </w:p>
        </w:tc>
        <w:tc>
          <w:tcPr>
            <w:tcW w:w="6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EF1B0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座</w:t>
            </w:r>
          </w:p>
        </w:tc>
        <w:tc>
          <w:tcPr>
            <w:tcW w:w="1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E9DAE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25000元/座/年</w:t>
            </w:r>
          </w:p>
        </w:tc>
        <w:tc>
          <w:tcPr>
            <w:tcW w:w="15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B5632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2年</w:t>
            </w:r>
          </w:p>
        </w:tc>
        <w:tc>
          <w:tcPr>
            <w:tcW w:w="16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68589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2300000</w:t>
            </w:r>
          </w:p>
        </w:tc>
        <w:tc>
          <w:tcPr>
            <w:tcW w:w="12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7228A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85DA3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5" w:hRule="atLeast"/>
          <w:jc w:val="center"/>
        </w:trPr>
        <w:tc>
          <w:tcPr>
            <w:tcW w:w="8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F9AB4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1.2.2</w:t>
            </w:r>
          </w:p>
        </w:tc>
        <w:tc>
          <w:tcPr>
            <w:tcW w:w="2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EDD79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坝体表面水平位移、垂直位移观测</w:t>
            </w:r>
          </w:p>
        </w:tc>
        <w:tc>
          <w:tcPr>
            <w:tcW w:w="7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F9A85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46</w:t>
            </w:r>
          </w:p>
        </w:tc>
        <w:tc>
          <w:tcPr>
            <w:tcW w:w="6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3B510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座</w:t>
            </w:r>
          </w:p>
        </w:tc>
        <w:tc>
          <w:tcPr>
            <w:tcW w:w="1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16657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7100元/座/年</w:t>
            </w:r>
          </w:p>
        </w:tc>
        <w:tc>
          <w:tcPr>
            <w:tcW w:w="15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CC3FA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2年</w:t>
            </w:r>
          </w:p>
        </w:tc>
        <w:tc>
          <w:tcPr>
            <w:tcW w:w="16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1AF72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653200</w:t>
            </w:r>
          </w:p>
        </w:tc>
        <w:tc>
          <w:tcPr>
            <w:tcW w:w="12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7C2D9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18DE6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5" w:hRule="atLeast"/>
          <w:jc w:val="center"/>
        </w:trPr>
        <w:tc>
          <w:tcPr>
            <w:tcW w:w="8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CEC5A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1.2.3</w:t>
            </w:r>
          </w:p>
        </w:tc>
        <w:tc>
          <w:tcPr>
            <w:tcW w:w="2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569E9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坝体渗流压力观测（测压管观测、渗流量）</w:t>
            </w:r>
          </w:p>
        </w:tc>
        <w:tc>
          <w:tcPr>
            <w:tcW w:w="7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FFF5A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11</w:t>
            </w:r>
          </w:p>
        </w:tc>
        <w:tc>
          <w:tcPr>
            <w:tcW w:w="6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483DC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座</w:t>
            </w:r>
          </w:p>
        </w:tc>
        <w:tc>
          <w:tcPr>
            <w:tcW w:w="1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B666F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4800元/座/年</w:t>
            </w:r>
          </w:p>
        </w:tc>
        <w:tc>
          <w:tcPr>
            <w:tcW w:w="15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4DF92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2年</w:t>
            </w:r>
          </w:p>
        </w:tc>
        <w:tc>
          <w:tcPr>
            <w:tcW w:w="16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2E3DA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105600</w:t>
            </w:r>
          </w:p>
        </w:tc>
        <w:tc>
          <w:tcPr>
            <w:tcW w:w="12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8188C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09896B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6" w:hRule="atLeast"/>
          <w:jc w:val="center"/>
        </w:trPr>
        <w:tc>
          <w:tcPr>
            <w:tcW w:w="8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7F195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1.3</w:t>
            </w:r>
          </w:p>
        </w:tc>
        <w:tc>
          <w:tcPr>
            <w:tcW w:w="2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7C357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山塘</w:t>
            </w:r>
          </w:p>
        </w:tc>
        <w:tc>
          <w:tcPr>
            <w:tcW w:w="7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9F19F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12</w:t>
            </w:r>
          </w:p>
        </w:tc>
        <w:tc>
          <w:tcPr>
            <w:tcW w:w="6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DA04E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座</w:t>
            </w:r>
          </w:p>
        </w:tc>
        <w:tc>
          <w:tcPr>
            <w:tcW w:w="1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E3D68D">
            <w:pPr>
              <w:jc w:val="center"/>
              <w:rPr>
                <w:rFonts w:hint="eastAsia" w:ascii="宋体" w:hAnsi="宋体" w:eastAsia="宋体" w:cs="宋体"/>
                <w:i w:val="0"/>
                <w:iCs w:val="0"/>
                <w:color w:val="auto"/>
                <w:sz w:val="21"/>
                <w:szCs w:val="21"/>
                <w:highlight w:val="none"/>
                <w:u w:val="none"/>
                <w:lang w:val="en-US" w:eastAsia="zh-CN"/>
              </w:rPr>
            </w:pPr>
            <w:r>
              <w:rPr>
                <w:rFonts w:hint="eastAsia" w:ascii="宋体" w:hAnsi="宋体" w:eastAsia="宋体" w:cs="宋体"/>
                <w:i w:val="0"/>
                <w:iCs w:val="0"/>
                <w:color w:val="auto"/>
                <w:sz w:val="21"/>
                <w:szCs w:val="21"/>
                <w:highlight w:val="none"/>
                <w:u w:val="none"/>
                <w:lang w:val="en-US" w:eastAsia="zh-CN"/>
              </w:rPr>
              <w:t>/</w:t>
            </w:r>
          </w:p>
        </w:tc>
        <w:tc>
          <w:tcPr>
            <w:tcW w:w="15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A1B2D4">
            <w:pPr>
              <w:jc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2年</w:t>
            </w:r>
          </w:p>
        </w:tc>
        <w:tc>
          <w:tcPr>
            <w:tcW w:w="16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164A04">
            <w:pPr>
              <w:jc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288000</w:t>
            </w:r>
          </w:p>
        </w:tc>
        <w:tc>
          <w:tcPr>
            <w:tcW w:w="12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6924FB">
            <w:pPr>
              <w:jc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水库名称及地点详见附件3</w:t>
            </w:r>
          </w:p>
        </w:tc>
      </w:tr>
      <w:tr w14:paraId="045846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5" w:hRule="atLeast"/>
          <w:jc w:val="center"/>
        </w:trPr>
        <w:tc>
          <w:tcPr>
            <w:tcW w:w="8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027C4F">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1.3.1</w:t>
            </w:r>
          </w:p>
        </w:tc>
        <w:tc>
          <w:tcPr>
            <w:tcW w:w="2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15976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山塘巡查，保洁、增设水位特性值标记</w:t>
            </w:r>
            <w:r>
              <w:rPr>
                <w:rFonts w:hint="eastAsia" w:ascii="宋体" w:hAnsi="宋体" w:cs="宋体"/>
                <w:i w:val="0"/>
                <w:iCs w:val="0"/>
                <w:color w:val="auto"/>
                <w:kern w:val="0"/>
                <w:sz w:val="21"/>
                <w:szCs w:val="21"/>
                <w:highlight w:val="none"/>
                <w:u w:val="none"/>
                <w:lang w:val="en-US" w:eastAsia="zh-CN" w:bidi="ar"/>
              </w:rPr>
              <w:t>，大坝坝顶、坝面、溢洪道等维修</w:t>
            </w:r>
          </w:p>
        </w:tc>
        <w:tc>
          <w:tcPr>
            <w:tcW w:w="7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AC0B0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12</w:t>
            </w:r>
          </w:p>
        </w:tc>
        <w:tc>
          <w:tcPr>
            <w:tcW w:w="6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742F8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座</w:t>
            </w:r>
          </w:p>
        </w:tc>
        <w:tc>
          <w:tcPr>
            <w:tcW w:w="1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F8EAF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12000元/座/年</w:t>
            </w:r>
          </w:p>
        </w:tc>
        <w:tc>
          <w:tcPr>
            <w:tcW w:w="15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CB04D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2年</w:t>
            </w:r>
          </w:p>
        </w:tc>
        <w:tc>
          <w:tcPr>
            <w:tcW w:w="16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4395F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288000</w:t>
            </w:r>
          </w:p>
        </w:tc>
        <w:tc>
          <w:tcPr>
            <w:tcW w:w="12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33A7E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bl>
    <w:p w14:paraId="50922FAE">
      <w:pPr>
        <w:keepLines w:val="0"/>
        <w:pageBreakBefore w:val="0"/>
        <w:widowControl w:val="0"/>
        <w:shd w:val="clear" w:color="auto" w:fill="FFFFFF"/>
        <w:kinsoku/>
        <w:wordWrap/>
        <w:overflowPunct/>
        <w:topLinePunct w:val="0"/>
        <w:bidi w:val="0"/>
        <w:snapToGrid/>
        <w:spacing w:line="420" w:lineRule="exact"/>
        <w:outlineLvl w:val="1"/>
        <w:rPr>
          <w:rFonts w:ascii="宋体" w:hAnsi="宋体" w:cs="宋体"/>
          <w:b/>
          <w:bCs/>
          <w:color w:val="auto"/>
          <w:sz w:val="21"/>
          <w:szCs w:val="21"/>
          <w:highlight w:val="none"/>
        </w:rPr>
      </w:pPr>
      <w:r>
        <w:rPr>
          <w:rFonts w:hint="eastAsia" w:ascii="宋体" w:hAnsi="宋体" w:cs="宋体"/>
          <w:b/>
          <w:bCs/>
          <w:color w:val="auto"/>
          <w:sz w:val="21"/>
          <w:szCs w:val="21"/>
          <w:highlight w:val="none"/>
        </w:rPr>
        <w:t>二、物业化管理工作要求</w:t>
      </w:r>
    </w:p>
    <w:p w14:paraId="4C99B971">
      <w:pPr>
        <w:keepLines w:val="0"/>
        <w:pageBreakBefore w:val="0"/>
        <w:widowControl w:val="0"/>
        <w:shd w:val="clear" w:color="auto" w:fill="FFFFFF"/>
        <w:kinsoku/>
        <w:wordWrap/>
        <w:overflowPunct/>
        <w:topLinePunct w:val="0"/>
        <w:bidi w:val="0"/>
        <w:snapToGrid/>
        <w:spacing w:line="420" w:lineRule="exact"/>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合同签订时，物业化管理单位须根据水利工程分布地理位置和特征，编制水利工程管理养护制度和维修养护计划，确定维修养护方案送管理单位（管理责任主体），由管理单位（管理责任主体）报区水务局审查同意。</w:t>
      </w:r>
    </w:p>
    <w:p w14:paraId="69B045D2">
      <w:pPr>
        <w:keepLines w:val="0"/>
        <w:pageBreakBefore w:val="0"/>
        <w:widowControl w:val="0"/>
        <w:shd w:val="clear" w:color="auto" w:fill="FFFFFF"/>
        <w:kinsoku/>
        <w:wordWrap/>
        <w:overflowPunct/>
        <w:topLinePunct w:val="0"/>
        <w:bidi w:val="0"/>
        <w:snapToGrid/>
        <w:spacing w:line="420" w:lineRule="exact"/>
        <w:ind w:firstLine="420" w:firstLineChars="200"/>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rPr>
        <w:t>合同实施期间，出现超出物业化管理单位养护工作范围的维修工程，由物业化管理单位负责提出，报管理单位（管理责任主体）处理</w:t>
      </w:r>
      <w:r>
        <w:rPr>
          <w:rFonts w:hint="eastAsia" w:ascii="宋体" w:hAnsi="宋体" w:cs="宋体"/>
          <w:color w:val="auto"/>
          <w:sz w:val="21"/>
          <w:szCs w:val="21"/>
          <w:highlight w:val="none"/>
          <w:lang w:eastAsia="zh-CN"/>
        </w:rPr>
        <w:t>。</w:t>
      </w:r>
    </w:p>
    <w:p w14:paraId="09E37B4A">
      <w:pPr>
        <w:keepLines w:val="0"/>
        <w:pageBreakBefore w:val="0"/>
        <w:widowControl w:val="0"/>
        <w:shd w:val="clear" w:color="auto" w:fill="FFFFFF"/>
        <w:kinsoku/>
        <w:wordWrap/>
        <w:overflowPunct/>
        <w:topLinePunct w:val="0"/>
        <w:bidi w:val="0"/>
        <w:snapToGrid/>
        <w:spacing w:line="420" w:lineRule="exact"/>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2、落实巡查管护人员，人员配备要满足浙江省《小型水库管理规程》、《山塘运行管理规程》要求。本项目要求配备足够的与对应水利工程相应的维修养护的人员确保及时完成每天巡查管理维护任务，</w:t>
      </w:r>
      <w:r>
        <w:rPr>
          <w:rFonts w:hint="eastAsia" w:ascii="宋体" w:hAnsi="宋体" w:cs="宋体"/>
          <w:color w:val="auto"/>
          <w:sz w:val="21"/>
          <w:szCs w:val="21"/>
          <w:highlight w:val="none"/>
          <w:lang w:eastAsia="zh-CN"/>
        </w:rPr>
        <w:t>巡察及养护</w:t>
      </w:r>
      <w:r>
        <w:rPr>
          <w:rFonts w:hint="eastAsia" w:ascii="宋体" w:hAnsi="宋体" w:cs="宋体"/>
          <w:color w:val="auto"/>
          <w:sz w:val="21"/>
          <w:szCs w:val="21"/>
          <w:highlight w:val="none"/>
        </w:rPr>
        <w:t>人员年龄60周岁以下，身体健康，满足巡查维护的能力，物业化管理单位应确定各个水库、山塘的联系人员并报管理单位（管理责任主体）并抄区水务局。从业人员上班时间需佩戴工作证，需投保人身伤害保险和第三者责任险（保单复印件在合同签订一个月内报招标人备案，保险费用均由物业化管理单位自理）。</w:t>
      </w:r>
    </w:p>
    <w:p w14:paraId="275EB2F7">
      <w:pPr>
        <w:keepLines w:val="0"/>
        <w:pageBreakBefore w:val="0"/>
        <w:widowControl w:val="0"/>
        <w:shd w:val="clear" w:color="auto" w:fill="FFFFFF"/>
        <w:kinsoku/>
        <w:wordWrap/>
        <w:overflowPunct/>
        <w:topLinePunct w:val="0"/>
        <w:bidi w:val="0"/>
        <w:snapToGrid/>
        <w:spacing w:line="420" w:lineRule="exact"/>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3、物业化管理单位应保证巡查管护的物资、工具、设备以及劳动保护防护用品及时到位。巡查所需的设备、流量等均由物业化管理单位自理。</w:t>
      </w:r>
    </w:p>
    <w:p w14:paraId="7BAE858C">
      <w:pPr>
        <w:keepLines w:val="0"/>
        <w:pageBreakBefore w:val="0"/>
        <w:widowControl w:val="0"/>
        <w:shd w:val="clear" w:color="auto" w:fill="FFFFFF"/>
        <w:kinsoku/>
        <w:wordWrap/>
        <w:overflowPunct/>
        <w:topLinePunct w:val="0"/>
        <w:bidi w:val="0"/>
        <w:snapToGrid/>
        <w:spacing w:line="420" w:lineRule="exact"/>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4、物业化管理单位应参加区水务局或上级主管部门、乡镇街道等组织巡查管护人员专业培训，培训合格后持证上岗，参加人员费用由物业化管理单位自理。</w:t>
      </w:r>
    </w:p>
    <w:p w14:paraId="34AC476E">
      <w:pPr>
        <w:keepLines w:val="0"/>
        <w:pageBreakBefore w:val="0"/>
        <w:widowControl w:val="0"/>
        <w:shd w:val="clear" w:color="auto" w:fill="FFFFFF"/>
        <w:kinsoku/>
        <w:wordWrap/>
        <w:overflowPunct/>
        <w:topLinePunct w:val="0"/>
        <w:bidi w:val="0"/>
        <w:snapToGrid/>
        <w:spacing w:line="420" w:lineRule="exact"/>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5、做好日常巡查、维修、放水等工作、月报、年报及专项检查工作报告。配合管理单位做好汛前检查、年度检查和特别检查，同时根据上级文件要求特殊检查时，应增加检查次数，并把检查结果报管理单位（管理责任主体）和招标人。</w:t>
      </w:r>
    </w:p>
    <w:p w14:paraId="6260D06B">
      <w:pPr>
        <w:keepLines w:val="0"/>
        <w:pageBreakBefore w:val="0"/>
        <w:widowControl w:val="0"/>
        <w:shd w:val="clear" w:color="auto" w:fill="FFFFFF"/>
        <w:kinsoku/>
        <w:wordWrap/>
        <w:overflowPunct/>
        <w:topLinePunct w:val="0"/>
        <w:bidi w:val="0"/>
        <w:snapToGrid/>
        <w:spacing w:line="420" w:lineRule="exact"/>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6、对突发事件及时汇报妥善处理，做好防汛、抗台抢险工作，并做好数据、图片和台帐的记录、存档，必须服从管理单位（管理责任主体）和招标人的统一指挥和安排。</w:t>
      </w:r>
    </w:p>
    <w:p w14:paraId="0C8F9649">
      <w:pPr>
        <w:keepLines w:val="0"/>
        <w:pageBreakBefore w:val="0"/>
        <w:widowControl w:val="0"/>
        <w:shd w:val="clear" w:color="auto" w:fill="FFFFFF"/>
        <w:kinsoku/>
        <w:wordWrap/>
        <w:overflowPunct/>
        <w:topLinePunct w:val="0"/>
        <w:bidi w:val="0"/>
        <w:snapToGrid/>
        <w:spacing w:line="420" w:lineRule="exact"/>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7、及时向有关职能部门反映水工程和水环境安全，以及水事问题、水事违法案件。协助调查、解决来电来信来访。</w:t>
      </w:r>
    </w:p>
    <w:p w14:paraId="11ECC60B">
      <w:pPr>
        <w:keepLines w:val="0"/>
        <w:pageBreakBefore w:val="0"/>
        <w:widowControl w:val="0"/>
        <w:shd w:val="clear" w:color="auto" w:fill="FFFFFF"/>
        <w:kinsoku/>
        <w:wordWrap/>
        <w:overflowPunct/>
        <w:topLinePunct w:val="0"/>
        <w:bidi w:val="0"/>
        <w:snapToGrid/>
        <w:spacing w:line="420" w:lineRule="exact"/>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8、做好水利工程</w:t>
      </w:r>
      <w:r>
        <w:rPr>
          <w:rFonts w:hint="eastAsia" w:ascii="宋体" w:hAnsi="宋体" w:cs="宋体"/>
          <w:color w:val="auto"/>
          <w:sz w:val="21"/>
          <w:szCs w:val="21"/>
          <w:highlight w:val="none"/>
          <w:lang w:val="en-US" w:eastAsia="zh-CN"/>
        </w:rPr>
        <w:t>省市区信息化管理平台等</w:t>
      </w:r>
      <w:r>
        <w:rPr>
          <w:rFonts w:hint="eastAsia" w:ascii="宋体" w:hAnsi="宋体" w:cs="宋体"/>
          <w:color w:val="auto"/>
          <w:sz w:val="21"/>
          <w:szCs w:val="21"/>
          <w:highlight w:val="none"/>
        </w:rPr>
        <w:t>各种资料的填报、整理汇编、上传、存档等工作。</w:t>
      </w:r>
    </w:p>
    <w:p w14:paraId="0663ECFB">
      <w:pPr>
        <w:keepLines w:val="0"/>
        <w:pageBreakBefore w:val="0"/>
        <w:widowControl w:val="0"/>
        <w:shd w:val="clear" w:color="auto" w:fill="FFFFFF"/>
        <w:kinsoku/>
        <w:wordWrap/>
        <w:overflowPunct/>
        <w:topLinePunct w:val="0"/>
        <w:bidi w:val="0"/>
        <w:snapToGrid/>
        <w:spacing w:line="420" w:lineRule="exact"/>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9、上级水行政主管部门以及管理单位（管理责任主体）交办的其他任务。</w:t>
      </w:r>
    </w:p>
    <w:p w14:paraId="399A156B">
      <w:pPr>
        <w:keepLines w:val="0"/>
        <w:pageBreakBefore w:val="0"/>
        <w:widowControl w:val="0"/>
        <w:shd w:val="clear" w:color="auto" w:fill="FFFFFF"/>
        <w:kinsoku/>
        <w:wordWrap/>
        <w:overflowPunct/>
        <w:topLinePunct w:val="0"/>
        <w:bidi w:val="0"/>
        <w:snapToGrid/>
        <w:spacing w:line="420" w:lineRule="exact"/>
        <w:outlineLvl w:val="1"/>
        <w:rPr>
          <w:rFonts w:ascii="宋体" w:hAnsi="宋体" w:cs="宋体"/>
          <w:b/>
          <w:bCs/>
          <w:color w:val="auto"/>
          <w:sz w:val="21"/>
          <w:szCs w:val="21"/>
          <w:highlight w:val="none"/>
        </w:rPr>
      </w:pPr>
      <w:r>
        <w:rPr>
          <w:rFonts w:hint="eastAsia" w:ascii="宋体" w:hAnsi="宋体" w:cs="宋体"/>
          <w:b/>
          <w:bCs/>
          <w:color w:val="auto"/>
          <w:sz w:val="21"/>
          <w:szCs w:val="21"/>
          <w:highlight w:val="none"/>
        </w:rPr>
        <w:t>三、工程管理养护内容</w:t>
      </w:r>
    </w:p>
    <w:p w14:paraId="214DD2D7">
      <w:pPr>
        <w:keepLines w:val="0"/>
        <w:pageBreakBefore w:val="0"/>
        <w:widowControl w:val="0"/>
        <w:shd w:val="clear" w:color="auto" w:fill="FFFFFF"/>
        <w:kinsoku/>
        <w:wordWrap/>
        <w:overflowPunct/>
        <w:topLinePunct w:val="0"/>
        <w:bidi w:val="0"/>
        <w:snapToGrid/>
        <w:spacing w:line="420" w:lineRule="exact"/>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1、水库大坝</w:t>
      </w:r>
    </w:p>
    <w:p w14:paraId="7ADF06DA">
      <w:pPr>
        <w:keepLines w:val="0"/>
        <w:pageBreakBefore w:val="0"/>
        <w:widowControl w:val="0"/>
        <w:shd w:val="clear" w:color="auto" w:fill="FFFFFF"/>
        <w:kinsoku/>
        <w:wordWrap/>
        <w:overflowPunct/>
        <w:topLinePunct w:val="0"/>
        <w:bidi w:val="0"/>
        <w:snapToGrid/>
        <w:spacing w:line="420" w:lineRule="exact"/>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坝体维修养护，迎、背水坡杂草、灌木清除（不得有超过</w:t>
      </w:r>
      <w:r>
        <w:rPr>
          <w:rFonts w:hint="eastAsia" w:ascii="宋体" w:hAnsi="宋体" w:cs="宋体"/>
          <w:color w:val="auto"/>
          <w:sz w:val="21"/>
          <w:szCs w:val="21"/>
          <w:highlight w:val="none"/>
          <w:lang w:val="en-US" w:eastAsia="zh-CN"/>
        </w:rPr>
        <w:t>3</w:t>
      </w:r>
      <w:r>
        <w:rPr>
          <w:rFonts w:hint="eastAsia" w:ascii="宋体" w:hAnsi="宋体" w:cs="宋体"/>
          <w:color w:val="auto"/>
          <w:sz w:val="21"/>
          <w:szCs w:val="21"/>
          <w:highlight w:val="none"/>
        </w:rPr>
        <w:t>0cm杂草），背水坡草皮修剪，每年修剪不少于四次，并根据情况及时对</w:t>
      </w:r>
      <w:r>
        <w:rPr>
          <w:rFonts w:hint="eastAsia" w:ascii="宋体" w:hAnsi="宋体" w:cs="宋体"/>
          <w:color w:val="auto"/>
          <w:sz w:val="21"/>
          <w:szCs w:val="21"/>
          <w:highlight w:val="none"/>
          <w:lang w:eastAsia="zh-CN"/>
        </w:rPr>
        <w:t>草皮护坡进行修护</w:t>
      </w:r>
      <w:r>
        <w:rPr>
          <w:rFonts w:hint="eastAsia" w:ascii="宋体" w:hAnsi="宋体" w:cs="宋体"/>
          <w:color w:val="auto"/>
          <w:sz w:val="21"/>
          <w:szCs w:val="21"/>
          <w:highlight w:val="none"/>
        </w:rPr>
        <w:t>，费用含在合同价中；坝体局部坑洼、凹陷土方修补回填（每处回填方量小于1m³），坝身及坝前库面垃圾捡拾，局部破损的砼进行修复（每处破损面积≤5m²，每处工程量≤1m³）；检查坝体有无白蚁活动迹象，存在白蚁活动迹象的须及时汇报；大坝有渗漏及存在坍洞，可能影响坝体安全的，物业化管理单位应及时报告管理单位（管理责任主体）和招标人</w:t>
      </w:r>
      <w:r>
        <w:rPr>
          <w:rFonts w:hint="eastAsia" w:ascii="宋体" w:hAnsi="宋体" w:cs="宋体"/>
          <w:color w:val="auto"/>
          <w:sz w:val="21"/>
          <w:szCs w:val="21"/>
          <w:highlight w:val="none"/>
          <w:lang w:eastAsia="zh-CN"/>
        </w:rPr>
        <w:t>；对重力坝坝顶防护栏进行除锈、防腐等养护每年不得少于一次</w:t>
      </w:r>
      <w:r>
        <w:rPr>
          <w:rFonts w:hint="eastAsia" w:ascii="宋体" w:hAnsi="宋体" w:cs="宋体"/>
          <w:color w:val="auto"/>
          <w:sz w:val="21"/>
          <w:szCs w:val="21"/>
          <w:highlight w:val="none"/>
        </w:rPr>
        <w:t>。</w:t>
      </w:r>
    </w:p>
    <w:p w14:paraId="12491BA1">
      <w:pPr>
        <w:keepLines w:val="0"/>
        <w:pageBreakBefore w:val="0"/>
        <w:widowControl w:val="0"/>
        <w:shd w:val="clear" w:color="auto" w:fill="FFFFFF"/>
        <w:kinsoku/>
        <w:wordWrap/>
        <w:overflowPunct/>
        <w:topLinePunct w:val="0"/>
        <w:bidi w:val="0"/>
        <w:snapToGrid/>
        <w:spacing w:line="420" w:lineRule="exact"/>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2、溢洪道</w:t>
      </w:r>
    </w:p>
    <w:p w14:paraId="12C9603D">
      <w:pPr>
        <w:keepLines w:val="0"/>
        <w:pageBreakBefore w:val="0"/>
        <w:widowControl w:val="0"/>
        <w:shd w:val="clear" w:color="auto" w:fill="FFFFFF"/>
        <w:kinsoku/>
        <w:wordWrap/>
        <w:overflowPunct/>
        <w:topLinePunct w:val="0"/>
        <w:bidi w:val="0"/>
        <w:snapToGrid/>
        <w:spacing w:line="420" w:lineRule="exact"/>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配合管理责任主体或行政执法部门清理阻碍泄洪的设施，如拦鱼网、拦鱼杆等，及时清理堆积在溢洪道内的垃圾、土石方，清理溢洪道两侧影响泄洪的杂草、灌木；局部破损的砼进行修复（每处破损面积≤5m²，每处工程量≤1m³）；超出维修养护范围的及时上报。</w:t>
      </w:r>
    </w:p>
    <w:p w14:paraId="0EF6D4F8">
      <w:pPr>
        <w:keepLines w:val="0"/>
        <w:pageBreakBefore w:val="0"/>
        <w:widowControl w:val="0"/>
        <w:shd w:val="clear" w:color="auto" w:fill="FFFFFF"/>
        <w:kinsoku/>
        <w:wordWrap/>
        <w:overflowPunct/>
        <w:topLinePunct w:val="0"/>
        <w:bidi w:val="0"/>
        <w:snapToGrid/>
        <w:spacing w:line="420" w:lineRule="exact"/>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3、放水设施</w:t>
      </w:r>
    </w:p>
    <w:p w14:paraId="0EE53E40">
      <w:pPr>
        <w:keepLines w:val="0"/>
        <w:pageBreakBefore w:val="0"/>
        <w:widowControl w:val="0"/>
        <w:shd w:val="clear" w:color="auto" w:fill="FFFFFF"/>
        <w:kinsoku/>
        <w:wordWrap/>
        <w:overflowPunct/>
        <w:topLinePunct w:val="0"/>
        <w:bidi w:val="0"/>
        <w:snapToGrid/>
        <w:spacing w:line="420" w:lineRule="exact"/>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检查放水设施并及时清理影响正常放水的垃圾、杂物。检查涵管有无漏水情况，对存在漏水的情况要及时报告管理单位（管理责任主体）或招标人，每年应对启闭机、拉杆和闸门进行除锈、防腐等养护不得少于一次。对虹吸管放水设施应检查有无漏气情况，出现漏气情况，应及时维修确保设备正常运行，及时清除闸阀、管身锈斑，防腐等养护每年不得少于一次。</w:t>
      </w:r>
    </w:p>
    <w:p w14:paraId="5BE2AE39">
      <w:pPr>
        <w:keepLines w:val="0"/>
        <w:pageBreakBefore w:val="0"/>
        <w:widowControl w:val="0"/>
        <w:shd w:val="clear" w:color="auto" w:fill="FFFFFF"/>
        <w:kinsoku/>
        <w:wordWrap/>
        <w:overflowPunct/>
        <w:topLinePunct w:val="0"/>
        <w:bidi w:val="0"/>
        <w:snapToGrid/>
        <w:spacing w:line="420" w:lineRule="exact"/>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4、水库管理范围和保护范围及水库库面</w:t>
      </w:r>
    </w:p>
    <w:p w14:paraId="18CC086D">
      <w:pPr>
        <w:keepLines w:val="0"/>
        <w:pageBreakBefore w:val="0"/>
        <w:widowControl w:val="0"/>
        <w:shd w:val="clear" w:color="auto" w:fill="FFFFFF"/>
        <w:kinsoku/>
        <w:wordWrap/>
        <w:overflowPunct/>
        <w:topLinePunct w:val="0"/>
        <w:bidi w:val="0"/>
        <w:snapToGrid/>
        <w:spacing w:line="420" w:lineRule="exact"/>
        <w:ind w:firstLine="420" w:firstLineChars="200"/>
        <w:rPr>
          <w:rFonts w:hint="eastAsia" w:ascii="宋体" w:hAnsi="宋体" w:cs="宋体"/>
          <w:color w:val="auto"/>
          <w:sz w:val="21"/>
          <w:szCs w:val="21"/>
          <w:highlight w:val="none"/>
          <w:lang w:eastAsia="zh-CN"/>
        </w:rPr>
      </w:pPr>
      <w:r>
        <w:rPr>
          <w:rFonts w:hint="eastAsia" w:ascii="宋体" w:hAnsi="宋体" w:cs="宋体"/>
          <w:color w:val="auto"/>
          <w:sz w:val="21"/>
          <w:szCs w:val="21"/>
          <w:highlight w:val="none"/>
        </w:rPr>
        <w:t>检查水库管理范围和保护范围有无禁止性行为及影响工程运行和危害工程安全的行为。清理大坝</w:t>
      </w:r>
      <w:r>
        <w:rPr>
          <w:rFonts w:hint="eastAsia" w:ascii="宋体" w:hAnsi="宋体" w:cs="宋体"/>
          <w:color w:val="auto"/>
          <w:sz w:val="21"/>
          <w:szCs w:val="21"/>
          <w:highlight w:val="none"/>
          <w:lang w:val="en-US" w:eastAsia="zh-CN"/>
        </w:rPr>
        <w:t>溢洪道等水工建筑物管理范围</w:t>
      </w:r>
      <w:r>
        <w:rPr>
          <w:rFonts w:hint="eastAsia" w:ascii="宋体" w:hAnsi="宋体" w:cs="宋体"/>
          <w:color w:val="auto"/>
          <w:sz w:val="21"/>
          <w:szCs w:val="21"/>
          <w:highlight w:val="none"/>
        </w:rPr>
        <w:t>内漂浮垃圾，确保库面清洁和大坝区域卫生整洁</w:t>
      </w:r>
      <w:r>
        <w:rPr>
          <w:rFonts w:hint="eastAsia" w:ascii="宋体" w:hAnsi="宋体" w:cs="宋体"/>
          <w:color w:val="auto"/>
          <w:sz w:val="21"/>
          <w:szCs w:val="21"/>
          <w:highlight w:val="none"/>
          <w:lang w:eastAsia="zh-CN"/>
        </w:rPr>
        <w:t>。</w:t>
      </w:r>
    </w:p>
    <w:p w14:paraId="33993A23">
      <w:pPr>
        <w:keepLines w:val="0"/>
        <w:pageBreakBefore w:val="0"/>
        <w:widowControl w:val="0"/>
        <w:shd w:val="clear" w:color="auto" w:fill="FFFFFF"/>
        <w:kinsoku/>
        <w:wordWrap/>
        <w:overflowPunct/>
        <w:topLinePunct w:val="0"/>
        <w:bidi w:val="0"/>
        <w:snapToGrid/>
        <w:spacing w:line="420" w:lineRule="exact"/>
        <w:ind w:firstLine="420" w:firstLineChars="200"/>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5、安全监测</w:t>
      </w:r>
    </w:p>
    <w:p w14:paraId="5329246B">
      <w:pPr>
        <w:keepLines w:val="0"/>
        <w:pageBreakBefore w:val="0"/>
        <w:widowControl w:val="0"/>
        <w:shd w:val="clear" w:color="auto" w:fill="FFFFFF"/>
        <w:kinsoku/>
        <w:wordWrap/>
        <w:overflowPunct/>
        <w:topLinePunct w:val="0"/>
        <w:bidi w:val="0"/>
        <w:snapToGrid/>
        <w:spacing w:line="420" w:lineRule="exact"/>
        <w:ind w:firstLine="420" w:firstLineChars="200"/>
        <w:rPr>
          <w:rFonts w:hint="eastAsia" w:ascii="宋体" w:hAnsi="宋体" w:cs="宋体"/>
          <w:color w:val="auto"/>
          <w:sz w:val="21"/>
          <w:szCs w:val="21"/>
          <w:highlight w:val="none"/>
          <w:lang w:eastAsia="zh-CN"/>
        </w:rPr>
      </w:pPr>
      <w:r>
        <w:rPr>
          <w:rFonts w:hint="eastAsia" w:ascii="宋体" w:hAnsi="宋体" w:cs="宋体"/>
          <w:color w:val="auto"/>
          <w:sz w:val="21"/>
          <w:szCs w:val="21"/>
          <w:highlight w:val="none"/>
          <w:lang w:eastAsia="zh-CN"/>
        </w:rPr>
        <w:t>工程物业化管理单位须按要求开展安全监测（包括坝体表面水平位移、垂直位移观测以及坝体渗流压力观测（测压管观测）），并负责各种观测资料的整理、汇编、存档及分析等工作，如发现异常要及时上报管理责任主体和区水务局。具体要求如下：</w:t>
      </w:r>
    </w:p>
    <w:p w14:paraId="675A0952">
      <w:pPr>
        <w:keepLines w:val="0"/>
        <w:pageBreakBefore w:val="0"/>
        <w:widowControl w:val="0"/>
        <w:shd w:val="clear" w:color="auto" w:fill="FFFFFF"/>
        <w:kinsoku/>
        <w:wordWrap/>
        <w:overflowPunct/>
        <w:topLinePunct w:val="0"/>
        <w:bidi w:val="0"/>
        <w:snapToGrid/>
        <w:spacing w:line="420" w:lineRule="exact"/>
        <w:ind w:firstLine="420" w:firstLineChars="200"/>
        <w:rPr>
          <w:rFonts w:hint="eastAsia" w:ascii="宋体" w:hAnsi="宋体" w:cs="宋体"/>
          <w:color w:val="auto"/>
          <w:sz w:val="21"/>
          <w:szCs w:val="21"/>
          <w:highlight w:val="none"/>
          <w:lang w:eastAsia="zh-CN"/>
        </w:rPr>
      </w:pPr>
      <w:r>
        <w:rPr>
          <w:rFonts w:hint="eastAsia" w:ascii="宋体" w:hAnsi="宋体" w:cs="宋体"/>
          <w:color w:val="auto"/>
          <w:sz w:val="21"/>
          <w:szCs w:val="21"/>
          <w:highlight w:val="none"/>
          <w:lang w:eastAsia="zh-CN"/>
        </w:rPr>
        <w:t>1）监测时间的要求：坝体表面水平位移、垂直位移观测每季度</w:t>
      </w:r>
      <w:r>
        <w:rPr>
          <w:rFonts w:hint="eastAsia" w:ascii="宋体" w:hAnsi="宋体" w:cs="宋体"/>
          <w:color w:val="auto"/>
          <w:sz w:val="21"/>
          <w:szCs w:val="21"/>
          <w:highlight w:val="none"/>
          <w:lang w:val="en-US" w:eastAsia="zh-CN"/>
        </w:rPr>
        <w:t>不少于</w:t>
      </w:r>
      <w:r>
        <w:rPr>
          <w:rFonts w:hint="eastAsia" w:ascii="宋体" w:hAnsi="宋体" w:cs="宋体"/>
          <w:color w:val="auto"/>
          <w:sz w:val="21"/>
          <w:szCs w:val="21"/>
          <w:highlight w:val="none"/>
          <w:lang w:eastAsia="zh-CN"/>
        </w:rPr>
        <w:t>1次（应安排在每个季度第2个月），坝体渗流压力观测（测压管观测）一个月</w:t>
      </w:r>
      <w:r>
        <w:rPr>
          <w:rFonts w:hint="eastAsia" w:ascii="宋体" w:hAnsi="宋体" w:cs="宋体"/>
          <w:color w:val="auto"/>
          <w:sz w:val="21"/>
          <w:szCs w:val="21"/>
          <w:highlight w:val="none"/>
          <w:lang w:val="en-US" w:eastAsia="zh-CN"/>
        </w:rPr>
        <w:t>不少于</w:t>
      </w:r>
      <w:r>
        <w:rPr>
          <w:rFonts w:hint="eastAsia" w:ascii="宋体" w:hAnsi="宋体" w:cs="宋体"/>
          <w:color w:val="auto"/>
          <w:sz w:val="21"/>
          <w:szCs w:val="21"/>
          <w:highlight w:val="none"/>
          <w:lang w:eastAsia="zh-CN"/>
        </w:rPr>
        <w:t>2次，</w:t>
      </w:r>
      <w:r>
        <w:rPr>
          <w:rFonts w:hint="eastAsia" w:ascii="宋体" w:hAnsi="宋体" w:cs="宋体"/>
          <w:color w:val="auto"/>
          <w:sz w:val="21"/>
          <w:szCs w:val="21"/>
          <w:highlight w:val="none"/>
          <w:lang w:val="en-US" w:eastAsia="zh-CN"/>
        </w:rPr>
        <w:t>同时满足《浙江省地方标准小型水库管理规程》DB33/T2214-2019，</w:t>
      </w:r>
      <w:r>
        <w:rPr>
          <w:rFonts w:hint="eastAsia" w:ascii="宋体" w:hAnsi="宋体" w:cs="宋体"/>
          <w:color w:val="auto"/>
          <w:sz w:val="21"/>
          <w:szCs w:val="21"/>
          <w:highlight w:val="none"/>
          <w:lang w:eastAsia="zh-CN"/>
        </w:rPr>
        <w:t>山塘不作要求。</w:t>
      </w:r>
    </w:p>
    <w:p w14:paraId="273B6EC5">
      <w:pPr>
        <w:keepLines w:val="0"/>
        <w:pageBreakBefore w:val="0"/>
        <w:widowControl w:val="0"/>
        <w:shd w:val="clear" w:color="auto" w:fill="FFFFFF"/>
        <w:kinsoku/>
        <w:wordWrap/>
        <w:overflowPunct/>
        <w:topLinePunct w:val="0"/>
        <w:bidi w:val="0"/>
        <w:snapToGrid/>
        <w:spacing w:line="420" w:lineRule="exact"/>
        <w:ind w:firstLine="420" w:firstLineChars="200"/>
        <w:rPr>
          <w:rFonts w:hint="eastAsia" w:ascii="宋体" w:hAnsi="宋体" w:cs="宋体"/>
          <w:color w:val="auto"/>
          <w:sz w:val="21"/>
          <w:szCs w:val="21"/>
          <w:highlight w:val="none"/>
          <w:lang w:eastAsia="zh-CN"/>
        </w:rPr>
      </w:pPr>
      <w:r>
        <w:rPr>
          <w:rFonts w:hint="eastAsia" w:ascii="宋体" w:hAnsi="宋体" w:cs="宋体"/>
          <w:color w:val="auto"/>
          <w:sz w:val="21"/>
          <w:szCs w:val="21"/>
          <w:highlight w:val="none"/>
          <w:lang w:eastAsia="zh-CN"/>
        </w:rPr>
        <w:t>2）作业人员必须严格按规范要求实施观测并进行自检，做到记录清晰、齐全，计算准确无误。检查员应及时对成果进行检查，发现问题及时处理。审核员负责报告的审核，把好质量的最后一道关。</w:t>
      </w:r>
    </w:p>
    <w:p w14:paraId="0670860D">
      <w:pPr>
        <w:keepLines w:val="0"/>
        <w:pageBreakBefore w:val="0"/>
        <w:widowControl w:val="0"/>
        <w:shd w:val="clear" w:color="auto" w:fill="FFFFFF"/>
        <w:kinsoku/>
        <w:wordWrap/>
        <w:overflowPunct/>
        <w:topLinePunct w:val="0"/>
        <w:bidi w:val="0"/>
        <w:snapToGrid/>
        <w:spacing w:line="420" w:lineRule="exact"/>
        <w:ind w:firstLine="420" w:firstLineChars="200"/>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eastAsia="zh-CN"/>
        </w:rPr>
        <w:t>3）观测要求：①重力坝的观测要求：重力坝位移观测布置坝顶上游侧（防浪墙）4个监测点、1个工作基点和1个校核基点和1个水准基点；②土石坝观测要求：大坝表面变形观测布置在上游坝坡和下游坝坡3个监测点，设2个横断面共6个监测点，同时在大坝两端山体上设置1个水准点、1个位移和沉降工作基点，在坝下游侧2个位移和沉降校核基点。其他水库渗水浊度观测要求：可通过肉眼进行观察，当发现渗水较为浑浊时，应采集样品，进行相关的浊度检测。工程观测根据规程要求进行观测、记录、填报表格、整理台账，在年底前递交年度监测资料整编报告和监测资料分析报告。实际工作按照《浙江省小型水库运行管理规程（实行）》、《土石坝安全监测技术规范》（</w:t>
      </w:r>
      <w:r>
        <w:rPr>
          <w:rFonts w:hint="eastAsia" w:ascii="宋体" w:hAnsi="宋体" w:cs="宋体"/>
          <w:color w:val="auto"/>
          <w:sz w:val="21"/>
          <w:szCs w:val="21"/>
          <w:highlight w:val="none"/>
          <w:lang w:val="en-US" w:eastAsia="zh-CN"/>
        </w:rPr>
        <w:t>SL551-2012</w:t>
      </w:r>
      <w:r>
        <w:rPr>
          <w:rFonts w:hint="eastAsia" w:ascii="宋体" w:hAnsi="宋体" w:cs="宋体"/>
          <w:color w:val="auto"/>
          <w:sz w:val="21"/>
          <w:szCs w:val="21"/>
          <w:highlight w:val="none"/>
          <w:lang w:eastAsia="zh-CN"/>
        </w:rPr>
        <w:t>）及浙江省水利厅的相关文件执行。</w:t>
      </w:r>
    </w:p>
    <w:p w14:paraId="2332CF45">
      <w:pPr>
        <w:keepLines w:val="0"/>
        <w:pageBreakBefore w:val="0"/>
        <w:widowControl w:val="0"/>
        <w:shd w:val="clear" w:color="auto" w:fill="FFFFFF"/>
        <w:kinsoku/>
        <w:wordWrap/>
        <w:overflowPunct/>
        <w:topLinePunct w:val="0"/>
        <w:bidi w:val="0"/>
        <w:snapToGrid/>
        <w:spacing w:line="420" w:lineRule="exact"/>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lang w:val="en-US" w:eastAsia="zh-CN"/>
        </w:rPr>
        <w:t>6</w:t>
      </w:r>
      <w:r>
        <w:rPr>
          <w:rFonts w:hint="eastAsia" w:ascii="宋体" w:hAnsi="宋体" w:cs="宋体"/>
          <w:color w:val="auto"/>
          <w:sz w:val="21"/>
          <w:szCs w:val="21"/>
          <w:highlight w:val="none"/>
        </w:rPr>
        <w:t>、其他附属设施</w:t>
      </w:r>
    </w:p>
    <w:p w14:paraId="00BDDC75">
      <w:pPr>
        <w:keepLines w:val="0"/>
        <w:pageBreakBefore w:val="0"/>
        <w:widowControl w:val="0"/>
        <w:shd w:val="clear" w:color="auto" w:fill="FFFFFF"/>
        <w:kinsoku/>
        <w:wordWrap/>
        <w:overflowPunct/>
        <w:topLinePunct w:val="0"/>
        <w:bidi w:val="0"/>
        <w:snapToGrid/>
        <w:spacing w:line="420" w:lineRule="exact"/>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1）上坝道路：及时清理道路上及两侧影响防汛车辆通行的杂草、灌木，修补路面坑洼，清理路面及排水沟中的落土、块石及垃圾等物，确保上坝道路畅通。</w:t>
      </w:r>
    </w:p>
    <w:p w14:paraId="24A8CED2">
      <w:pPr>
        <w:keepLines w:val="0"/>
        <w:pageBreakBefore w:val="0"/>
        <w:widowControl w:val="0"/>
        <w:shd w:val="clear" w:color="auto" w:fill="FFFFFF"/>
        <w:kinsoku/>
        <w:wordWrap/>
        <w:overflowPunct/>
        <w:topLinePunct w:val="0"/>
        <w:bidi w:val="0"/>
        <w:snapToGrid/>
        <w:spacing w:line="420" w:lineRule="exact"/>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2）管理房和启闭机房：检查有无漏水情况，修补剥落的墙面，整理屋顶瓦片等，保持门窗、地面的整洁，制度上墙，清理不属于水库维修养护和巡查管理的物品，确保管理房和启闭机房正常使用。</w:t>
      </w:r>
    </w:p>
    <w:p w14:paraId="7082F76F">
      <w:pPr>
        <w:keepLines w:val="0"/>
        <w:pageBreakBefore w:val="0"/>
        <w:widowControl w:val="0"/>
        <w:shd w:val="clear" w:color="auto" w:fill="FFFFFF"/>
        <w:kinsoku/>
        <w:wordWrap/>
        <w:overflowPunct/>
        <w:topLinePunct w:val="0"/>
        <w:bidi w:val="0"/>
        <w:snapToGrid/>
        <w:spacing w:line="420" w:lineRule="exact"/>
        <w:ind w:firstLine="420" w:firstLineChars="200"/>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rPr>
        <w:t>3）水雨情观测设施：保持水位尺完好，如有缺失及时修复，如发现雨水情遥测、视频监控等系统有损坏，及时上报</w:t>
      </w:r>
      <w:r>
        <w:rPr>
          <w:rFonts w:hint="eastAsia" w:ascii="宋体" w:hAnsi="宋体" w:cs="宋体"/>
          <w:color w:val="auto"/>
          <w:sz w:val="21"/>
          <w:szCs w:val="21"/>
          <w:highlight w:val="none"/>
          <w:lang w:eastAsia="zh-CN"/>
        </w:rPr>
        <w:t>；增设水位特性值标记并保持完好。</w:t>
      </w:r>
    </w:p>
    <w:p w14:paraId="3D4AB4DA">
      <w:pPr>
        <w:keepLines w:val="0"/>
        <w:pageBreakBefore w:val="0"/>
        <w:widowControl w:val="0"/>
        <w:shd w:val="clear" w:color="auto" w:fill="FFFFFF"/>
        <w:kinsoku/>
        <w:wordWrap/>
        <w:overflowPunct/>
        <w:topLinePunct w:val="0"/>
        <w:bidi w:val="0"/>
        <w:snapToGrid/>
        <w:spacing w:line="420" w:lineRule="exact"/>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4）工程范围内的防护设施检查、维修。</w:t>
      </w:r>
    </w:p>
    <w:p w14:paraId="19955D28">
      <w:pPr>
        <w:keepLines w:val="0"/>
        <w:pageBreakBefore w:val="0"/>
        <w:widowControl w:val="0"/>
        <w:shd w:val="clear" w:color="auto" w:fill="FFFFFF"/>
        <w:kinsoku/>
        <w:wordWrap/>
        <w:overflowPunct/>
        <w:topLinePunct w:val="0"/>
        <w:bidi w:val="0"/>
        <w:snapToGrid/>
        <w:spacing w:line="420" w:lineRule="exact"/>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5）其他观测设备：对已经安装过观测设备的水库，要求定期检查（每月一次），是否缺失、破损，如发现有缺失破损及时上报。</w:t>
      </w:r>
    </w:p>
    <w:p w14:paraId="7B3DE4F3">
      <w:pPr>
        <w:keepLines w:val="0"/>
        <w:pageBreakBefore w:val="0"/>
        <w:widowControl w:val="0"/>
        <w:shd w:val="clear" w:color="auto" w:fill="FFFFFF"/>
        <w:kinsoku/>
        <w:wordWrap/>
        <w:overflowPunct/>
        <w:topLinePunct w:val="0"/>
        <w:bidi w:val="0"/>
        <w:snapToGrid/>
        <w:spacing w:line="420" w:lineRule="exact"/>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6）标识标牌及界桩：检查本库区内的标示标牌、界桩以及上墙的规章制度等是否缺失、破损。应做到及时维护、修补。</w:t>
      </w:r>
    </w:p>
    <w:p w14:paraId="4CA35637">
      <w:pPr>
        <w:keepLines w:val="0"/>
        <w:pageBreakBefore w:val="0"/>
        <w:widowControl w:val="0"/>
        <w:shd w:val="clear" w:color="auto" w:fill="FFFFFF"/>
        <w:kinsoku/>
        <w:wordWrap/>
        <w:overflowPunct/>
        <w:topLinePunct w:val="0"/>
        <w:bidi w:val="0"/>
        <w:snapToGrid/>
        <w:spacing w:line="420" w:lineRule="exact"/>
        <w:ind w:firstLine="420" w:firstLineChars="200"/>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7</w:t>
      </w:r>
      <w:r>
        <w:rPr>
          <w:rFonts w:hint="eastAsia" w:ascii="宋体" w:hAnsi="宋体" w:cs="宋体"/>
          <w:color w:val="auto"/>
          <w:sz w:val="21"/>
          <w:szCs w:val="21"/>
          <w:highlight w:val="none"/>
        </w:rPr>
        <w:t>、</w:t>
      </w:r>
      <w:r>
        <w:rPr>
          <w:rFonts w:hint="eastAsia" w:ascii="宋体" w:hAnsi="宋体" w:cs="宋体"/>
          <w:color w:val="auto"/>
          <w:sz w:val="21"/>
          <w:szCs w:val="21"/>
          <w:highlight w:val="none"/>
          <w:lang w:val="en-US" w:eastAsia="zh-CN"/>
        </w:rPr>
        <w:t>省市区信息化管理平台</w:t>
      </w:r>
    </w:p>
    <w:p w14:paraId="68891AEF">
      <w:pPr>
        <w:keepLines w:val="0"/>
        <w:pageBreakBefore w:val="0"/>
        <w:widowControl w:val="0"/>
        <w:shd w:val="clear" w:color="auto" w:fill="FFFFFF"/>
        <w:kinsoku/>
        <w:wordWrap/>
        <w:overflowPunct/>
        <w:topLinePunct w:val="0"/>
        <w:bidi w:val="0"/>
        <w:snapToGrid/>
        <w:spacing w:line="420" w:lineRule="exact"/>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负责</w:t>
      </w:r>
      <w:r>
        <w:rPr>
          <w:rFonts w:hint="eastAsia" w:ascii="宋体" w:hAnsi="宋体" w:cs="宋体"/>
          <w:color w:val="auto"/>
          <w:sz w:val="21"/>
          <w:szCs w:val="21"/>
          <w:highlight w:val="none"/>
          <w:lang w:val="en-US" w:eastAsia="zh-CN"/>
        </w:rPr>
        <w:t>省市区信息化管理平台</w:t>
      </w:r>
      <w:r>
        <w:rPr>
          <w:rFonts w:hint="eastAsia" w:ascii="宋体" w:hAnsi="宋体" w:cs="宋体"/>
          <w:color w:val="auto"/>
          <w:sz w:val="21"/>
          <w:szCs w:val="21"/>
          <w:highlight w:val="none"/>
        </w:rPr>
        <w:t>数据的录入与维护，包括日常巡查、设备巡检及维修、维修养护、绿化保洁等工作记录。平台录入频次与巡查频次相对应，确保巡查结果录入的真实性和准确性。</w:t>
      </w:r>
    </w:p>
    <w:p w14:paraId="37BE8ACE">
      <w:pPr>
        <w:keepLines w:val="0"/>
        <w:pageBreakBefore w:val="0"/>
        <w:widowControl w:val="0"/>
        <w:shd w:val="clear" w:color="auto" w:fill="FFFFFF"/>
        <w:kinsoku/>
        <w:wordWrap/>
        <w:overflowPunct/>
        <w:topLinePunct w:val="0"/>
        <w:bidi w:val="0"/>
        <w:snapToGrid/>
        <w:spacing w:line="420" w:lineRule="exact"/>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lang w:val="en-US" w:eastAsia="zh-CN"/>
        </w:rPr>
        <w:t>8</w:t>
      </w:r>
      <w:r>
        <w:rPr>
          <w:rFonts w:hint="eastAsia" w:ascii="宋体" w:hAnsi="宋体" w:cs="宋体"/>
          <w:color w:val="auto"/>
          <w:sz w:val="21"/>
          <w:szCs w:val="21"/>
          <w:highlight w:val="none"/>
        </w:rPr>
        <w:t>、上级水行政主管部门、管理单位（管理责任主体）以及招标人交办的其他工作。</w:t>
      </w:r>
    </w:p>
    <w:p w14:paraId="1D39D8D4">
      <w:pPr>
        <w:keepLines w:val="0"/>
        <w:pageBreakBefore w:val="0"/>
        <w:widowControl w:val="0"/>
        <w:shd w:val="clear" w:color="auto" w:fill="FFFFFF"/>
        <w:kinsoku/>
        <w:wordWrap/>
        <w:overflowPunct/>
        <w:topLinePunct w:val="0"/>
        <w:bidi w:val="0"/>
        <w:snapToGrid/>
        <w:spacing w:line="420" w:lineRule="exact"/>
        <w:outlineLvl w:val="1"/>
        <w:rPr>
          <w:rFonts w:ascii="宋体" w:hAnsi="宋体" w:cs="宋体"/>
          <w:b/>
          <w:bCs/>
          <w:color w:val="auto"/>
          <w:sz w:val="21"/>
          <w:szCs w:val="21"/>
          <w:highlight w:val="none"/>
        </w:rPr>
      </w:pPr>
      <w:r>
        <w:rPr>
          <w:rFonts w:hint="eastAsia" w:ascii="宋体" w:hAnsi="宋体" w:cs="宋体"/>
          <w:b/>
          <w:bCs/>
          <w:color w:val="auto"/>
          <w:sz w:val="21"/>
          <w:szCs w:val="21"/>
          <w:highlight w:val="none"/>
        </w:rPr>
        <w:t>四、巡查要求</w:t>
      </w:r>
    </w:p>
    <w:p w14:paraId="4B6FF2B1">
      <w:pPr>
        <w:keepLines w:val="0"/>
        <w:pageBreakBefore w:val="0"/>
        <w:widowControl w:val="0"/>
        <w:shd w:val="clear" w:color="auto" w:fill="FFFFFF"/>
        <w:kinsoku/>
        <w:wordWrap/>
        <w:overflowPunct/>
        <w:topLinePunct w:val="0"/>
        <w:bidi w:val="0"/>
        <w:snapToGrid/>
        <w:spacing w:line="420" w:lineRule="exact"/>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1、巡查管护人员在每次巡查、管护后必须立即做好记录，记录本按照</w:t>
      </w:r>
      <w:r>
        <w:rPr>
          <w:rFonts w:hint="eastAsia" w:ascii="宋体" w:hAnsi="宋体" w:cs="宋体"/>
          <w:color w:val="auto"/>
          <w:sz w:val="21"/>
          <w:szCs w:val="21"/>
          <w:highlight w:val="none"/>
          <w:lang w:val="en-US" w:eastAsia="zh-CN"/>
        </w:rPr>
        <w:t>省市区信息化管理</w:t>
      </w:r>
      <w:r>
        <w:rPr>
          <w:rFonts w:hint="eastAsia" w:ascii="宋体" w:hAnsi="宋体" w:cs="宋体"/>
          <w:color w:val="auto"/>
          <w:sz w:val="21"/>
          <w:szCs w:val="21"/>
          <w:highlight w:val="none"/>
        </w:rPr>
        <w:t>统一规定，严禁代记或集中记录，以备查考。记录内容力求详实，一律使用黑色水笔，字迹清楚、端正，严禁杜撰、随意涂改，记录日期一律用公历。如发现异常情况，管理养护人员必须立即上报管理单位（管理责任主体）、招标人。</w:t>
      </w:r>
    </w:p>
    <w:p w14:paraId="63173C8F">
      <w:pPr>
        <w:keepLines w:val="0"/>
        <w:pageBreakBefore w:val="0"/>
        <w:widowControl w:val="0"/>
        <w:shd w:val="clear" w:color="auto" w:fill="FFFFFF"/>
        <w:kinsoku/>
        <w:wordWrap/>
        <w:overflowPunct/>
        <w:topLinePunct w:val="0"/>
        <w:bidi w:val="0"/>
        <w:snapToGrid/>
        <w:spacing w:line="420" w:lineRule="exact"/>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（1）日常巡查频率：按《小型水库运行管理规程》、《山塘运行管理规程》要求执行。</w:t>
      </w:r>
    </w:p>
    <w:p w14:paraId="4CB6D916">
      <w:pPr>
        <w:keepLines w:val="0"/>
        <w:pageBreakBefore w:val="0"/>
        <w:widowControl w:val="0"/>
        <w:shd w:val="clear" w:color="auto" w:fill="FFFFFF"/>
        <w:kinsoku/>
        <w:wordWrap/>
        <w:overflowPunct/>
        <w:topLinePunct w:val="0"/>
        <w:bidi w:val="0"/>
        <w:snapToGrid/>
        <w:spacing w:line="420" w:lineRule="exact"/>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水库汛期每天一次，非汛期3天一次，且每周不少于3次；台风、梅雨影响期间，水库存在异常渗流、裂缝等异常问题时，当水库水位接近（少于50cm）溢洪道堰顶高程或水库汛限水位时，应增加巡查频次，每天两次以上。</w:t>
      </w:r>
    </w:p>
    <w:p w14:paraId="741C75C1">
      <w:pPr>
        <w:keepLines w:val="0"/>
        <w:pageBreakBefore w:val="0"/>
        <w:widowControl w:val="0"/>
        <w:shd w:val="clear" w:color="auto" w:fill="FFFFFF"/>
        <w:kinsoku/>
        <w:wordWrap/>
        <w:overflowPunct/>
        <w:topLinePunct w:val="0"/>
        <w:bidi w:val="0"/>
        <w:snapToGrid/>
        <w:spacing w:line="420" w:lineRule="exact"/>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山塘汛期三天一次，非汛期15天一次，当山塘水位接近（少于50cm）溢洪道堰顶高程或存在异常渗流、裂缝等异常问题时，应增加巡查频次，每天1次以上；梅雨期间、台风（影响山塘所在地）影响期间或山塘水位超过溢洪道堰顶时，每天不少于1次；</w:t>
      </w:r>
    </w:p>
    <w:p w14:paraId="3AC68D2E">
      <w:pPr>
        <w:keepLines w:val="0"/>
        <w:pageBreakBefore w:val="0"/>
        <w:widowControl w:val="0"/>
        <w:shd w:val="clear" w:color="auto" w:fill="FFFFFF"/>
        <w:kinsoku/>
        <w:wordWrap/>
        <w:overflowPunct/>
        <w:topLinePunct w:val="0"/>
        <w:bidi w:val="0"/>
        <w:snapToGrid/>
        <w:spacing w:line="420" w:lineRule="exact"/>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注：汛期为4月15日至10月15日，巡查的数据应通过巡查手机、巡查软件及时上传</w:t>
      </w:r>
      <w:r>
        <w:rPr>
          <w:rFonts w:hint="eastAsia" w:ascii="宋体" w:hAnsi="宋体" w:cs="宋体"/>
          <w:color w:val="auto"/>
          <w:sz w:val="21"/>
          <w:szCs w:val="21"/>
          <w:highlight w:val="none"/>
          <w:lang w:val="en-US" w:eastAsia="zh-CN"/>
        </w:rPr>
        <w:t>省市区信息化管理平台</w:t>
      </w:r>
      <w:r>
        <w:rPr>
          <w:rFonts w:hint="eastAsia" w:ascii="宋体" w:hAnsi="宋体" w:cs="宋体"/>
          <w:color w:val="auto"/>
          <w:sz w:val="21"/>
          <w:szCs w:val="21"/>
          <w:highlight w:val="none"/>
        </w:rPr>
        <w:t>，手机由中标人自备。</w:t>
      </w:r>
    </w:p>
    <w:p w14:paraId="73B6B3C8">
      <w:pPr>
        <w:keepLines w:val="0"/>
        <w:pageBreakBefore w:val="0"/>
        <w:widowControl w:val="0"/>
        <w:shd w:val="clear" w:color="auto" w:fill="FFFFFF"/>
        <w:kinsoku/>
        <w:wordWrap/>
        <w:overflowPunct/>
        <w:topLinePunct w:val="0"/>
        <w:bidi w:val="0"/>
        <w:snapToGrid/>
        <w:spacing w:line="420" w:lineRule="exact"/>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汛前检查、年度检查。在每年的汛前汛后、用水期前后、有蚁害地区的白蚁活动显著期等，应按规定的检查项目，由管理单位负责人组织领导，对土石坝进行比较全面或专门的巡视检查。检查次数，视地区不同而异，一般每年不少于二至三次。</w:t>
      </w:r>
    </w:p>
    <w:p w14:paraId="3EB9D1E9">
      <w:pPr>
        <w:keepLines w:val="0"/>
        <w:pageBreakBefore w:val="0"/>
        <w:widowControl w:val="0"/>
        <w:shd w:val="clear" w:color="auto" w:fill="FFFFFF"/>
        <w:kinsoku/>
        <w:wordWrap/>
        <w:overflowPunct/>
        <w:topLinePunct w:val="0"/>
        <w:bidi w:val="0"/>
        <w:snapToGrid/>
        <w:spacing w:line="420" w:lineRule="exact"/>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3）特别巡视检查。当土石坝遇到严重影响安全运用的情况（如发生暴雨、大洪水、有感地震、强热带风暴，以及库水位骤升骤降或持续高水位等）、发生比较严重的破坏现象或出现其他危险迹象时，由水库主管单位（或所有权人）负责组织特别检查，必要时可委托专业机构开展，必要时物业化管理单位应对可能出现险情的部位进行连续监视。</w:t>
      </w:r>
    </w:p>
    <w:p w14:paraId="03961854">
      <w:pPr>
        <w:keepLines w:val="0"/>
        <w:pageBreakBefore w:val="0"/>
        <w:widowControl w:val="0"/>
        <w:shd w:val="clear" w:color="auto" w:fill="FFFFFF"/>
        <w:kinsoku/>
        <w:wordWrap/>
        <w:overflowPunct/>
        <w:topLinePunct w:val="0"/>
        <w:bidi w:val="0"/>
        <w:snapToGrid/>
        <w:spacing w:line="420" w:lineRule="exact"/>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2、由于工作失职而造成不良后果的，视后果轻重扣除一定金额的合同款，造成严重后果的依法追究法律责任。</w:t>
      </w:r>
    </w:p>
    <w:p w14:paraId="538CADB1">
      <w:pPr>
        <w:keepLines w:val="0"/>
        <w:pageBreakBefore w:val="0"/>
        <w:widowControl w:val="0"/>
        <w:shd w:val="clear" w:color="auto" w:fill="FFFFFF"/>
        <w:kinsoku/>
        <w:wordWrap/>
        <w:overflowPunct/>
        <w:topLinePunct w:val="0"/>
        <w:bidi w:val="0"/>
        <w:snapToGrid/>
        <w:spacing w:line="420" w:lineRule="exact"/>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3、物业化管理单位对需巡查管护的水库进行现状照片采集成册工作。进场后首先对水库现状摄制照片，每季度在原址摄制同样照片，每季度制作照片册以作对比，注明照片摄制时间，以体现巡查管护情况。每座水库需拍摄的照片：大坝（主、副坝），溢洪道、放水设施、</w:t>
      </w:r>
      <w:r>
        <w:rPr>
          <w:rFonts w:hint="eastAsia" w:ascii="宋体" w:hAnsi="宋体" w:cs="宋体"/>
          <w:color w:val="auto"/>
          <w:sz w:val="21"/>
          <w:szCs w:val="21"/>
          <w:highlight w:val="none"/>
          <w:lang w:eastAsia="zh-CN"/>
        </w:rPr>
        <w:t>水库监测设施、</w:t>
      </w:r>
      <w:r>
        <w:rPr>
          <w:rFonts w:hint="eastAsia" w:ascii="宋体" w:hAnsi="宋体" w:cs="宋体"/>
          <w:color w:val="auto"/>
          <w:sz w:val="21"/>
          <w:szCs w:val="21"/>
          <w:highlight w:val="none"/>
        </w:rPr>
        <w:t>上坝道路、附属设施。电子照片每期报招标人。</w:t>
      </w:r>
    </w:p>
    <w:p w14:paraId="02FA864C">
      <w:pPr>
        <w:keepLines w:val="0"/>
        <w:pageBreakBefore w:val="0"/>
        <w:widowControl w:val="0"/>
        <w:shd w:val="clear" w:color="auto" w:fill="FFFFFF"/>
        <w:kinsoku/>
        <w:wordWrap/>
        <w:overflowPunct/>
        <w:topLinePunct w:val="0"/>
        <w:bidi w:val="0"/>
        <w:snapToGrid/>
        <w:spacing w:line="420" w:lineRule="exact"/>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4、物业化管理单位在合同履行期间做好每季度巡查养护工作季报，季报格式及数量由发包人确定，每期制作3份报管理单位（管理责任主体）、招标人。</w:t>
      </w:r>
    </w:p>
    <w:p w14:paraId="05D86493">
      <w:pPr>
        <w:keepLines w:val="0"/>
        <w:pageBreakBefore w:val="0"/>
        <w:widowControl w:val="0"/>
        <w:shd w:val="clear" w:color="auto" w:fill="FFFFFF"/>
        <w:kinsoku/>
        <w:wordWrap/>
        <w:overflowPunct/>
        <w:topLinePunct w:val="0"/>
        <w:bidi w:val="0"/>
        <w:snapToGrid/>
        <w:spacing w:line="420" w:lineRule="exact"/>
        <w:outlineLvl w:val="1"/>
        <w:rPr>
          <w:rFonts w:ascii="宋体" w:hAnsi="宋体" w:cs="宋体"/>
          <w:b/>
          <w:bCs/>
          <w:color w:val="auto"/>
          <w:sz w:val="21"/>
          <w:szCs w:val="21"/>
          <w:highlight w:val="none"/>
        </w:rPr>
      </w:pPr>
      <w:r>
        <w:rPr>
          <w:rFonts w:hint="eastAsia" w:ascii="宋体" w:hAnsi="宋体" w:cs="宋体"/>
          <w:b/>
          <w:bCs/>
          <w:color w:val="auto"/>
          <w:sz w:val="21"/>
          <w:szCs w:val="21"/>
          <w:highlight w:val="none"/>
        </w:rPr>
        <w:t>五、考核管理（参照考核标准）</w:t>
      </w:r>
    </w:p>
    <w:p w14:paraId="1500815F">
      <w:pPr>
        <w:keepLines w:val="0"/>
        <w:pageBreakBefore w:val="0"/>
        <w:widowControl w:val="0"/>
        <w:shd w:val="clear" w:color="auto" w:fill="FFFFFF"/>
        <w:kinsoku/>
        <w:wordWrap/>
        <w:overflowPunct/>
        <w:topLinePunct w:val="0"/>
        <w:bidi w:val="0"/>
        <w:snapToGrid/>
        <w:spacing w:line="420" w:lineRule="exact"/>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巡查管护：根据水利工程标准化和其他规定要求，及时携带手机利用巡查软件对水利工程进行规范巡查。并根据巡查情况做好电子巡查记录，巡查记录情况：详细记录巡查、养护中的工作情况，记录不完整、漏记的每次扣200元。及时上传至信息化管理平台。未按规定频次巡查或信息化管理平台无巡查记录的，每发现一次扣200元（如遇信号不好，以照片时间为依据）。</w:t>
      </w:r>
    </w:p>
    <w:p w14:paraId="04A7A99D">
      <w:pPr>
        <w:keepLines w:val="0"/>
        <w:pageBreakBefore w:val="0"/>
        <w:widowControl w:val="0"/>
        <w:kinsoku/>
        <w:wordWrap/>
        <w:overflowPunct/>
        <w:topLinePunct w:val="0"/>
        <w:bidi w:val="0"/>
        <w:snapToGrid/>
        <w:spacing w:line="420" w:lineRule="exact"/>
        <w:ind w:firstLine="430" w:firstLineChars="205"/>
        <w:rPr>
          <w:rFonts w:ascii="宋体" w:hAnsi="宋体" w:cs="宋体"/>
          <w:color w:val="auto"/>
          <w:sz w:val="21"/>
          <w:szCs w:val="21"/>
          <w:highlight w:val="none"/>
        </w:rPr>
      </w:pPr>
      <w:r>
        <w:rPr>
          <w:rFonts w:hint="eastAsia" w:ascii="宋体" w:hAnsi="宋体" w:cs="宋体"/>
          <w:color w:val="auto"/>
          <w:sz w:val="21"/>
          <w:szCs w:val="21"/>
          <w:highlight w:val="none"/>
        </w:rPr>
        <w:t>2、工程外貌整洁美观：水利工程保护范围内存在特别明显的杂草（杂草不能超过</w:t>
      </w:r>
      <w:r>
        <w:rPr>
          <w:rFonts w:hint="eastAsia" w:ascii="宋体" w:hAnsi="宋体" w:cs="宋体"/>
          <w:color w:val="auto"/>
          <w:sz w:val="21"/>
          <w:szCs w:val="21"/>
          <w:highlight w:val="none"/>
          <w:lang w:val="en-US" w:eastAsia="zh-CN"/>
        </w:rPr>
        <w:t>3</w:t>
      </w:r>
      <w:r>
        <w:rPr>
          <w:rFonts w:hint="eastAsia" w:ascii="宋体" w:hAnsi="宋体" w:cs="宋体"/>
          <w:color w:val="auto"/>
          <w:sz w:val="21"/>
          <w:szCs w:val="21"/>
          <w:highlight w:val="none"/>
        </w:rPr>
        <w:t>0cm）、杂物、垃圾影响工程美观整洁和溢洪道进口处有异物，有拦鱼网栅等阻水作物影响溢洪道安全泄洪的，未及时</w:t>
      </w:r>
      <w:r>
        <w:rPr>
          <w:rFonts w:hint="eastAsia" w:ascii="宋体" w:hAnsi="宋体" w:cs="宋体"/>
          <w:color w:val="auto"/>
          <w:sz w:val="21"/>
          <w:szCs w:val="21"/>
          <w:highlight w:val="none"/>
          <w:lang w:eastAsia="zh-CN"/>
        </w:rPr>
        <w:t>汇报、处理</w:t>
      </w:r>
      <w:r>
        <w:rPr>
          <w:rFonts w:hint="eastAsia" w:ascii="宋体" w:hAnsi="宋体" w:cs="宋体"/>
          <w:color w:val="auto"/>
          <w:sz w:val="21"/>
          <w:szCs w:val="21"/>
          <w:highlight w:val="none"/>
        </w:rPr>
        <w:t>的每次扣1000元，发现杂草杂物垃圾堆积未及时清理的每次扣1000元。</w:t>
      </w:r>
    </w:p>
    <w:p w14:paraId="25F47242">
      <w:pPr>
        <w:keepLines w:val="0"/>
        <w:pageBreakBefore w:val="0"/>
        <w:widowControl w:val="0"/>
        <w:kinsoku/>
        <w:wordWrap/>
        <w:overflowPunct/>
        <w:topLinePunct w:val="0"/>
        <w:bidi w:val="0"/>
        <w:snapToGrid/>
        <w:spacing w:line="420" w:lineRule="exact"/>
        <w:ind w:firstLine="430" w:firstLineChars="205"/>
        <w:rPr>
          <w:rFonts w:ascii="宋体" w:hAnsi="宋体" w:cs="宋体"/>
          <w:color w:val="auto"/>
          <w:sz w:val="21"/>
          <w:szCs w:val="21"/>
          <w:highlight w:val="none"/>
        </w:rPr>
      </w:pPr>
      <w:r>
        <w:rPr>
          <w:rFonts w:hint="eastAsia" w:ascii="宋体" w:hAnsi="宋体" w:cs="宋体"/>
          <w:color w:val="auto"/>
          <w:sz w:val="21"/>
          <w:szCs w:val="21"/>
          <w:highlight w:val="none"/>
        </w:rPr>
        <w:t>3、危险源、安全隐患和异常事件按规定上报（或系统填报）：水利工程出现明显裂缝、塌坑、隆起、渗流等现象和水利工程管理和保护范围内有任意堆放影响工程安全及违章建筑的现象，发现上述活动未及时制止处理的、及时汇报，根据事态大小，每发现一次扣1000元至2000元。</w:t>
      </w:r>
    </w:p>
    <w:p w14:paraId="21511CB6">
      <w:pPr>
        <w:keepLines w:val="0"/>
        <w:pageBreakBefore w:val="0"/>
        <w:widowControl w:val="0"/>
        <w:kinsoku/>
        <w:wordWrap/>
        <w:overflowPunct/>
        <w:topLinePunct w:val="0"/>
        <w:bidi w:val="0"/>
        <w:snapToGrid/>
        <w:spacing w:line="420" w:lineRule="exact"/>
        <w:ind w:firstLine="430" w:firstLineChars="205"/>
        <w:rPr>
          <w:rFonts w:ascii="宋体" w:hAnsi="宋体" w:cs="宋体"/>
          <w:color w:val="auto"/>
          <w:sz w:val="21"/>
          <w:szCs w:val="21"/>
          <w:highlight w:val="none"/>
        </w:rPr>
      </w:pPr>
      <w:r>
        <w:rPr>
          <w:rFonts w:hint="eastAsia" w:ascii="宋体" w:hAnsi="宋体" w:cs="宋体"/>
          <w:color w:val="auto"/>
          <w:sz w:val="21"/>
          <w:szCs w:val="21"/>
          <w:highlight w:val="none"/>
        </w:rPr>
        <w:t>4、 设备维护：如发现设备没按要求每季度一次进行维护，每次扣2000元。</w:t>
      </w:r>
    </w:p>
    <w:p w14:paraId="52781A91">
      <w:pPr>
        <w:keepLines w:val="0"/>
        <w:pageBreakBefore w:val="0"/>
        <w:widowControl w:val="0"/>
        <w:kinsoku/>
        <w:wordWrap/>
        <w:overflowPunct/>
        <w:topLinePunct w:val="0"/>
        <w:bidi w:val="0"/>
        <w:snapToGrid/>
        <w:spacing w:line="420" w:lineRule="exact"/>
        <w:ind w:firstLine="430" w:firstLineChars="205"/>
        <w:rPr>
          <w:rFonts w:ascii="宋体" w:hAnsi="宋体" w:cs="宋体"/>
          <w:color w:val="auto"/>
          <w:sz w:val="21"/>
          <w:szCs w:val="21"/>
          <w:highlight w:val="none"/>
        </w:rPr>
      </w:pPr>
      <w:r>
        <w:rPr>
          <w:rFonts w:hint="eastAsia" w:ascii="宋体" w:hAnsi="宋体" w:cs="宋体"/>
          <w:color w:val="auto"/>
          <w:sz w:val="21"/>
          <w:szCs w:val="21"/>
          <w:highlight w:val="none"/>
        </w:rPr>
        <w:t>5、台账记录：每季度前10日前上报上季度巡查管护考核台帐，台帐内容包括人员和培训情况，管理养护机械设备、材料等使用情况，闸阀巡查管护和防锈处理</w:t>
      </w:r>
      <w:r>
        <w:rPr>
          <w:rFonts w:hint="eastAsia" w:ascii="宋体" w:hAnsi="宋体" w:cs="宋体"/>
          <w:color w:val="auto"/>
          <w:sz w:val="21"/>
          <w:szCs w:val="21"/>
          <w:highlight w:val="none"/>
          <w:lang w:eastAsia="zh-CN"/>
        </w:rPr>
        <w:t>等维修养护</w:t>
      </w:r>
      <w:r>
        <w:rPr>
          <w:rFonts w:hint="eastAsia" w:ascii="宋体" w:hAnsi="宋体" w:cs="宋体"/>
          <w:color w:val="auto"/>
          <w:sz w:val="21"/>
          <w:szCs w:val="21"/>
          <w:highlight w:val="none"/>
        </w:rPr>
        <w:t>情况，巡查管护巡查记录依标管理台帐等。台账记录不齐全或未及时上传到信息化平台的，每发现一次扣200元。</w:t>
      </w:r>
    </w:p>
    <w:p w14:paraId="3D6312D4">
      <w:pPr>
        <w:keepLines w:val="0"/>
        <w:pageBreakBefore w:val="0"/>
        <w:widowControl w:val="0"/>
        <w:kinsoku/>
        <w:wordWrap/>
        <w:overflowPunct/>
        <w:topLinePunct w:val="0"/>
        <w:bidi w:val="0"/>
        <w:snapToGrid/>
        <w:spacing w:line="420" w:lineRule="exact"/>
        <w:ind w:firstLine="430" w:firstLineChars="205"/>
        <w:rPr>
          <w:rFonts w:ascii="宋体" w:hAnsi="宋体" w:cs="宋体"/>
          <w:color w:val="auto"/>
          <w:sz w:val="21"/>
          <w:szCs w:val="21"/>
          <w:highlight w:val="none"/>
        </w:rPr>
      </w:pPr>
      <w:r>
        <w:rPr>
          <w:rFonts w:hint="eastAsia" w:ascii="宋体" w:hAnsi="宋体" w:cs="宋体"/>
          <w:color w:val="auto"/>
          <w:sz w:val="21"/>
          <w:szCs w:val="21"/>
          <w:highlight w:val="none"/>
        </w:rPr>
        <w:t>6、汛期期间物业公司</w:t>
      </w:r>
      <w:r>
        <w:rPr>
          <w:rFonts w:hint="eastAsia" w:ascii="宋体" w:hAnsi="宋体" w:cs="宋体"/>
          <w:color w:val="auto"/>
          <w:sz w:val="21"/>
          <w:szCs w:val="21"/>
          <w:highlight w:val="none"/>
          <w:lang w:eastAsia="zh-CN"/>
        </w:rPr>
        <w:t>由负责人带队</w:t>
      </w:r>
      <w:r>
        <w:rPr>
          <w:rFonts w:hint="eastAsia" w:ascii="宋体" w:hAnsi="宋体" w:cs="宋体"/>
          <w:color w:val="auto"/>
          <w:sz w:val="21"/>
          <w:szCs w:val="21"/>
          <w:highlight w:val="none"/>
          <w:lang w:val="en-US" w:eastAsia="zh-CN"/>
        </w:rPr>
        <w:t>4</w:t>
      </w:r>
      <w:r>
        <w:rPr>
          <w:rFonts w:hint="eastAsia" w:ascii="宋体" w:hAnsi="宋体" w:cs="宋体"/>
          <w:color w:val="auto"/>
          <w:sz w:val="21"/>
          <w:szCs w:val="21"/>
          <w:highlight w:val="none"/>
        </w:rPr>
        <w:t>人</w:t>
      </w:r>
      <w:r>
        <w:rPr>
          <w:rFonts w:hint="eastAsia" w:ascii="宋体" w:hAnsi="宋体" w:cs="宋体"/>
          <w:color w:val="auto"/>
          <w:sz w:val="21"/>
          <w:szCs w:val="21"/>
          <w:highlight w:val="none"/>
          <w:lang w:eastAsia="zh-CN"/>
        </w:rPr>
        <w:t>（不含项目负责人）</w:t>
      </w:r>
      <w:r>
        <w:rPr>
          <w:rFonts w:hint="eastAsia" w:ascii="宋体" w:hAnsi="宋体" w:cs="宋体"/>
          <w:color w:val="auto"/>
          <w:sz w:val="21"/>
          <w:szCs w:val="21"/>
          <w:highlight w:val="none"/>
        </w:rPr>
        <w:t>值班（</w:t>
      </w:r>
      <w:r>
        <w:rPr>
          <w:rFonts w:hint="eastAsia" w:ascii="宋体" w:hAnsi="宋体" w:cs="宋体"/>
          <w:bCs/>
          <w:color w:val="auto"/>
          <w:sz w:val="21"/>
          <w:szCs w:val="21"/>
          <w:highlight w:val="none"/>
        </w:rPr>
        <w:t>按照《浙江省小型水库运行管理规程》具体实施</w:t>
      </w:r>
      <w:r>
        <w:rPr>
          <w:rFonts w:hint="eastAsia" w:ascii="宋体" w:hAnsi="宋体" w:cs="宋体"/>
          <w:color w:val="auto"/>
          <w:sz w:val="21"/>
          <w:szCs w:val="21"/>
          <w:highlight w:val="none"/>
        </w:rPr>
        <w:t>），并做好考勤工作。发现无值班安排或值班人员玩忽职守，不遵守值班制度的，将按情节轻重，</w:t>
      </w:r>
      <w:r>
        <w:rPr>
          <w:rFonts w:hint="eastAsia" w:ascii="宋体" w:hAnsi="宋体" w:cs="宋体"/>
          <w:bCs/>
          <w:color w:val="auto"/>
          <w:sz w:val="21"/>
          <w:szCs w:val="21"/>
          <w:highlight w:val="none"/>
        </w:rPr>
        <w:t>每发现一次扣500元至1000元</w:t>
      </w:r>
      <w:r>
        <w:rPr>
          <w:rFonts w:hint="eastAsia" w:ascii="宋体" w:hAnsi="宋体" w:cs="宋体"/>
          <w:color w:val="auto"/>
          <w:sz w:val="21"/>
          <w:szCs w:val="21"/>
          <w:highlight w:val="none"/>
        </w:rPr>
        <w:t>。</w:t>
      </w:r>
    </w:p>
    <w:p w14:paraId="21E6A2F5">
      <w:pPr>
        <w:keepLines w:val="0"/>
        <w:pageBreakBefore w:val="0"/>
        <w:widowControl w:val="0"/>
        <w:kinsoku/>
        <w:wordWrap/>
        <w:overflowPunct/>
        <w:topLinePunct w:val="0"/>
        <w:bidi w:val="0"/>
        <w:snapToGrid/>
        <w:spacing w:line="420" w:lineRule="exact"/>
        <w:ind w:firstLine="430" w:firstLineChars="205"/>
        <w:rPr>
          <w:rFonts w:ascii="宋体" w:hAnsi="宋体" w:cs="宋体"/>
          <w:b/>
          <w:bCs/>
          <w:color w:val="auto"/>
          <w:sz w:val="21"/>
          <w:szCs w:val="21"/>
          <w:highlight w:val="none"/>
        </w:rPr>
      </w:pPr>
      <w:r>
        <w:rPr>
          <w:rFonts w:hint="eastAsia" w:ascii="宋体" w:hAnsi="宋体" w:cs="宋体"/>
          <w:color w:val="auto"/>
          <w:sz w:val="21"/>
          <w:szCs w:val="21"/>
          <w:highlight w:val="none"/>
        </w:rPr>
        <w:t>7、其他交办的任务：不服从区防汛指挥机构、水行政主管部门和婺城区各乡、镇、街道办事处、水管单位交办的其他任务，按情节轻重，</w:t>
      </w:r>
      <w:r>
        <w:rPr>
          <w:rFonts w:hint="eastAsia" w:ascii="宋体" w:hAnsi="宋体" w:cs="宋体"/>
          <w:bCs/>
          <w:color w:val="auto"/>
          <w:sz w:val="21"/>
          <w:szCs w:val="21"/>
          <w:highlight w:val="none"/>
        </w:rPr>
        <w:t>每发现一次扣1000元至2000元。</w:t>
      </w:r>
      <w:r>
        <w:rPr>
          <w:rFonts w:hint="eastAsia" w:ascii="宋体" w:hAnsi="宋体" w:cs="宋体"/>
          <w:b/>
          <w:bCs/>
          <w:color w:val="auto"/>
          <w:sz w:val="21"/>
          <w:szCs w:val="21"/>
          <w:highlight w:val="none"/>
        </w:rPr>
        <w:t>情节特别严重的解除合同，履约保证金不予退还。</w:t>
      </w:r>
    </w:p>
    <w:p w14:paraId="46C6DB40">
      <w:pPr>
        <w:keepLines w:val="0"/>
        <w:pageBreakBefore w:val="0"/>
        <w:widowControl w:val="0"/>
        <w:kinsoku/>
        <w:wordWrap/>
        <w:overflowPunct/>
        <w:topLinePunct w:val="0"/>
        <w:bidi w:val="0"/>
        <w:snapToGrid/>
        <w:spacing w:line="420" w:lineRule="exact"/>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8、其他情况依据《浙江省小型水库运行管理规程（实行）》、《土石坝安全监测技术规范》（SL551-2012）及浙江省水利厅的相关文件执行。</w:t>
      </w:r>
    </w:p>
    <w:p w14:paraId="68844F64">
      <w:pPr>
        <w:keepLines w:val="0"/>
        <w:pageBreakBefore w:val="0"/>
        <w:widowControl w:val="0"/>
        <w:kinsoku/>
        <w:wordWrap/>
        <w:overflowPunct/>
        <w:topLinePunct w:val="0"/>
        <w:bidi w:val="0"/>
        <w:snapToGrid/>
        <w:spacing w:line="420" w:lineRule="exact"/>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9、签订本合同的同时即认定为中标人同意并实施《婺城区小型水利工程物业化考核内容及评分标准》</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lang w:val="en-US" w:eastAsia="zh-CN"/>
        </w:rPr>
        <w:t>详见附件4</w:t>
      </w:r>
      <w:r>
        <w:rPr>
          <w:rFonts w:hint="eastAsia" w:ascii="宋体" w:hAnsi="宋体" w:cs="宋体"/>
          <w:color w:val="auto"/>
          <w:sz w:val="21"/>
          <w:szCs w:val="21"/>
          <w:highlight w:val="none"/>
        </w:rPr>
        <w:t>。</w:t>
      </w:r>
    </w:p>
    <w:p w14:paraId="7BE6897E">
      <w:pPr>
        <w:pStyle w:val="21"/>
        <w:keepLines w:val="0"/>
        <w:pageBreakBefore w:val="0"/>
        <w:widowControl w:val="0"/>
        <w:kinsoku/>
        <w:wordWrap/>
        <w:overflowPunct/>
        <w:topLinePunct w:val="0"/>
        <w:bidi w:val="0"/>
        <w:snapToGrid/>
        <w:spacing w:line="420" w:lineRule="exact"/>
        <w:ind w:firstLine="420" w:firstLineChars="200"/>
        <w:rPr>
          <w:rFonts w:ascii="宋体" w:hAnsi="宋体" w:cs="宋体"/>
          <w:b/>
          <w:bCs/>
          <w:color w:val="auto"/>
          <w:sz w:val="21"/>
          <w:szCs w:val="21"/>
          <w:highlight w:val="none"/>
        </w:rPr>
      </w:pPr>
      <w:r>
        <w:rPr>
          <w:rFonts w:hint="eastAsia" w:ascii="宋体" w:hAnsi="宋体" w:cs="宋体"/>
          <w:b/>
          <w:bCs/>
          <w:color w:val="auto"/>
          <w:sz w:val="21"/>
          <w:szCs w:val="21"/>
          <w:highlight w:val="none"/>
        </w:rPr>
        <w:t>10、对单个工程考核低于70分（不含）的，招标人有权单方面解除合同，由其承担后续服务。</w:t>
      </w:r>
    </w:p>
    <w:p w14:paraId="3DDBF755">
      <w:pPr>
        <w:pStyle w:val="21"/>
        <w:keepLines w:val="0"/>
        <w:pageBreakBefore w:val="0"/>
        <w:widowControl w:val="0"/>
        <w:kinsoku/>
        <w:wordWrap/>
        <w:overflowPunct/>
        <w:topLinePunct w:val="0"/>
        <w:bidi w:val="0"/>
        <w:snapToGrid/>
        <w:spacing w:line="420" w:lineRule="exact"/>
        <w:ind w:firstLine="420" w:firstLineChars="200"/>
        <w:rPr>
          <w:rFonts w:ascii="宋体" w:hAnsi="宋体" w:cs="宋体"/>
          <w:b/>
          <w:bCs/>
          <w:color w:val="auto"/>
          <w:sz w:val="21"/>
          <w:szCs w:val="21"/>
          <w:highlight w:val="none"/>
        </w:rPr>
      </w:pPr>
      <w:r>
        <w:rPr>
          <w:rFonts w:hint="eastAsia" w:ascii="宋体" w:hAnsi="宋体" w:cs="宋体"/>
          <w:b/>
          <w:bCs/>
          <w:color w:val="auto"/>
          <w:sz w:val="21"/>
          <w:szCs w:val="21"/>
          <w:highlight w:val="none"/>
        </w:rPr>
        <w:t>11、除上述考核外，如有一次乡镇街道或水务局通报批评的，招标人有权扣除一定比例的该半年度物业费，二次书面通报批评的，招标人有权终止合同。</w:t>
      </w:r>
    </w:p>
    <w:p w14:paraId="69B1B996">
      <w:pPr>
        <w:keepLines w:val="0"/>
        <w:pageBreakBefore w:val="0"/>
        <w:widowControl w:val="0"/>
        <w:shd w:val="clear" w:color="auto" w:fill="FFFFFF"/>
        <w:kinsoku/>
        <w:wordWrap/>
        <w:overflowPunct/>
        <w:topLinePunct w:val="0"/>
        <w:bidi w:val="0"/>
        <w:snapToGrid/>
        <w:spacing w:line="420" w:lineRule="exact"/>
        <w:outlineLvl w:val="1"/>
        <w:rPr>
          <w:rFonts w:ascii="宋体" w:hAnsi="宋体" w:cs="宋体"/>
          <w:b/>
          <w:bCs/>
          <w:color w:val="auto"/>
          <w:sz w:val="21"/>
          <w:szCs w:val="21"/>
          <w:highlight w:val="none"/>
        </w:rPr>
      </w:pPr>
      <w:r>
        <w:rPr>
          <w:rFonts w:hint="eastAsia" w:ascii="宋体" w:hAnsi="宋体" w:cs="宋体"/>
          <w:b/>
          <w:bCs/>
          <w:color w:val="auto"/>
          <w:sz w:val="21"/>
          <w:szCs w:val="21"/>
          <w:highlight w:val="none"/>
        </w:rPr>
        <w:t>六、支付方式</w:t>
      </w:r>
    </w:p>
    <w:p w14:paraId="20A76A4C">
      <w:pPr>
        <w:keepLines w:val="0"/>
        <w:pageBreakBefore w:val="0"/>
        <w:widowControl w:val="0"/>
        <w:kinsoku/>
        <w:wordWrap/>
        <w:overflowPunct/>
        <w:topLinePunct w:val="0"/>
        <w:bidi w:val="0"/>
        <w:snapToGrid/>
        <w:spacing w:line="42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结算价为</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rPr>
        <w:t>水库</w:t>
      </w:r>
      <w:r>
        <w:rPr>
          <w:rFonts w:hint="eastAsia" w:ascii="宋体" w:hAnsi="宋体" w:cs="宋体"/>
          <w:color w:val="auto"/>
          <w:sz w:val="21"/>
          <w:szCs w:val="21"/>
          <w:highlight w:val="none"/>
          <w:lang w:eastAsia="zh-CN"/>
        </w:rPr>
        <w:t>（山塘）</w:t>
      </w:r>
      <w:r>
        <w:rPr>
          <w:rFonts w:hint="eastAsia" w:ascii="宋体" w:hAnsi="宋体" w:cs="宋体"/>
          <w:color w:val="auto"/>
          <w:sz w:val="21"/>
          <w:szCs w:val="21"/>
          <w:highlight w:val="none"/>
        </w:rPr>
        <w:t>的相应服务数量</w:t>
      </w:r>
      <w:r>
        <w:rPr>
          <w:rFonts w:hint="default" w:ascii="Arial" w:hAnsi="Arial" w:cs="Arial"/>
          <w:color w:val="auto"/>
          <w:sz w:val="21"/>
          <w:szCs w:val="21"/>
          <w:highlight w:val="none"/>
          <w:lang w:eastAsia="zh-CN"/>
        </w:rPr>
        <w:t>×</w:t>
      </w:r>
      <w:r>
        <w:rPr>
          <w:rFonts w:hint="eastAsia" w:ascii="宋体" w:hAnsi="宋体" w:cs="宋体"/>
          <w:color w:val="auto"/>
          <w:sz w:val="21"/>
          <w:szCs w:val="21"/>
          <w:highlight w:val="none"/>
          <w:lang w:eastAsia="zh-CN"/>
        </w:rPr>
        <w:t>服务时间</w:t>
      </w:r>
      <w:r>
        <w:rPr>
          <w:rFonts w:hint="default" w:ascii="Arial" w:hAnsi="Arial" w:cs="Arial"/>
          <w:color w:val="auto"/>
          <w:sz w:val="21"/>
          <w:szCs w:val="21"/>
          <w:highlight w:val="none"/>
        </w:rPr>
        <w:t>×</w:t>
      </w:r>
      <w:r>
        <w:rPr>
          <w:rFonts w:hint="eastAsia" w:ascii="宋体" w:hAnsi="宋体" w:cs="宋体"/>
          <w:color w:val="auto"/>
          <w:sz w:val="21"/>
          <w:szCs w:val="21"/>
          <w:highlight w:val="none"/>
        </w:rPr>
        <w:t>投标单价。</w:t>
      </w:r>
    </w:p>
    <w:p w14:paraId="68FE4C6D">
      <w:pPr>
        <w:keepLines w:val="0"/>
        <w:pageBreakBefore w:val="0"/>
        <w:widowControl w:val="0"/>
        <w:shd w:val="clear" w:color="auto" w:fill="FFFFFF"/>
        <w:kinsoku/>
        <w:wordWrap/>
        <w:overflowPunct/>
        <w:topLinePunct w:val="0"/>
        <w:bidi w:val="0"/>
        <w:snapToGrid/>
        <w:spacing w:line="42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每</w:t>
      </w:r>
      <w:r>
        <w:rPr>
          <w:rFonts w:hint="eastAsia" w:ascii="宋体" w:hAnsi="宋体" w:cs="宋体"/>
          <w:color w:val="auto"/>
          <w:sz w:val="21"/>
          <w:szCs w:val="21"/>
          <w:highlight w:val="none"/>
          <w:lang w:eastAsia="zh-CN"/>
        </w:rPr>
        <w:t>半年</w:t>
      </w:r>
      <w:r>
        <w:rPr>
          <w:rFonts w:hint="eastAsia" w:ascii="宋体" w:hAnsi="宋体" w:cs="宋体"/>
          <w:color w:val="auto"/>
          <w:sz w:val="21"/>
          <w:szCs w:val="21"/>
          <w:highlight w:val="none"/>
        </w:rPr>
        <w:t>由管理单位（管理责任主体）组织对中标人进行考核评分</w:t>
      </w:r>
      <w:r>
        <w:rPr>
          <w:rFonts w:hint="eastAsia" w:ascii="宋体" w:hAnsi="宋体" w:cs="宋体"/>
          <w:color w:val="auto"/>
          <w:sz w:val="21"/>
          <w:szCs w:val="21"/>
          <w:highlight w:val="none"/>
          <w:lang w:eastAsia="zh-CN"/>
        </w:rPr>
        <w:t>报金华市婺城区水务局备案审核</w:t>
      </w:r>
      <w:r>
        <w:rPr>
          <w:rFonts w:hint="eastAsia" w:ascii="宋体" w:hAnsi="宋体" w:cs="宋体"/>
          <w:color w:val="auto"/>
          <w:sz w:val="21"/>
          <w:szCs w:val="21"/>
          <w:highlight w:val="none"/>
        </w:rPr>
        <w:t>，按照实际考核结果支付该</w:t>
      </w:r>
      <w:r>
        <w:rPr>
          <w:rFonts w:hint="eastAsia" w:ascii="宋体" w:hAnsi="宋体" w:cs="宋体"/>
          <w:color w:val="auto"/>
          <w:sz w:val="21"/>
          <w:szCs w:val="21"/>
          <w:highlight w:val="none"/>
          <w:lang w:eastAsia="zh-CN"/>
        </w:rPr>
        <w:t>半年度</w:t>
      </w:r>
      <w:r>
        <w:rPr>
          <w:rFonts w:hint="eastAsia" w:ascii="宋体" w:hAnsi="宋体" w:cs="宋体"/>
          <w:color w:val="auto"/>
          <w:sz w:val="21"/>
          <w:szCs w:val="21"/>
          <w:highlight w:val="none"/>
        </w:rPr>
        <w:t>的物业费(按以下考核规定)，支付时扣除相应的扣款，余款在</w:t>
      </w:r>
      <w:r>
        <w:rPr>
          <w:rFonts w:hint="eastAsia" w:ascii="宋体" w:hAnsi="宋体" w:cs="宋体"/>
          <w:color w:val="auto"/>
          <w:sz w:val="21"/>
          <w:szCs w:val="21"/>
          <w:highlight w:val="none"/>
          <w:lang w:eastAsia="zh-CN"/>
        </w:rPr>
        <w:t>年度考核</w:t>
      </w:r>
      <w:r>
        <w:rPr>
          <w:rFonts w:hint="eastAsia" w:ascii="宋体" w:hAnsi="宋体" w:cs="宋体"/>
          <w:color w:val="auto"/>
          <w:sz w:val="21"/>
          <w:szCs w:val="21"/>
          <w:highlight w:val="none"/>
        </w:rPr>
        <w:t>并档案资料提交后付清，考核办法详见合同规定，具体以招标人支付时间为准。</w:t>
      </w:r>
    </w:p>
    <w:p w14:paraId="73C51A4E">
      <w:pPr>
        <w:keepLines w:val="0"/>
        <w:pageBreakBefore w:val="0"/>
        <w:widowControl w:val="0"/>
        <w:shd w:val="clear" w:color="auto" w:fill="FFFFFF"/>
        <w:kinsoku/>
        <w:wordWrap/>
        <w:overflowPunct/>
        <w:topLinePunct w:val="0"/>
        <w:bidi w:val="0"/>
        <w:snapToGrid/>
        <w:spacing w:line="42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（1）分数在90分（含）以上为优秀，核拨本</w:t>
      </w:r>
      <w:r>
        <w:rPr>
          <w:rFonts w:hint="eastAsia" w:ascii="宋体" w:hAnsi="宋体" w:cs="宋体"/>
          <w:color w:val="auto"/>
          <w:sz w:val="21"/>
          <w:szCs w:val="21"/>
          <w:highlight w:val="none"/>
          <w:lang w:eastAsia="zh-CN"/>
        </w:rPr>
        <w:t>半年度</w:t>
      </w:r>
      <w:r>
        <w:rPr>
          <w:rFonts w:hint="eastAsia" w:ascii="宋体" w:hAnsi="宋体" w:cs="宋体"/>
          <w:color w:val="auto"/>
          <w:sz w:val="21"/>
          <w:szCs w:val="21"/>
          <w:highlight w:val="none"/>
        </w:rPr>
        <w:t>拨付经费的85%。</w:t>
      </w:r>
    </w:p>
    <w:p w14:paraId="50C7EBB2">
      <w:pPr>
        <w:keepLines w:val="0"/>
        <w:pageBreakBefore w:val="0"/>
        <w:widowControl w:val="0"/>
        <w:shd w:val="clear" w:color="auto" w:fill="FFFFFF"/>
        <w:kinsoku/>
        <w:wordWrap/>
        <w:overflowPunct/>
        <w:topLinePunct w:val="0"/>
        <w:bidi w:val="0"/>
        <w:snapToGrid/>
        <w:spacing w:line="42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（2）分数在80分（含）以上至90分以下的为合格，核拨本</w:t>
      </w:r>
      <w:r>
        <w:rPr>
          <w:rFonts w:hint="eastAsia" w:ascii="宋体" w:hAnsi="宋体" w:cs="宋体"/>
          <w:color w:val="auto"/>
          <w:sz w:val="21"/>
          <w:szCs w:val="21"/>
          <w:highlight w:val="none"/>
          <w:lang w:eastAsia="zh-CN"/>
        </w:rPr>
        <w:t>半年度</w:t>
      </w:r>
      <w:r>
        <w:rPr>
          <w:rFonts w:hint="eastAsia" w:ascii="宋体" w:hAnsi="宋体" w:cs="宋体"/>
          <w:color w:val="auto"/>
          <w:sz w:val="21"/>
          <w:szCs w:val="21"/>
          <w:highlight w:val="none"/>
        </w:rPr>
        <w:t>拨付经费的80%。</w:t>
      </w:r>
    </w:p>
    <w:p w14:paraId="3CC5B086">
      <w:pPr>
        <w:keepLines w:val="0"/>
        <w:pageBreakBefore w:val="0"/>
        <w:widowControl w:val="0"/>
        <w:shd w:val="clear" w:color="auto" w:fill="FFFFFF"/>
        <w:kinsoku/>
        <w:wordWrap/>
        <w:overflowPunct/>
        <w:topLinePunct w:val="0"/>
        <w:bidi w:val="0"/>
        <w:snapToGrid/>
        <w:spacing w:line="42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（3）分数在70分（含）以上至80分以下的为基本合格，本</w:t>
      </w:r>
      <w:r>
        <w:rPr>
          <w:rFonts w:hint="eastAsia" w:ascii="宋体" w:hAnsi="宋体" w:cs="宋体"/>
          <w:color w:val="auto"/>
          <w:sz w:val="21"/>
          <w:szCs w:val="21"/>
          <w:highlight w:val="none"/>
          <w:lang w:eastAsia="zh-CN"/>
        </w:rPr>
        <w:t>半年度</w:t>
      </w:r>
      <w:r>
        <w:rPr>
          <w:rFonts w:hint="eastAsia" w:ascii="宋体" w:hAnsi="宋体" w:cs="宋体"/>
          <w:color w:val="auto"/>
          <w:sz w:val="21"/>
          <w:szCs w:val="21"/>
          <w:highlight w:val="none"/>
        </w:rPr>
        <w:t>拨付经费的80%为基准，在此基础上每少一分扣1%，以此类推 。</w:t>
      </w:r>
    </w:p>
    <w:p w14:paraId="7DCE25A6">
      <w:pPr>
        <w:keepLines w:val="0"/>
        <w:pageBreakBefore w:val="0"/>
        <w:widowControl w:val="0"/>
        <w:shd w:val="clear" w:color="auto" w:fill="FFFFFF"/>
        <w:kinsoku/>
        <w:wordWrap/>
        <w:overflowPunct/>
        <w:topLinePunct w:val="0"/>
        <w:bidi w:val="0"/>
        <w:snapToGrid/>
        <w:spacing w:line="42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（4）分数在70分（不含）以下为不合格，招标人将终止合同，核拨本</w:t>
      </w:r>
      <w:r>
        <w:rPr>
          <w:rFonts w:hint="eastAsia" w:ascii="宋体" w:hAnsi="宋体" w:cs="宋体"/>
          <w:color w:val="auto"/>
          <w:sz w:val="21"/>
          <w:szCs w:val="21"/>
          <w:highlight w:val="none"/>
          <w:lang w:eastAsia="zh-CN"/>
        </w:rPr>
        <w:t>半年度</w:t>
      </w:r>
      <w:r>
        <w:rPr>
          <w:rFonts w:hint="eastAsia" w:ascii="宋体" w:hAnsi="宋体" w:cs="宋体"/>
          <w:color w:val="auto"/>
          <w:sz w:val="21"/>
          <w:szCs w:val="21"/>
          <w:highlight w:val="none"/>
        </w:rPr>
        <w:t>拨付经费的70%。</w:t>
      </w:r>
    </w:p>
    <w:p w14:paraId="75D60F9C">
      <w:pPr>
        <w:keepLines w:val="0"/>
        <w:pageBreakBefore w:val="0"/>
        <w:widowControl w:val="0"/>
        <w:shd w:val="clear" w:color="auto" w:fill="FFFFFF"/>
        <w:kinsoku/>
        <w:wordWrap/>
        <w:overflowPunct/>
        <w:topLinePunct w:val="0"/>
        <w:bidi w:val="0"/>
        <w:snapToGrid/>
        <w:spacing w:line="42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（5）年度考核为</w:t>
      </w:r>
      <w:r>
        <w:rPr>
          <w:rFonts w:hint="eastAsia" w:ascii="宋体" w:hAnsi="宋体" w:cs="宋体"/>
          <w:color w:val="auto"/>
          <w:sz w:val="21"/>
          <w:szCs w:val="21"/>
          <w:highlight w:val="none"/>
          <w:lang w:eastAsia="zh-CN"/>
        </w:rPr>
        <w:t>两个半年度</w:t>
      </w:r>
      <w:r>
        <w:rPr>
          <w:rFonts w:hint="eastAsia" w:ascii="宋体" w:hAnsi="宋体" w:cs="宋体"/>
          <w:color w:val="auto"/>
          <w:sz w:val="21"/>
          <w:szCs w:val="21"/>
          <w:highlight w:val="none"/>
        </w:rPr>
        <w:t>考核的平均分。年度考核在合格及以上的，支付全款。年度考核为基本合格的支付全款的80%。</w:t>
      </w:r>
    </w:p>
    <w:p w14:paraId="643B4E16">
      <w:pPr>
        <w:keepLines w:val="0"/>
        <w:pageBreakBefore w:val="0"/>
        <w:widowControl w:val="0"/>
        <w:shd w:val="clear" w:color="auto" w:fill="FFFFFF"/>
        <w:kinsoku/>
        <w:wordWrap/>
        <w:overflowPunct/>
        <w:topLinePunct w:val="0"/>
        <w:bidi w:val="0"/>
        <w:snapToGrid/>
        <w:spacing w:line="42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（6）</w:t>
      </w:r>
      <w:r>
        <w:rPr>
          <w:rFonts w:hint="eastAsia" w:ascii="宋体" w:hAnsi="宋体" w:cs="宋体"/>
          <w:color w:val="auto"/>
          <w:sz w:val="21"/>
          <w:szCs w:val="21"/>
          <w:highlight w:val="none"/>
          <w:lang w:eastAsia="zh-CN"/>
        </w:rPr>
        <w:t>半年度</w:t>
      </w:r>
      <w:r>
        <w:rPr>
          <w:rFonts w:hint="eastAsia" w:ascii="宋体" w:hAnsi="宋体" w:cs="宋体"/>
          <w:color w:val="auto"/>
          <w:sz w:val="21"/>
          <w:szCs w:val="21"/>
          <w:highlight w:val="none"/>
        </w:rPr>
        <w:t>考核实行安全事故一票否决，发生安全责任事故的，招标人将单方面终止合同的履行，扣除中标人的全部履约保证金，本</w:t>
      </w:r>
      <w:r>
        <w:rPr>
          <w:rFonts w:hint="eastAsia" w:ascii="宋体" w:hAnsi="宋体" w:cs="宋体"/>
          <w:color w:val="auto"/>
          <w:sz w:val="21"/>
          <w:szCs w:val="21"/>
          <w:highlight w:val="none"/>
          <w:lang w:eastAsia="zh-CN"/>
        </w:rPr>
        <w:t>半年度</w:t>
      </w:r>
      <w:r>
        <w:rPr>
          <w:rFonts w:hint="eastAsia" w:ascii="宋体" w:hAnsi="宋体" w:cs="宋体"/>
          <w:color w:val="auto"/>
          <w:sz w:val="21"/>
          <w:szCs w:val="21"/>
          <w:highlight w:val="none"/>
        </w:rPr>
        <w:t>养护经费将不予以支付，并对相关责任人进行相应的处罚。</w:t>
      </w:r>
    </w:p>
    <w:p w14:paraId="56443FC6">
      <w:pPr>
        <w:keepLines w:val="0"/>
        <w:pageBreakBefore w:val="0"/>
        <w:widowControl w:val="0"/>
        <w:shd w:val="clear" w:color="auto" w:fill="FFFFFF"/>
        <w:kinsoku/>
        <w:wordWrap/>
        <w:overflowPunct/>
        <w:topLinePunct w:val="0"/>
        <w:bidi w:val="0"/>
        <w:snapToGrid/>
        <w:spacing w:line="420" w:lineRule="exact"/>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（7）中标人因涉及招标需求“五、考核管理”规定而发生的扣款，在支付时另行扣除。</w:t>
      </w:r>
    </w:p>
    <w:p w14:paraId="545FBC81">
      <w:pPr>
        <w:keepLines w:val="0"/>
        <w:pageBreakBefore w:val="0"/>
        <w:widowControl w:val="0"/>
        <w:shd w:val="clear" w:color="auto" w:fill="FFFFFF"/>
        <w:kinsoku/>
        <w:wordWrap/>
        <w:overflowPunct/>
        <w:topLinePunct w:val="0"/>
        <w:bidi w:val="0"/>
        <w:snapToGrid/>
        <w:spacing w:line="420" w:lineRule="exact"/>
        <w:jc w:val="left"/>
        <w:rPr>
          <w:rFonts w:ascii="宋体" w:hAnsi="宋体" w:cs="宋体"/>
          <w:b/>
          <w:bCs/>
          <w:color w:val="auto"/>
          <w:sz w:val="21"/>
          <w:szCs w:val="21"/>
          <w:highlight w:val="none"/>
        </w:rPr>
      </w:pPr>
      <w:r>
        <w:rPr>
          <w:rFonts w:hint="eastAsia" w:ascii="宋体" w:hAnsi="宋体" w:cs="宋体"/>
          <w:b/>
          <w:bCs/>
          <w:color w:val="auto"/>
          <w:sz w:val="21"/>
          <w:szCs w:val="21"/>
          <w:highlight w:val="none"/>
        </w:rPr>
        <w:t>七、服务期限</w:t>
      </w:r>
    </w:p>
    <w:p w14:paraId="481BD54E">
      <w:pPr>
        <w:pStyle w:val="2"/>
        <w:keepLines w:val="0"/>
        <w:pageBreakBefore w:val="0"/>
        <w:widowControl w:val="0"/>
        <w:kinsoku/>
        <w:wordWrap/>
        <w:overflowPunct/>
        <w:topLinePunct w:val="0"/>
        <w:autoSpaceDE w:val="0"/>
        <w:autoSpaceDN w:val="0"/>
        <w:bidi w:val="0"/>
        <w:adjustRightInd w:val="0"/>
        <w:snapToGrid/>
        <w:spacing w:before="0" w:line="420" w:lineRule="exact"/>
        <w:ind w:firstLine="420" w:firstLineChars="200"/>
        <w:jc w:val="left"/>
        <w:textAlignment w:val="baseline"/>
        <w:rPr>
          <w:rFonts w:hint="eastAsia"/>
          <w:b w:val="0"/>
          <w:bCs w:val="0"/>
          <w:color w:val="auto"/>
          <w:sz w:val="21"/>
          <w:szCs w:val="21"/>
          <w:highlight w:val="none"/>
        </w:rPr>
      </w:pPr>
      <w:r>
        <w:rPr>
          <w:rFonts w:hint="eastAsia"/>
          <w:b w:val="0"/>
          <w:bCs w:val="0"/>
          <w:color w:val="auto"/>
          <w:sz w:val="21"/>
          <w:szCs w:val="21"/>
          <w:highlight w:val="none"/>
          <w:lang w:eastAsia="zh-CN"/>
        </w:rPr>
        <w:t>自</w:t>
      </w:r>
      <w:r>
        <w:rPr>
          <w:rFonts w:hint="eastAsia"/>
          <w:b w:val="0"/>
          <w:bCs w:val="0"/>
          <w:color w:val="auto"/>
          <w:sz w:val="21"/>
          <w:szCs w:val="21"/>
          <w:highlight w:val="none"/>
        </w:rPr>
        <w:t>合同签订之日起</w:t>
      </w:r>
      <w:r>
        <w:rPr>
          <w:rFonts w:hint="eastAsia"/>
          <w:b w:val="0"/>
          <w:bCs w:val="0"/>
          <w:color w:val="auto"/>
          <w:sz w:val="21"/>
          <w:szCs w:val="21"/>
          <w:highlight w:val="none"/>
          <w:lang w:val="en-US" w:eastAsia="zh-CN"/>
        </w:rPr>
        <w:t>2</w:t>
      </w:r>
      <w:r>
        <w:rPr>
          <w:rFonts w:hint="eastAsia"/>
          <w:b w:val="0"/>
          <w:bCs w:val="0"/>
          <w:color w:val="auto"/>
          <w:sz w:val="21"/>
          <w:szCs w:val="21"/>
          <w:highlight w:val="none"/>
        </w:rPr>
        <w:t>年。</w:t>
      </w:r>
    </w:p>
    <w:p w14:paraId="4B7DEC17">
      <w:pPr>
        <w:jc w:val="left"/>
        <w:outlineLvl w:val="1"/>
        <w:rPr>
          <w:rFonts w:hint="eastAsia" w:ascii="宋体" w:hAnsi="宋体" w:cs="宋体"/>
          <w:b/>
          <w:color w:val="auto"/>
          <w:sz w:val="21"/>
          <w:szCs w:val="21"/>
          <w:highlight w:val="none"/>
        </w:rPr>
      </w:pPr>
      <w:r>
        <w:rPr>
          <w:rFonts w:hint="eastAsia"/>
          <w:color w:val="auto"/>
          <w:sz w:val="21"/>
          <w:szCs w:val="21"/>
          <w:highlight w:val="none"/>
        </w:rPr>
        <w:br w:type="page"/>
      </w:r>
      <w:r>
        <w:rPr>
          <w:rFonts w:hint="eastAsia" w:ascii="宋体" w:hAnsi="宋体" w:cs="宋体"/>
          <w:b/>
          <w:color w:val="auto"/>
          <w:sz w:val="21"/>
          <w:szCs w:val="21"/>
          <w:highlight w:val="none"/>
        </w:rPr>
        <w:t>附件</w:t>
      </w:r>
      <w:r>
        <w:rPr>
          <w:rFonts w:hint="eastAsia" w:ascii="宋体" w:hAnsi="宋体" w:cs="宋体"/>
          <w:b/>
          <w:color w:val="auto"/>
          <w:sz w:val="21"/>
          <w:szCs w:val="21"/>
          <w:highlight w:val="none"/>
          <w:lang w:val="en-US" w:eastAsia="zh-CN"/>
        </w:rPr>
        <w:t>1</w:t>
      </w:r>
      <w:r>
        <w:rPr>
          <w:rFonts w:hint="eastAsia" w:ascii="宋体" w:hAnsi="宋体" w:cs="宋体"/>
          <w:b/>
          <w:color w:val="auto"/>
          <w:sz w:val="21"/>
          <w:szCs w:val="21"/>
          <w:highlight w:val="none"/>
        </w:rPr>
        <w:t>：</w:t>
      </w:r>
    </w:p>
    <w:tbl>
      <w:tblPr>
        <w:tblStyle w:val="46"/>
        <w:tblW w:w="102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06"/>
        <w:gridCol w:w="1404"/>
        <w:gridCol w:w="1913"/>
        <w:gridCol w:w="1353"/>
        <w:gridCol w:w="3404"/>
        <w:gridCol w:w="1538"/>
      </w:tblGrid>
      <w:tr w14:paraId="3AFAAC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27" w:hRule="atLeast"/>
          <w:tblHeader/>
          <w:jc w:val="center"/>
        </w:trPr>
        <w:tc>
          <w:tcPr>
            <w:tcW w:w="606" w:type="dxa"/>
            <w:noWrap w:val="0"/>
            <w:vAlign w:val="center"/>
          </w:tcPr>
          <w:p w14:paraId="5C044934">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序号</w:t>
            </w:r>
          </w:p>
        </w:tc>
        <w:tc>
          <w:tcPr>
            <w:tcW w:w="1404" w:type="dxa"/>
            <w:noWrap w:val="0"/>
            <w:vAlign w:val="center"/>
          </w:tcPr>
          <w:p w14:paraId="2C46E400">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水库名称</w:t>
            </w:r>
          </w:p>
        </w:tc>
        <w:tc>
          <w:tcPr>
            <w:tcW w:w="1913" w:type="dxa"/>
            <w:noWrap w:val="0"/>
            <w:vAlign w:val="center"/>
          </w:tcPr>
          <w:p w14:paraId="5004A5AE">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所在乡镇</w:t>
            </w:r>
          </w:p>
        </w:tc>
        <w:tc>
          <w:tcPr>
            <w:tcW w:w="1353" w:type="dxa"/>
            <w:noWrap w:val="0"/>
            <w:vAlign w:val="center"/>
          </w:tcPr>
          <w:p w14:paraId="691310A6">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类型</w:t>
            </w:r>
          </w:p>
        </w:tc>
        <w:tc>
          <w:tcPr>
            <w:tcW w:w="3404" w:type="dxa"/>
            <w:noWrap w:val="0"/>
            <w:vAlign w:val="center"/>
          </w:tcPr>
          <w:p w14:paraId="2B65AF65">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管理单位（管理责任主体）</w:t>
            </w:r>
          </w:p>
        </w:tc>
        <w:tc>
          <w:tcPr>
            <w:tcW w:w="1538" w:type="dxa"/>
            <w:noWrap w:val="0"/>
            <w:vAlign w:val="center"/>
          </w:tcPr>
          <w:p w14:paraId="21317938">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lang w:eastAsia="zh-CN"/>
              </w:rPr>
            </w:pPr>
            <w:r>
              <w:rPr>
                <w:rFonts w:hint="eastAsia" w:ascii="宋体" w:hAnsi="宋体" w:eastAsia="宋体" w:cs="宋体"/>
                <w:color w:val="auto"/>
                <w:sz w:val="21"/>
                <w:szCs w:val="21"/>
                <w:highlight w:val="none"/>
                <w:shd w:val="clear" w:color="auto" w:fill="FFFFFF"/>
              </w:rPr>
              <w:t>备注</w:t>
            </w:r>
            <w:r>
              <w:rPr>
                <w:rFonts w:hint="eastAsia" w:ascii="宋体" w:hAnsi="宋体" w:cs="宋体"/>
                <w:color w:val="auto"/>
                <w:sz w:val="21"/>
                <w:szCs w:val="21"/>
                <w:highlight w:val="none"/>
                <w:shd w:val="clear" w:color="auto" w:fill="FFFFFF"/>
                <w:lang w:eastAsia="zh-CN"/>
              </w:rPr>
              <w:t>：</w:t>
            </w:r>
            <w:r>
              <w:rPr>
                <w:rFonts w:hint="eastAsia" w:ascii="宋体" w:hAnsi="宋体" w:cs="宋体"/>
                <w:color w:val="auto"/>
                <w:sz w:val="21"/>
                <w:szCs w:val="21"/>
                <w:highlight w:val="none"/>
                <w:shd w:val="clear" w:color="auto" w:fill="FFFFFF"/>
                <w:lang w:val="en-US" w:eastAsia="zh-CN"/>
              </w:rPr>
              <w:t>服务内容是否含</w:t>
            </w:r>
            <w:r>
              <w:rPr>
                <w:rFonts w:hint="eastAsia" w:ascii="宋体" w:hAnsi="宋体" w:eastAsia="宋体" w:cs="宋体"/>
                <w:i w:val="0"/>
                <w:iCs w:val="0"/>
                <w:color w:val="auto"/>
                <w:kern w:val="0"/>
                <w:sz w:val="21"/>
                <w:szCs w:val="21"/>
                <w:highlight w:val="none"/>
                <w:u w:val="none"/>
                <w:lang w:val="en-US" w:eastAsia="zh-CN" w:bidi="ar"/>
              </w:rPr>
              <w:t>渗流压力观测</w:t>
            </w:r>
          </w:p>
        </w:tc>
      </w:tr>
      <w:tr w14:paraId="1F6201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7" w:hRule="atLeast"/>
          <w:jc w:val="center"/>
        </w:trPr>
        <w:tc>
          <w:tcPr>
            <w:tcW w:w="606" w:type="dxa"/>
            <w:noWrap w:val="0"/>
            <w:vAlign w:val="center"/>
          </w:tcPr>
          <w:p w14:paraId="760258B0">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1</w:t>
            </w:r>
          </w:p>
        </w:tc>
        <w:tc>
          <w:tcPr>
            <w:tcW w:w="1404" w:type="dxa"/>
            <w:noWrap w:val="0"/>
            <w:vAlign w:val="center"/>
          </w:tcPr>
          <w:p w14:paraId="3A32E550">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上</w:t>
            </w:r>
            <w:r>
              <w:rPr>
                <w:rFonts w:hint="eastAsia" w:ascii="宋体" w:hAnsi="宋体" w:eastAsia="宋体" w:cs="宋体"/>
                <w:color w:val="auto"/>
                <w:sz w:val="21"/>
                <w:szCs w:val="21"/>
                <w:highlight w:val="none"/>
                <w:shd w:val="clear" w:color="auto" w:fill="FFFFFF"/>
                <w:lang w:val="en-US" w:eastAsia="zh-CN"/>
              </w:rPr>
              <w:t>陈</w:t>
            </w:r>
            <w:r>
              <w:rPr>
                <w:rFonts w:hint="eastAsia" w:ascii="宋体" w:hAnsi="宋体" w:eastAsia="宋体" w:cs="宋体"/>
                <w:color w:val="auto"/>
                <w:sz w:val="21"/>
                <w:szCs w:val="21"/>
                <w:highlight w:val="none"/>
                <w:shd w:val="clear" w:color="auto" w:fill="FFFFFF"/>
              </w:rPr>
              <w:t>垅水库</w:t>
            </w:r>
          </w:p>
        </w:tc>
        <w:tc>
          <w:tcPr>
            <w:tcW w:w="1913" w:type="dxa"/>
            <w:noWrap w:val="0"/>
            <w:vAlign w:val="center"/>
          </w:tcPr>
          <w:p w14:paraId="05C22EE6">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竹马</w:t>
            </w:r>
          </w:p>
        </w:tc>
        <w:tc>
          <w:tcPr>
            <w:tcW w:w="1353" w:type="dxa"/>
            <w:noWrap w:val="0"/>
            <w:vAlign w:val="center"/>
          </w:tcPr>
          <w:p w14:paraId="6981B181">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小（1）型</w:t>
            </w:r>
          </w:p>
        </w:tc>
        <w:tc>
          <w:tcPr>
            <w:tcW w:w="3404" w:type="dxa"/>
            <w:noWrap w:val="0"/>
            <w:vAlign w:val="center"/>
          </w:tcPr>
          <w:p w14:paraId="31602326">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金华市婺城区竹马乡人民政府</w:t>
            </w:r>
          </w:p>
        </w:tc>
        <w:tc>
          <w:tcPr>
            <w:tcW w:w="1538" w:type="dxa"/>
            <w:noWrap w:val="0"/>
            <w:vAlign w:val="center"/>
          </w:tcPr>
          <w:p w14:paraId="4056FE94">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lang w:val="en-US" w:eastAsia="zh-CN"/>
              </w:rPr>
            </w:pPr>
            <w:r>
              <w:rPr>
                <w:rFonts w:hint="eastAsia" w:ascii="宋体" w:hAnsi="宋体" w:cs="宋体"/>
                <w:color w:val="auto"/>
                <w:sz w:val="21"/>
                <w:szCs w:val="21"/>
                <w:highlight w:val="none"/>
                <w:shd w:val="clear" w:color="auto" w:fill="FFFFFF"/>
                <w:lang w:val="en-US" w:eastAsia="zh-CN"/>
              </w:rPr>
              <w:t>是</w:t>
            </w:r>
          </w:p>
        </w:tc>
      </w:tr>
      <w:tr w14:paraId="63890C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7" w:hRule="atLeast"/>
          <w:jc w:val="center"/>
        </w:trPr>
        <w:tc>
          <w:tcPr>
            <w:tcW w:w="606" w:type="dxa"/>
            <w:noWrap w:val="0"/>
            <w:vAlign w:val="center"/>
          </w:tcPr>
          <w:p w14:paraId="1F5DF546">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lang w:eastAsia="zh-CN"/>
              </w:rPr>
            </w:pPr>
            <w:r>
              <w:rPr>
                <w:rFonts w:hint="eastAsia" w:ascii="宋体" w:hAnsi="宋体" w:cs="宋体"/>
                <w:color w:val="auto"/>
                <w:sz w:val="21"/>
                <w:szCs w:val="21"/>
                <w:highlight w:val="none"/>
                <w:shd w:val="clear" w:color="auto" w:fill="FFFFFF"/>
                <w:lang w:val="en-US" w:eastAsia="zh-CN"/>
              </w:rPr>
              <w:t>2</w:t>
            </w:r>
          </w:p>
        </w:tc>
        <w:tc>
          <w:tcPr>
            <w:tcW w:w="1404" w:type="dxa"/>
            <w:noWrap w:val="0"/>
            <w:vAlign w:val="center"/>
          </w:tcPr>
          <w:p w14:paraId="792462C0">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双龙水库</w:t>
            </w:r>
          </w:p>
        </w:tc>
        <w:tc>
          <w:tcPr>
            <w:tcW w:w="1913" w:type="dxa"/>
            <w:noWrap w:val="0"/>
            <w:vAlign w:val="center"/>
          </w:tcPr>
          <w:p w14:paraId="7614340C">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罗店镇</w:t>
            </w:r>
          </w:p>
        </w:tc>
        <w:tc>
          <w:tcPr>
            <w:tcW w:w="1353" w:type="dxa"/>
            <w:noWrap w:val="0"/>
            <w:vAlign w:val="center"/>
          </w:tcPr>
          <w:p w14:paraId="614E8312">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小（1）型</w:t>
            </w:r>
          </w:p>
        </w:tc>
        <w:tc>
          <w:tcPr>
            <w:tcW w:w="3404" w:type="dxa"/>
            <w:noWrap w:val="0"/>
            <w:vAlign w:val="center"/>
          </w:tcPr>
          <w:p w14:paraId="7C5CEA21">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金华市婺城区双龙水库灌溉协会</w:t>
            </w:r>
          </w:p>
        </w:tc>
        <w:tc>
          <w:tcPr>
            <w:tcW w:w="1538" w:type="dxa"/>
            <w:noWrap w:val="0"/>
            <w:vAlign w:val="center"/>
          </w:tcPr>
          <w:p w14:paraId="43476888">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是</w:t>
            </w:r>
          </w:p>
        </w:tc>
      </w:tr>
      <w:tr w14:paraId="79AECC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7" w:hRule="atLeast"/>
          <w:jc w:val="center"/>
        </w:trPr>
        <w:tc>
          <w:tcPr>
            <w:tcW w:w="606" w:type="dxa"/>
            <w:noWrap w:val="0"/>
            <w:vAlign w:val="center"/>
          </w:tcPr>
          <w:p w14:paraId="5D6BD3DB">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lang w:eastAsia="zh-CN"/>
              </w:rPr>
            </w:pPr>
            <w:r>
              <w:rPr>
                <w:rFonts w:hint="eastAsia" w:ascii="宋体" w:hAnsi="宋体" w:cs="宋体"/>
                <w:color w:val="auto"/>
                <w:sz w:val="21"/>
                <w:szCs w:val="21"/>
                <w:highlight w:val="none"/>
                <w:shd w:val="clear" w:color="auto" w:fill="FFFFFF"/>
                <w:lang w:val="en-US" w:eastAsia="zh-CN"/>
              </w:rPr>
              <w:t>3</w:t>
            </w:r>
          </w:p>
        </w:tc>
        <w:tc>
          <w:tcPr>
            <w:tcW w:w="1404" w:type="dxa"/>
            <w:noWrap w:val="0"/>
            <w:vAlign w:val="center"/>
          </w:tcPr>
          <w:p w14:paraId="443A19F0">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山下吴水库</w:t>
            </w:r>
          </w:p>
        </w:tc>
        <w:tc>
          <w:tcPr>
            <w:tcW w:w="1913" w:type="dxa"/>
            <w:noWrap w:val="0"/>
            <w:vAlign w:val="center"/>
          </w:tcPr>
          <w:p w14:paraId="0A30C38E">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罗店镇</w:t>
            </w:r>
          </w:p>
        </w:tc>
        <w:tc>
          <w:tcPr>
            <w:tcW w:w="1353" w:type="dxa"/>
            <w:noWrap w:val="0"/>
            <w:vAlign w:val="center"/>
          </w:tcPr>
          <w:p w14:paraId="4B56DAB7">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小（1）型</w:t>
            </w:r>
          </w:p>
        </w:tc>
        <w:tc>
          <w:tcPr>
            <w:tcW w:w="3404" w:type="dxa"/>
            <w:noWrap w:val="0"/>
            <w:vAlign w:val="center"/>
          </w:tcPr>
          <w:p w14:paraId="205941E2">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金华市婺城区双龙水库灌溉协会</w:t>
            </w:r>
          </w:p>
        </w:tc>
        <w:tc>
          <w:tcPr>
            <w:tcW w:w="1538" w:type="dxa"/>
            <w:noWrap w:val="0"/>
            <w:vAlign w:val="center"/>
          </w:tcPr>
          <w:p w14:paraId="546DE0B9">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否</w:t>
            </w:r>
          </w:p>
        </w:tc>
      </w:tr>
      <w:tr w14:paraId="1747B2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7" w:hRule="atLeast"/>
          <w:jc w:val="center"/>
        </w:trPr>
        <w:tc>
          <w:tcPr>
            <w:tcW w:w="606" w:type="dxa"/>
            <w:noWrap w:val="0"/>
            <w:vAlign w:val="center"/>
          </w:tcPr>
          <w:p w14:paraId="71CA6C7C">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lang w:eastAsia="zh-CN"/>
              </w:rPr>
            </w:pPr>
            <w:r>
              <w:rPr>
                <w:rFonts w:hint="eastAsia" w:ascii="宋体" w:hAnsi="宋体" w:cs="宋体"/>
                <w:color w:val="auto"/>
                <w:sz w:val="21"/>
                <w:szCs w:val="21"/>
                <w:highlight w:val="none"/>
                <w:shd w:val="clear" w:color="auto" w:fill="FFFFFF"/>
                <w:lang w:val="en-US" w:eastAsia="zh-CN"/>
              </w:rPr>
              <w:t>4</w:t>
            </w:r>
          </w:p>
        </w:tc>
        <w:tc>
          <w:tcPr>
            <w:tcW w:w="1404" w:type="dxa"/>
            <w:noWrap w:val="0"/>
            <w:vAlign w:val="center"/>
          </w:tcPr>
          <w:p w14:paraId="4950CABB">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鹿田水库</w:t>
            </w:r>
          </w:p>
        </w:tc>
        <w:tc>
          <w:tcPr>
            <w:tcW w:w="1913" w:type="dxa"/>
            <w:noWrap w:val="0"/>
            <w:vAlign w:val="center"/>
          </w:tcPr>
          <w:p w14:paraId="4F0D8416">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金华山旅游经济区</w:t>
            </w:r>
          </w:p>
        </w:tc>
        <w:tc>
          <w:tcPr>
            <w:tcW w:w="1353" w:type="dxa"/>
            <w:noWrap w:val="0"/>
            <w:vAlign w:val="center"/>
          </w:tcPr>
          <w:p w14:paraId="5591C0F3">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小（1）型</w:t>
            </w:r>
          </w:p>
        </w:tc>
        <w:tc>
          <w:tcPr>
            <w:tcW w:w="3404" w:type="dxa"/>
            <w:noWrap w:val="0"/>
            <w:vAlign w:val="center"/>
          </w:tcPr>
          <w:p w14:paraId="330DD4AB">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金华市鹿田水库灌溉服务站</w:t>
            </w:r>
          </w:p>
        </w:tc>
        <w:tc>
          <w:tcPr>
            <w:tcW w:w="1538" w:type="dxa"/>
            <w:noWrap w:val="0"/>
            <w:vAlign w:val="center"/>
          </w:tcPr>
          <w:p w14:paraId="5186E86F">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shd w:val="clear" w:color="auto" w:fill="FFFFFF"/>
                <w:lang w:val="en-US" w:eastAsia="zh-CN"/>
              </w:rPr>
              <w:t>是</w:t>
            </w:r>
          </w:p>
        </w:tc>
      </w:tr>
      <w:tr w14:paraId="12C705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7" w:hRule="atLeast"/>
          <w:jc w:val="center"/>
        </w:trPr>
        <w:tc>
          <w:tcPr>
            <w:tcW w:w="606" w:type="dxa"/>
            <w:noWrap w:val="0"/>
            <w:vAlign w:val="center"/>
          </w:tcPr>
          <w:p w14:paraId="3CD62F1F">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lang w:eastAsia="zh-CN"/>
              </w:rPr>
            </w:pPr>
            <w:r>
              <w:rPr>
                <w:rFonts w:hint="eastAsia" w:ascii="宋体" w:hAnsi="宋体" w:cs="宋体"/>
                <w:color w:val="auto"/>
                <w:sz w:val="21"/>
                <w:szCs w:val="21"/>
                <w:highlight w:val="none"/>
                <w:shd w:val="clear" w:color="auto" w:fill="FFFFFF"/>
                <w:lang w:val="en-US" w:eastAsia="zh-CN"/>
              </w:rPr>
              <w:t>5</w:t>
            </w:r>
          </w:p>
        </w:tc>
        <w:tc>
          <w:tcPr>
            <w:tcW w:w="1404" w:type="dxa"/>
            <w:noWrap w:val="0"/>
            <w:vAlign w:val="center"/>
          </w:tcPr>
          <w:p w14:paraId="7A741D8D">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长岭水库</w:t>
            </w:r>
          </w:p>
        </w:tc>
        <w:tc>
          <w:tcPr>
            <w:tcW w:w="1913" w:type="dxa"/>
            <w:noWrap w:val="0"/>
            <w:vAlign w:val="center"/>
          </w:tcPr>
          <w:p w14:paraId="055F8A24">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罗店镇</w:t>
            </w:r>
          </w:p>
        </w:tc>
        <w:tc>
          <w:tcPr>
            <w:tcW w:w="1353" w:type="dxa"/>
            <w:noWrap w:val="0"/>
            <w:vAlign w:val="center"/>
          </w:tcPr>
          <w:p w14:paraId="6BA649EB">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小（1）型</w:t>
            </w:r>
          </w:p>
        </w:tc>
        <w:tc>
          <w:tcPr>
            <w:tcW w:w="3404" w:type="dxa"/>
            <w:noWrap w:val="0"/>
            <w:vAlign w:val="center"/>
          </w:tcPr>
          <w:p w14:paraId="31AFE41C">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金华市婺城区长岭水库灌溉服务站</w:t>
            </w:r>
          </w:p>
        </w:tc>
        <w:tc>
          <w:tcPr>
            <w:tcW w:w="1538" w:type="dxa"/>
            <w:noWrap w:val="0"/>
            <w:vAlign w:val="center"/>
          </w:tcPr>
          <w:p w14:paraId="31455BD7">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shd w:val="clear" w:color="auto" w:fill="FFFFFF"/>
                <w:lang w:val="en-US" w:eastAsia="zh-CN"/>
              </w:rPr>
              <w:t>是</w:t>
            </w:r>
          </w:p>
        </w:tc>
      </w:tr>
      <w:tr w14:paraId="46E745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7" w:hRule="atLeast"/>
          <w:jc w:val="center"/>
        </w:trPr>
        <w:tc>
          <w:tcPr>
            <w:tcW w:w="606" w:type="dxa"/>
            <w:noWrap w:val="0"/>
            <w:vAlign w:val="center"/>
          </w:tcPr>
          <w:p w14:paraId="113CD9C1">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lang w:eastAsia="zh-CN"/>
              </w:rPr>
            </w:pPr>
            <w:r>
              <w:rPr>
                <w:rFonts w:hint="eastAsia" w:ascii="宋体" w:hAnsi="宋体" w:cs="宋体"/>
                <w:color w:val="auto"/>
                <w:sz w:val="21"/>
                <w:szCs w:val="21"/>
                <w:highlight w:val="none"/>
                <w:shd w:val="clear" w:color="auto" w:fill="FFFFFF"/>
                <w:lang w:val="en-US" w:eastAsia="zh-CN"/>
              </w:rPr>
              <w:t>6</w:t>
            </w:r>
          </w:p>
        </w:tc>
        <w:tc>
          <w:tcPr>
            <w:tcW w:w="1404" w:type="dxa"/>
            <w:noWrap w:val="0"/>
            <w:vAlign w:val="center"/>
          </w:tcPr>
          <w:p w14:paraId="3DB807A7">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跃进水库</w:t>
            </w:r>
          </w:p>
        </w:tc>
        <w:tc>
          <w:tcPr>
            <w:tcW w:w="1913" w:type="dxa"/>
            <w:noWrap w:val="0"/>
            <w:vAlign w:val="center"/>
          </w:tcPr>
          <w:p w14:paraId="404DA9AD">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罗店镇</w:t>
            </w:r>
          </w:p>
        </w:tc>
        <w:tc>
          <w:tcPr>
            <w:tcW w:w="1353" w:type="dxa"/>
            <w:noWrap w:val="0"/>
            <w:vAlign w:val="center"/>
          </w:tcPr>
          <w:p w14:paraId="42118D19">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小（1）型</w:t>
            </w:r>
          </w:p>
        </w:tc>
        <w:tc>
          <w:tcPr>
            <w:tcW w:w="3404" w:type="dxa"/>
            <w:noWrap w:val="0"/>
            <w:vAlign w:val="center"/>
          </w:tcPr>
          <w:p w14:paraId="72FE5AF2">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金华市婺城区跃进水库灌溉服务站</w:t>
            </w:r>
          </w:p>
        </w:tc>
        <w:tc>
          <w:tcPr>
            <w:tcW w:w="1538" w:type="dxa"/>
            <w:noWrap w:val="0"/>
            <w:vAlign w:val="center"/>
          </w:tcPr>
          <w:p w14:paraId="55D96709">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shd w:val="clear" w:color="auto" w:fill="FFFFFF"/>
                <w:lang w:val="en-US" w:eastAsia="zh-CN"/>
              </w:rPr>
              <w:t>是</w:t>
            </w:r>
          </w:p>
        </w:tc>
      </w:tr>
      <w:tr w14:paraId="02E307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7" w:hRule="atLeast"/>
          <w:jc w:val="center"/>
        </w:trPr>
        <w:tc>
          <w:tcPr>
            <w:tcW w:w="606" w:type="dxa"/>
            <w:noWrap w:val="0"/>
            <w:vAlign w:val="center"/>
          </w:tcPr>
          <w:p w14:paraId="49BBF9C0">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lang w:eastAsia="zh-CN"/>
              </w:rPr>
            </w:pPr>
            <w:r>
              <w:rPr>
                <w:rFonts w:hint="eastAsia" w:ascii="宋体" w:hAnsi="宋体" w:cs="宋体"/>
                <w:color w:val="auto"/>
                <w:sz w:val="21"/>
                <w:szCs w:val="21"/>
                <w:highlight w:val="none"/>
                <w:shd w:val="clear" w:color="auto" w:fill="FFFFFF"/>
                <w:lang w:val="en-US" w:eastAsia="zh-CN"/>
              </w:rPr>
              <w:t>7</w:t>
            </w:r>
          </w:p>
        </w:tc>
        <w:tc>
          <w:tcPr>
            <w:tcW w:w="1404" w:type="dxa"/>
            <w:noWrap w:val="0"/>
            <w:vAlign w:val="center"/>
          </w:tcPr>
          <w:p w14:paraId="7D9ABA35">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汪家垅水库</w:t>
            </w:r>
          </w:p>
        </w:tc>
        <w:tc>
          <w:tcPr>
            <w:tcW w:w="1913" w:type="dxa"/>
            <w:noWrap w:val="0"/>
            <w:vAlign w:val="center"/>
          </w:tcPr>
          <w:p w14:paraId="27170176">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雅畈</w:t>
            </w:r>
          </w:p>
        </w:tc>
        <w:tc>
          <w:tcPr>
            <w:tcW w:w="1353" w:type="dxa"/>
            <w:noWrap w:val="0"/>
            <w:vAlign w:val="center"/>
          </w:tcPr>
          <w:p w14:paraId="171BA203">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小（1）型</w:t>
            </w:r>
          </w:p>
        </w:tc>
        <w:tc>
          <w:tcPr>
            <w:tcW w:w="3404" w:type="dxa"/>
            <w:noWrap w:val="0"/>
            <w:vAlign w:val="center"/>
          </w:tcPr>
          <w:p w14:paraId="79228BFC">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金华市婺城区燕语湖综合开发有限公司</w:t>
            </w:r>
          </w:p>
        </w:tc>
        <w:tc>
          <w:tcPr>
            <w:tcW w:w="1538" w:type="dxa"/>
            <w:noWrap w:val="0"/>
            <w:vAlign w:val="center"/>
          </w:tcPr>
          <w:p w14:paraId="02F380FB">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shd w:val="clear" w:color="auto" w:fill="FFFFFF"/>
                <w:lang w:val="en-US" w:eastAsia="zh-CN"/>
              </w:rPr>
              <w:t>是</w:t>
            </w:r>
          </w:p>
        </w:tc>
      </w:tr>
      <w:tr w14:paraId="14DE6A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7" w:hRule="atLeast"/>
          <w:jc w:val="center"/>
        </w:trPr>
        <w:tc>
          <w:tcPr>
            <w:tcW w:w="606" w:type="dxa"/>
            <w:noWrap w:val="0"/>
            <w:vAlign w:val="center"/>
          </w:tcPr>
          <w:p w14:paraId="186583DC">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lang w:eastAsia="zh-CN"/>
              </w:rPr>
            </w:pPr>
            <w:r>
              <w:rPr>
                <w:rFonts w:hint="eastAsia" w:ascii="宋体" w:hAnsi="宋体" w:cs="宋体"/>
                <w:color w:val="auto"/>
                <w:sz w:val="21"/>
                <w:szCs w:val="21"/>
                <w:highlight w:val="none"/>
                <w:shd w:val="clear" w:color="auto" w:fill="FFFFFF"/>
                <w:lang w:val="en-US" w:eastAsia="zh-CN"/>
              </w:rPr>
              <w:t>8</w:t>
            </w:r>
          </w:p>
        </w:tc>
        <w:tc>
          <w:tcPr>
            <w:tcW w:w="1404" w:type="dxa"/>
            <w:noWrap w:val="0"/>
            <w:vAlign w:val="center"/>
          </w:tcPr>
          <w:p w14:paraId="12D1AAF1">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青塘水库</w:t>
            </w:r>
          </w:p>
        </w:tc>
        <w:tc>
          <w:tcPr>
            <w:tcW w:w="1913" w:type="dxa"/>
            <w:noWrap w:val="0"/>
            <w:vAlign w:val="center"/>
          </w:tcPr>
          <w:p w14:paraId="50AB2B90">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白龙桥</w:t>
            </w:r>
          </w:p>
        </w:tc>
        <w:tc>
          <w:tcPr>
            <w:tcW w:w="1353" w:type="dxa"/>
            <w:noWrap w:val="0"/>
            <w:vAlign w:val="center"/>
          </w:tcPr>
          <w:p w14:paraId="3A99934F">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小（1）型</w:t>
            </w:r>
          </w:p>
        </w:tc>
        <w:tc>
          <w:tcPr>
            <w:tcW w:w="3404" w:type="dxa"/>
            <w:noWrap w:val="0"/>
            <w:vAlign w:val="center"/>
          </w:tcPr>
          <w:p w14:paraId="19145807">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青塘水库管理中心</w:t>
            </w:r>
          </w:p>
        </w:tc>
        <w:tc>
          <w:tcPr>
            <w:tcW w:w="1538" w:type="dxa"/>
            <w:noWrap w:val="0"/>
            <w:vAlign w:val="center"/>
          </w:tcPr>
          <w:p w14:paraId="41B5429D">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shd w:val="clear" w:color="auto" w:fill="FFFFFF"/>
                <w:lang w:val="en-US" w:eastAsia="zh-CN"/>
              </w:rPr>
              <w:t>是</w:t>
            </w:r>
          </w:p>
        </w:tc>
      </w:tr>
      <w:tr w14:paraId="62FACE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7" w:hRule="atLeast"/>
          <w:jc w:val="center"/>
        </w:trPr>
        <w:tc>
          <w:tcPr>
            <w:tcW w:w="606" w:type="dxa"/>
            <w:noWrap w:val="0"/>
            <w:vAlign w:val="center"/>
          </w:tcPr>
          <w:p w14:paraId="468E94DC">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lang w:eastAsia="zh-CN"/>
              </w:rPr>
            </w:pPr>
            <w:r>
              <w:rPr>
                <w:rFonts w:hint="eastAsia" w:ascii="宋体" w:hAnsi="宋体" w:cs="宋体"/>
                <w:color w:val="auto"/>
                <w:sz w:val="21"/>
                <w:szCs w:val="21"/>
                <w:highlight w:val="none"/>
                <w:shd w:val="clear" w:color="auto" w:fill="FFFFFF"/>
                <w:lang w:val="en-US" w:eastAsia="zh-CN"/>
              </w:rPr>
              <w:t>9</w:t>
            </w:r>
          </w:p>
        </w:tc>
        <w:tc>
          <w:tcPr>
            <w:tcW w:w="1404" w:type="dxa"/>
            <w:noWrap w:val="0"/>
            <w:vAlign w:val="center"/>
          </w:tcPr>
          <w:p w14:paraId="1507927A">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郭力垅水库</w:t>
            </w:r>
          </w:p>
        </w:tc>
        <w:tc>
          <w:tcPr>
            <w:tcW w:w="1913" w:type="dxa"/>
            <w:noWrap w:val="0"/>
            <w:vAlign w:val="center"/>
          </w:tcPr>
          <w:p w14:paraId="6A2D0161">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白龙桥</w:t>
            </w:r>
          </w:p>
        </w:tc>
        <w:tc>
          <w:tcPr>
            <w:tcW w:w="1353" w:type="dxa"/>
            <w:noWrap w:val="0"/>
            <w:vAlign w:val="center"/>
          </w:tcPr>
          <w:p w14:paraId="78DDA58B">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小（1）型</w:t>
            </w:r>
          </w:p>
        </w:tc>
        <w:tc>
          <w:tcPr>
            <w:tcW w:w="3404" w:type="dxa"/>
            <w:noWrap w:val="0"/>
            <w:vAlign w:val="center"/>
          </w:tcPr>
          <w:p w14:paraId="3D8E416F">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郭力垅水库管理中心</w:t>
            </w:r>
          </w:p>
        </w:tc>
        <w:tc>
          <w:tcPr>
            <w:tcW w:w="1538" w:type="dxa"/>
            <w:noWrap w:val="0"/>
            <w:vAlign w:val="center"/>
          </w:tcPr>
          <w:p w14:paraId="51123D3B">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shd w:val="clear" w:color="auto" w:fill="FFFFFF"/>
                <w:lang w:val="en-US" w:eastAsia="zh-CN"/>
              </w:rPr>
              <w:t>是</w:t>
            </w:r>
          </w:p>
        </w:tc>
      </w:tr>
      <w:tr w14:paraId="357A09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7" w:hRule="atLeast"/>
          <w:jc w:val="center"/>
        </w:trPr>
        <w:tc>
          <w:tcPr>
            <w:tcW w:w="606" w:type="dxa"/>
            <w:noWrap w:val="0"/>
            <w:vAlign w:val="center"/>
          </w:tcPr>
          <w:p w14:paraId="60030A18">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cs="宋体"/>
                <w:color w:val="auto"/>
                <w:sz w:val="21"/>
                <w:szCs w:val="21"/>
                <w:highlight w:val="none"/>
                <w:shd w:val="clear" w:color="auto" w:fill="FFFFFF"/>
                <w:lang w:val="en-US" w:eastAsia="zh-CN"/>
              </w:rPr>
            </w:pPr>
            <w:r>
              <w:rPr>
                <w:rFonts w:hint="eastAsia" w:ascii="宋体" w:hAnsi="宋体" w:cs="宋体"/>
                <w:color w:val="auto"/>
                <w:sz w:val="21"/>
                <w:szCs w:val="21"/>
                <w:highlight w:val="none"/>
                <w:shd w:val="clear" w:color="auto" w:fill="FFFFFF"/>
                <w:lang w:val="en-US" w:eastAsia="zh-CN"/>
              </w:rPr>
              <w:t>10</w:t>
            </w:r>
          </w:p>
        </w:tc>
        <w:tc>
          <w:tcPr>
            <w:tcW w:w="1404" w:type="dxa"/>
            <w:noWrap w:val="0"/>
            <w:vAlign w:val="center"/>
          </w:tcPr>
          <w:p w14:paraId="25793C07">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麻吉垅水库</w:t>
            </w:r>
          </w:p>
        </w:tc>
        <w:tc>
          <w:tcPr>
            <w:tcW w:w="1913" w:type="dxa"/>
            <w:noWrap w:val="0"/>
            <w:vAlign w:val="center"/>
          </w:tcPr>
          <w:p w14:paraId="74DDF36E">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白龙桥</w:t>
            </w:r>
          </w:p>
        </w:tc>
        <w:tc>
          <w:tcPr>
            <w:tcW w:w="1353" w:type="dxa"/>
            <w:noWrap w:val="0"/>
            <w:vAlign w:val="center"/>
          </w:tcPr>
          <w:p w14:paraId="08DD9A21">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小（1）型</w:t>
            </w:r>
          </w:p>
        </w:tc>
        <w:tc>
          <w:tcPr>
            <w:tcW w:w="3404" w:type="dxa"/>
            <w:noWrap w:val="0"/>
            <w:vAlign w:val="center"/>
          </w:tcPr>
          <w:p w14:paraId="12E1EC05">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lang w:val="en-US" w:eastAsia="zh-CN"/>
              </w:rPr>
              <w:t>麻吉垅水库管委会</w:t>
            </w:r>
          </w:p>
        </w:tc>
        <w:tc>
          <w:tcPr>
            <w:tcW w:w="1538" w:type="dxa"/>
            <w:noWrap w:val="0"/>
            <w:vAlign w:val="center"/>
          </w:tcPr>
          <w:p w14:paraId="4069567B">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shd w:val="clear" w:color="auto" w:fill="FFFFFF"/>
                <w:lang w:val="en-US" w:eastAsia="zh-CN"/>
              </w:rPr>
              <w:t>是</w:t>
            </w:r>
          </w:p>
        </w:tc>
      </w:tr>
      <w:tr w14:paraId="678BEA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7" w:hRule="atLeast"/>
          <w:jc w:val="center"/>
        </w:trPr>
        <w:tc>
          <w:tcPr>
            <w:tcW w:w="10218" w:type="dxa"/>
            <w:gridSpan w:val="6"/>
            <w:noWrap w:val="0"/>
            <w:vAlign w:val="center"/>
          </w:tcPr>
          <w:p w14:paraId="18C0BC40">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shd w:val="clear" w:color="auto" w:fill="FFFFFF"/>
              </w:rPr>
              <w:t>注：管理单位（管理责任主体）</w:t>
            </w:r>
            <w:r>
              <w:rPr>
                <w:rFonts w:hint="eastAsia" w:ascii="宋体" w:hAnsi="宋体" w:eastAsia="宋体" w:cs="宋体"/>
                <w:color w:val="auto"/>
                <w:sz w:val="21"/>
                <w:szCs w:val="21"/>
                <w:highlight w:val="none"/>
              </w:rPr>
              <w:t>如有改变，由最新的</w:t>
            </w:r>
            <w:r>
              <w:rPr>
                <w:rFonts w:hint="eastAsia" w:ascii="宋体" w:hAnsi="宋体" w:eastAsia="宋体" w:cs="宋体"/>
                <w:color w:val="auto"/>
                <w:sz w:val="21"/>
                <w:szCs w:val="21"/>
                <w:highlight w:val="none"/>
                <w:shd w:val="clear" w:color="auto" w:fill="FFFFFF"/>
              </w:rPr>
              <w:t>管理单位（管理责任主体）接替。水库名录如遇调整，以省市水行政主管部门公布为准</w:t>
            </w:r>
            <w:r>
              <w:rPr>
                <w:rFonts w:hint="eastAsia" w:ascii="宋体" w:hAnsi="宋体" w:cs="宋体"/>
                <w:color w:val="auto"/>
                <w:sz w:val="21"/>
                <w:szCs w:val="21"/>
                <w:highlight w:val="none"/>
                <w:shd w:val="clear" w:color="auto" w:fill="FFFFFF"/>
                <w:lang w:eastAsia="zh-CN"/>
              </w:rPr>
              <w:t>。</w:t>
            </w:r>
          </w:p>
        </w:tc>
      </w:tr>
    </w:tbl>
    <w:p w14:paraId="545459F5">
      <w:pPr>
        <w:rPr>
          <w:rFonts w:hint="eastAsia" w:ascii="宋体" w:hAnsi="宋体" w:cs="宋体"/>
          <w:b/>
          <w:color w:val="auto"/>
          <w:sz w:val="21"/>
          <w:szCs w:val="21"/>
          <w:highlight w:val="none"/>
        </w:rPr>
      </w:pPr>
    </w:p>
    <w:p w14:paraId="0D7BEA76">
      <w:pPr>
        <w:rPr>
          <w:rFonts w:hint="eastAsia" w:ascii="宋体" w:hAnsi="宋体" w:cs="宋体"/>
          <w:b/>
          <w:color w:val="auto"/>
          <w:sz w:val="21"/>
          <w:szCs w:val="21"/>
          <w:highlight w:val="none"/>
        </w:rPr>
      </w:pPr>
    </w:p>
    <w:p w14:paraId="1D649C8A">
      <w:pPr>
        <w:rPr>
          <w:rFonts w:hint="eastAsia" w:ascii="宋体" w:hAnsi="宋体" w:cs="宋体"/>
          <w:b/>
          <w:color w:val="auto"/>
          <w:sz w:val="21"/>
          <w:szCs w:val="21"/>
          <w:highlight w:val="none"/>
        </w:rPr>
      </w:pPr>
      <w:r>
        <w:rPr>
          <w:rFonts w:hint="eastAsia" w:ascii="宋体" w:hAnsi="宋体" w:cs="宋体"/>
          <w:b/>
          <w:color w:val="auto"/>
          <w:sz w:val="21"/>
          <w:szCs w:val="21"/>
          <w:highlight w:val="none"/>
        </w:rPr>
        <w:br w:type="page"/>
      </w:r>
    </w:p>
    <w:p w14:paraId="3765564F">
      <w:pPr>
        <w:rPr>
          <w:rFonts w:hint="eastAsia" w:ascii="宋体" w:hAnsi="宋体" w:cs="宋体"/>
          <w:b/>
          <w:color w:val="auto"/>
          <w:sz w:val="21"/>
          <w:szCs w:val="21"/>
          <w:highlight w:val="none"/>
        </w:rPr>
      </w:pPr>
      <w:r>
        <w:rPr>
          <w:rFonts w:hint="eastAsia" w:ascii="宋体" w:hAnsi="宋体" w:cs="宋体"/>
          <w:b/>
          <w:color w:val="auto"/>
          <w:sz w:val="21"/>
          <w:szCs w:val="21"/>
          <w:highlight w:val="none"/>
        </w:rPr>
        <w:t>附件</w:t>
      </w:r>
      <w:r>
        <w:rPr>
          <w:rFonts w:hint="eastAsia" w:ascii="宋体" w:hAnsi="宋体" w:cs="宋体"/>
          <w:b/>
          <w:color w:val="auto"/>
          <w:sz w:val="21"/>
          <w:szCs w:val="21"/>
          <w:highlight w:val="none"/>
          <w:lang w:val="en-US" w:eastAsia="zh-CN"/>
        </w:rPr>
        <w:t>2</w:t>
      </w:r>
      <w:r>
        <w:rPr>
          <w:rFonts w:hint="eastAsia" w:ascii="宋体" w:hAnsi="宋体" w:cs="宋体"/>
          <w:b/>
          <w:color w:val="auto"/>
          <w:sz w:val="21"/>
          <w:szCs w:val="21"/>
          <w:highlight w:val="none"/>
        </w:rPr>
        <w:t>：</w:t>
      </w:r>
    </w:p>
    <w:tbl>
      <w:tblPr>
        <w:tblStyle w:val="46"/>
        <w:tblW w:w="10331" w:type="dxa"/>
        <w:tblInd w:w="-38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80"/>
        <w:gridCol w:w="1514"/>
        <w:gridCol w:w="2024"/>
        <w:gridCol w:w="1212"/>
        <w:gridCol w:w="3375"/>
        <w:gridCol w:w="1626"/>
      </w:tblGrid>
      <w:tr w14:paraId="172F8B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blHeader/>
        </w:trPr>
        <w:tc>
          <w:tcPr>
            <w:tcW w:w="580" w:type="dxa"/>
            <w:noWrap w:val="0"/>
            <w:vAlign w:val="center"/>
          </w:tcPr>
          <w:p w14:paraId="540A5107">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序号</w:t>
            </w:r>
          </w:p>
        </w:tc>
        <w:tc>
          <w:tcPr>
            <w:tcW w:w="1514" w:type="dxa"/>
            <w:noWrap w:val="0"/>
            <w:vAlign w:val="center"/>
          </w:tcPr>
          <w:p w14:paraId="1E2BB3CA">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水库名称</w:t>
            </w:r>
          </w:p>
        </w:tc>
        <w:tc>
          <w:tcPr>
            <w:tcW w:w="2024" w:type="dxa"/>
            <w:noWrap w:val="0"/>
            <w:vAlign w:val="center"/>
          </w:tcPr>
          <w:p w14:paraId="57603DE5">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所在乡镇</w:t>
            </w:r>
          </w:p>
        </w:tc>
        <w:tc>
          <w:tcPr>
            <w:tcW w:w="1212" w:type="dxa"/>
            <w:noWrap w:val="0"/>
            <w:vAlign w:val="center"/>
          </w:tcPr>
          <w:p w14:paraId="36EAFA65">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类型</w:t>
            </w:r>
          </w:p>
        </w:tc>
        <w:tc>
          <w:tcPr>
            <w:tcW w:w="3375" w:type="dxa"/>
            <w:noWrap w:val="0"/>
            <w:vAlign w:val="center"/>
          </w:tcPr>
          <w:p w14:paraId="6F6D0B8A">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管理单位（管理责任主体）</w:t>
            </w:r>
          </w:p>
        </w:tc>
        <w:tc>
          <w:tcPr>
            <w:tcW w:w="1626" w:type="dxa"/>
            <w:noWrap w:val="0"/>
            <w:vAlign w:val="center"/>
          </w:tcPr>
          <w:p w14:paraId="050C77D4">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备注</w:t>
            </w:r>
            <w:r>
              <w:rPr>
                <w:rFonts w:hint="eastAsia" w:ascii="宋体" w:hAnsi="宋体" w:cs="宋体"/>
                <w:color w:val="auto"/>
                <w:sz w:val="21"/>
                <w:szCs w:val="21"/>
                <w:highlight w:val="none"/>
                <w:shd w:val="clear" w:color="auto" w:fill="FFFFFF"/>
                <w:lang w:eastAsia="zh-CN"/>
              </w:rPr>
              <w:t>：</w:t>
            </w:r>
            <w:r>
              <w:rPr>
                <w:rFonts w:hint="eastAsia" w:ascii="宋体" w:hAnsi="宋体" w:cs="宋体"/>
                <w:color w:val="auto"/>
                <w:sz w:val="21"/>
                <w:szCs w:val="21"/>
                <w:highlight w:val="none"/>
                <w:shd w:val="clear" w:color="auto" w:fill="FFFFFF"/>
                <w:lang w:val="en-US" w:eastAsia="zh-CN"/>
              </w:rPr>
              <w:t>服务内容是否含</w:t>
            </w:r>
            <w:r>
              <w:rPr>
                <w:rFonts w:hint="eastAsia" w:ascii="宋体" w:hAnsi="宋体" w:eastAsia="宋体" w:cs="宋体"/>
                <w:i w:val="0"/>
                <w:iCs w:val="0"/>
                <w:color w:val="auto"/>
                <w:kern w:val="0"/>
                <w:sz w:val="21"/>
                <w:szCs w:val="21"/>
                <w:highlight w:val="none"/>
                <w:u w:val="none"/>
                <w:lang w:val="en-US" w:eastAsia="zh-CN" w:bidi="ar"/>
              </w:rPr>
              <w:t>渗流压力观测</w:t>
            </w:r>
          </w:p>
        </w:tc>
      </w:tr>
      <w:tr w14:paraId="689068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580" w:type="dxa"/>
            <w:noWrap w:val="0"/>
            <w:vAlign w:val="center"/>
          </w:tcPr>
          <w:p w14:paraId="2480FAF2">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lang w:eastAsia="zh-CN"/>
              </w:rPr>
            </w:pPr>
            <w:r>
              <w:rPr>
                <w:rFonts w:hint="eastAsia" w:ascii="宋体" w:hAnsi="宋体" w:eastAsia="宋体" w:cs="宋体"/>
                <w:color w:val="auto"/>
                <w:sz w:val="21"/>
                <w:szCs w:val="21"/>
                <w:highlight w:val="none"/>
                <w:shd w:val="clear" w:color="auto" w:fill="FFFFFF"/>
                <w:lang w:val="en-US" w:eastAsia="zh-CN"/>
              </w:rPr>
              <w:t>1</w:t>
            </w:r>
          </w:p>
        </w:tc>
        <w:tc>
          <w:tcPr>
            <w:tcW w:w="1514" w:type="dxa"/>
            <w:noWrap w:val="0"/>
            <w:vAlign w:val="center"/>
          </w:tcPr>
          <w:p w14:paraId="05021028">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九龙水库</w:t>
            </w:r>
          </w:p>
        </w:tc>
        <w:tc>
          <w:tcPr>
            <w:tcW w:w="2024" w:type="dxa"/>
            <w:noWrap w:val="0"/>
            <w:vAlign w:val="center"/>
          </w:tcPr>
          <w:p w14:paraId="448867ED">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竹马</w:t>
            </w:r>
          </w:p>
        </w:tc>
        <w:tc>
          <w:tcPr>
            <w:tcW w:w="1212" w:type="dxa"/>
            <w:noWrap w:val="0"/>
            <w:vAlign w:val="center"/>
          </w:tcPr>
          <w:p w14:paraId="31181AAD">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小（2）型</w:t>
            </w:r>
          </w:p>
        </w:tc>
        <w:tc>
          <w:tcPr>
            <w:tcW w:w="3375" w:type="dxa"/>
            <w:noWrap w:val="0"/>
            <w:vAlign w:val="center"/>
          </w:tcPr>
          <w:p w14:paraId="249BA083">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金华市婺城区竹马乡人民政府</w:t>
            </w:r>
          </w:p>
        </w:tc>
        <w:tc>
          <w:tcPr>
            <w:tcW w:w="1626" w:type="dxa"/>
            <w:noWrap w:val="0"/>
            <w:vAlign w:val="center"/>
          </w:tcPr>
          <w:p w14:paraId="49B31D1A">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是</w:t>
            </w:r>
          </w:p>
        </w:tc>
      </w:tr>
      <w:tr w14:paraId="1FCEBD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580" w:type="dxa"/>
            <w:noWrap w:val="0"/>
            <w:vAlign w:val="center"/>
          </w:tcPr>
          <w:p w14:paraId="4A7C6DBE">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lang w:eastAsia="zh-CN"/>
              </w:rPr>
            </w:pPr>
            <w:r>
              <w:rPr>
                <w:rFonts w:hint="eastAsia" w:ascii="宋体" w:hAnsi="宋体" w:eastAsia="宋体" w:cs="宋体"/>
                <w:color w:val="auto"/>
                <w:sz w:val="21"/>
                <w:szCs w:val="21"/>
                <w:highlight w:val="none"/>
                <w:shd w:val="clear" w:color="auto" w:fill="FFFFFF"/>
                <w:lang w:val="en-US" w:eastAsia="zh-CN"/>
              </w:rPr>
              <w:t>2</w:t>
            </w:r>
          </w:p>
        </w:tc>
        <w:tc>
          <w:tcPr>
            <w:tcW w:w="1514" w:type="dxa"/>
            <w:noWrap w:val="0"/>
            <w:vAlign w:val="center"/>
          </w:tcPr>
          <w:p w14:paraId="0A427543">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王包地水库</w:t>
            </w:r>
          </w:p>
        </w:tc>
        <w:tc>
          <w:tcPr>
            <w:tcW w:w="2024" w:type="dxa"/>
            <w:noWrap w:val="0"/>
            <w:vAlign w:val="center"/>
          </w:tcPr>
          <w:p w14:paraId="51133C4C">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竹马</w:t>
            </w:r>
          </w:p>
        </w:tc>
        <w:tc>
          <w:tcPr>
            <w:tcW w:w="1212" w:type="dxa"/>
            <w:noWrap w:val="0"/>
            <w:vAlign w:val="center"/>
          </w:tcPr>
          <w:p w14:paraId="3FC0582D">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小（2）型</w:t>
            </w:r>
          </w:p>
        </w:tc>
        <w:tc>
          <w:tcPr>
            <w:tcW w:w="3375" w:type="dxa"/>
            <w:noWrap w:val="0"/>
            <w:vAlign w:val="center"/>
          </w:tcPr>
          <w:p w14:paraId="7267B822">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金华市婺城区竹马乡人民政府</w:t>
            </w:r>
          </w:p>
        </w:tc>
        <w:tc>
          <w:tcPr>
            <w:tcW w:w="1626" w:type="dxa"/>
            <w:noWrap w:val="0"/>
            <w:vAlign w:val="center"/>
          </w:tcPr>
          <w:p w14:paraId="2F538998">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否</w:t>
            </w:r>
          </w:p>
        </w:tc>
      </w:tr>
      <w:tr w14:paraId="132F40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580" w:type="dxa"/>
            <w:noWrap w:val="0"/>
            <w:vAlign w:val="center"/>
          </w:tcPr>
          <w:p w14:paraId="20B62E93">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lang w:eastAsia="zh-CN"/>
              </w:rPr>
            </w:pPr>
            <w:r>
              <w:rPr>
                <w:rFonts w:hint="eastAsia" w:ascii="宋体" w:hAnsi="宋体" w:eastAsia="宋体" w:cs="宋体"/>
                <w:color w:val="auto"/>
                <w:sz w:val="21"/>
                <w:szCs w:val="21"/>
                <w:highlight w:val="none"/>
                <w:shd w:val="clear" w:color="auto" w:fill="FFFFFF"/>
                <w:lang w:val="en-US" w:eastAsia="zh-CN"/>
              </w:rPr>
              <w:t>3</w:t>
            </w:r>
          </w:p>
        </w:tc>
        <w:tc>
          <w:tcPr>
            <w:tcW w:w="1514" w:type="dxa"/>
            <w:noWrap w:val="0"/>
            <w:vAlign w:val="center"/>
          </w:tcPr>
          <w:p w14:paraId="5E54CEA7">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横垅水库</w:t>
            </w:r>
          </w:p>
        </w:tc>
        <w:tc>
          <w:tcPr>
            <w:tcW w:w="2024" w:type="dxa"/>
            <w:noWrap w:val="0"/>
            <w:vAlign w:val="center"/>
          </w:tcPr>
          <w:p w14:paraId="111B7324">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竹马</w:t>
            </w:r>
          </w:p>
        </w:tc>
        <w:tc>
          <w:tcPr>
            <w:tcW w:w="1212" w:type="dxa"/>
            <w:noWrap w:val="0"/>
            <w:vAlign w:val="center"/>
          </w:tcPr>
          <w:p w14:paraId="53760F64">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小（2）型</w:t>
            </w:r>
          </w:p>
        </w:tc>
        <w:tc>
          <w:tcPr>
            <w:tcW w:w="3375" w:type="dxa"/>
            <w:noWrap w:val="0"/>
            <w:vAlign w:val="center"/>
          </w:tcPr>
          <w:p w14:paraId="45242BA1">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金华市婺城区竹马乡人民政府</w:t>
            </w:r>
          </w:p>
        </w:tc>
        <w:tc>
          <w:tcPr>
            <w:tcW w:w="1626" w:type="dxa"/>
            <w:noWrap w:val="0"/>
            <w:vAlign w:val="center"/>
          </w:tcPr>
          <w:p w14:paraId="3AE3C945">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是</w:t>
            </w:r>
          </w:p>
        </w:tc>
      </w:tr>
      <w:tr w14:paraId="7BDD56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580" w:type="dxa"/>
            <w:noWrap w:val="0"/>
            <w:vAlign w:val="center"/>
          </w:tcPr>
          <w:p w14:paraId="5D304262">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lang w:eastAsia="zh-CN"/>
              </w:rPr>
            </w:pPr>
            <w:r>
              <w:rPr>
                <w:rFonts w:hint="eastAsia" w:ascii="宋体" w:hAnsi="宋体" w:eastAsia="宋体" w:cs="宋体"/>
                <w:color w:val="auto"/>
                <w:sz w:val="21"/>
                <w:szCs w:val="21"/>
                <w:highlight w:val="none"/>
                <w:shd w:val="clear" w:color="auto" w:fill="FFFFFF"/>
                <w:lang w:val="en-US" w:eastAsia="zh-CN"/>
              </w:rPr>
              <w:t>4</w:t>
            </w:r>
          </w:p>
        </w:tc>
        <w:tc>
          <w:tcPr>
            <w:tcW w:w="1514" w:type="dxa"/>
            <w:noWrap w:val="0"/>
            <w:vAlign w:val="center"/>
          </w:tcPr>
          <w:p w14:paraId="5146F311">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水角垅水库</w:t>
            </w:r>
          </w:p>
        </w:tc>
        <w:tc>
          <w:tcPr>
            <w:tcW w:w="2024" w:type="dxa"/>
            <w:noWrap w:val="0"/>
            <w:vAlign w:val="center"/>
          </w:tcPr>
          <w:p w14:paraId="2931831C">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竹马</w:t>
            </w:r>
          </w:p>
        </w:tc>
        <w:tc>
          <w:tcPr>
            <w:tcW w:w="1212" w:type="dxa"/>
            <w:noWrap w:val="0"/>
            <w:vAlign w:val="center"/>
          </w:tcPr>
          <w:p w14:paraId="716BCFE2">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小（2）型</w:t>
            </w:r>
          </w:p>
        </w:tc>
        <w:tc>
          <w:tcPr>
            <w:tcW w:w="3375" w:type="dxa"/>
            <w:noWrap w:val="0"/>
            <w:vAlign w:val="center"/>
          </w:tcPr>
          <w:p w14:paraId="0ABB82EB">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金华市婺城区竹马乡人民政府</w:t>
            </w:r>
          </w:p>
        </w:tc>
        <w:tc>
          <w:tcPr>
            <w:tcW w:w="1626" w:type="dxa"/>
            <w:noWrap w:val="0"/>
            <w:vAlign w:val="center"/>
          </w:tcPr>
          <w:p w14:paraId="2CCCAC90">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否</w:t>
            </w:r>
          </w:p>
        </w:tc>
      </w:tr>
      <w:tr w14:paraId="6EE473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580" w:type="dxa"/>
            <w:noWrap w:val="0"/>
            <w:vAlign w:val="center"/>
          </w:tcPr>
          <w:p w14:paraId="5A539EF5">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lang w:eastAsia="zh-CN"/>
              </w:rPr>
            </w:pPr>
            <w:r>
              <w:rPr>
                <w:rFonts w:hint="eastAsia" w:ascii="宋体" w:hAnsi="宋体" w:eastAsia="宋体" w:cs="宋体"/>
                <w:color w:val="auto"/>
                <w:sz w:val="21"/>
                <w:szCs w:val="21"/>
                <w:highlight w:val="none"/>
                <w:shd w:val="clear" w:color="auto" w:fill="FFFFFF"/>
                <w:lang w:val="en-US" w:eastAsia="zh-CN"/>
              </w:rPr>
              <w:t>5</w:t>
            </w:r>
          </w:p>
        </w:tc>
        <w:tc>
          <w:tcPr>
            <w:tcW w:w="1514" w:type="dxa"/>
            <w:noWrap w:val="0"/>
            <w:vAlign w:val="center"/>
          </w:tcPr>
          <w:p w14:paraId="467C558C">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里斗垅水库</w:t>
            </w:r>
          </w:p>
        </w:tc>
        <w:tc>
          <w:tcPr>
            <w:tcW w:w="2024" w:type="dxa"/>
            <w:noWrap w:val="0"/>
            <w:vAlign w:val="center"/>
          </w:tcPr>
          <w:p w14:paraId="01DBE104">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竹马</w:t>
            </w:r>
          </w:p>
        </w:tc>
        <w:tc>
          <w:tcPr>
            <w:tcW w:w="1212" w:type="dxa"/>
            <w:noWrap w:val="0"/>
            <w:vAlign w:val="center"/>
          </w:tcPr>
          <w:p w14:paraId="2B45789C">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小（2）型</w:t>
            </w:r>
          </w:p>
        </w:tc>
        <w:tc>
          <w:tcPr>
            <w:tcW w:w="3375" w:type="dxa"/>
            <w:noWrap w:val="0"/>
            <w:vAlign w:val="center"/>
          </w:tcPr>
          <w:p w14:paraId="4AAC2B34">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金华市婺城区竹马乡人民政府</w:t>
            </w:r>
          </w:p>
        </w:tc>
        <w:tc>
          <w:tcPr>
            <w:tcW w:w="1626" w:type="dxa"/>
            <w:noWrap w:val="0"/>
            <w:vAlign w:val="center"/>
          </w:tcPr>
          <w:p w14:paraId="41C7AA40">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是</w:t>
            </w:r>
          </w:p>
        </w:tc>
      </w:tr>
      <w:tr w14:paraId="748BE5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580" w:type="dxa"/>
            <w:noWrap w:val="0"/>
            <w:vAlign w:val="center"/>
          </w:tcPr>
          <w:p w14:paraId="44C2AFDE">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lang w:eastAsia="zh-CN"/>
              </w:rPr>
            </w:pPr>
            <w:r>
              <w:rPr>
                <w:rFonts w:hint="eastAsia" w:ascii="宋体" w:hAnsi="宋体" w:eastAsia="宋体" w:cs="宋体"/>
                <w:color w:val="auto"/>
                <w:sz w:val="21"/>
                <w:szCs w:val="21"/>
                <w:highlight w:val="none"/>
                <w:shd w:val="clear" w:color="auto" w:fill="FFFFFF"/>
                <w:lang w:val="en-US" w:eastAsia="zh-CN"/>
              </w:rPr>
              <w:t>6</w:t>
            </w:r>
          </w:p>
        </w:tc>
        <w:tc>
          <w:tcPr>
            <w:tcW w:w="1514" w:type="dxa"/>
            <w:noWrap w:val="0"/>
            <w:vAlign w:val="center"/>
          </w:tcPr>
          <w:p w14:paraId="15D8428E">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龙回塘水库</w:t>
            </w:r>
          </w:p>
        </w:tc>
        <w:tc>
          <w:tcPr>
            <w:tcW w:w="2024" w:type="dxa"/>
            <w:noWrap w:val="0"/>
            <w:vAlign w:val="center"/>
          </w:tcPr>
          <w:p w14:paraId="56C08965">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罗店镇</w:t>
            </w:r>
          </w:p>
        </w:tc>
        <w:tc>
          <w:tcPr>
            <w:tcW w:w="1212" w:type="dxa"/>
            <w:noWrap w:val="0"/>
            <w:vAlign w:val="center"/>
          </w:tcPr>
          <w:p w14:paraId="78E18C96">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小（2）型</w:t>
            </w:r>
          </w:p>
        </w:tc>
        <w:tc>
          <w:tcPr>
            <w:tcW w:w="3375" w:type="dxa"/>
            <w:noWrap w:val="0"/>
            <w:vAlign w:val="center"/>
          </w:tcPr>
          <w:p w14:paraId="67C76FAF">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金华市婺城区双龙水库灌溉协会</w:t>
            </w:r>
          </w:p>
        </w:tc>
        <w:tc>
          <w:tcPr>
            <w:tcW w:w="1626" w:type="dxa"/>
            <w:noWrap w:val="0"/>
            <w:vAlign w:val="center"/>
          </w:tcPr>
          <w:p w14:paraId="743190D9">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是</w:t>
            </w:r>
          </w:p>
        </w:tc>
      </w:tr>
      <w:tr w14:paraId="4C7E4C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580" w:type="dxa"/>
            <w:noWrap w:val="0"/>
            <w:vAlign w:val="center"/>
          </w:tcPr>
          <w:p w14:paraId="2E9DFBA9">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lang w:eastAsia="zh-CN"/>
              </w:rPr>
            </w:pPr>
            <w:r>
              <w:rPr>
                <w:rFonts w:hint="eastAsia" w:ascii="宋体" w:hAnsi="宋体" w:eastAsia="宋体" w:cs="宋体"/>
                <w:color w:val="auto"/>
                <w:sz w:val="21"/>
                <w:szCs w:val="21"/>
                <w:highlight w:val="none"/>
                <w:shd w:val="clear" w:color="auto" w:fill="FFFFFF"/>
                <w:lang w:val="en-US" w:eastAsia="zh-CN"/>
              </w:rPr>
              <w:t>7</w:t>
            </w:r>
          </w:p>
        </w:tc>
        <w:tc>
          <w:tcPr>
            <w:tcW w:w="1514" w:type="dxa"/>
            <w:noWrap w:val="0"/>
            <w:vAlign w:val="center"/>
          </w:tcPr>
          <w:p w14:paraId="212760CE">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万青塘水库</w:t>
            </w:r>
          </w:p>
        </w:tc>
        <w:tc>
          <w:tcPr>
            <w:tcW w:w="2024" w:type="dxa"/>
            <w:noWrap w:val="0"/>
            <w:vAlign w:val="center"/>
          </w:tcPr>
          <w:p w14:paraId="670A9244">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罗店镇</w:t>
            </w:r>
          </w:p>
        </w:tc>
        <w:tc>
          <w:tcPr>
            <w:tcW w:w="1212" w:type="dxa"/>
            <w:noWrap w:val="0"/>
            <w:vAlign w:val="center"/>
          </w:tcPr>
          <w:p w14:paraId="733F5E45">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小（2）型</w:t>
            </w:r>
          </w:p>
        </w:tc>
        <w:tc>
          <w:tcPr>
            <w:tcW w:w="3375" w:type="dxa"/>
            <w:noWrap w:val="0"/>
            <w:vAlign w:val="center"/>
          </w:tcPr>
          <w:p w14:paraId="6B5DE677">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金华市婺城区双龙水库灌溉协会</w:t>
            </w:r>
          </w:p>
        </w:tc>
        <w:tc>
          <w:tcPr>
            <w:tcW w:w="1626" w:type="dxa"/>
            <w:noWrap w:val="0"/>
            <w:vAlign w:val="center"/>
          </w:tcPr>
          <w:p w14:paraId="07E473C7">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是</w:t>
            </w:r>
          </w:p>
        </w:tc>
      </w:tr>
      <w:tr w14:paraId="332600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580" w:type="dxa"/>
            <w:noWrap w:val="0"/>
            <w:vAlign w:val="center"/>
          </w:tcPr>
          <w:p w14:paraId="0876C290">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lang w:eastAsia="zh-CN"/>
              </w:rPr>
            </w:pPr>
            <w:r>
              <w:rPr>
                <w:rFonts w:hint="eastAsia" w:ascii="宋体" w:hAnsi="宋体" w:eastAsia="宋体" w:cs="宋体"/>
                <w:color w:val="auto"/>
                <w:sz w:val="21"/>
                <w:szCs w:val="21"/>
                <w:highlight w:val="none"/>
                <w:shd w:val="clear" w:color="auto" w:fill="FFFFFF"/>
                <w:lang w:val="en-US" w:eastAsia="zh-CN"/>
              </w:rPr>
              <w:t>8</w:t>
            </w:r>
          </w:p>
        </w:tc>
        <w:tc>
          <w:tcPr>
            <w:tcW w:w="1514" w:type="dxa"/>
            <w:noWrap w:val="0"/>
            <w:vAlign w:val="center"/>
          </w:tcPr>
          <w:p w14:paraId="7CF8272F">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成功塘水库</w:t>
            </w:r>
          </w:p>
        </w:tc>
        <w:tc>
          <w:tcPr>
            <w:tcW w:w="2024" w:type="dxa"/>
            <w:noWrap w:val="0"/>
            <w:vAlign w:val="center"/>
          </w:tcPr>
          <w:p w14:paraId="21014979">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罗店镇</w:t>
            </w:r>
          </w:p>
        </w:tc>
        <w:tc>
          <w:tcPr>
            <w:tcW w:w="1212" w:type="dxa"/>
            <w:noWrap w:val="0"/>
            <w:vAlign w:val="center"/>
          </w:tcPr>
          <w:p w14:paraId="64C9BE47">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小（2）型</w:t>
            </w:r>
          </w:p>
        </w:tc>
        <w:tc>
          <w:tcPr>
            <w:tcW w:w="3375" w:type="dxa"/>
            <w:noWrap w:val="0"/>
            <w:vAlign w:val="center"/>
          </w:tcPr>
          <w:p w14:paraId="7A6302D5">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金华市婺城区长岭水库灌溉服务站</w:t>
            </w:r>
          </w:p>
        </w:tc>
        <w:tc>
          <w:tcPr>
            <w:tcW w:w="1626" w:type="dxa"/>
            <w:noWrap w:val="0"/>
            <w:vAlign w:val="center"/>
          </w:tcPr>
          <w:p w14:paraId="54B3FDCC">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否</w:t>
            </w:r>
          </w:p>
        </w:tc>
      </w:tr>
      <w:tr w14:paraId="4036CC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580" w:type="dxa"/>
            <w:noWrap w:val="0"/>
            <w:vAlign w:val="center"/>
          </w:tcPr>
          <w:p w14:paraId="2EC444FF">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lang w:eastAsia="zh-CN"/>
              </w:rPr>
            </w:pPr>
            <w:r>
              <w:rPr>
                <w:rFonts w:hint="eastAsia" w:ascii="宋体" w:hAnsi="宋体" w:eastAsia="宋体" w:cs="宋体"/>
                <w:color w:val="auto"/>
                <w:sz w:val="21"/>
                <w:szCs w:val="21"/>
                <w:highlight w:val="none"/>
                <w:shd w:val="clear" w:color="auto" w:fill="FFFFFF"/>
                <w:lang w:val="en-US" w:eastAsia="zh-CN"/>
              </w:rPr>
              <w:t>9</w:t>
            </w:r>
          </w:p>
        </w:tc>
        <w:tc>
          <w:tcPr>
            <w:tcW w:w="1514" w:type="dxa"/>
            <w:noWrap w:val="0"/>
            <w:vAlign w:val="center"/>
          </w:tcPr>
          <w:p w14:paraId="57971CF6">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大房垅水库</w:t>
            </w:r>
          </w:p>
        </w:tc>
        <w:tc>
          <w:tcPr>
            <w:tcW w:w="2024" w:type="dxa"/>
            <w:noWrap w:val="0"/>
            <w:vAlign w:val="center"/>
          </w:tcPr>
          <w:p w14:paraId="345038EA">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乾西</w:t>
            </w:r>
          </w:p>
        </w:tc>
        <w:tc>
          <w:tcPr>
            <w:tcW w:w="1212" w:type="dxa"/>
            <w:noWrap w:val="0"/>
            <w:vAlign w:val="center"/>
          </w:tcPr>
          <w:p w14:paraId="2AEA3958">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小（2）型</w:t>
            </w:r>
          </w:p>
        </w:tc>
        <w:tc>
          <w:tcPr>
            <w:tcW w:w="3375" w:type="dxa"/>
            <w:noWrap w:val="0"/>
            <w:vAlign w:val="center"/>
          </w:tcPr>
          <w:p w14:paraId="1FA5F76D">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金华市婺城区乾西乡人民政府</w:t>
            </w:r>
          </w:p>
        </w:tc>
        <w:tc>
          <w:tcPr>
            <w:tcW w:w="1626" w:type="dxa"/>
            <w:noWrap w:val="0"/>
            <w:vAlign w:val="center"/>
          </w:tcPr>
          <w:p w14:paraId="4A856752">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否</w:t>
            </w:r>
          </w:p>
        </w:tc>
      </w:tr>
      <w:tr w14:paraId="3BDA0B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580" w:type="dxa"/>
            <w:noWrap w:val="0"/>
            <w:vAlign w:val="center"/>
          </w:tcPr>
          <w:p w14:paraId="436F2213">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lang w:eastAsia="zh-CN"/>
              </w:rPr>
            </w:pPr>
            <w:r>
              <w:rPr>
                <w:rFonts w:hint="eastAsia" w:ascii="宋体" w:hAnsi="宋体" w:eastAsia="宋体" w:cs="宋体"/>
                <w:color w:val="auto"/>
                <w:sz w:val="21"/>
                <w:szCs w:val="21"/>
                <w:highlight w:val="none"/>
                <w:shd w:val="clear" w:color="auto" w:fill="FFFFFF"/>
              </w:rPr>
              <w:t>1</w:t>
            </w:r>
            <w:r>
              <w:rPr>
                <w:rFonts w:hint="eastAsia" w:ascii="宋体" w:hAnsi="宋体" w:eastAsia="宋体" w:cs="宋体"/>
                <w:color w:val="auto"/>
                <w:sz w:val="21"/>
                <w:szCs w:val="21"/>
                <w:highlight w:val="none"/>
                <w:shd w:val="clear" w:color="auto" w:fill="FFFFFF"/>
                <w:lang w:val="en-US" w:eastAsia="zh-CN"/>
              </w:rPr>
              <w:t>0</w:t>
            </w:r>
          </w:p>
        </w:tc>
        <w:tc>
          <w:tcPr>
            <w:tcW w:w="1514" w:type="dxa"/>
            <w:noWrap w:val="0"/>
            <w:vAlign w:val="center"/>
          </w:tcPr>
          <w:p w14:paraId="5FC14B04">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百合塘水库</w:t>
            </w:r>
          </w:p>
        </w:tc>
        <w:tc>
          <w:tcPr>
            <w:tcW w:w="2024" w:type="dxa"/>
            <w:noWrap w:val="0"/>
            <w:vAlign w:val="center"/>
          </w:tcPr>
          <w:p w14:paraId="527B7E99">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雅畈</w:t>
            </w:r>
          </w:p>
        </w:tc>
        <w:tc>
          <w:tcPr>
            <w:tcW w:w="1212" w:type="dxa"/>
            <w:noWrap w:val="0"/>
            <w:vAlign w:val="center"/>
          </w:tcPr>
          <w:p w14:paraId="6CD58F9B">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小（2）型</w:t>
            </w:r>
          </w:p>
        </w:tc>
        <w:tc>
          <w:tcPr>
            <w:tcW w:w="3375" w:type="dxa"/>
            <w:noWrap w:val="0"/>
            <w:vAlign w:val="center"/>
          </w:tcPr>
          <w:p w14:paraId="5810AF85">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金华市婺城区雅畈镇人民政府</w:t>
            </w:r>
          </w:p>
        </w:tc>
        <w:tc>
          <w:tcPr>
            <w:tcW w:w="1626" w:type="dxa"/>
            <w:noWrap w:val="0"/>
            <w:vAlign w:val="center"/>
          </w:tcPr>
          <w:p w14:paraId="06F4AA3B">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否</w:t>
            </w:r>
          </w:p>
        </w:tc>
      </w:tr>
      <w:tr w14:paraId="1697C7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580" w:type="dxa"/>
            <w:noWrap w:val="0"/>
            <w:vAlign w:val="center"/>
          </w:tcPr>
          <w:p w14:paraId="40022C4D">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lang w:eastAsia="zh-CN"/>
              </w:rPr>
            </w:pPr>
            <w:r>
              <w:rPr>
                <w:rFonts w:hint="eastAsia" w:ascii="宋体" w:hAnsi="宋体" w:eastAsia="宋体" w:cs="宋体"/>
                <w:color w:val="auto"/>
                <w:sz w:val="21"/>
                <w:szCs w:val="21"/>
                <w:highlight w:val="none"/>
                <w:shd w:val="clear" w:color="auto" w:fill="FFFFFF"/>
              </w:rPr>
              <w:t>1</w:t>
            </w:r>
            <w:r>
              <w:rPr>
                <w:rFonts w:hint="eastAsia" w:ascii="宋体" w:hAnsi="宋体" w:eastAsia="宋体" w:cs="宋体"/>
                <w:color w:val="auto"/>
                <w:sz w:val="21"/>
                <w:szCs w:val="21"/>
                <w:highlight w:val="none"/>
                <w:shd w:val="clear" w:color="auto" w:fill="FFFFFF"/>
                <w:lang w:val="en-US" w:eastAsia="zh-CN"/>
              </w:rPr>
              <w:t>1</w:t>
            </w:r>
          </w:p>
        </w:tc>
        <w:tc>
          <w:tcPr>
            <w:tcW w:w="1514" w:type="dxa"/>
            <w:noWrap w:val="0"/>
            <w:vAlign w:val="center"/>
          </w:tcPr>
          <w:p w14:paraId="76DBBE96">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龙潭水库</w:t>
            </w:r>
          </w:p>
        </w:tc>
        <w:tc>
          <w:tcPr>
            <w:tcW w:w="2024" w:type="dxa"/>
            <w:noWrap w:val="0"/>
            <w:vAlign w:val="center"/>
          </w:tcPr>
          <w:p w14:paraId="7CD966F6">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雅畈</w:t>
            </w:r>
          </w:p>
        </w:tc>
        <w:tc>
          <w:tcPr>
            <w:tcW w:w="1212" w:type="dxa"/>
            <w:noWrap w:val="0"/>
            <w:vAlign w:val="center"/>
          </w:tcPr>
          <w:p w14:paraId="204314D8">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小（2）型</w:t>
            </w:r>
          </w:p>
        </w:tc>
        <w:tc>
          <w:tcPr>
            <w:tcW w:w="3375" w:type="dxa"/>
            <w:noWrap w:val="0"/>
            <w:vAlign w:val="center"/>
          </w:tcPr>
          <w:p w14:paraId="49E95B55">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金华市婺城区雅畈镇人民政府</w:t>
            </w:r>
          </w:p>
        </w:tc>
        <w:tc>
          <w:tcPr>
            <w:tcW w:w="1626" w:type="dxa"/>
            <w:noWrap w:val="0"/>
            <w:vAlign w:val="center"/>
          </w:tcPr>
          <w:p w14:paraId="03139AFD">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否</w:t>
            </w:r>
          </w:p>
        </w:tc>
      </w:tr>
      <w:tr w14:paraId="2F92FA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580" w:type="dxa"/>
            <w:noWrap w:val="0"/>
            <w:vAlign w:val="center"/>
          </w:tcPr>
          <w:p w14:paraId="59E55E2C">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lang w:eastAsia="zh-CN"/>
              </w:rPr>
            </w:pPr>
            <w:r>
              <w:rPr>
                <w:rFonts w:hint="eastAsia" w:ascii="宋体" w:hAnsi="宋体" w:eastAsia="宋体" w:cs="宋体"/>
                <w:color w:val="auto"/>
                <w:sz w:val="21"/>
                <w:szCs w:val="21"/>
                <w:highlight w:val="none"/>
                <w:shd w:val="clear" w:color="auto" w:fill="FFFFFF"/>
              </w:rPr>
              <w:t>1</w:t>
            </w:r>
            <w:r>
              <w:rPr>
                <w:rFonts w:hint="eastAsia" w:ascii="宋体" w:hAnsi="宋体" w:eastAsia="宋体" w:cs="宋体"/>
                <w:color w:val="auto"/>
                <w:sz w:val="21"/>
                <w:szCs w:val="21"/>
                <w:highlight w:val="none"/>
                <w:shd w:val="clear" w:color="auto" w:fill="FFFFFF"/>
                <w:lang w:val="en-US" w:eastAsia="zh-CN"/>
              </w:rPr>
              <w:t>2</w:t>
            </w:r>
          </w:p>
        </w:tc>
        <w:tc>
          <w:tcPr>
            <w:tcW w:w="1514" w:type="dxa"/>
            <w:noWrap w:val="0"/>
            <w:vAlign w:val="center"/>
          </w:tcPr>
          <w:p w14:paraId="3A4167B2">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车坞水库</w:t>
            </w:r>
          </w:p>
        </w:tc>
        <w:tc>
          <w:tcPr>
            <w:tcW w:w="2024" w:type="dxa"/>
            <w:noWrap w:val="0"/>
            <w:vAlign w:val="center"/>
          </w:tcPr>
          <w:p w14:paraId="6130D0D7">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雅畈</w:t>
            </w:r>
          </w:p>
        </w:tc>
        <w:tc>
          <w:tcPr>
            <w:tcW w:w="1212" w:type="dxa"/>
            <w:noWrap w:val="0"/>
            <w:vAlign w:val="center"/>
          </w:tcPr>
          <w:p w14:paraId="38BE9996">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小（2）型</w:t>
            </w:r>
          </w:p>
        </w:tc>
        <w:tc>
          <w:tcPr>
            <w:tcW w:w="3375" w:type="dxa"/>
            <w:noWrap w:val="0"/>
            <w:vAlign w:val="center"/>
          </w:tcPr>
          <w:p w14:paraId="4EEEE083">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金华市婺城区雅畈镇人民政府</w:t>
            </w:r>
          </w:p>
        </w:tc>
        <w:tc>
          <w:tcPr>
            <w:tcW w:w="1626" w:type="dxa"/>
            <w:noWrap w:val="0"/>
            <w:vAlign w:val="center"/>
          </w:tcPr>
          <w:p w14:paraId="31159E0A">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否</w:t>
            </w:r>
          </w:p>
        </w:tc>
      </w:tr>
      <w:tr w14:paraId="7484C5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580" w:type="dxa"/>
            <w:noWrap w:val="0"/>
            <w:vAlign w:val="center"/>
          </w:tcPr>
          <w:p w14:paraId="23A08A15">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lang w:val="en-US" w:eastAsia="zh-CN"/>
              </w:rPr>
            </w:pPr>
            <w:r>
              <w:rPr>
                <w:rFonts w:hint="eastAsia" w:ascii="宋体" w:hAnsi="宋体" w:eastAsia="宋体" w:cs="宋体"/>
                <w:color w:val="auto"/>
                <w:sz w:val="21"/>
                <w:szCs w:val="21"/>
                <w:highlight w:val="none"/>
                <w:shd w:val="clear" w:color="auto" w:fill="FFFFFF"/>
                <w:lang w:val="en-US" w:eastAsia="zh-CN"/>
              </w:rPr>
              <w:t>13</w:t>
            </w:r>
          </w:p>
        </w:tc>
        <w:tc>
          <w:tcPr>
            <w:tcW w:w="1514" w:type="dxa"/>
            <w:noWrap w:val="0"/>
            <w:vAlign w:val="center"/>
          </w:tcPr>
          <w:p w14:paraId="017ED676">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下山头水库</w:t>
            </w:r>
          </w:p>
        </w:tc>
        <w:tc>
          <w:tcPr>
            <w:tcW w:w="2024" w:type="dxa"/>
            <w:noWrap w:val="0"/>
            <w:vAlign w:val="center"/>
          </w:tcPr>
          <w:p w14:paraId="6CE39E11">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雅畈</w:t>
            </w:r>
          </w:p>
        </w:tc>
        <w:tc>
          <w:tcPr>
            <w:tcW w:w="1212" w:type="dxa"/>
            <w:noWrap w:val="0"/>
            <w:vAlign w:val="center"/>
          </w:tcPr>
          <w:p w14:paraId="347C7B11">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小（2）型</w:t>
            </w:r>
          </w:p>
        </w:tc>
        <w:tc>
          <w:tcPr>
            <w:tcW w:w="3375" w:type="dxa"/>
            <w:noWrap w:val="0"/>
            <w:vAlign w:val="center"/>
          </w:tcPr>
          <w:p w14:paraId="348444F3">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金华市婺城区雅畈镇人民政府</w:t>
            </w:r>
          </w:p>
        </w:tc>
        <w:tc>
          <w:tcPr>
            <w:tcW w:w="1626" w:type="dxa"/>
            <w:noWrap w:val="0"/>
            <w:vAlign w:val="center"/>
          </w:tcPr>
          <w:p w14:paraId="34740685">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否</w:t>
            </w:r>
          </w:p>
        </w:tc>
      </w:tr>
      <w:tr w14:paraId="007C07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580" w:type="dxa"/>
            <w:noWrap w:val="0"/>
            <w:vAlign w:val="center"/>
          </w:tcPr>
          <w:p w14:paraId="7649B710">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lang w:val="en-US" w:eastAsia="zh-CN"/>
              </w:rPr>
            </w:pPr>
            <w:r>
              <w:rPr>
                <w:rFonts w:hint="eastAsia" w:ascii="宋体" w:hAnsi="宋体" w:eastAsia="宋体" w:cs="宋体"/>
                <w:color w:val="auto"/>
                <w:sz w:val="21"/>
                <w:szCs w:val="21"/>
                <w:highlight w:val="none"/>
                <w:shd w:val="clear" w:color="auto" w:fill="FFFFFF"/>
                <w:lang w:val="en-US" w:eastAsia="zh-CN"/>
              </w:rPr>
              <w:t>14</w:t>
            </w:r>
          </w:p>
        </w:tc>
        <w:tc>
          <w:tcPr>
            <w:tcW w:w="1514" w:type="dxa"/>
            <w:noWrap w:val="0"/>
            <w:vAlign w:val="center"/>
          </w:tcPr>
          <w:p w14:paraId="74886BBB">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堪善塘水库</w:t>
            </w:r>
          </w:p>
        </w:tc>
        <w:tc>
          <w:tcPr>
            <w:tcW w:w="2024" w:type="dxa"/>
            <w:noWrap w:val="0"/>
            <w:vAlign w:val="center"/>
          </w:tcPr>
          <w:p w14:paraId="6A993571">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雅畈</w:t>
            </w:r>
          </w:p>
        </w:tc>
        <w:tc>
          <w:tcPr>
            <w:tcW w:w="1212" w:type="dxa"/>
            <w:noWrap w:val="0"/>
            <w:vAlign w:val="center"/>
          </w:tcPr>
          <w:p w14:paraId="46EB0CCD">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小（2）型</w:t>
            </w:r>
          </w:p>
        </w:tc>
        <w:tc>
          <w:tcPr>
            <w:tcW w:w="3375" w:type="dxa"/>
            <w:noWrap w:val="0"/>
            <w:vAlign w:val="center"/>
          </w:tcPr>
          <w:p w14:paraId="299D33AB">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金华市婺城区雅畈镇人民政府</w:t>
            </w:r>
          </w:p>
        </w:tc>
        <w:tc>
          <w:tcPr>
            <w:tcW w:w="1626" w:type="dxa"/>
            <w:noWrap w:val="0"/>
            <w:vAlign w:val="center"/>
          </w:tcPr>
          <w:p w14:paraId="3B9E0B23">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否</w:t>
            </w:r>
          </w:p>
        </w:tc>
      </w:tr>
      <w:tr w14:paraId="5CB007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580" w:type="dxa"/>
            <w:noWrap w:val="0"/>
            <w:vAlign w:val="center"/>
          </w:tcPr>
          <w:p w14:paraId="1EBD355C">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lang w:val="en-US" w:eastAsia="zh-CN"/>
              </w:rPr>
            </w:pPr>
            <w:r>
              <w:rPr>
                <w:rFonts w:hint="eastAsia" w:ascii="宋体" w:hAnsi="宋体" w:eastAsia="宋体" w:cs="宋体"/>
                <w:color w:val="auto"/>
                <w:sz w:val="21"/>
                <w:szCs w:val="21"/>
                <w:highlight w:val="none"/>
                <w:shd w:val="clear" w:color="auto" w:fill="FFFFFF"/>
                <w:lang w:val="en-US" w:eastAsia="zh-CN"/>
              </w:rPr>
              <w:t>15</w:t>
            </w:r>
          </w:p>
        </w:tc>
        <w:tc>
          <w:tcPr>
            <w:tcW w:w="1514" w:type="dxa"/>
            <w:noWrap w:val="0"/>
            <w:vAlign w:val="center"/>
          </w:tcPr>
          <w:p w14:paraId="1B1E2AAE">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横塘水库</w:t>
            </w:r>
          </w:p>
        </w:tc>
        <w:tc>
          <w:tcPr>
            <w:tcW w:w="2024" w:type="dxa"/>
            <w:noWrap w:val="0"/>
            <w:vAlign w:val="center"/>
          </w:tcPr>
          <w:p w14:paraId="33299BC8">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安地</w:t>
            </w:r>
          </w:p>
        </w:tc>
        <w:tc>
          <w:tcPr>
            <w:tcW w:w="1212" w:type="dxa"/>
            <w:noWrap w:val="0"/>
            <w:vAlign w:val="center"/>
          </w:tcPr>
          <w:p w14:paraId="1EB3DF72">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小（2）型</w:t>
            </w:r>
          </w:p>
        </w:tc>
        <w:tc>
          <w:tcPr>
            <w:tcW w:w="3375" w:type="dxa"/>
            <w:noWrap w:val="0"/>
            <w:vAlign w:val="center"/>
          </w:tcPr>
          <w:p w14:paraId="209D55FA">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金华市婺城区安地镇人民政府</w:t>
            </w:r>
          </w:p>
        </w:tc>
        <w:tc>
          <w:tcPr>
            <w:tcW w:w="1626" w:type="dxa"/>
            <w:noWrap w:val="0"/>
            <w:vAlign w:val="center"/>
          </w:tcPr>
          <w:p w14:paraId="22E500D3">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否</w:t>
            </w:r>
          </w:p>
        </w:tc>
      </w:tr>
      <w:tr w14:paraId="403717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580" w:type="dxa"/>
            <w:noWrap w:val="0"/>
            <w:vAlign w:val="center"/>
          </w:tcPr>
          <w:p w14:paraId="6C559340">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lang w:val="en-US" w:eastAsia="zh-CN"/>
              </w:rPr>
            </w:pPr>
            <w:r>
              <w:rPr>
                <w:rFonts w:hint="eastAsia" w:ascii="宋体" w:hAnsi="宋体" w:eastAsia="宋体" w:cs="宋体"/>
                <w:color w:val="auto"/>
                <w:sz w:val="21"/>
                <w:szCs w:val="21"/>
                <w:highlight w:val="none"/>
                <w:shd w:val="clear" w:color="auto" w:fill="FFFFFF"/>
                <w:lang w:val="en-US" w:eastAsia="zh-CN"/>
              </w:rPr>
              <w:t>16</w:t>
            </w:r>
          </w:p>
        </w:tc>
        <w:tc>
          <w:tcPr>
            <w:tcW w:w="1514" w:type="dxa"/>
            <w:noWrap w:val="0"/>
            <w:vAlign w:val="center"/>
          </w:tcPr>
          <w:p w14:paraId="3ADBD38A">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莲塘水库</w:t>
            </w:r>
          </w:p>
        </w:tc>
        <w:tc>
          <w:tcPr>
            <w:tcW w:w="2024" w:type="dxa"/>
            <w:noWrap w:val="0"/>
            <w:vAlign w:val="center"/>
          </w:tcPr>
          <w:p w14:paraId="59C90951">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安地</w:t>
            </w:r>
          </w:p>
        </w:tc>
        <w:tc>
          <w:tcPr>
            <w:tcW w:w="1212" w:type="dxa"/>
            <w:noWrap w:val="0"/>
            <w:vAlign w:val="center"/>
          </w:tcPr>
          <w:p w14:paraId="54196B09">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小（2）型</w:t>
            </w:r>
          </w:p>
        </w:tc>
        <w:tc>
          <w:tcPr>
            <w:tcW w:w="3375" w:type="dxa"/>
            <w:noWrap w:val="0"/>
            <w:vAlign w:val="center"/>
          </w:tcPr>
          <w:p w14:paraId="59C77218">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金华市婺城区安地镇人民政府</w:t>
            </w:r>
          </w:p>
        </w:tc>
        <w:tc>
          <w:tcPr>
            <w:tcW w:w="1626" w:type="dxa"/>
            <w:noWrap w:val="0"/>
            <w:vAlign w:val="center"/>
          </w:tcPr>
          <w:p w14:paraId="7B78719B">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否</w:t>
            </w:r>
          </w:p>
        </w:tc>
      </w:tr>
      <w:tr w14:paraId="361177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580" w:type="dxa"/>
            <w:noWrap w:val="0"/>
            <w:vAlign w:val="center"/>
          </w:tcPr>
          <w:p w14:paraId="44624F09">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lang w:val="en-US" w:eastAsia="zh-CN"/>
              </w:rPr>
            </w:pPr>
            <w:r>
              <w:rPr>
                <w:rFonts w:hint="eastAsia" w:ascii="宋体" w:hAnsi="宋体" w:eastAsia="宋体" w:cs="宋体"/>
                <w:color w:val="auto"/>
                <w:sz w:val="21"/>
                <w:szCs w:val="21"/>
                <w:highlight w:val="none"/>
                <w:shd w:val="clear" w:color="auto" w:fill="FFFFFF"/>
                <w:lang w:val="en-US" w:eastAsia="zh-CN"/>
              </w:rPr>
              <w:t>17</w:t>
            </w:r>
          </w:p>
        </w:tc>
        <w:tc>
          <w:tcPr>
            <w:tcW w:w="1514" w:type="dxa"/>
            <w:noWrap w:val="0"/>
            <w:vAlign w:val="center"/>
          </w:tcPr>
          <w:p w14:paraId="68D79AB4">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章坑水库</w:t>
            </w:r>
          </w:p>
        </w:tc>
        <w:tc>
          <w:tcPr>
            <w:tcW w:w="2024" w:type="dxa"/>
            <w:noWrap w:val="0"/>
            <w:vAlign w:val="center"/>
          </w:tcPr>
          <w:p w14:paraId="024462CD">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安地</w:t>
            </w:r>
          </w:p>
        </w:tc>
        <w:tc>
          <w:tcPr>
            <w:tcW w:w="1212" w:type="dxa"/>
            <w:noWrap w:val="0"/>
            <w:vAlign w:val="center"/>
          </w:tcPr>
          <w:p w14:paraId="030E5D0A">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小（2）型</w:t>
            </w:r>
          </w:p>
        </w:tc>
        <w:tc>
          <w:tcPr>
            <w:tcW w:w="3375" w:type="dxa"/>
            <w:noWrap w:val="0"/>
            <w:vAlign w:val="center"/>
          </w:tcPr>
          <w:p w14:paraId="7EC90164">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金华市婺城区安地镇人民政府</w:t>
            </w:r>
          </w:p>
        </w:tc>
        <w:tc>
          <w:tcPr>
            <w:tcW w:w="1626" w:type="dxa"/>
            <w:noWrap w:val="0"/>
            <w:vAlign w:val="center"/>
          </w:tcPr>
          <w:p w14:paraId="7BF0DFCC">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否</w:t>
            </w:r>
          </w:p>
        </w:tc>
      </w:tr>
      <w:tr w14:paraId="043458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580" w:type="dxa"/>
            <w:noWrap w:val="0"/>
            <w:vAlign w:val="center"/>
          </w:tcPr>
          <w:p w14:paraId="56A50E4E">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lang w:val="en-US" w:eastAsia="zh-CN"/>
              </w:rPr>
            </w:pPr>
            <w:r>
              <w:rPr>
                <w:rFonts w:hint="eastAsia" w:ascii="宋体" w:hAnsi="宋体" w:eastAsia="宋体" w:cs="宋体"/>
                <w:color w:val="auto"/>
                <w:sz w:val="21"/>
                <w:szCs w:val="21"/>
                <w:highlight w:val="none"/>
                <w:shd w:val="clear" w:color="auto" w:fill="FFFFFF"/>
                <w:lang w:val="en-US" w:eastAsia="zh-CN"/>
              </w:rPr>
              <w:t>18</w:t>
            </w:r>
          </w:p>
        </w:tc>
        <w:tc>
          <w:tcPr>
            <w:tcW w:w="1514" w:type="dxa"/>
            <w:noWrap w:val="0"/>
            <w:vAlign w:val="center"/>
          </w:tcPr>
          <w:p w14:paraId="00604F2A">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五石垅水库</w:t>
            </w:r>
          </w:p>
        </w:tc>
        <w:tc>
          <w:tcPr>
            <w:tcW w:w="2024" w:type="dxa"/>
            <w:noWrap w:val="0"/>
            <w:vAlign w:val="center"/>
          </w:tcPr>
          <w:p w14:paraId="3BFFA5EE">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新狮</w:t>
            </w:r>
          </w:p>
        </w:tc>
        <w:tc>
          <w:tcPr>
            <w:tcW w:w="1212" w:type="dxa"/>
            <w:noWrap w:val="0"/>
            <w:vAlign w:val="center"/>
          </w:tcPr>
          <w:p w14:paraId="0D91C193">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小（2）型</w:t>
            </w:r>
          </w:p>
        </w:tc>
        <w:tc>
          <w:tcPr>
            <w:tcW w:w="3375" w:type="dxa"/>
            <w:noWrap w:val="0"/>
            <w:vAlign w:val="center"/>
          </w:tcPr>
          <w:p w14:paraId="66633A90">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金华市婺城区新狮街道办事处</w:t>
            </w:r>
          </w:p>
        </w:tc>
        <w:tc>
          <w:tcPr>
            <w:tcW w:w="1626" w:type="dxa"/>
            <w:noWrap w:val="0"/>
            <w:vAlign w:val="center"/>
          </w:tcPr>
          <w:p w14:paraId="303DADDA">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否</w:t>
            </w:r>
          </w:p>
        </w:tc>
      </w:tr>
      <w:tr w14:paraId="3CCC53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580" w:type="dxa"/>
            <w:noWrap w:val="0"/>
            <w:vAlign w:val="center"/>
          </w:tcPr>
          <w:p w14:paraId="5F49D284">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lang w:val="en-US" w:eastAsia="zh-CN"/>
              </w:rPr>
            </w:pPr>
            <w:r>
              <w:rPr>
                <w:rFonts w:hint="eastAsia" w:ascii="宋体" w:hAnsi="宋体" w:eastAsia="宋体" w:cs="宋体"/>
                <w:color w:val="auto"/>
                <w:sz w:val="21"/>
                <w:szCs w:val="21"/>
                <w:highlight w:val="none"/>
                <w:shd w:val="clear" w:color="auto" w:fill="FFFFFF"/>
                <w:lang w:val="en-US" w:eastAsia="zh-CN"/>
              </w:rPr>
              <w:t>19</w:t>
            </w:r>
          </w:p>
        </w:tc>
        <w:tc>
          <w:tcPr>
            <w:tcW w:w="1514" w:type="dxa"/>
            <w:noWrap w:val="0"/>
            <w:vAlign w:val="center"/>
          </w:tcPr>
          <w:p w14:paraId="6E0574EC">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西垅水库</w:t>
            </w:r>
          </w:p>
        </w:tc>
        <w:tc>
          <w:tcPr>
            <w:tcW w:w="2024" w:type="dxa"/>
            <w:noWrap w:val="0"/>
            <w:vAlign w:val="center"/>
          </w:tcPr>
          <w:p w14:paraId="5F10EC8B">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新狮</w:t>
            </w:r>
          </w:p>
        </w:tc>
        <w:tc>
          <w:tcPr>
            <w:tcW w:w="1212" w:type="dxa"/>
            <w:noWrap w:val="0"/>
            <w:vAlign w:val="center"/>
          </w:tcPr>
          <w:p w14:paraId="270E140F">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小（2）型</w:t>
            </w:r>
          </w:p>
        </w:tc>
        <w:tc>
          <w:tcPr>
            <w:tcW w:w="3375" w:type="dxa"/>
            <w:noWrap w:val="0"/>
            <w:vAlign w:val="center"/>
          </w:tcPr>
          <w:p w14:paraId="11CEF77B">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金华市婺城区新狮街道办事处</w:t>
            </w:r>
          </w:p>
        </w:tc>
        <w:tc>
          <w:tcPr>
            <w:tcW w:w="1626" w:type="dxa"/>
            <w:noWrap w:val="0"/>
            <w:vAlign w:val="center"/>
          </w:tcPr>
          <w:p w14:paraId="665D5AE4">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否</w:t>
            </w:r>
          </w:p>
        </w:tc>
      </w:tr>
      <w:tr w14:paraId="53FD2E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580" w:type="dxa"/>
            <w:noWrap w:val="0"/>
            <w:vAlign w:val="center"/>
          </w:tcPr>
          <w:p w14:paraId="43935494">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lang w:val="en-US" w:eastAsia="zh-CN"/>
              </w:rPr>
            </w:pPr>
            <w:r>
              <w:rPr>
                <w:rFonts w:hint="eastAsia" w:ascii="宋体" w:hAnsi="宋体" w:eastAsia="宋体" w:cs="宋体"/>
                <w:color w:val="auto"/>
                <w:sz w:val="21"/>
                <w:szCs w:val="21"/>
                <w:highlight w:val="none"/>
                <w:shd w:val="clear" w:color="auto" w:fill="FFFFFF"/>
                <w:lang w:val="en-US" w:eastAsia="zh-CN"/>
              </w:rPr>
              <w:t>20</w:t>
            </w:r>
          </w:p>
        </w:tc>
        <w:tc>
          <w:tcPr>
            <w:tcW w:w="1514" w:type="dxa"/>
            <w:noWrap w:val="0"/>
            <w:vAlign w:val="center"/>
          </w:tcPr>
          <w:p w14:paraId="6CC4CBDA">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周思塘水库</w:t>
            </w:r>
          </w:p>
        </w:tc>
        <w:tc>
          <w:tcPr>
            <w:tcW w:w="2024" w:type="dxa"/>
            <w:noWrap w:val="0"/>
            <w:vAlign w:val="center"/>
          </w:tcPr>
          <w:p w14:paraId="5230AA52">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长山</w:t>
            </w:r>
          </w:p>
        </w:tc>
        <w:tc>
          <w:tcPr>
            <w:tcW w:w="1212" w:type="dxa"/>
            <w:noWrap w:val="0"/>
            <w:vAlign w:val="center"/>
          </w:tcPr>
          <w:p w14:paraId="661F0B7B">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小（2）型</w:t>
            </w:r>
          </w:p>
        </w:tc>
        <w:tc>
          <w:tcPr>
            <w:tcW w:w="3375" w:type="dxa"/>
            <w:noWrap w:val="0"/>
            <w:vAlign w:val="center"/>
          </w:tcPr>
          <w:p w14:paraId="5D406D96">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金华市婺城区长山乡人民政府</w:t>
            </w:r>
          </w:p>
        </w:tc>
        <w:tc>
          <w:tcPr>
            <w:tcW w:w="1626" w:type="dxa"/>
            <w:noWrap w:val="0"/>
            <w:vAlign w:val="center"/>
          </w:tcPr>
          <w:p w14:paraId="294EF1AC">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否</w:t>
            </w:r>
          </w:p>
        </w:tc>
      </w:tr>
      <w:tr w14:paraId="5720BB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580" w:type="dxa"/>
            <w:noWrap w:val="0"/>
            <w:vAlign w:val="center"/>
          </w:tcPr>
          <w:p w14:paraId="560F4698">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lang w:eastAsia="zh-CN"/>
              </w:rPr>
            </w:pPr>
            <w:r>
              <w:rPr>
                <w:rFonts w:hint="eastAsia" w:ascii="宋体" w:hAnsi="宋体" w:eastAsia="宋体" w:cs="宋体"/>
                <w:color w:val="auto"/>
                <w:sz w:val="21"/>
                <w:szCs w:val="21"/>
                <w:highlight w:val="none"/>
                <w:shd w:val="clear" w:color="auto" w:fill="FFFFFF"/>
              </w:rPr>
              <w:t>2</w:t>
            </w:r>
            <w:r>
              <w:rPr>
                <w:rFonts w:hint="eastAsia" w:ascii="宋体" w:hAnsi="宋体" w:eastAsia="宋体" w:cs="宋体"/>
                <w:color w:val="auto"/>
                <w:sz w:val="21"/>
                <w:szCs w:val="21"/>
                <w:highlight w:val="none"/>
                <w:shd w:val="clear" w:color="auto" w:fill="FFFFFF"/>
                <w:lang w:val="en-US" w:eastAsia="zh-CN"/>
              </w:rPr>
              <w:t>1</w:t>
            </w:r>
          </w:p>
        </w:tc>
        <w:tc>
          <w:tcPr>
            <w:tcW w:w="1514" w:type="dxa"/>
            <w:noWrap w:val="0"/>
            <w:vAlign w:val="center"/>
          </w:tcPr>
          <w:p w14:paraId="38D5B696">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古塘水库</w:t>
            </w:r>
          </w:p>
        </w:tc>
        <w:tc>
          <w:tcPr>
            <w:tcW w:w="2024" w:type="dxa"/>
            <w:noWrap w:val="0"/>
            <w:vAlign w:val="center"/>
          </w:tcPr>
          <w:p w14:paraId="7E6BFBFB">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长山</w:t>
            </w:r>
          </w:p>
        </w:tc>
        <w:tc>
          <w:tcPr>
            <w:tcW w:w="1212" w:type="dxa"/>
            <w:noWrap w:val="0"/>
            <w:vAlign w:val="center"/>
          </w:tcPr>
          <w:p w14:paraId="49F939E8">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小（2）型</w:t>
            </w:r>
          </w:p>
        </w:tc>
        <w:tc>
          <w:tcPr>
            <w:tcW w:w="3375" w:type="dxa"/>
            <w:noWrap w:val="0"/>
            <w:vAlign w:val="center"/>
          </w:tcPr>
          <w:p w14:paraId="305C1239">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金华市婺城区长山乡人民政府</w:t>
            </w:r>
          </w:p>
        </w:tc>
        <w:tc>
          <w:tcPr>
            <w:tcW w:w="1626" w:type="dxa"/>
            <w:noWrap w:val="0"/>
            <w:vAlign w:val="center"/>
          </w:tcPr>
          <w:p w14:paraId="61E7AC55">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否</w:t>
            </w:r>
          </w:p>
        </w:tc>
      </w:tr>
      <w:tr w14:paraId="52AE2A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580" w:type="dxa"/>
            <w:noWrap w:val="0"/>
            <w:vAlign w:val="center"/>
          </w:tcPr>
          <w:p w14:paraId="0B9FAC5A">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lang w:eastAsia="zh-CN"/>
              </w:rPr>
            </w:pPr>
            <w:r>
              <w:rPr>
                <w:rFonts w:hint="eastAsia" w:ascii="宋体" w:hAnsi="宋体" w:eastAsia="宋体" w:cs="宋体"/>
                <w:color w:val="auto"/>
                <w:sz w:val="21"/>
                <w:szCs w:val="21"/>
                <w:highlight w:val="none"/>
                <w:shd w:val="clear" w:color="auto" w:fill="FFFFFF"/>
              </w:rPr>
              <w:t>2</w:t>
            </w:r>
            <w:r>
              <w:rPr>
                <w:rFonts w:hint="eastAsia" w:ascii="宋体" w:hAnsi="宋体" w:eastAsia="宋体" w:cs="宋体"/>
                <w:color w:val="auto"/>
                <w:sz w:val="21"/>
                <w:szCs w:val="21"/>
                <w:highlight w:val="none"/>
                <w:shd w:val="clear" w:color="auto" w:fill="FFFFFF"/>
                <w:lang w:val="en-US" w:eastAsia="zh-CN"/>
              </w:rPr>
              <w:t>2</w:t>
            </w:r>
          </w:p>
        </w:tc>
        <w:tc>
          <w:tcPr>
            <w:tcW w:w="1514" w:type="dxa"/>
            <w:noWrap w:val="0"/>
            <w:vAlign w:val="center"/>
          </w:tcPr>
          <w:p w14:paraId="560AC29E">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锦元水库</w:t>
            </w:r>
          </w:p>
        </w:tc>
        <w:tc>
          <w:tcPr>
            <w:tcW w:w="2024" w:type="dxa"/>
            <w:noWrap w:val="0"/>
            <w:vAlign w:val="center"/>
          </w:tcPr>
          <w:p w14:paraId="5AFF52D2">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长山</w:t>
            </w:r>
          </w:p>
        </w:tc>
        <w:tc>
          <w:tcPr>
            <w:tcW w:w="1212" w:type="dxa"/>
            <w:noWrap w:val="0"/>
            <w:vAlign w:val="center"/>
          </w:tcPr>
          <w:p w14:paraId="20D0F291">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小（2）型</w:t>
            </w:r>
          </w:p>
        </w:tc>
        <w:tc>
          <w:tcPr>
            <w:tcW w:w="3375" w:type="dxa"/>
            <w:noWrap w:val="0"/>
            <w:vAlign w:val="center"/>
          </w:tcPr>
          <w:p w14:paraId="72086179">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金华市婺城区长山乡人民政府</w:t>
            </w:r>
          </w:p>
        </w:tc>
        <w:tc>
          <w:tcPr>
            <w:tcW w:w="1626" w:type="dxa"/>
            <w:noWrap w:val="0"/>
            <w:vAlign w:val="center"/>
          </w:tcPr>
          <w:p w14:paraId="0ADFA87E">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是</w:t>
            </w:r>
          </w:p>
        </w:tc>
      </w:tr>
      <w:tr w14:paraId="0C4168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580" w:type="dxa"/>
            <w:noWrap w:val="0"/>
            <w:vAlign w:val="center"/>
          </w:tcPr>
          <w:p w14:paraId="4F554E26">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lang w:val="en-US" w:eastAsia="zh-CN"/>
              </w:rPr>
            </w:pPr>
            <w:r>
              <w:rPr>
                <w:rFonts w:hint="eastAsia" w:ascii="宋体" w:hAnsi="宋体" w:eastAsia="宋体" w:cs="宋体"/>
                <w:color w:val="auto"/>
                <w:sz w:val="21"/>
                <w:szCs w:val="21"/>
                <w:highlight w:val="none"/>
                <w:shd w:val="clear" w:color="auto" w:fill="FFFFFF"/>
                <w:lang w:val="en-US" w:eastAsia="zh-CN"/>
              </w:rPr>
              <w:t>23</w:t>
            </w:r>
          </w:p>
        </w:tc>
        <w:tc>
          <w:tcPr>
            <w:tcW w:w="1514" w:type="dxa"/>
            <w:noWrap w:val="0"/>
            <w:vAlign w:val="center"/>
          </w:tcPr>
          <w:p w14:paraId="41B7AECD">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朱里水库</w:t>
            </w:r>
          </w:p>
        </w:tc>
        <w:tc>
          <w:tcPr>
            <w:tcW w:w="2024" w:type="dxa"/>
            <w:noWrap w:val="0"/>
            <w:vAlign w:val="center"/>
          </w:tcPr>
          <w:p w14:paraId="6806EC4D">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长山</w:t>
            </w:r>
          </w:p>
        </w:tc>
        <w:tc>
          <w:tcPr>
            <w:tcW w:w="1212" w:type="dxa"/>
            <w:noWrap w:val="0"/>
            <w:vAlign w:val="center"/>
          </w:tcPr>
          <w:p w14:paraId="33760445">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小（2）型</w:t>
            </w:r>
          </w:p>
        </w:tc>
        <w:tc>
          <w:tcPr>
            <w:tcW w:w="3375" w:type="dxa"/>
            <w:noWrap w:val="0"/>
            <w:vAlign w:val="center"/>
          </w:tcPr>
          <w:p w14:paraId="3C626787">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金华市婺城区长山乡人民政府</w:t>
            </w:r>
          </w:p>
        </w:tc>
        <w:tc>
          <w:tcPr>
            <w:tcW w:w="1626" w:type="dxa"/>
            <w:noWrap w:val="0"/>
            <w:vAlign w:val="center"/>
          </w:tcPr>
          <w:p w14:paraId="6B64210A">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是</w:t>
            </w:r>
          </w:p>
        </w:tc>
      </w:tr>
      <w:tr w14:paraId="37B4E6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580" w:type="dxa"/>
            <w:noWrap w:val="0"/>
            <w:vAlign w:val="center"/>
          </w:tcPr>
          <w:p w14:paraId="2DA8EE86">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lang w:val="en-US" w:eastAsia="zh-CN"/>
              </w:rPr>
            </w:pPr>
            <w:r>
              <w:rPr>
                <w:rFonts w:hint="eastAsia" w:ascii="宋体" w:hAnsi="宋体" w:eastAsia="宋体" w:cs="宋体"/>
                <w:color w:val="auto"/>
                <w:sz w:val="21"/>
                <w:szCs w:val="21"/>
                <w:highlight w:val="none"/>
                <w:shd w:val="clear" w:color="auto" w:fill="FFFFFF"/>
                <w:lang w:val="en-US" w:eastAsia="zh-CN"/>
              </w:rPr>
              <w:t>24</w:t>
            </w:r>
          </w:p>
        </w:tc>
        <w:tc>
          <w:tcPr>
            <w:tcW w:w="1514" w:type="dxa"/>
            <w:noWrap w:val="0"/>
            <w:vAlign w:val="center"/>
          </w:tcPr>
          <w:p w14:paraId="0A600C8D">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朱山水库</w:t>
            </w:r>
          </w:p>
        </w:tc>
        <w:tc>
          <w:tcPr>
            <w:tcW w:w="2024" w:type="dxa"/>
            <w:noWrap w:val="0"/>
            <w:vAlign w:val="center"/>
          </w:tcPr>
          <w:p w14:paraId="09AAD791">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长山</w:t>
            </w:r>
          </w:p>
        </w:tc>
        <w:tc>
          <w:tcPr>
            <w:tcW w:w="1212" w:type="dxa"/>
            <w:noWrap w:val="0"/>
            <w:vAlign w:val="center"/>
          </w:tcPr>
          <w:p w14:paraId="27D3F828">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小（2）型</w:t>
            </w:r>
          </w:p>
        </w:tc>
        <w:tc>
          <w:tcPr>
            <w:tcW w:w="3375" w:type="dxa"/>
            <w:noWrap w:val="0"/>
            <w:vAlign w:val="center"/>
          </w:tcPr>
          <w:p w14:paraId="0A675967">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金华市婺城区长山乡人民政府</w:t>
            </w:r>
          </w:p>
        </w:tc>
        <w:tc>
          <w:tcPr>
            <w:tcW w:w="1626" w:type="dxa"/>
            <w:noWrap w:val="0"/>
            <w:vAlign w:val="center"/>
          </w:tcPr>
          <w:p w14:paraId="79533BD4">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否</w:t>
            </w:r>
          </w:p>
        </w:tc>
      </w:tr>
      <w:tr w14:paraId="19FA39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580" w:type="dxa"/>
            <w:noWrap w:val="0"/>
            <w:vAlign w:val="center"/>
          </w:tcPr>
          <w:p w14:paraId="40DFFEBB">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lang w:val="en-US" w:eastAsia="zh-CN"/>
              </w:rPr>
            </w:pPr>
            <w:r>
              <w:rPr>
                <w:rFonts w:hint="eastAsia" w:ascii="宋体" w:hAnsi="宋体" w:eastAsia="宋体" w:cs="宋体"/>
                <w:color w:val="auto"/>
                <w:sz w:val="21"/>
                <w:szCs w:val="21"/>
                <w:highlight w:val="none"/>
                <w:shd w:val="clear" w:color="auto" w:fill="FFFFFF"/>
                <w:lang w:val="en-US" w:eastAsia="zh-CN"/>
              </w:rPr>
              <w:t>25</w:t>
            </w:r>
          </w:p>
        </w:tc>
        <w:tc>
          <w:tcPr>
            <w:tcW w:w="1514" w:type="dxa"/>
            <w:noWrap w:val="0"/>
            <w:vAlign w:val="center"/>
          </w:tcPr>
          <w:p w14:paraId="6581FF56">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新塘水库</w:t>
            </w:r>
          </w:p>
        </w:tc>
        <w:tc>
          <w:tcPr>
            <w:tcW w:w="2024" w:type="dxa"/>
            <w:noWrap w:val="0"/>
            <w:vAlign w:val="center"/>
          </w:tcPr>
          <w:p w14:paraId="6BB24BE6">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长山</w:t>
            </w:r>
          </w:p>
        </w:tc>
        <w:tc>
          <w:tcPr>
            <w:tcW w:w="1212" w:type="dxa"/>
            <w:noWrap w:val="0"/>
            <w:vAlign w:val="center"/>
          </w:tcPr>
          <w:p w14:paraId="561C5002">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小（2）型</w:t>
            </w:r>
          </w:p>
        </w:tc>
        <w:tc>
          <w:tcPr>
            <w:tcW w:w="3375" w:type="dxa"/>
            <w:noWrap w:val="0"/>
            <w:vAlign w:val="center"/>
          </w:tcPr>
          <w:p w14:paraId="791A7F64">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金华市婺城区长山乡人民政府</w:t>
            </w:r>
          </w:p>
        </w:tc>
        <w:tc>
          <w:tcPr>
            <w:tcW w:w="1626" w:type="dxa"/>
            <w:noWrap w:val="0"/>
            <w:vAlign w:val="center"/>
          </w:tcPr>
          <w:p w14:paraId="02D66894">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否</w:t>
            </w:r>
          </w:p>
        </w:tc>
      </w:tr>
      <w:tr w14:paraId="06D86A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580" w:type="dxa"/>
            <w:noWrap w:val="0"/>
            <w:vAlign w:val="center"/>
          </w:tcPr>
          <w:p w14:paraId="58A5F9B7">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lang w:val="en-US" w:eastAsia="zh-CN"/>
              </w:rPr>
            </w:pPr>
            <w:r>
              <w:rPr>
                <w:rFonts w:hint="eastAsia" w:ascii="宋体" w:hAnsi="宋体" w:eastAsia="宋体" w:cs="宋体"/>
                <w:color w:val="auto"/>
                <w:sz w:val="21"/>
                <w:szCs w:val="21"/>
                <w:highlight w:val="none"/>
                <w:shd w:val="clear" w:color="auto" w:fill="FFFFFF"/>
                <w:lang w:val="en-US" w:eastAsia="zh-CN"/>
              </w:rPr>
              <w:t>26</w:t>
            </w:r>
          </w:p>
        </w:tc>
        <w:tc>
          <w:tcPr>
            <w:tcW w:w="1514" w:type="dxa"/>
            <w:noWrap w:val="0"/>
            <w:vAlign w:val="center"/>
          </w:tcPr>
          <w:p w14:paraId="3B27DA27">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万千塘水库</w:t>
            </w:r>
          </w:p>
        </w:tc>
        <w:tc>
          <w:tcPr>
            <w:tcW w:w="2024" w:type="dxa"/>
            <w:noWrap w:val="0"/>
            <w:vAlign w:val="center"/>
          </w:tcPr>
          <w:p w14:paraId="01A1C8E3">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长山</w:t>
            </w:r>
          </w:p>
        </w:tc>
        <w:tc>
          <w:tcPr>
            <w:tcW w:w="1212" w:type="dxa"/>
            <w:noWrap w:val="0"/>
            <w:vAlign w:val="center"/>
          </w:tcPr>
          <w:p w14:paraId="62A203DE">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小（2）型</w:t>
            </w:r>
          </w:p>
        </w:tc>
        <w:tc>
          <w:tcPr>
            <w:tcW w:w="3375" w:type="dxa"/>
            <w:noWrap w:val="0"/>
            <w:vAlign w:val="center"/>
          </w:tcPr>
          <w:p w14:paraId="098D6B5B">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金华市婺城区长山乡人民政府</w:t>
            </w:r>
          </w:p>
        </w:tc>
        <w:tc>
          <w:tcPr>
            <w:tcW w:w="1626" w:type="dxa"/>
            <w:noWrap w:val="0"/>
            <w:vAlign w:val="center"/>
          </w:tcPr>
          <w:p w14:paraId="31ECEF11">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否</w:t>
            </w:r>
          </w:p>
        </w:tc>
      </w:tr>
      <w:tr w14:paraId="2D6048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580" w:type="dxa"/>
            <w:noWrap w:val="0"/>
            <w:vAlign w:val="center"/>
          </w:tcPr>
          <w:p w14:paraId="3D6D07CC">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lang w:val="en-US" w:eastAsia="zh-CN"/>
              </w:rPr>
            </w:pPr>
            <w:r>
              <w:rPr>
                <w:rFonts w:hint="eastAsia" w:ascii="宋体" w:hAnsi="宋体" w:eastAsia="宋体" w:cs="宋体"/>
                <w:color w:val="auto"/>
                <w:sz w:val="21"/>
                <w:szCs w:val="21"/>
                <w:highlight w:val="none"/>
                <w:shd w:val="clear" w:color="auto" w:fill="FFFFFF"/>
                <w:lang w:val="en-US" w:eastAsia="zh-CN"/>
              </w:rPr>
              <w:t>27</w:t>
            </w:r>
          </w:p>
        </w:tc>
        <w:tc>
          <w:tcPr>
            <w:tcW w:w="1514" w:type="dxa"/>
            <w:noWrap w:val="0"/>
            <w:vAlign w:val="center"/>
          </w:tcPr>
          <w:p w14:paraId="53D8A66E">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里边塘水库</w:t>
            </w:r>
          </w:p>
        </w:tc>
        <w:tc>
          <w:tcPr>
            <w:tcW w:w="2024" w:type="dxa"/>
            <w:noWrap w:val="0"/>
            <w:vAlign w:val="center"/>
          </w:tcPr>
          <w:p w14:paraId="26C3B73F">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长山</w:t>
            </w:r>
          </w:p>
        </w:tc>
        <w:tc>
          <w:tcPr>
            <w:tcW w:w="1212" w:type="dxa"/>
            <w:noWrap w:val="0"/>
            <w:vAlign w:val="center"/>
          </w:tcPr>
          <w:p w14:paraId="40DB3016">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小（2）型</w:t>
            </w:r>
          </w:p>
        </w:tc>
        <w:tc>
          <w:tcPr>
            <w:tcW w:w="3375" w:type="dxa"/>
            <w:noWrap w:val="0"/>
            <w:vAlign w:val="center"/>
          </w:tcPr>
          <w:p w14:paraId="22A08D6C">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金华市婺城区长山乡人民政府</w:t>
            </w:r>
          </w:p>
        </w:tc>
        <w:tc>
          <w:tcPr>
            <w:tcW w:w="1626" w:type="dxa"/>
            <w:noWrap w:val="0"/>
            <w:vAlign w:val="center"/>
          </w:tcPr>
          <w:p w14:paraId="2B33FBC3">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否</w:t>
            </w:r>
          </w:p>
        </w:tc>
      </w:tr>
      <w:tr w14:paraId="076375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580" w:type="dxa"/>
            <w:noWrap w:val="0"/>
            <w:vAlign w:val="center"/>
          </w:tcPr>
          <w:p w14:paraId="1C2F8496">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lang w:val="en-US" w:eastAsia="zh-CN"/>
              </w:rPr>
            </w:pPr>
            <w:r>
              <w:rPr>
                <w:rFonts w:hint="eastAsia" w:ascii="宋体" w:hAnsi="宋体" w:eastAsia="宋体" w:cs="宋体"/>
                <w:color w:val="auto"/>
                <w:sz w:val="21"/>
                <w:szCs w:val="21"/>
                <w:highlight w:val="none"/>
                <w:shd w:val="clear" w:color="auto" w:fill="FFFFFF"/>
                <w:lang w:val="en-US" w:eastAsia="zh-CN"/>
              </w:rPr>
              <w:t>28</w:t>
            </w:r>
          </w:p>
        </w:tc>
        <w:tc>
          <w:tcPr>
            <w:tcW w:w="1514" w:type="dxa"/>
            <w:noWrap w:val="0"/>
            <w:vAlign w:val="center"/>
          </w:tcPr>
          <w:p w14:paraId="77EC5DCA">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油塘水库</w:t>
            </w:r>
          </w:p>
        </w:tc>
        <w:tc>
          <w:tcPr>
            <w:tcW w:w="2024" w:type="dxa"/>
            <w:noWrap w:val="0"/>
            <w:vAlign w:val="center"/>
          </w:tcPr>
          <w:p w14:paraId="7D60068E">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长山</w:t>
            </w:r>
          </w:p>
        </w:tc>
        <w:tc>
          <w:tcPr>
            <w:tcW w:w="1212" w:type="dxa"/>
            <w:noWrap w:val="0"/>
            <w:vAlign w:val="center"/>
          </w:tcPr>
          <w:p w14:paraId="56137484">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小（2）型</w:t>
            </w:r>
          </w:p>
        </w:tc>
        <w:tc>
          <w:tcPr>
            <w:tcW w:w="3375" w:type="dxa"/>
            <w:noWrap w:val="0"/>
            <w:vAlign w:val="center"/>
          </w:tcPr>
          <w:p w14:paraId="202E4724">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金华市婺城区长山乡人民政府</w:t>
            </w:r>
          </w:p>
        </w:tc>
        <w:tc>
          <w:tcPr>
            <w:tcW w:w="1626" w:type="dxa"/>
            <w:noWrap w:val="0"/>
            <w:vAlign w:val="center"/>
          </w:tcPr>
          <w:p w14:paraId="49CF2DF6">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是</w:t>
            </w:r>
          </w:p>
        </w:tc>
      </w:tr>
      <w:tr w14:paraId="4735B7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580" w:type="dxa"/>
            <w:noWrap w:val="0"/>
            <w:vAlign w:val="center"/>
          </w:tcPr>
          <w:p w14:paraId="1FDB7935">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lang w:val="en-US" w:eastAsia="zh-CN"/>
              </w:rPr>
            </w:pPr>
            <w:r>
              <w:rPr>
                <w:rFonts w:hint="eastAsia" w:ascii="宋体" w:hAnsi="宋体" w:eastAsia="宋体" w:cs="宋体"/>
                <w:color w:val="auto"/>
                <w:sz w:val="21"/>
                <w:szCs w:val="21"/>
                <w:highlight w:val="none"/>
                <w:shd w:val="clear" w:color="auto" w:fill="FFFFFF"/>
                <w:lang w:val="en-US" w:eastAsia="zh-CN"/>
              </w:rPr>
              <w:t>29</w:t>
            </w:r>
          </w:p>
        </w:tc>
        <w:tc>
          <w:tcPr>
            <w:tcW w:w="1514" w:type="dxa"/>
            <w:noWrap w:val="0"/>
            <w:vAlign w:val="center"/>
          </w:tcPr>
          <w:p w14:paraId="21619D08">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荷花芯水库</w:t>
            </w:r>
          </w:p>
        </w:tc>
        <w:tc>
          <w:tcPr>
            <w:tcW w:w="2024" w:type="dxa"/>
            <w:noWrap w:val="0"/>
            <w:vAlign w:val="center"/>
          </w:tcPr>
          <w:p w14:paraId="238FD578">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长山</w:t>
            </w:r>
          </w:p>
        </w:tc>
        <w:tc>
          <w:tcPr>
            <w:tcW w:w="1212" w:type="dxa"/>
            <w:noWrap w:val="0"/>
            <w:vAlign w:val="center"/>
          </w:tcPr>
          <w:p w14:paraId="4FF85198">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小（2）型</w:t>
            </w:r>
          </w:p>
        </w:tc>
        <w:tc>
          <w:tcPr>
            <w:tcW w:w="3375" w:type="dxa"/>
            <w:noWrap w:val="0"/>
            <w:vAlign w:val="center"/>
          </w:tcPr>
          <w:p w14:paraId="305766DF">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金华市婺城区长山乡人民政府</w:t>
            </w:r>
          </w:p>
        </w:tc>
        <w:tc>
          <w:tcPr>
            <w:tcW w:w="1626" w:type="dxa"/>
            <w:noWrap w:val="0"/>
            <w:vAlign w:val="center"/>
          </w:tcPr>
          <w:p w14:paraId="2D541CE5">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是</w:t>
            </w:r>
          </w:p>
        </w:tc>
      </w:tr>
      <w:tr w14:paraId="64F76D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580" w:type="dxa"/>
            <w:noWrap w:val="0"/>
            <w:vAlign w:val="center"/>
          </w:tcPr>
          <w:p w14:paraId="7800570B">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lang w:val="en-US" w:eastAsia="zh-CN"/>
              </w:rPr>
            </w:pPr>
            <w:r>
              <w:rPr>
                <w:rFonts w:hint="eastAsia" w:ascii="宋体" w:hAnsi="宋体" w:eastAsia="宋体" w:cs="宋体"/>
                <w:color w:val="auto"/>
                <w:sz w:val="21"/>
                <w:szCs w:val="21"/>
                <w:highlight w:val="none"/>
                <w:shd w:val="clear" w:color="auto" w:fill="FFFFFF"/>
                <w:lang w:val="en-US" w:eastAsia="zh-CN"/>
              </w:rPr>
              <w:t>30</w:t>
            </w:r>
          </w:p>
        </w:tc>
        <w:tc>
          <w:tcPr>
            <w:tcW w:w="1514" w:type="dxa"/>
            <w:noWrap w:val="0"/>
            <w:vAlign w:val="center"/>
          </w:tcPr>
          <w:p w14:paraId="6057A684">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金大塘水库</w:t>
            </w:r>
          </w:p>
        </w:tc>
        <w:tc>
          <w:tcPr>
            <w:tcW w:w="2024" w:type="dxa"/>
            <w:noWrap w:val="0"/>
            <w:vAlign w:val="center"/>
          </w:tcPr>
          <w:p w14:paraId="2D589783">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长山</w:t>
            </w:r>
          </w:p>
        </w:tc>
        <w:tc>
          <w:tcPr>
            <w:tcW w:w="1212" w:type="dxa"/>
            <w:noWrap w:val="0"/>
            <w:vAlign w:val="center"/>
          </w:tcPr>
          <w:p w14:paraId="5B00C7EC">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小（2）型</w:t>
            </w:r>
          </w:p>
        </w:tc>
        <w:tc>
          <w:tcPr>
            <w:tcW w:w="3375" w:type="dxa"/>
            <w:noWrap w:val="0"/>
            <w:vAlign w:val="center"/>
          </w:tcPr>
          <w:p w14:paraId="0F35435B">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金华市婺城区长山乡人民政府</w:t>
            </w:r>
          </w:p>
        </w:tc>
        <w:tc>
          <w:tcPr>
            <w:tcW w:w="1626" w:type="dxa"/>
            <w:noWrap w:val="0"/>
            <w:vAlign w:val="center"/>
          </w:tcPr>
          <w:p w14:paraId="01A81933">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否</w:t>
            </w:r>
          </w:p>
        </w:tc>
      </w:tr>
      <w:tr w14:paraId="41C0ED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580" w:type="dxa"/>
            <w:noWrap w:val="0"/>
            <w:vAlign w:val="center"/>
          </w:tcPr>
          <w:p w14:paraId="659B2374">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lang w:val="en-US" w:eastAsia="zh-CN"/>
              </w:rPr>
            </w:pPr>
            <w:r>
              <w:rPr>
                <w:rFonts w:hint="eastAsia" w:ascii="宋体" w:hAnsi="宋体" w:eastAsia="宋体" w:cs="宋体"/>
                <w:color w:val="auto"/>
                <w:sz w:val="21"/>
                <w:szCs w:val="21"/>
                <w:highlight w:val="none"/>
                <w:shd w:val="clear" w:color="auto" w:fill="FFFFFF"/>
                <w:lang w:val="en-US" w:eastAsia="zh-CN"/>
              </w:rPr>
              <w:t>31</w:t>
            </w:r>
          </w:p>
        </w:tc>
        <w:tc>
          <w:tcPr>
            <w:tcW w:w="1514" w:type="dxa"/>
            <w:noWrap w:val="0"/>
            <w:vAlign w:val="center"/>
          </w:tcPr>
          <w:p w14:paraId="38DF5C74">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野鸭塘水库</w:t>
            </w:r>
          </w:p>
        </w:tc>
        <w:tc>
          <w:tcPr>
            <w:tcW w:w="2024" w:type="dxa"/>
            <w:noWrap w:val="0"/>
            <w:vAlign w:val="center"/>
          </w:tcPr>
          <w:p w14:paraId="56C14151">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白龙桥</w:t>
            </w:r>
          </w:p>
        </w:tc>
        <w:tc>
          <w:tcPr>
            <w:tcW w:w="1212" w:type="dxa"/>
            <w:noWrap w:val="0"/>
            <w:vAlign w:val="center"/>
          </w:tcPr>
          <w:p w14:paraId="593F8674">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小（2）型</w:t>
            </w:r>
          </w:p>
        </w:tc>
        <w:tc>
          <w:tcPr>
            <w:tcW w:w="3375" w:type="dxa"/>
            <w:noWrap w:val="0"/>
            <w:vAlign w:val="center"/>
          </w:tcPr>
          <w:p w14:paraId="51B08C05">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金华市婺城区白龙桥镇人民政府</w:t>
            </w:r>
          </w:p>
        </w:tc>
        <w:tc>
          <w:tcPr>
            <w:tcW w:w="1626" w:type="dxa"/>
            <w:noWrap w:val="0"/>
            <w:vAlign w:val="center"/>
          </w:tcPr>
          <w:p w14:paraId="6946072F">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否</w:t>
            </w:r>
          </w:p>
        </w:tc>
      </w:tr>
      <w:tr w14:paraId="34C3AD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580" w:type="dxa"/>
            <w:noWrap w:val="0"/>
            <w:vAlign w:val="center"/>
          </w:tcPr>
          <w:p w14:paraId="7D4BFF83">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lang w:val="en-US" w:eastAsia="zh-CN"/>
              </w:rPr>
            </w:pPr>
            <w:r>
              <w:rPr>
                <w:rFonts w:hint="eastAsia" w:ascii="宋体" w:hAnsi="宋体" w:eastAsia="宋体" w:cs="宋体"/>
                <w:color w:val="auto"/>
                <w:sz w:val="21"/>
                <w:szCs w:val="21"/>
                <w:highlight w:val="none"/>
                <w:shd w:val="clear" w:color="auto" w:fill="FFFFFF"/>
                <w:lang w:val="en-US" w:eastAsia="zh-CN"/>
              </w:rPr>
              <w:t>32</w:t>
            </w:r>
          </w:p>
        </w:tc>
        <w:tc>
          <w:tcPr>
            <w:tcW w:w="1514" w:type="dxa"/>
            <w:noWrap w:val="0"/>
            <w:vAlign w:val="center"/>
          </w:tcPr>
          <w:p w14:paraId="25C96AE1">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东山塘水库</w:t>
            </w:r>
          </w:p>
        </w:tc>
        <w:tc>
          <w:tcPr>
            <w:tcW w:w="2024" w:type="dxa"/>
            <w:noWrap w:val="0"/>
            <w:vAlign w:val="center"/>
          </w:tcPr>
          <w:p w14:paraId="10969B09">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白龙桥</w:t>
            </w:r>
          </w:p>
        </w:tc>
        <w:tc>
          <w:tcPr>
            <w:tcW w:w="1212" w:type="dxa"/>
            <w:noWrap w:val="0"/>
            <w:vAlign w:val="center"/>
          </w:tcPr>
          <w:p w14:paraId="7281DEB0">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小（2）型</w:t>
            </w:r>
          </w:p>
        </w:tc>
        <w:tc>
          <w:tcPr>
            <w:tcW w:w="3375" w:type="dxa"/>
            <w:noWrap w:val="0"/>
            <w:vAlign w:val="center"/>
          </w:tcPr>
          <w:p w14:paraId="6A1D84DF">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郭力垅水库管理中心</w:t>
            </w:r>
          </w:p>
        </w:tc>
        <w:tc>
          <w:tcPr>
            <w:tcW w:w="1626" w:type="dxa"/>
            <w:noWrap w:val="0"/>
            <w:vAlign w:val="center"/>
          </w:tcPr>
          <w:p w14:paraId="71C78567">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否</w:t>
            </w:r>
          </w:p>
        </w:tc>
      </w:tr>
      <w:tr w14:paraId="7F4742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580" w:type="dxa"/>
            <w:noWrap w:val="0"/>
            <w:vAlign w:val="center"/>
          </w:tcPr>
          <w:p w14:paraId="25EBEC3A">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lang w:val="en-US" w:eastAsia="zh-CN"/>
              </w:rPr>
            </w:pPr>
            <w:r>
              <w:rPr>
                <w:rFonts w:hint="eastAsia" w:ascii="宋体" w:hAnsi="宋体" w:eastAsia="宋体" w:cs="宋体"/>
                <w:color w:val="auto"/>
                <w:sz w:val="21"/>
                <w:szCs w:val="21"/>
                <w:highlight w:val="none"/>
                <w:shd w:val="clear" w:color="auto" w:fill="FFFFFF"/>
                <w:lang w:val="en-US" w:eastAsia="zh-CN"/>
              </w:rPr>
              <w:t>33</w:t>
            </w:r>
          </w:p>
        </w:tc>
        <w:tc>
          <w:tcPr>
            <w:tcW w:w="1514" w:type="dxa"/>
            <w:noWrap w:val="0"/>
            <w:vAlign w:val="center"/>
          </w:tcPr>
          <w:p w14:paraId="34E01257">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莲塘水库</w:t>
            </w:r>
          </w:p>
        </w:tc>
        <w:tc>
          <w:tcPr>
            <w:tcW w:w="2024" w:type="dxa"/>
            <w:noWrap w:val="0"/>
            <w:vAlign w:val="center"/>
          </w:tcPr>
          <w:p w14:paraId="009D87BE">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白龙桥</w:t>
            </w:r>
          </w:p>
        </w:tc>
        <w:tc>
          <w:tcPr>
            <w:tcW w:w="1212" w:type="dxa"/>
            <w:noWrap w:val="0"/>
            <w:vAlign w:val="center"/>
          </w:tcPr>
          <w:p w14:paraId="6EAFDB25">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小（2）型</w:t>
            </w:r>
          </w:p>
        </w:tc>
        <w:tc>
          <w:tcPr>
            <w:tcW w:w="3375" w:type="dxa"/>
            <w:noWrap w:val="0"/>
            <w:vAlign w:val="center"/>
          </w:tcPr>
          <w:p w14:paraId="3E600023">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金华市婺城区白龙桥镇人民政府</w:t>
            </w:r>
          </w:p>
        </w:tc>
        <w:tc>
          <w:tcPr>
            <w:tcW w:w="1626" w:type="dxa"/>
            <w:noWrap w:val="0"/>
            <w:vAlign w:val="center"/>
          </w:tcPr>
          <w:p w14:paraId="66E863ED">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否</w:t>
            </w:r>
          </w:p>
        </w:tc>
      </w:tr>
      <w:tr w14:paraId="0BB3B8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580" w:type="dxa"/>
            <w:noWrap w:val="0"/>
            <w:vAlign w:val="center"/>
          </w:tcPr>
          <w:p w14:paraId="1D204EB0">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lang w:val="en-US" w:eastAsia="zh-CN"/>
              </w:rPr>
            </w:pPr>
            <w:r>
              <w:rPr>
                <w:rFonts w:hint="eastAsia" w:ascii="宋体" w:hAnsi="宋体" w:eastAsia="宋体" w:cs="宋体"/>
                <w:color w:val="auto"/>
                <w:sz w:val="21"/>
                <w:szCs w:val="21"/>
                <w:highlight w:val="none"/>
                <w:shd w:val="clear" w:color="auto" w:fill="FFFFFF"/>
                <w:lang w:val="en-US" w:eastAsia="zh-CN"/>
              </w:rPr>
              <w:t>34</w:t>
            </w:r>
          </w:p>
        </w:tc>
        <w:tc>
          <w:tcPr>
            <w:tcW w:w="1514" w:type="dxa"/>
            <w:noWrap w:val="0"/>
            <w:vAlign w:val="center"/>
          </w:tcPr>
          <w:p w14:paraId="56CC138C">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西叶坞水库</w:t>
            </w:r>
          </w:p>
        </w:tc>
        <w:tc>
          <w:tcPr>
            <w:tcW w:w="2024" w:type="dxa"/>
            <w:noWrap w:val="0"/>
            <w:vAlign w:val="center"/>
          </w:tcPr>
          <w:p w14:paraId="36561718">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琅琊</w:t>
            </w:r>
          </w:p>
        </w:tc>
        <w:tc>
          <w:tcPr>
            <w:tcW w:w="1212" w:type="dxa"/>
            <w:noWrap w:val="0"/>
            <w:vAlign w:val="center"/>
          </w:tcPr>
          <w:p w14:paraId="11A85A4E">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小（2）型</w:t>
            </w:r>
          </w:p>
        </w:tc>
        <w:tc>
          <w:tcPr>
            <w:tcW w:w="3375" w:type="dxa"/>
            <w:noWrap w:val="0"/>
            <w:vAlign w:val="center"/>
          </w:tcPr>
          <w:p w14:paraId="0724DA5B">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金华市婺城区琅琊镇人民政府</w:t>
            </w:r>
          </w:p>
        </w:tc>
        <w:tc>
          <w:tcPr>
            <w:tcW w:w="1626" w:type="dxa"/>
            <w:noWrap w:val="0"/>
            <w:vAlign w:val="center"/>
          </w:tcPr>
          <w:p w14:paraId="5CCCDC7D">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是</w:t>
            </w:r>
          </w:p>
        </w:tc>
      </w:tr>
      <w:tr w14:paraId="2EC91B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580" w:type="dxa"/>
            <w:noWrap w:val="0"/>
            <w:vAlign w:val="center"/>
          </w:tcPr>
          <w:p w14:paraId="6E162F63">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lang w:val="en-US" w:eastAsia="zh-CN"/>
              </w:rPr>
            </w:pPr>
            <w:r>
              <w:rPr>
                <w:rFonts w:hint="eastAsia" w:ascii="宋体" w:hAnsi="宋体" w:eastAsia="宋体" w:cs="宋体"/>
                <w:color w:val="auto"/>
                <w:sz w:val="21"/>
                <w:szCs w:val="21"/>
                <w:highlight w:val="none"/>
                <w:shd w:val="clear" w:color="auto" w:fill="FFFFFF"/>
                <w:lang w:val="en-US" w:eastAsia="zh-CN"/>
              </w:rPr>
              <w:t>35</w:t>
            </w:r>
          </w:p>
        </w:tc>
        <w:tc>
          <w:tcPr>
            <w:tcW w:w="1514" w:type="dxa"/>
            <w:noWrap w:val="0"/>
            <w:vAlign w:val="center"/>
          </w:tcPr>
          <w:p w14:paraId="53D6B159">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黄波兰水库</w:t>
            </w:r>
          </w:p>
        </w:tc>
        <w:tc>
          <w:tcPr>
            <w:tcW w:w="2024" w:type="dxa"/>
            <w:noWrap w:val="0"/>
            <w:vAlign w:val="center"/>
          </w:tcPr>
          <w:p w14:paraId="460FAA1E">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琅琊</w:t>
            </w:r>
          </w:p>
        </w:tc>
        <w:tc>
          <w:tcPr>
            <w:tcW w:w="1212" w:type="dxa"/>
            <w:noWrap w:val="0"/>
            <w:vAlign w:val="center"/>
          </w:tcPr>
          <w:p w14:paraId="1D80B872">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小（2）型</w:t>
            </w:r>
          </w:p>
        </w:tc>
        <w:tc>
          <w:tcPr>
            <w:tcW w:w="3375" w:type="dxa"/>
            <w:noWrap w:val="0"/>
            <w:vAlign w:val="center"/>
          </w:tcPr>
          <w:p w14:paraId="0A9574B2">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金华市婺城区琅琊镇人民政府</w:t>
            </w:r>
          </w:p>
        </w:tc>
        <w:tc>
          <w:tcPr>
            <w:tcW w:w="1626" w:type="dxa"/>
            <w:noWrap w:val="0"/>
            <w:vAlign w:val="center"/>
          </w:tcPr>
          <w:p w14:paraId="1CA3E768">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否</w:t>
            </w:r>
          </w:p>
        </w:tc>
      </w:tr>
      <w:tr w14:paraId="3673B4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580" w:type="dxa"/>
            <w:noWrap w:val="0"/>
            <w:vAlign w:val="center"/>
          </w:tcPr>
          <w:p w14:paraId="5EE4393B">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lang w:val="en-US" w:eastAsia="zh-CN"/>
              </w:rPr>
            </w:pPr>
            <w:r>
              <w:rPr>
                <w:rFonts w:hint="eastAsia" w:ascii="宋体" w:hAnsi="宋体" w:eastAsia="宋体" w:cs="宋体"/>
                <w:color w:val="auto"/>
                <w:sz w:val="21"/>
                <w:szCs w:val="21"/>
                <w:highlight w:val="none"/>
                <w:shd w:val="clear" w:color="auto" w:fill="FFFFFF"/>
                <w:lang w:val="en-US" w:eastAsia="zh-CN"/>
              </w:rPr>
              <w:t>36</w:t>
            </w:r>
          </w:p>
        </w:tc>
        <w:tc>
          <w:tcPr>
            <w:tcW w:w="1514" w:type="dxa"/>
            <w:noWrap w:val="0"/>
            <w:vAlign w:val="center"/>
          </w:tcPr>
          <w:p w14:paraId="35926A00">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庙湾水库</w:t>
            </w:r>
          </w:p>
        </w:tc>
        <w:tc>
          <w:tcPr>
            <w:tcW w:w="2024" w:type="dxa"/>
            <w:noWrap w:val="0"/>
            <w:vAlign w:val="center"/>
          </w:tcPr>
          <w:p w14:paraId="1B162EDA">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琅琊</w:t>
            </w:r>
          </w:p>
        </w:tc>
        <w:tc>
          <w:tcPr>
            <w:tcW w:w="1212" w:type="dxa"/>
            <w:noWrap w:val="0"/>
            <w:vAlign w:val="center"/>
          </w:tcPr>
          <w:p w14:paraId="695B6C6F">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小（2）型</w:t>
            </w:r>
          </w:p>
        </w:tc>
        <w:tc>
          <w:tcPr>
            <w:tcW w:w="3375" w:type="dxa"/>
            <w:noWrap w:val="0"/>
            <w:vAlign w:val="center"/>
          </w:tcPr>
          <w:p w14:paraId="5D2F6165">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金华市婺城区琅琊镇人民政府</w:t>
            </w:r>
          </w:p>
        </w:tc>
        <w:tc>
          <w:tcPr>
            <w:tcW w:w="1626" w:type="dxa"/>
            <w:noWrap w:val="0"/>
            <w:vAlign w:val="center"/>
          </w:tcPr>
          <w:p w14:paraId="0089CBBF">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否</w:t>
            </w:r>
          </w:p>
        </w:tc>
      </w:tr>
      <w:tr w14:paraId="50A58B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580" w:type="dxa"/>
            <w:noWrap w:val="0"/>
            <w:vAlign w:val="center"/>
          </w:tcPr>
          <w:p w14:paraId="057F3398">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lang w:val="en-US" w:eastAsia="zh-CN"/>
              </w:rPr>
              <w:t>3</w:t>
            </w:r>
            <w:r>
              <w:rPr>
                <w:rFonts w:hint="eastAsia" w:ascii="宋体" w:hAnsi="宋体" w:eastAsia="宋体" w:cs="宋体"/>
                <w:color w:val="auto"/>
                <w:sz w:val="21"/>
                <w:szCs w:val="21"/>
                <w:highlight w:val="none"/>
                <w:shd w:val="clear" w:color="auto" w:fill="FFFFFF"/>
              </w:rPr>
              <w:t>7</w:t>
            </w:r>
          </w:p>
        </w:tc>
        <w:tc>
          <w:tcPr>
            <w:tcW w:w="1514" w:type="dxa"/>
            <w:noWrap w:val="0"/>
            <w:vAlign w:val="center"/>
          </w:tcPr>
          <w:p w14:paraId="2435A4FB">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老虎头水库</w:t>
            </w:r>
          </w:p>
        </w:tc>
        <w:tc>
          <w:tcPr>
            <w:tcW w:w="2024" w:type="dxa"/>
            <w:noWrap w:val="0"/>
            <w:vAlign w:val="center"/>
          </w:tcPr>
          <w:p w14:paraId="1E34D32B">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琅琊</w:t>
            </w:r>
          </w:p>
        </w:tc>
        <w:tc>
          <w:tcPr>
            <w:tcW w:w="1212" w:type="dxa"/>
            <w:noWrap w:val="0"/>
            <w:vAlign w:val="center"/>
          </w:tcPr>
          <w:p w14:paraId="7AED9378">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小（2）型</w:t>
            </w:r>
          </w:p>
        </w:tc>
        <w:tc>
          <w:tcPr>
            <w:tcW w:w="3375" w:type="dxa"/>
            <w:noWrap w:val="0"/>
            <w:vAlign w:val="center"/>
          </w:tcPr>
          <w:p w14:paraId="1314205A">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金华市婺城区琅琊镇人民政府</w:t>
            </w:r>
          </w:p>
        </w:tc>
        <w:tc>
          <w:tcPr>
            <w:tcW w:w="1626" w:type="dxa"/>
            <w:noWrap w:val="0"/>
            <w:vAlign w:val="center"/>
          </w:tcPr>
          <w:p w14:paraId="34B8BE52">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是</w:t>
            </w:r>
          </w:p>
        </w:tc>
      </w:tr>
      <w:tr w14:paraId="075812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580" w:type="dxa"/>
            <w:noWrap w:val="0"/>
            <w:vAlign w:val="center"/>
          </w:tcPr>
          <w:p w14:paraId="1E3BA8FE">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lang w:val="en-US" w:eastAsia="zh-CN"/>
              </w:rPr>
              <w:t>3</w:t>
            </w:r>
            <w:r>
              <w:rPr>
                <w:rFonts w:hint="eastAsia" w:ascii="宋体" w:hAnsi="宋体" w:eastAsia="宋体" w:cs="宋体"/>
                <w:color w:val="auto"/>
                <w:sz w:val="21"/>
                <w:szCs w:val="21"/>
                <w:highlight w:val="none"/>
                <w:shd w:val="clear" w:color="auto" w:fill="FFFFFF"/>
              </w:rPr>
              <w:t>8</w:t>
            </w:r>
          </w:p>
        </w:tc>
        <w:tc>
          <w:tcPr>
            <w:tcW w:w="1514" w:type="dxa"/>
            <w:noWrap w:val="0"/>
            <w:vAlign w:val="center"/>
          </w:tcPr>
          <w:p w14:paraId="4B0549A7">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三樟垅水库</w:t>
            </w:r>
          </w:p>
        </w:tc>
        <w:tc>
          <w:tcPr>
            <w:tcW w:w="2024" w:type="dxa"/>
            <w:noWrap w:val="0"/>
            <w:vAlign w:val="center"/>
          </w:tcPr>
          <w:p w14:paraId="482E5534">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蒋堂</w:t>
            </w:r>
          </w:p>
        </w:tc>
        <w:tc>
          <w:tcPr>
            <w:tcW w:w="1212" w:type="dxa"/>
            <w:noWrap w:val="0"/>
            <w:vAlign w:val="center"/>
          </w:tcPr>
          <w:p w14:paraId="3875F9FC">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小（2）型</w:t>
            </w:r>
          </w:p>
        </w:tc>
        <w:tc>
          <w:tcPr>
            <w:tcW w:w="3375" w:type="dxa"/>
            <w:noWrap w:val="0"/>
            <w:vAlign w:val="center"/>
          </w:tcPr>
          <w:p w14:paraId="4F8B2022">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金华市婺城区蒋堂镇人民政府</w:t>
            </w:r>
          </w:p>
        </w:tc>
        <w:tc>
          <w:tcPr>
            <w:tcW w:w="1626" w:type="dxa"/>
            <w:noWrap w:val="0"/>
            <w:vAlign w:val="center"/>
          </w:tcPr>
          <w:p w14:paraId="2E60A38A">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否</w:t>
            </w:r>
          </w:p>
        </w:tc>
      </w:tr>
      <w:tr w14:paraId="4B3399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580" w:type="dxa"/>
            <w:noWrap w:val="0"/>
            <w:vAlign w:val="center"/>
          </w:tcPr>
          <w:p w14:paraId="4693841E">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lang w:val="en-US" w:eastAsia="zh-CN"/>
              </w:rPr>
              <w:t>3</w:t>
            </w:r>
            <w:r>
              <w:rPr>
                <w:rFonts w:hint="eastAsia" w:ascii="宋体" w:hAnsi="宋体" w:eastAsia="宋体" w:cs="宋体"/>
                <w:color w:val="auto"/>
                <w:sz w:val="21"/>
                <w:szCs w:val="21"/>
                <w:highlight w:val="none"/>
                <w:shd w:val="clear" w:color="auto" w:fill="FFFFFF"/>
              </w:rPr>
              <w:t>9</w:t>
            </w:r>
          </w:p>
        </w:tc>
        <w:tc>
          <w:tcPr>
            <w:tcW w:w="1514" w:type="dxa"/>
            <w:noWrap w:val="0"/>
            <w:vAlign w:val="center"/>
          </w:tcPr>
          <w:p w14:paraId="3449A3E6">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里坞垅水库</w:t>
            </w:r>
          </w:p>
        </w:tc>
        <w:tc>
          <w:tcPr>
            <w:tcW w:w="2024" w:type="dxa"/>
            <w:noWrap w:val="0"/>
            <w:vAlign w:val="center"/>
          </w:tcPr>
          <w:p w14:paraId="210F2BC8">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蒋堂</w:t>
            </w:r>
          </w:p>
        </w:tc>
        <w:tc>
          <w:tcPr>
            <w:tcW w:w="1212" w:type="dxa"/>
            <w:noWrap w:val="0"/>
            <w:vAlign w:val="center"/>
          </w:tcPr>
          <w:p w14:paraId="17BC847E">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小（2）型</w:t>
            </w:r>
          </w:p>
        </w:tc>
        <w:tc>
          <w:tcPr>
            <w:tcW w:w="3375" w:type="dxa"/>
            <w:noWrap w:val="0"/>
            <w:vAlign w:val="center"/>
          </w:tcPr>
          <w:p w14:paraId="4BC22246">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金华市婺城区蒋堂镇人民政府</w:t>
            </w:r>
          </w:p>
        </w:tc>
        <w:tc>
          <w:tcPr>
            <w:tcW w:w="1626" w:type="dxa"/>
            <w:noWrap w:val="0"/>
            <w:vAlign w:val="center"/>
          </w:tcPr>
          <w:p w14:paraId="69DEC0BA">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否</w:t>
            </w:r>
          </w:p>
        </w:tc>
      </w:tr>
      <w:tr w14:paraId="59D7E1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580" w:type="dxa"/>
            <w:noWrap w:val="0"/>
            <w:vAlign w:val="center"/>
          </w:tcPr>
          <w:p w14:paraId="43F1979F">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lang w:val="en-US" w:eastAsia="zh-CN"/>
              </w:rPr>
              <w:t>4</w:t>
            </w:r>
            <w:r>
              <w:rPr>
                <w:rFonts w:hint="eastAsia" w:ascii="宋体" w:hAnsi="宋体" w:eastAsia="宋体" w:cs="宋体"/>
                <w:color w:val="auto"/>
                <w:sz w:val="21"/>
                <w:szCs w:val="21"/>
                <w:highlight w:val="none"/>
                <w:shd w:val="clear" w:color="auto" w:fill="FFFFFF"/>
              </w:rPr>
              <w:t>0</w:t>
            </w:r>
          </w:p>
        </w:tc>
        <w:tc>
          <w:tcPr>
            <w:tcW w:w="1514" w:type="dxa"/>
            <w:noWrap w:val="0"/>
            <w:vAlign w:val="center"/>
          </w:tcPr>
          <w:p w14:paraId="6682BC7C">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五升殿垅水库</w:t>
            </w:r>
          </w:p>
        </w:tc>
        <w:tc>
          <w:tcPr>
            <w:tcW w:w="2024" w:type="dxa"/>
            <w:noWrap w:val="0"/>
            <w:vAlign w:val="center"/>
          </w:tcPr>
          <w:p w14:paraId="63548196">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蒋堂</w:t>
            </w:r>
          </w:p>
        </w:tc>
        <w:tc>
          <w:tcPr>
            <w:tcW w:w="1212" w:type="dxa"/>
            <w:noWrap w:val="0"/>
            <w:vAlign w:val="center"/>
          </w:tcPr>
          <w:p w14:paraId="7FF869B5">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小（2）型</w:t>
            </w:r>
          </w:p>
        </w:tc>
        <w:tc>
          <w:tcPr>
            <w:tcW w:w="3375" w:type="dxa"/>
            <w:noWrap w:val="0"/>
            <w:vAlign w:val="center"/>
          </w:tcPr>
          <w:p w14:paraId="673186DF">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金华市婺城区蒋堂镇人民政府</w:t>
            </w:r>
          </w:p>
        </w:tc>
        <w:tc>
          <w:tcPr>
            <w:tcW w:w="1626" w:type="dxa"/>
            <w:noWrap w:val="0"/>
            <w:vAlign w:val="center"/>
          </w:tcPr>
          <w:p w14:paraId="698D19DA">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否</w:t>
            </w:r>
          </w:p>
        </w:tc>
      </w:tr>
      <w:tr w14:paraId="0C3A4D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580" w:type="dxa"/>
            <w:noWrap w:val="0"/>
            <w:vAlign w:val="center"/>
          </w:tcPr>
          <w:p w14:paraId="470B7DCF">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lang w:val="en-US" w:eastAsia="zh-CN"/>
              </w:rPr>
              <w:t>4</w:t>
            </w:r>
            <w:r>
              <w:rPr>
                <w:rFonts w:hint="eastAsia" w:ascii="宋体" w:hAnsi="宋体" w:eastAsia="宋体" w:cs="宋体"/>
                <w:color w:val="auto"/>
                <w:sz w:val="21"/>
                <w:szCs w:val="21"/>
                <w:highlight w:val="none"/>
                <w:shd w:val="clear" w:color="auto" w:fill="FFFFFF"/>
              </w:rPr>
              <w:t>1</w:t>
            </w:r>
          </w:p>
        </w:tc>
        <w:tc>
          <w:tcPr>
            <w:tcW w:w="1514" w:type="dxa"/>
            <w:noWrap w:val="0"/>
            <w:vAlign w:val="center"/>
          </w:tcPr>
          <w:p w14:paraId="4192F07C">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施塘水库</w:t>
            </w:r>
          </w:p>
        </w:tc>
        <w:tc>
          <w:tcPr>
            <w:tcW w:w="2024" w:type="dxa"/>
            <w:noWrap w:val="0"/>
            <w:vAlign w:val="center"/>
          </w:tcPr>
          <w:p w14:paraId="199D9AF9">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蒋堂</w:t>
            </w:r>
          </w:p>
        </w:tc>
        <w:tc>
          <w:tcPr>
            <w:tcW w:w="1212" w:type="dxa"/>
            <w:noWrap w:val="0"/>
            <w:vAlign w:val="center"/>
          </w:tcPr>
          <w:p w14:paraId="38CD0ACA">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小（2）型</w:t>
            </w:r>
          </w:p>
        </w:tc>
        <w:tc>
          <w:tcPr>
            <w:tcW w:w="3375" w:type="dxa"/>
            <w:noWrap w:val="0"/>
            <w:vAlign w:val="center"/>
          </w:tcPr>
          <w:p w14:paraId="6808951E">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金华市婺城区蒋堂镇人民政府</w:t>
            </w:r>
          </w:p>
        </w:tc>
        <w:tc>
          <w:tcPr>
            <w:tcW w:w="1626" w:type="dxa"/>
            <w:noWrap w:val="0"/>
            <w:vAlign w:val="center"/>
          </w:tcPr>
          <w:p w14:paraId="4B41F4E5">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否</w:t>
            </w:r>
          </w:p>
        </w:tc>
      </w:tr>
      <w:tr w14:paraId="2EAAA7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580" w:type="dxa"/>
            <w:noWrap w:val="0"/>
            <w:vAlign w:val="center"/>
          </w:tcPr>
          <w:p w14:paraId="51030CAA">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lang w:val="en-US" w:eastAsia="zh-CN"/>
              </w:rPr>
              <w:t>4</w:t>
            </w:r>
            <w:r>
              <w:rPr>
                <w:rFonts w:hint="eastAsia" w:ascii="宋体" w:hAnsi="宋体" w:eastAsia="宋体" w:cs="宋体"/>
                <w:color w:val="auto"/>
                <w:sz w:val="21"/>
                <w:szCs w:val="21"/>
                <w:highlight w:val="none"/>
                <w:shd w:val="clear" w:color="auto" w:fill="FFFFFF"/>
              </w:rPr>
              <w:t>2</w:t>
            </w:r>
          </w:p>
        </w:tc>
        <w:tc>
          <w:tcPr>
            <w:tcW w:w="1514" w:type="dxa"/>
            <w:noWrap w:val="0"/>
            <w:vAlign w:val="center"/>
          </w:tcPr>
          <w:p w14:paraId="4BF9D8D1">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湖草塘水库</w:t>
            </w:r>
          </w:p>
        </w:tc>
        <w:tc>
          <w:tcPr>
            <w:tcW w:w="2024" w:type="dxa"/>
            <w:noWrap w:val="0"/>
            <w:vAlign w:val="center"/>
          </w:tcPr>
          <w:p w14:paraId="0EC721CF">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蒋堂</w:t>
            </w:r>
          </w:p>
        </w:tc>
        <w:tc>
          <w:tcPr>
            <w:tcW w:w="1212" w:type="dxa"/>
            <w:noWrap w:val="0"/>
            <w:vAlign w:val="center"/>
          </w:tcPr>
          <w:p w14:paraId="39CC2F62">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小（2）型</w:t>
            </w:r>
          </w:p>
        </w:tc>
        <w:tc>
          <w:tcPr>
            <w:tcW w:w="3375" w:type="dxa"/>
            <w:noWrap w:val="0"/>
            <w:vAlign w:val="center"/>
          </w:tcPr>
          <w:p w14:paraId="57CA4A6A">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金华市婺城区蒋堂镇人民政府</w:t>
            </w:r>
          </w:p>
        </w:tc>
        <w:tc>
          <w:tcPr>
            <w:tcW w:w="1626" w:type="dxa"/>
            <w:noWrap w:val="0"/>
            <w:vAlign w:val="center"/>
          </w:tcPr>
          <w:p w14:paraId="35C80BC0">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否</w:t>
            </w:r>
          </w:p>
        </w:tc>
      </w:tr>
      <w:tr w14:paraId="7F84E3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580" w:type="dxa"/>
            <w:noWrap w:val="0"/>
            <w:vAlign w:val="center"/>
          </w:tcPr>
          <w:p w14:paraId="78500387">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lang w:val="en-US" w:eastAsia="zh-CN"/>
              </w:rPr>
              <w:t>4</w:t>
            </w:r>
            <w:r>
              <w:rPr>
                <w:rFonts w:hint="eastAsia" w:ascii="宋体" w:hAnsi="宋体" w:eastAsia="宋体" w:cs="宋体"/>
                <w:color w:val="auto"/>
                <w:sz w:val="21"/>
                <w:szCs w:val="21"/>
                <w:highlight w:val="none"/>
                <w:shd w:val="clear" w:color="auto" w:fill="FFFFFF"/>
              </w:rPr>
              <w:t>3</w:t>
            </w:r>
          </w:p>
        </w:tc>
        <w:tc>
          <w:tcPr>
            <w:tcW w:w="1514" w:type="dxa"/>
            <w:noWrap w:val="0"/>
            <w:vAlign w:val="center"/>
          </w:tcPr>
          <w:p w14:paraId="3A7A6B6B">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黄泥垅水库</w:t>
            </w:r>
          </w:p>
        </w:tc>
        <w:tc>
          <w:tcPr>
            <w:tcW w:w="2024" w:type="dxa"/>
            <w:noWrap w:val="0"/>
            <w:vAlign w:val="center"/>
          </w:tcPr>
          <w:p w14:paraId="72B8D478">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蒋堂</w:t>
            </w:r>
          </w:p>
        </w:tc>
        <w:tc>
          <w:tcPr>
            <w:tcW w:w="1212" w:type="dxa"/>
            <w:noWrap w:val="0"/>
            <w:vAlign w:val="center"/>
          </w:tcPr>
          <w:p w14:paraId="677D16EA">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小（2）型</w:t>
            </w:r>
          </w:p>
        </w:tc>
        <w:tc>
          <w:tcPr>
            <w:tcW w:w="3375" w:type="dxa"/>
            <w:noWrap w:val="0"/>
            <w:vAlign w:val="center"/>
          </w:tcPr>
          <w:p w14:paraId="1EA94996">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金华市婺城区蒋堂镇人民政府</w:t>
            </w:r>
          </w:p>
        </w:tc>
        <w:tc>
          <w:tcPr>
            <w:tcW w:w="1626" w:type="dxa"/>
            <w:noWrap w:val="0"/>
            <w:vAlign w:val="center"/>
          </w:tcPr>
          <w:p w14:paraId="6307E7A0">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否</w:t>
            </w:r>
          </w:p>
        </w:tc>
      </w:tr>
      <w:tr w14:paraId="4559D4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580" w:type="dxa"/>
            <w:noWrap w:val="0"/>
            <w:vAlign w:val="center"/>
          </w:tcPr>
          <w:p w14:paraId="69947D97">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lang w:val="en-US" w:eastAsia="zh-CN"/>
              </w:rPr>
              <w:t>4</w:t>
            </w:r>
            <w:r>
              <w:rPr>
                <w:rFonts w:hint="eastAsia" w:ascii="宋体" w:hAnsi="宋体" w:eastAsia="宋体" w:cs="宋体"/>
                <w:color w:val="auto"/>
                <w:sz w:val="21"/>
                <w:szCs w:val="21"/>
                <w:highlight w:val="none"/>
                <w:shd w:val="clear" w:color="auto" w:fill="FFFFFF"/>
              </w:rPr>
              <w:t>4</w:t>
            </w:r>
          </w:p>
        </w:tc>
        <w:tc>
          <w:tcPr>
            <w:tcW w:w="1514" w:type="dxa"/>
            <w:noWrap w:val="0"/>
            <w:vAlign w:val="center"/>
          </w:tcPr>
          <w:p w14:paraId="4FE0EF6B">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殿山水库</w:t>
            </w:r>
          </w:p>
        </w:tc>
        <w:tc>
          <w:tcPr>
            <w:tcW w:w="2024" w:type="dxa"/>
            <w:noWrap w:val="0"/>
            <w:vAlign w:val="center"/>
          </w:tcPr>
          <w:p w14:paraId="01C06038">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金华监狱</w:t>
            </w:r>
          </w:p>
        </w:tc>
        <w:tc>
          <w:tcPr>
            <w:tcW w:w="1212" w:type="dxa"/>
            <w:noWrap w:val="0"/>
            <w:vAlign w:val="center"/>
          </w:tcPr>
          <w:p w14:paraId="71F07A3F">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小（2）型</w:t>
            </w:r>
          </w:p>
        </w:tc>
        <w:tc>
          <w:tcPr>
            <w:tcW w:w="3375" w:type="dxa"/>
            <w:noWrap w:val="0"/>
            <w:vAlign w:val="center"/>
          </w:tcPr>
          <w:p w14:paraId="7B287BE8">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浙江东兴实业有限责任公司</w:t>
            </w:r>
          </w:p>
        </w:tc>
        <w:tc>
          <w:tcPr>
            <w:tcW w:w="1626" w:type="dxa"/>
            <w:noWrap w:val="0"/>
            <w:vAlign w:val="center"/>
          </w:tcPr>
          <w:p w14:paraId="68721522">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否</w:t>
            </w:r>
          </w:p>
        </w:tc>
      </w:tr>
      <w:tr w14:paraId="662256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580" w:type="dxa"/>
            <w:noWrap w:val="0"/>
            <w:vAlign w:val="center"/>
          </w:tcPr>
          <w:p w14:paraId="36F58907">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lang w:val="en-US" w:eastAsia="zh-CN"/>
              </w:rPr>
              <w:t>4</w:t>
            </w:r>
            <w:r>
              <w:rPr>
                <w:rFonts w:hint="eastAsia" w:ascii="宋体" w:hAnsi="宋体" w:eastAsia="宋体" w:cs="宋体"/>
                <w:color w:val="auto"/>
                <w:sz w:val="21"/>
                <w:szCs w:val="21"/>
                <w:highlight w:val="none"/>
                <w:shd w:val="clear" w:color="auto" w:fill="FFFFFF"/>
              </w:rPr>
              <w:t>5</w:t>
            </w:r>
          </w:p>
        </w:tc>
        <w:tc>
          <w:tcPr>
            <w:tcW w:w="1514" w:type="dxa"/>
            <w:noWrap w:val="0"/>
            <w:vAlign w:val="center"/>
          </w:tcPr>
          <w:p w14:paraId="392EB725">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10号水库</w:t>
            </w:r>
          </w:p>
        </w:tc>
        <w:tc>
          <w:tcPr>
            <w:tcW w:w="2024" w:type="dxa"/>
            <w:noWrap w:val="0"/>
            <w:vAlign w:val="center"/>
          </w:tcPr>
          <w:p w14:paraId="7F5A776F">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金华监狱</w:t>
            </w:r>
          </w:p>
        </w:tc>
        <w:tc>
          <w:tcPr>
            <w:tcW w:w="1212" w:type="dxa"/>
            <w:noWrap w:val="0"/>
            <w:vAlign w:val="center"/>
          </w:tcPr>
          <w:p w14:paraId="7132B008">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小（2）型</w:t>
            </w:r>
          </w:p>
        </w:tc>
        <w:tc>
          <w:tcPr>
            <w:tcW w:w="3375" w:type="dxa"/>
            <w:noWrap w:val="0"/>
            <w:vAlign w:val="center"/>
          </w:tcPr>
          <w:p w14:paraId="6BAABDE1">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浙江东兴实业有限责任公司</w:t>
            </w:r>
          </w:p>
        </w:tc>
        <w:tc>
          <w:tcPr>
            <w:tcW w:w="1626" w:type="dxa"/>
            <w:noWrap w:val="0"/>
            <w:vAlign w:val="center"/>
          </w:tcPr>
          <w:p w14:paraId="73C98814">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否</w:t>
            </w:r>
          </w:p>
        </w:tc>
      </w:tr>
      <w:tr w14:paraId="746061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580" w:type="dxa"/>
            <w:noWrap w:val="0"/>
            <w:vAlign w:val="center"/>
          </w:tcPr>
          <w:p w14:paraId="2B83802D">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lang w:val="en-US" w:eastAsia="zh-CN"/>
              </w:rPr>
              <w:t>4</w:t>
            </w:r>
            <w:r>
              <w:rPr>
                <w:rFonts w:hint="eastAsia" w:ascii="宋体" w:hAnsi="宋体" w:eastAsia="宋体" w:cs="宋体"/>
                <w:color w:val="auto"/>
                <w:sz w:val="21"/>
                <w:szCs w:val="21"/>
                <w:highlight w:val="none"/>
                <w:shd w:val="clear" w:color="auto" w:fill="FFFFFF"/>
              </w:rPr>
              <w:t>6</w:t>
            </w:r>
          </w:p>
        </w:tc>
        <w:tc>
          <w:tcPr>
            <w:tcW w:w="1514" w:type="dxa"/>
            <w:noWrap w:val="0"/>
            <w:vAlign w:val="center"/>
          </w:tcPr>
          <w:p w14:paraId="512FEDB6">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58号水库</w:t>
            </w:r>
          </w:p>
        </w:tc>
        <w:tc>
          <w:tcPr>
            <w:tcW w:w="2024" w:type="dxa"/>
            <w:noWrap w:val="0"/>
            <w:vAlign w:val="center"/>
          </w:tcPr>
          <w:p w14:paraId="50BF894B">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金华监狱</w:t>
            </w:r>
          </w:p>
        </w:tc>
        <w:tc>
          <w:tcPr>
            <w:tcW w:w="1212" w:type="dxa"/>
            <w:noWrap w:val="0"/>
            <w:vAlign w:val="center"/>
          </w:tcPr>
          <w:p w14:paraId="0462459E">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小（2）型</w:t>
            </w:r>
          </w:p>
        </w:tc>
        <w:tc>
          <w:tcPr>
            <w:tcW w:w="3375" w:type="dxa"/>
            <w:noWrap w:val="0"/>
            <w:vAlign w:val="center"/>
          </w:tcPr>
          <w:p w14:paraId="3A9E0CC8">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浙江东兴实业有限责任公司</w:t>
            </w:r>
          </w:p>
        </w:tc>
        <w:tc>
          <w:tcPr>
            <w:tcW w:w="1626" w:type="dxa"/>
            <w:noWrap w:val="0"/>
            <w:vAlign w:val="center"/>
          </w:tcPr>
          <w:p w14:paraId="0C5AC462">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否</w:t>
            </w:r>
          </w:p>
        </w:tc>
      </w:tr>
      <w:tr w14:paraId="37FA82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10331" w:type="dxa"/>
            <w:gridSpan w:val="6"/>
            <w:noWrap w:val="0"/>
            <w:vAlign w:val="center"/>
          </w:tcPr>
          <w:p w14:paraId="3FFF1A0D">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shd w:val="clear" w:color="auto" w:fill="FFFFFF"/>
              </w:rPr>
              <w:t>注：管理单位（管理责任主体）</w:t>
            </w:r>
            <w:r>
              <w:rPr>
                <w:rFonts w:hint="eastAsia" w:ascii="宋体" w:hAnsi="宋体" w:eastAsia="宋体" w:cs="宋体"/>
                <w:color w:val="auto"/>
                <w:sz w:val="21"/>
                <w:szCs w:val="21"/>
                <w:highlight w:val="none"/>
              </w:rPr>
              <w:t>如有改变，由最新的</w:t>
            </w:r>
            <w:r>
              <w:rPr>
                <w:rFonts w:hint="eastAsia" w:ascii="宋体" w:hAnsi="宋体" w:eastAsia="宋体" w:cs="宋体"/>
                <w:color w:val="auto"/>
                <w:sz w:val="21"/>
                <w:szCs w:val="21"/>
                <w:highlight w:val="none"/>
                <w:shd w:val="clear" w:color="auto" w:fill="FFFFFF"/>
              </w:rPr>
              <w:t>管理单位（管理责任主体）接替。水库名录如遇调整，以省市水行政主管部门公布为准</w:t>
            </w:r>
          </w:p>
        </w:tc>
      </w:tr>
    </w:tbl>
    <w:p w14:paraId="41A059BC">
      <w:pPr>
        <w:rPr>
          <w:rFonts w:hint="eastAsia" w:ascii="宋体" w:hAnsi="宋体" w:cs="宋体"/>
          <w:b/>
          <w:color w:val="auto"/>
          <w:sz w:val="21"/>
          <w:szCs w:val="21"/>
          <w:highlight w:val="none"/>
        </w:rPr>
      </w:pPr>
      <w:r>
        <w:rPr>
          <w:rFonts w:hint="eastAsia" w:ascii="宋体" w:hAnsi="宋体" w:cs="宋体"/>
          <w:b/>
          <w:color w:val="auto"/>
          <w:sz w:val="21"/>
          <w:szCs w:val="21"/>
          <w:highlight w:val="none"/>
        </w:rPr>
        <w:br w:type="page"/>
      </w:r>
    </w:p>
    <w:p w14:paraId="5B8BC9D2">
      <w:pPr>
        <w:rPr>
          <w:rFonts w:hint="eastAsia" w:ascii="宋体" w:hAnsi="宋体" w:cs="宋体"/>
          <w:b/>
          <w:color w:val="auto"/>
          <w:sz w:val="21"/>
          <w:szCs w:val="21"/>
          <w:highlight w:val="none"/>
        </w:rPr>
      </w:pPr>
      <w:r>
        <w:rPr>
          <w:rFonts w:hint="eastAsia" w:ascii="宋体" w:hAnsi="宋体" w:cs="宋体"/>
          <w:b/>
          <w:color w:val="auto"/>
          <w:sz w:val="21"/>
          <w:szCs w:val="21"/>
          <w:highlight w:val="none"/>
        </w:rPr>
        <w:t>附件</w:t>
      </w:r>
      <w:r>
        <w:rPr>
          <w:rFonts w:hint="eastAsia" w:ascii="宋体" w:hAnsi="宋体" w:cs="宋体"/>
          <w:b/>
          <w:color w:val="auto"/>
          <w:sz w:val="21"/>
          <w:szCs w:val="21"/>
          <w:highlight w:val="none"/>
          <w:lang w:val="en-US" w:eastAsia="zh-CN"/>
        </w:rPr>
        <w:t>3</w:t>
      </w:r>
      <w:r>
        <w:rPr>
          <w:rFonts w:hint="eastAsia" w:ascii="宋体" w:hAnsi="宋体" w:cs="宋体"/>
          <w:b/>
          <w:color w:val="auto"/>
          <w:sz w:val="21"/>
          <w:szCs w:val="21"/>
          <w:highlight w:val="none"/>
        </w:rPr>
        <w:t>：</w:t>
      </w:r>
    </w:p>
    <w:tbl>
      <w:tblPr>
        <w:tblStyle w:val="46"/>
        <w:tblW w:w="9737" w:type="dxa"/>
        <w:tblInd w:w="-24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45"/>
        <w:gridCol w:w="1806"/>
        <w:gridCol w:w="2386"/>
        <w:gridCol w:w="1050"/>
        <w:gridCol w:w="3150"/>
        <w:gridCol w:w="900"/>
      </w:tblGrid>
      <w:tr w14:paraId="2D8B1B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5" w:hRule="atLeast"/>
          <w:tblHeader/>
        </w:trPr>
        <w:tc>
          <w:tcPr>
            <w:tcW w:w="445" w:type="dxa"/>
            <w:noWrap w:val="0"/>
            <w:vAlign w:val="center"/>
          </w:tcPr>
          <w:p w14:paraId="0E5000B9">
            <w:pPr>
              <w:spacing w:line="400" w:lineRule="exact"/>
              <w:jc w:val="center"/>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序号</w:t>
            </w:r>
          </w:p>
        </w:tc>
        <w:tc>
          <w:tcPr>
            <w:tcW w:w="1806" w:type="dxa"/>
            <w:noWrap w:val="0"/>
            <w:vAlign w:val="center"/>
          </w:tcPr>
          <w:p w14:paraId="71691176">
            <w:pPr>
              <w:spacing w:line="400" w:lineRule="exact"/>
              <w:jc w:val="center"/>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水库名称</w:t>
            </w:r>
          </w:p>
        </w:tc>
        <w:tc>
          <w:tcPr>
            <w:tcW w:w="2386" w:type="dxa"/>
            <w:noWrap w:val="0"/>
            <w:vAlign w:val="center"/>
          </w:tcPr>
          <w:p w14:paraId="7C517EE2">
            <w:pPr>
              <w:spacing w:line="400" w:lineRule="exact"/>
              <w:jc w:val="center"/>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所在乡镇</w:t>
            </w:r>
          </w:p>
        </w:tc>
        <w:tc>
          <w:tcPr>
            <w:tcW w:w="1050" w:type="dxa"/>
            <w:noWrap w:val="0"/>
            <w:vAlign w:val="center"/>
          </w:tcPr>
          <w:p w14:paraId="02BDD868">
            <w:pPr>
              <w:spacing w:line="400" w:lineRule="exact"/>
              <w:jc w:val="center"/>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类型</w:t>
            </w:r>
          </w:p>
        </w:tc>
        <w:tc>
          <w:tcPr>
            <w:tcW w:w="3150" w:type="dxa"/>
            <w:noWrap w:val="0"/>
            <w:vAlign w:val="center"/>
          </w:tcPr>
          <w:p w14:paraId="5BEBD2E9">
            <w:pPr>
              <w:spacing w:line="400" w:lineRule="exact"/>
              <w:jc w:val="center"/>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管理单位（管理责任主体）</w:t>
            </w:r>
          </w:p>
        </w:tc>
        <w:tc>
          <w:tcPr>
            <w:tcW w:w="900" w:type="dxa"/>
            <w:noWrap w:val="0"/>
            <w:vAlign w:val="center"/>
          </w:tcPr>
          <w:p w14:paraId="45C677DA">
            <w:pPr>
              <w:spacing w:line="400" w:lineRule="exact"/>
              <w:jc w:val="center"/>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备注</w:t>
            </w:r>
          </w:p>
        </w:tc>
      </w:tr>
      <w:tr w14:paraId="44B242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trPr>
        <w:tc>
          <w:tcPr>
            <w:tcW w:w="445" w:type="dxa"/>
            <w:noWrap w:val="0"/>
            <w:vAlign w:val="center"/>
          </w:tcPr>
          <w:p w14:paraId="584B56C3">
            <w:pPr>
              <w:spacing w:line="400" w:lineRule="exact"/>
              <w:jc w:val="center"/>
              <w:rPr>
                <w:rFonts w:hint="eastAsia" w:ascii="宋体" w:hAnsi="宋体" w:eastAsia="宋体" w:cs="宋体"/>
                <w:color w:val="auto"/>
                <w:sz w:val="21"/>
                <w:szCs w:val="21"/>
                <w:highlight w:val="none"/>
                <w:shd w:val="clear" w:color="auto" w:fill="FFFFFF"/>
                <w:lang w:eastAsia="zh-CN"/>
              </w:rPr>
            </w:pPr>
            <w:r>
              <w:rPr>
                <w:rFonts w:hint="eastAsia" w:ascii="宋体" w:hAnsi="宋体" w:cs="宋体"/>
                <w:color w:val="auto"/>
                <w:sz w:val="21"/>
                <w:szCs w:val="21"/>
                <w:highlight w:val="none"/>
                <w:shd w:val="clear" w:color="auto" w:fill="FFFFFF"/>
                <w:lang w:val="en-US" w:eastAsia="zh-CN"/>
              </w:rPr>
              <w:t>1</w:t>
            </w:r>
          </w:p>
        </w:tc>
        <w:tc>
          <w:tcPr>
            <w:tcW w:w="1806" w:type="dxa"/>
            <w:noWrap w:val="0"/>
            <w:vAlign w:val="center"/>
          </w:tcPr>
          <w:p w14:paraId="7FECA0FC">
            <w:pPr>
              <w:spacing w:line="400" w:lineRule="exact"/>
              <w:jc w:val="center"/>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rPr>
              <w:t>上垄塘山塘</w:t>
            </w:r>
          </w:p>
        </w:tc>
        <w:tc>
          <w:tcPr>
            <w:tcW w:w="2386" w:type="dxa"/>
            <w:noWrap w:val="0"/>
            <w:vAlign w:val="center"/>
          </w:tcPr>
          <w:p w14:paraId="282EB0CD">
            <w:pPr>
              <w:spacing w:line="400" w:lineRule="exact"/>
              <w:jc w:val="center"/>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rPr>
              <w:t>婺城区长山乡芦家村</w:t>
            </w:r>
          </w:p>
        </w:tc>
        <w:tc>
          <w:tcPr>
            <w:tcW w:w="1050" w:type="dxa"/>
            <w:noWrap w:val="0"/>
            <w:vAlign w:val="center"/>
          </w:tcPr>
          <w:p w14:paraId="4FBC18AE">
            <w:pPr>
              <w:spacing w:line="400" w:lineRule="exact"/>
              <w:jc w:val="center"/>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rPr>
              <w:t>山塘</w:t>
            </w:r>
          </w:p>
        </w:tc>
        <w:tc>
          <w:tcPr>
            <w:tcW w:w="3150" w:type="dxa"/>
            <w:noWrap w:val="0"/>
            <w:vAlign w:val="center"/>
          </w:tcPr>
          <w:p w14:paraId="27ADE00A">
            <w:pPr>
              <w:spacing w:line="400" w:lineRule="exact"/>
              <w:jc w:val="center"/>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金华市婺城区长山乡人民政府</w:t>
            </w:r>
          </w:p>
        </w:tc>
        <w:tc>
          <w:tcPr>
            <w:tcW w:w="900" w:type="dxa"/>
            <w:noWrap w:val="0"/>
            <w:vAlign w:val="center"/>
          </w:tcPr>
          <w:p w14:paraId="0A4A1DA9">
            <w:pPr>
              <w:spacing w:line="400" w:lineRule="exact"/>
              <w:jc w:val="center"/>
              <w:rPr>
                <w:rFonts w:hint="eastAsia" w:ascii="宋体" w:hAnsi="宋体" w:eastAsia="宋体" w:cs="宋体"/>
                <w:color w:val="auto"/>
                <w:sz w:val="21"/>
                <w:szCs w:val="21"/>
                <w:highlight w:val="none"/>
              </w:rPr>
            </w:pPr>
          </w:p>
        </w:tc>
      </w:tr>
      <w:tr w14:paraId="23DD11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trPr>
        <w:tc>
          <w:tcPr>
            <w:tcW w:w="445" w:type="dxa"/>
            <w:noWrap w:val="0"/>
            <w:vAlign w:val="center"/>
          </w:tcPr>
          <w:p w14:paraId="07BF3E86">
            <w:pPr>
              <w:spacing w:line="400" w:lineRule="exact"/>
              <w:jc w:val="center"/>
              <w:rPr>
                <w:rFonts w:hint="eastAsia" w:ascii="宋体" w:hAnsi="宋体" w:eastAsia="宋体" w:cs="宋体"/>
                <w:color w:val="auto"/>
                <w:sz w:val="21"/>
                <w:szCs w:val="21"/>
                <w:highlight w:val="none"/>
                <w:shd w:val="clear" w:color="auto" w:fill="FFFFFF"/>
                <w:lang w:eastAsia="zh-CN"/>
              </w:rPr>
            </w:pPr>
            <w:r>
              <w:rPr>
                <w:rFonts w:hint="eastAsia" w:ascii="宋体" w:hAnsi="宋体" w:cs="宋体"/>
                <w:color w:val="auto"/>
                <w:sz w:val="21"/>
                <w:szCs w:val="21"/>
                <w:highlight w:val="none"/>
                <w:shd w:val="clear" w:color="auto" w:fill="FFFFFF"/>
                <w:lang w:val="en-US" w:eastAsia="zh-CN"/>
              </w:rPr>
              <w:t>2</w:t>
            </w:r>
          </w:p>
        </w:tc>
        <w:tc>
          <w:tcPr>
            <w:tcW w:w="1806" w:type="dxa"/>
            <w:noWrap w:val="0"/>
            <w:vAlign w:val="center"/>
          </w:tcPr>
          <w:p w14:paraId="5769770C">
            <w:pPr>
              <w:spacing w:line="400" w:lineRule="exact"/>
              <w:jc w:val="center"/>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rPr>
              <w:t>叶塘山塘</w:t>
            </w:r>
          </w:p>
        </w:tc>
        <w:tc>
          <w:tcPr>
            <w:tcW w:w="2386" w:type="dxa"/>
            <w:noWrap w:val="0"/>
            <w:vAlign w:val="center"/>
          </w:tcPr>
          <w:p w14:paraId="4A43784C">
            <w:pPr>
              <w:spacing w:line="400" w:lineRule="exact"/>
              <w:jc w:val="center"/>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rPr>
              <w:t>婺城区长山乡石道畈村</w:t>
            </w:r>
          </w:p>
        </w:tc>
        <w:tc>
          <w:tcPr>
            <w:tcW w:w="1050" w:type="dxa"/>
            <w:noWrap w:val="0"/>
            <w:vAlign w:val="center"/>
          </w:tcPr>
          <w:p w14:paraId="521C21F7">
            <w:pPr>
              <w:spacing w:line="400" w:lineRule="exact"/>
              <w:jc w:val="center"/>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rPr>
              <w:t>山塘</w:t>
            </w:r>
          </w:p>
        </w:tc>
        <w:tc>
          <w:tcPr>
            <w:tcW w:w="3150" w:type="dxa"/>
            <w:noWrap w:val="0"/>
            <w:vAlign w:val="center"/>
          </w:tcPr>
          <w:p w14:paraId="4B815D6C">
            <w:pPr>
              <w:spacing w:line="400" w:lineRule="exact"/>
              <w:jc w:val="center"/>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金华市婺城区长山乡人民政府</w:t>
            </w:r>
          </w:p>
        </w:tc>
        <w:tc>
          <w:tcPr>
            <w:tcW w:w="900" w:type="dxa"/>
            <w:noWrap w:val="0"/>
            <w:vAlign w:val="center"/>
          </w:tcPr>
          <w:p w14:paraId="0CF92543">
            <w:pPr>
              <w:spacing w:line="400" w:lineRule="exact"/>
              <w:jc w:val="center"/>
              <w:rPr>
                <w:rFonts w:hint="eastAsia" w:ascii="宋体" w:hAnsi="宋体" w:eastAsia="宋体" w:cs="宋体"/>
                <w:color w:val="auto"/>
                <w:sz w:val="21"/>
                <w:szCs w:val="21"/>
                <w:highlight w:val="none"/>
              </w:rPr>
            </w:pPr>
          </w:p>
        </w:tc>
      </w:tr>
      <w:tr w14:paraId="37F640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trPr>
        <w:tc>
          <w:tcPr>
            <w:tcW w:w="445" w:type="dxa"/>
            <w:noWrap w:val="0"/>
            <w:vAlign w:val="center"/>
          </w:tcPr>
          <w:p w14:paraId="6522B4D9">
            <w:pPr>
              <w:spacing w:line="400" w:lineRule="exact"/>
              <w:jc w:val="center"/>
              <w:rPr>
                <w:rFonts w:hint="eastAsia" w:ascii="宋体" w:hAnsi="宋体" w:eastAsia="宋体" w:cs="宋体"/>
                <w:color w:val="auto"/>
                <w:sz w:val="21"/>
                <w:szCs w:val="21"/>
                <w:highlight w:val="none"/>
                <w:shd w:val="clear" w:color="auto" w:fill="FFFFFF"/>
                <w:lang w:eastAsia="zh-CN"/>
              </w:rPr>
            </w:pPr>
            <w:r>
              <w:rPr>
                <w:rFonts w:hint="eastAsia" w:ascii="宋体" w:hAnsi="宋体" w:cs="宋体"/>
                <w:color w:val="auto"/>
                <w:sz w:val="21"/>
                <w:szCs w:val="21"/>
                <w:highlight w:val="none"/>
                <w:shd w:val="clear" w:color="auto" w:fill="FFFFFF"/>
                <w:lang w:val="en-US" w:eastAsia="zh-CN"/>
              </w:rPr>
              <w:t>3</w:t>
            </w:r>
          </w:p>
        </w:tc>
        <w:tc>
          <w:tcPr>
            <w:tcW w:w="1806" w:type="dxa"/>
            <w:noWrap w:val="0"/>
            <w:vAlign w:val="center"/>
          </w:tcPr>
          <w:p w14:paraId="38D3C77A">
            <w:pPr>
              <w:spacing w:line="400" w:lineRule="exact"/>
              <w:jc w:val="center"/>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rPr>
              <w:t>大海塘山塘</w:t>
            </w:r>
          </w:p>
        </w:tc>
        <w:tc>
          <w:tcPr>
            <w:tcW w:w="2386" w:type="dxa"/>
            <w:noWrap w:val="0"/>
            <w:vAlign w:val="center"/>
          </w:tcPr>
          <w:p w14:paraId="04CDC875">
            <w:pPr>
              <w:spacing w:line="400" w:lineRule="exact"/>
              <w:jc w:val="center"/>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rPr>
              <w:t>婺城区琅琊镇杨塘下村</w:t>
            </w:r>
          </w:p>
        </w:tc>
        <w:tc>
          <w:tcPr>
            <w:tcW w:w="1050" w:type="dxa"/>
            <w:noWrap w:val="0"/>
            <w:vAlign w:val="center"/>
          </w:tcPr>
          <w:p w14:paraId="21D0632A">
            <w:pPr>
              <w:spacing w:line="400" w:lineRule="exact"/>
              <w:jc w:val="center"/>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rPr>
              <w:t>山塘</w:t>
            </w:r>
          </w:p>
        </w:tc>
        <w:tc>
          <w:tcPr>
            <w:tcW w:w="3150" w:type="dxa"/>
            <w:noWrap w:val="0"/>
            <w:vAlign w:val="center"/>
          </w:tcPr>
          <w:p w14:paraId="388B0A6A">
            <w:pPr>
              <w:spacing w:line="400" w:lineRule="exact"/>
              <w:jc w:val="center"/>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金华市婺城区琅琊镇人民政府</w:t>
            </w:r>
          </w:p>
        </w:tc>
        <w:tc>
          <w:tcPr>
            <w:tcW w:w="900" w:type="dxa"/>
            <w:noWrap w:val="0"/>
            <w:vAlign w:val="center"/>
          </w:tcPr>
          <w:p w14:paraId="7A692A2F">
            <w:pPr>
              <w:spacing w:line="400" w:lineRule="exact"/>
              <w:jc w:val="center"/>
              <w:rPr>
                <w:rFonts w:hint="eastAsia" w:ascii="宋体" w:hAnsi="宋体" w:eastAsia="宋体" w:cs="宋体"/>
                <w:color w:val="auto"/>
                <w:sz w:val="21"/>
                <w:szCs w:val="21"/>
                <w:highlight w:val="none"/>
              </w:rPr>
            </w:pPr>
          </w:p>
        </w:tc>
      </w:tr>
      <w:tr w14:paraId="35A729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trPr>
        <w:tc>
          <w:tcPr>
            <w:tcW w:w="445" w:type="dxa"/>
            <w:noWrap w:val="0"/>
            <w:vAlign w:val="center"/>
          </w:tcPr>
          <w:p w14:paraId="1A9119BC">
            <w:pPr>
              <w:spacing w:line="400" w:lineRule="exact"/>
              <w:jc w:val="center"/>
              <w:rPr>
                <w:rFonts w:hint="eastAsia" w:ascii="宋体" w:hAnsi="宋体" w:eastAsia="宋体" w:cs="宋体"/>
                <w:color w:val="auto"/>
                <w:sz w:val="21"/>
                <w:szCs w:val="21"/>
                <w:highlight w:val="none"/>
                <w:shd w:val="clear" w:color="auto" w:fill="FFFFFF"/>
                <w:lang w:eastAsia="zh-CN"/>
              </w:rPr>
            </w:pPr>
            <w:r>
              <w:rPr>
                <w:rFonts w:hint="eastAsia" w:ascii="宋体" w:hAnsi="宋体" w:cs="宋体"/>
                <w:color w:val="auto"/>
                <w:sz w:val="21"/>
                <w:szCs w:val="21"/>
                <w:highlight w:val="none"/>
                <w:shd w:val="clear" w:color="auto" w:fill="FFFFFF"/>
                <w:lang w:val="en-US" w:eastAsia="zh-CN"/>
              </w:rPr>
              <w:t>4</w:t>
            </w:r>
          </w:p>
        </w:tc>
        <w:tc>
          <w:tcPr>
            <w:tcW w:w="1806" w:type="dxa"/>
            <w:noWrap w:val="0"/>
            <w:vAlign w:val="center"/>
          </w:tcPr>
          <w:p w14:paraId="762398F7">
            <w:pPr>
              <w:spacing w:line="400" w:lineRule="exact"/>
              <w:jc w:val="center"/>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rPr>
              <w:t>后金村莲塘山塘</w:t>
            </w:r>
          </w:p>
        </w:tc>
        <w:tc>
          <w:tcPr>
            <w:tcW w:w="2386" w:type="dxa"/>
            <w:noWrap w:val="0"/>
            <w:vAlign w:val="center"/>
          </w:tcPr>
          <w:p w14:paraId="0D161E90">
            <w:pPr>
              <w:spacing w:line="400" w:lineRule="exact"/>
              <w:jc w:val="center"/>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rPr>
              <w:t>婺城区琅琊镇后金村</w:t>
            </w:r>
          </w:p>
        </w:tc>
        <w:tc>
          <w:tcPr>
            <w:tcW w:w="1050" w:type="dxa"/>
            <w:noWrap w:val="0"/>
            <w:vAlign w:val="center"/>
          </w:tcPr>
          <w:p w14:paraId="2E26C98E">
            <w:pPr>
              <w:spacing w:line="400" w:lineRule="exact"/>
              <w:jc w:val="center"/>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rPr>
              <w:t>山塘</w:t>
            </w:r>
          </w:p>
        </w:tc>
        <w:tc>
          <w:tcPr>
            <w:tcW w:w="3150" w:type="dxa"/>
            <w:noWrap w:val="0"/>
            <w:vAlign w:val="center"/>
          </w:tcPr>
          <w:p w14:paraId="341D0038">
            <w:pPr>
              <w:spacing w:line="400" w:lineRule="exact"/>
              <w:jc w:val="center"/>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金华市婺城区琅琊镇人民政府</w:t>
            </w:r>
          </w:p>
        </w:tc>
        <w:tc>
          <w:tcPr>
            <w:tcW w:w="900" w:type="dxa"/>
            <w:noWrap w:val="0"/>
            <w:vAlign w:val="center"/>
          </w:tcPr>
          <w:p w14:paraId="155C0CB5">
            <w:pPr>
              <w:spacing w:line="400" w:lineRule="exact"/>
              <w:jc w:val="center"/>
              <w:rPr>
                <w:rFonts w:hint="eastAsia" w:ascii="宋体" w:hAnsi="宋体" w:eastAsia="宋体" w:cs="宋体"/>
                <w:color w:val="auto"/>
                <w:sz w:val="21"/>
                <w:szCs w:val="21"/>
                <w:highlight w:val="none"/>
              </w:rPr>
            </w:pPr>
          </w:p>
        </w:tc>
      </w:tr>
      <w:tr w14:paraId="4521CE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trPr>
        <w:tc>
          <w:tcPr>
            <w:tcW w:w="445" w:type="dxa"/>
            <w:noWrap w:val="0"/>
            <w:vAlign w:val="center"/>
          </w:tcPr>
          <w:p w14:paraId="26F6629B">
            <w:pPr>
              <w:spacing w:line="400" w:lineRule="exact"/>
              <w:jc w:val="center"/>
              <w:rPr>
                <w:rFonts w:hint="eastAsia" w:ascii="宋体" w:hAnsi="宋体" w:eastAsia="宋体" w:cs="宋体"/>
                <w:color w:val="auto"/>
                <w:sz w:val="21"/>
                <w:szCs w:val="21"/>
                <w:highlight w:val="none"/>
                <w:shd w:val="clear" w:color="auto" w:fill="FFFFFF"/>
                <w:lang w:eastAsia="zh-CN"/>
              </w:rPr>
            </w:pPr>
            <w:r>
              <w:rPr>
                <w:rFonts w:hint="eastAsia" w:ascii="宋体" w:hAnsi="宋体" w:cs="宋体"/>
                <w:color w:val="auto"/>
                <w:sz w:val="21"/>
                <w:szCs w:val="21"/>
                <w:highlight w:val="none"/>
                <w:shd w:val="clear" w:color="auto" w:fill="FFFFFF"/>
                <w:lang w:val="en-US" w:eastAsia="zh-CN"/>
              </w:rPr>
              <w:t>5</w:t>
            </w:r>
          </w:p>
        </w:tc>
        <w:tc>
          <w:tcPr>
            <w:tcW w:w="1806" w:type="dxa"/>
            <w:noWrap w:val="0"/>
            <w:vAlign w:val="center"/>
          </w:tcPr>
          <w:p w14:paraId="3449876F">
            <w:pPr>
              <w:spacing w:line="400" w:lineRule="exact"/>
              <w:jc w:val="center"/>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rPr>
              <w:t>百福塘山塘</w:t>
            </w:r>
          </w:p>
        </w:tc>
        <w:tc>
          <w:tcPr>
            <w:tcW w:w="2386" w:type="dxa"/>
            <w:noWrap w:val="0"/>
            <w:vAlign w:val="center"/>
          </w:tcPr>
          <w:p w14:paraId="457E256B">
            <w:pPr>
              <w:spacing w:line="400" w:lineRule="exact"/>
              <w:jc w:val="center"/>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rPr>
              <w:t>婺城区琅琊镇泉口村</w:t>
            </w:r>
          </w:p>
        </w:tc>
        <w:tc>
          <w:tcPr>
            <w:tcW w:w="1050" w:type="dxa"/>
            <w:noWrap w:val="0"/>
            <w:vAlign w:val="center"/>
          </w:tcPr>
          <w:p w14:paraId="266DA7EF">
            <w:pPr>
              <w:spacing w:line="400" w:lineRule="exact"/>
              <w:jc w:val="center"/>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rPr>
              <w:t>山塘</w:t>
            </w:r>
          </w:p>
        </w:tc>
        <w:tc>
          <w:tcPr>
            <w:tcW w:w="3150" w:type="dxa"/>
            <w:noWrap w:val="0"/>
            <w:vAlign w:val="center"/>
          </w:tcPr>
          <w:p w14:paraId="43D0FC26">
            <w:pPr>
              <w:spacing w:line="400" w:lineRule="exact"/>
              <w:jc w:val="center"/>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金华市婺城区琅琊镇人民政府</w:t>
            </w:r>
          </w:p>
        </w:tc>
        <w:tc>
          <w:tcPr>
            <w:tcW w:w="900" w:type="dxa"/>
            <w:noWrap w:val="0"/>
            <w:vAlign w:val="center"/>
          </w:tcPr>
          <w:p w14:paraId="57F5F04D">
            <w:pPr>
              <w:spacing w:line="400" w:lineRule="exact"/>
              <w:jc w:val="center"/>
              <w:rPr>
                <w:rFonts w:hint="eastAsia" w:ascii="宋体" w:hAnsi="宋体" w:eastAsia="宋体" w:cs="宋体"/>
                <w:color w:val="auto"/>
                <w:sz w:val="21"/>
                <w:szCs w:val="21"/>
                <w:highlight w:val="none"/>
              </w:rPr>
            </w:pPr>
          </w:p>
        </w:tc>
      </w:tr>
      <w:tr w14:paraId="1D52A6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trPr>
        <w:tc>
          <w:tcPr>
            <w:tcW w:w="445" w:type="dxa"/>
            <w:noWrap w:val="0"/>
            <w:vAlign w:val="center"/>
          </w:tcPr>
          <w:p w14:paraId="3A41C11B">
            <w:pPr>
              <w:spacing w:line="400" w:lineRule="exact"/>
              <w:jc w:val="center"/>
              <w:rPr>
                <w:rFonts w:hint="eastAsia" w:ascii="宋体" w:hAnsi="宋体" w:eastAsia="宋体" w:cs="宋体"/>
                <w:color w:val="auto"/>
                <w:sz w:val="21"/>
                <w:szCs w:val="21"/>
                <w:highlight w:val="none"/>
                <w:shd w:val="clear" w:color="auto" w:fill="FFFFFF"/>
                <w:lang w:eastAsia="zh-CN"/>
              </w:rPr>
            </w:pPr>
            <w:r>
              <w:rPr>
                <w:rFonts w:hint="eastAsia" w:ascii="宋体" w:hAnsi="宋体" w:cs="宋体"/>
                <w:color w:val="auto"/>
                <w:sz w:val="21"/>
                <w:szCs w:val="21"/>
                <w:highlight w:val="none"/>
                <w:shd w:val="clear" w:color="auto" w:fill="FFFFFF"/>
                <w:lang w:val="en-US" w:eastAsia="zh-CN"/>
              </w:rPr>
              <w:t>6</w:t>
            </w:r>
          </w:p>
        </w:tc>
        <w:tc>
          <w:tcPr>
            <w:tcW w:w="1806" w:type="dxa"/>
            <w:noWrap w:val="0"/>
            <w:vAlign w:val="center"/>
          </w:tcPr>
          <w:p w14:paraId="2B65C934">
            <w:pPr>
              <w:spacing w:line="400" w:lineRule="exact"/>
              <w:jc w:val="center"/>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rPr>
              <w:t>朱三堰山塘</w:t>
            </w:r>
          </w:p>
        </w:tc>
        <w:tc>
          <w:tcPr>
            <w:tcW w:w="2386" w:type="dxa"/>
            <w:noWrap w:val="0"/>
            <w:vAlign w:val="center"/>
          </w:tcPr>
          <w:p w14:paraId="174291CE">
            <w:pPr>
              <w:spacing w:line="400" w:lineRule="exact"/>
              <w:jc w:val="center"/>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rPr>
              <w:t>婺城区蒋堂镇大源头村</w:t>
            </w:r>
          </w:p>
        </w:tc>
        <w:tc>
          <w:tcPr>
            <w:tcW w:w="1050" w:type="dxa"/>
            <w:noWrap w:val="0"/>
            <w:vAlign w:val="center"/>
          </w:tcPr>
          <w:p w14:paraId="44003767">
            <w:pPr>
              <w:spacing w:line="400" w:lineRule="exact"/>
              <w:jc w:val="center"/>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rPr>
              <w:t>山塘</w:t>
            </w:r>
          </w:p>
        </w:tc>
        <w:tc>
          <w:tcPr>
            <w:tcW w:w="3150" w:type="dxa"/>
            <w:noWrap w:val="0"/>
            <w:vAlign w:val="center"/>
          </w:tcPr>
          <w:p w14:paraId="185B8976">
            <w:pPr>
              <w:spacing w:line="400" w:lineRule="exact"/>
              <w:jc w:val="center"/>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金华市婺城区蒋堂镇人民政府</w:t>
            </w:r>
          </w:p>
        </w:tc>
        <w:tc>
          <w:tcPr>
            <w:tcW w:w="900" w:type="dxa"/>
            <w:noWrap w:val="0"/>
            <w:vAlign w:val="center"/>
          </w:tcPr>
          <w:p w14:paraId="3C1F82A1">
            <w:pPr>
              <w:spacing w:line="400" w:lineRule="exact"/>
              <w:jc w:val="center"/>
              <w:rPr>
                <w:rFonts w:hint="eastAsia" w:ascii="宋体" w:hAnsi="宋体" w:eastAsia="宋体" w:cs="宋体"/>
                <w:color w:val="auto"/>
                <w:sz w:val="21"/>
                <w:szCs w:val="21"/>
                <w:highlight w:val="none"/>
              </w:rPr>
            </w:pPr>
          </w:p>
        </w:tc>
      </w:tr>
      <w:tr w14:paraId="1E9591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trPr>
        <w:tc>
          <w:tcPr>
            <w:tcW w:w="445" w:type="dxa"/>
            <w:noWrap w:val="0"/>
            <w:vAlign w:val="center"/>
          </w:tcPr>
          <w:p w14:paraId="7F911891">
            <w:pPr>
              <w:spacing w:line="400" w:lineRule="exact"/>
              <w:jc w:val="center"/>
              <w:rPr>
                <w:rFonts w:hint="eastAsia" w:ascii="宋体" w:hAnsi="宋体" w:eastAsia="宋体" w:cs="宋体"/>
                <w:color w:val="auto"/>
                <w:sz w:val="21"/>
                <w:szCs w:val="21"/>
                <w:highlight w:val="none"/>
                <w:shd w:val="clear" w:color="auto" w:fill="FFFFFF"/>
                <w:lang w:eastAsia="zh-CN"/>
              </w:rPr>
            </w:pPr>
            <w:r>
              <w:rPr>
                <w:rFonts w:hint="eastAsia" w:ascii="宋体" w:hAnsi="宋体" w:cs="宋体"/>
                <w:color w:val="auto"/>
                <w:sz w:val="21"/>
                <w:szCs w:val="21"/>
                <w:highlight w:val="none"/>
                <w:shd w:val="clear" w:color="auto" w:fill="FFFFFF"/>
                <w:lang w:val="en-US" w:eastAsia="zh-CN"/>
              </w:rPr>
              <w:t>7</w:t>
            </w:r>
          </w:p>
        </w:tc>
        <w:tc>
          <w:tcPr>
            <w:tcW w:w="1806" w:type="dxa"/>
            <w:noWrap w:val="0"/>
            <w:vAlign w:val="center"/>
          </w:tcPr>
          <w:p w14:paraId="7DF005C0">
            <w:pPr>
              <w:spacing w:line="400" w:lineRule="exact"/>
              <w:jc w:val="center"/>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rPr>
              <w:t>寺垅山塘</w:t>
            </w:r>
          </w:p>
        </w:tc>
        <w:tc>
          <w:tcPr>
            <w:tcW w:w="2386" w:type="dxa"/>
            <w:noWrap w:val="0"/>
            <w:vAlign w:val="center"/>
          </w:tcPr>
          <w:p w14:paraId="1C2C1DE1">
            <w:pPr>
              <w:spacing w:line="400" w:lineRule="exact"/>
              <w:jc w:val="center"/>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rPr>
              <w:t>婺城区莘畈乡祝村</w:t>
            </w:r>
          </w:p>
        </w:tc>
        <w:tc>
          <w:tcPr>
            <w:tcW w:w="1050" w:type="dxa"/>
            <w:noWrap w:val="0"/>
            <w:vAlign w:val="center"/>
          </w:tcPr>
          <w:p w14:paraId="0A211B35">
            <w:pPr>
              <w:spacing w:line="400" w:lineRule="exact"/>
              <w:jc w:val="center"/>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rPr>
              <w:t>山塘</w:t>
            </w:r>
          </w:p>
        </w:tc>
        <w:tc>
          <w:tcPr>
            <w:tcW w:w="3150" w:type="dxa"/>
            <w:noWrap w:val="0"/>
            <w:vAlign w:val="center"/>
          </w:tcPr>
          <w:p w14:paraId="73041B40">
            <w:pPr>
              <w:spacing w:line="400" w:lineRule="exact"/>
              <w:jc w:val="center"/>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金华市婺城区</w:t>
            </w:r>
            <w:r>
              <w:rPr>
                <w:rFonts w:hint="eastAsia" w:ascii="宋体" w:hAnsi="宋体" w:eastAsia="宋体" w:cs="宋体"/>
                <w:color w:val="auto"/>
                <w:sz w:val="21"/>
                <w:szCs w:val="21"/>
                <w:highlight w:val="none"/>
              </w:rPr>
              <w:t>莘畈乡</w:t>
            </w:r>
            <w:r>
              <w:rPr>
                <w:rFonts w:hint="eastAsia" w:ascii="宋体" w:hAnsi="宋体" w:eastAsia="宋体" w:cs="宋体"/>
                <w:color w:val="auto"/>
                <w:sz w:val="21"/>
                <w:szCs w:val="21"/>
                <w:highlight w:val="none"/>
                <w:shd w:val="clear" w:color="auto" w:fill="FFFFFF"/>
              </w:rPr>
              <w:t>人民政府</w:t>
            </w:r>
          </w:p>
        </w:tc>
        <w:tc>
          <w:tcPr>
            <w:tcW w:w="900" w:type="dxa"/>
            <w:noWrap w:val="0"/>
            <w:vAlign w:val="center"/>
          </w:tcPr>
          <w:p w14:paraId="524096FB">
            <w:pPr>
              <w:spacing w:line="400" w:lineRule="exact"/>
              <w:jc w:val="center"/>
              <w:rPr>
                <w:rFonts w:hint="eastAsia" w:ascii="宋体" w:hAnsi="宋体" w:eastAsia="宋体" w:cs="宋体"/>
                <w:color w:val="auto"/>
                <w:sz w:val="21"/>
                <w:szCs w:val="21"/>
                <w:highlight w:val="none"/>
              </w:rPr>
            </w:pPr>
          </w:p>
        </w:tc>
      </w:tr>
      <w:tr w14:paraId="3953F7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trPr>
        <w:tc>
          <w:tcPr>
            <w:tcW w:w="445" w:type="dxa"/>
            <w:noWrap w:val="0"/>
            <w:vAlign w:val="center"/>
          </w:tcPr>
          <w:p w14:paraId="037375DB">
            <w:pPr>
              <w:spacing w:line="400" w:lineRule="exact"/>
              <w:jc w:val="center"/>
              <w:rPr>
                <w:rFonts w:hint="eastAsia" w:ascii="宋体" w:hAnsi="宋体" w:eastAsia="宋体" w:cs="宋体"/>
                <w:color w:val="auto"/>
                <w:sz w:val="21"/>
                <w:szCs w:val="21"/>
                <w:highlight w:val="none"/>
                <w:shd w:val="clear" w:color="auto" w:fill="FFFFFF"/>
                <w:lang w:eastAsia="zh-CN"/>
              </w:rPr>
            </w:pPr>
            <w:r>
              <w:rPr>
                <w:rFonts w:hint="eastAsia" w:ascii="宋体" w:hAnsi="宋体" w:cs="宋体"/>
                <w:color w:val="auto"/>
                <w:sz w:val="21"/>
                <w:szCs w:val="21"/>
                <w:highlight w:val="none"/>
                <w:shd w:val="clear" w:color="auto" w:fill="FFFFFF"/>
                <w:lang w:val="en-US" w:eastAsia="zh-CN"/>
              </w:rPr>
              <w:t>8</w:t>
            </w:r>
          </w:p>
        </w:tc>
        <w:tc>
          <w:tcPr>
            <w:tcW w:w="1806" w:type="dxa"/>
            <w:noWrap w:val="0"/>
            <w:vAlign w:val="center"/>
          </w:tcPr>
          <w:p w14:paraId="54EE044F">
            <w:pPr>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封公岭山塘</w:t>
            </w:r>
          </w:p>
        </w:tc>
        <w:tc>
          <w:tcPr>
            <w:tcW w:w="2386" w:type="dxa"/>
            <w:noWrap w:val="0"/>
            <w:vAlign w:val="center"/>
          </w:tcPr>
          <w:p w14:paraId="6C2BE90B">
            <w:pPr>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婺城区雅畈镇大山村</w:t>
            </w:r>
          </w:p>
        </w:tc>
        <w:tc>
          <w:tcPr>
            <w:tcW w:w="1050" w:type="dxa"/>
            <w:noWrap w:val="0"/>
            <w:vAlign w:val="center"/>
          </w:tcPr>
          <w:p w14:paraId="64EF8806">
            <w:pPr>
              <w:spacing w:line="400" w:lineRule="exact"/>
              <w:jc w:val="center"/>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rPr>
              <w:t>山塘</w:t>
            </w:r>
          </w:p>
        </w:tc>
        <w:tc>
          <w:tcPr>
            <w:tcW w:w="3150" w:type="dxa"/>
            <w:noWrap w:val="0"/>
            <w:vAlign w:val="center"/>
          </w:tcPr>
          <w:p w14:paraId="20ADF97A">
            <w:pPr>
              <w:spacing w:line="400" w:lineRule="exact"/>
              <w:jc w:val="center"/>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金华市婺城区雅畈镇人民政府</w:t>
            </w:r>
          </w:p>
        </w:tc>
        <w:tc>
          <w:tcPr>
            <w:tcW w:w="900" w:type="dxa"/>
            <w:noWrap w:val="0"/>
            <w:vAlign w:val="center"/>
          </w:tcPr>
          <w:p w14:paraId="271FC4A2">
            <w:pPr>
              <w:spacing w:line="400" w:lineRule="exact"/>
              <w:jc w:val="center"/>
              <w:rPr>
                <w:rFonts w:hint="eastAsia" w:ascii="宋体" w:hAnsi="宋体" w:eastAsia="宋体" w:cs="宋体"/>
                <w:color w:val="auto"/>
                <w:sz w:val="21"/>
                <w:szCs w:val="21"/>
                <w:highlight w:val="none"/>
              </w:rPr>
            </w:pPr>
          </w:p>
        </w:tc>
      </w:tr>
      <w:tr w14:paraId="5F4E23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trPr>
        <w:tc>
          <w:tcPr>
            <w:tcW w:w="445" w:type="dxa"/>
            <w:noWrap w:val="0"/>
            <w:vAlign w:val="center"/>
          </w:tcPr>
          <w:p w14:paraId="10BC1F96">
            <w:pPr>
              <w:spacing w:line="400" w:lineRule="exact"/>
              <w:jc w:val="center"/>
              <w:rPr>
                <w:rFonts w:hint="eastAsia" w:ascii="宋体" w:hAnsi="宋体" w:eastAsia="宋体" w:cs="宋体"/>
                <w:color w:val="auto"/>
                <w:sz w:val="21"/>
                <w:szCs w:val="21"/>
                <w:highlight w:val="none"/>
                <w:shd w:val="clear" w:color="auto" w:fill="FFFFFF"/>
                <w:lang w:eastAsia="zh-CN"/>
              </w:rPr>
            </w:pPr>
            <w:r>
              <w:rPr>
                <w:rFonts w:hint="eastAsia" w:ascii="宋体" w:hAnsi="宋体" w:cs="宋体"/>
                <w:color w:val="auto"/>
                <w:sz w:val="21"/>
                <w:szCs w:val="21"/>
                <w:highlight w:val="none"/>
                <w:shd w:val="clear" w:color="auto" w:fill="FFFFFF"/>
                <w:lang w:val="en-US" w:eastAsia="zh-CN"/>
              </w:rPr>
              <w:t>9</w:t>
            </w:r>
          </w:p>
        </w:tc>
        <w:tc>
          <w:tcPr>
            <w:tcW w:w="1806" w:type="dxa"/>
            <w:noWrap w:val="0"/>
            <w:vAlign w:val="center"/>
          </w:tcPr>
          <w:p w14:paraId="263A11D1">
            <w:pPr>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大深塘山塘</w:t>
            </w:r>
          </w:p>
        </w:tc>
        <w:tc>
          <w:tcPr>
            <w:tcW w:w="2386" w:type="dxa"/>
            <w:noWrap w:val="0"/>
            <w:vAlign w:val="center"/>
          </w:tcPr>
          <w:p w14:paraId="519651CF">
            <w:pPr>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婺城区雅畈镇殿后村</w:t>
            </w:r>
          </w:p>
        </w:tc>
        <w:tc>
          <w:tcPr>
            <w:tcW w:w="1050" w:type="dxa"/>
            <w:noWrap w:val="0"/>
            <w:vAlign w:val="center"/>
          </w:tcPr>
          <w:p w14:paraId="6BB67138">
            <w:pPr>
              <w:spacing w:line="400" w:lineRule="exact"/>
              <w:jc w:val="center"/>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rPr>
              <w:t>山塘</w:t>
            </w:r>
          </w:p>
        </w:tc>
        <w:tc>
          <w:tcPr>
            <w:tcW w:w="3150" w:type="dxa"/>
            <w:noWrap w:val="0"/>
            <w:vAlign w:val="center"/>
          </w:tcPr>
          <w:p w14:paraId="3DD6AFEF">
            <w:pPr>
              <w:spacing w:line="400" w:lineRule="exact"/>
              <w:jc w:val="center"/>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金华市婺城区雅畈镇人民政府</w:t>
            </w:r>
          </w:p>
        </w:tc>
        <w:tc>
          <w:tcPr>
            <w:tcW w:w="900" w:type="dxa"/>
            <w:noWrap w:val="0"/>
            <w:vAlign w:val="center"/>
          </w:tcPr>
          <w:p w14:paraId="6EAF515E">
            <w:pPr>
              <w:spacing w:line="400" w:lineRule="exact"/>
              <w:jc w:val="center"/>
              <w:rPr>
                <w:rFonts w:hint="eastAsia" w:ascii="宋体" w:hAnsi="宋体" w:eastAsia="宋体" w:cs="宋体"/>
                <w:color w:val="auto"/>
                <w:sz w:val="21"/>
                <w:szCs w:val="21"/>
                <w:highlight w:val="none"/>
              </w:rPr>
            </w:pPr>
          </w:p>
        </w:tc>
      </w:tr>
      <w:tr w14:paraId="103D8A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trPr>
        <w:tc>
          <w:tcPr>
            <w:tcW w:w="445" w:type="dxa"/>
            <w:noWrap w:val="0"/>
            <w:vAlign w:val="center"/>
          </w:tcPr>
          <w:p w14:paraId="031517AF">
            <w:pPr>
              <w:spacing w:line="400" w:lineRule="exact"/>
              <w:jc w:val="center"/>
              <w:rPr>
                <w:rFonts w:hint="default" w:ascii="宋体" w:hAnsi="宋体" w:eastAsia="宋体" w:cs="宋体"/>
                <w:color w:val="auto"/>
                <w:sz w:val="21"/>
                <w:szCs w:val="21"/>
                <w:highlight w:val="none"/>
                <w:shd w:val="clear" w:color="auto" w:fill="FFFFFF"/>
                <w:lang w:val="en-US" w:eastAsia="zh-CN"/>
              </w:rPr>
            </w:pPr>
            <w:r>
              <w:rPr>
                <w:rFonts w:hint="eastAsia" w:ascii="宋体" w:hAnsi="宋体" w:cs="宋体"/>
                <w:color w:val="auto"/>
                <w:sz w:val="21"/>
                <w:szCs w:val="21"/>
                <w:highlight w:val="none"/>
                <w:shd w:val="clear" w:color="auto" w:fill="FFFFFF"/>
                <w:lang w:val="en-US" w:eastAsia="zh-CN"/>
              </w:rPr>
              <w:t>10</w:t>
            </w:r>
          </w:p>
        </w:tc>
        <w:tc>
          <w:tcPr>
            <w:tcW w:w="1806" w:type="dxa"/>
            <w:noWrap w:val="0"/>
            <w:vAlign w:val="center"/>
          </w:tcPr>
          <w:p w14:paraId="226C7AB4">
            <w:pPr>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龛塘山塘</w:t>
            </w:r>
          </w:p>
        </w:tc>
        <w:tc>
          <w:tcPr>
            <w:tcW w:w="2386" w:type="dxa"/>
            <w:noWrap w:val="0"/>
            <w:vAlign w:val="center"/>
          </w:tcPr>
          <w:p w14:paraId="1D53A23D">
            <w:pPr>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婺城区雅畈镇一村</w:t>
            </w:r>
          </w:p>
        </w:tc>
        <w:tc>
          <w:tcPr>
            <w:tcW w:w="1050" w:type="dxa"/>
            <w:noWrap w:val="0"/>
            <w:vAlign w:val="center"/>
          </w:tcPr>
          <w:p w14:paraId="33F28944">
            <w:pPr>
              <w:spacing w:line="400" w:lineRule="exact"/>
              <w:jc w:val="center"/>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rPr>
              <w:t>山塘</w:t>
            </w:r>
          </w:p>
        </w:tc>
        <w:tc>
          <w:tcPr>
            <w:tcW w:w="3150" w:type="dxa"/>
            <w:noWrap w:val="0"/>
            <w:vAlign w:val="center"/>
          </w:tcPr>
          <w:p w14:paraId="1853C0C5">
            <w:pPr>
              <w:spacing w:line="400" w:lineRule="exact"/>
              <w:jc w:val="center"/>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金华市婺城区雅畈镇人民政府</w:t>
            </w:r>
          </w:p>
        </w:tc>
        <w:tc>
          <w:tcPr>
            <w:tcW w:w="900" w:type="dxa"/>
            <w:noWrap w:val="0"/>
            <w:vAlign w:val="center"/>
          </w:tcPr>
          <w:p w14:paraId="488384EB">
            <w:pPr>
              <w:spacing w:line="400" w:lineRule="exact"/>
              <w:jc w:val="center"/>
              <w:rPr>
                <w:rFonts w:hint="eastAsia" w:ascii="宋体" w:hAnsi="宋体" w:eastAsia="宋体" w:cs="宋体"/>
                <w:color w:val="auto"/>
                <w:sz w:val="21"/>
                <w:szCs w:val="21"/>
                <w:highlight w:val="none"/>
              </w:rPr>
            </w:pPr>
          </w:p>
        </w:tc>
      </w:tr>
      <w:tr w14:paraId="77D139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trPr>
        <w:tc>
          <w:tcPr>
            <w:tcW w:w="445" w:type="dxa"/>
            <w:noWrap w:val="0"/>
            <w:vAlign w:val="center"/>
          </w:tcPr>
          <w:p w14:paraId="2A423951">
            <w:pPr>
              <w:spacing w:line="400" w:lineRule="exact"/>
              <w:jc w:val="center"/>
              <w:rPr>
                <w:rFonts w:hint="default" w:ascii="宋体" w:hAnsi="宋体" w:eastAsia="宋体" w:cs="宋体"/>
                <w:color w:val="auto"/>
                <w:sz w:val="21"/>
                <w:szCs w:val="21"/>
                <w:highlight w:val="none"/>
                <w:shd w:val="clear" w:color="auto" w:fill="FFFFFF"/>
                <w:lang w:val="en-US" w:eastAsia="zh-CN"/>
              </w:rPr>
            </w:pPr>
            <w:r>
              <w:rPr>
                <w:rFonts w:hint="eastAsia" w:ascii="宋体" w:hAnsi="宋体" w:cs="宋体"/>
                <w:color w:val="auto"/>
                <w:sz w:val="21"/>
                <w:szCs w:val="21"/>
                <w:highlight w:val="none"/>
                <w:shd w:val="clear" w:color="auto" w:fill="FFFFFF"/>
                <w:lang w:val="en-US" w:eastAsia="zh-CN"/>
              </w:rPr>
              <w:t>11</w:t>
            </w:r>
          </w:p>
        </w:tc>
        <w:tc>
          <w:tcPr>
            <w:tcW w:w="1806" w:type="dxa"/>
            <w:noWrap w:val="0"/>
            <w:vAlign w:val="center"/>
          </w:tcPr>
          <w:p w14:paraId="170B06EE">
            <w:pPr>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寺后塘山塘</w:t>
            </w:r>
          </w:p>
        </w:tc>
        <w:tc>
          <w:tcPr>
            <w:tcW w:w="2386" w:type="dxa"/>
            <w:noWrap w:val="0"/>
            <w:vAlign w:val="center"/>
          </w:tcPr>
          <w:p w14:paraId="07661C50">
            <w:pPr>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婺城区安地镇寺口村</w:t>
            </w:r>
          </w:p>
        </w:tc>
        <w:tc>
          <w:tcPr>
            <w:tcW w:w="1050" w:type="dxa"/>
            <w:noWrap w:val="0"/>
            <w:vAlign w:val="center"/>
          </w:tcPr>
          <w:p w14:paraId="719C7521">
            <w:pPr>
              <w:spacing w:line="400" w:lineRule="exact"/>
              <w:jc w:val="center"/>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rPr>
              <w:t>山塘</w:t>
            </w:r>
          </w:p>
        </w:tc>
        <w:tc>
          <w:tcPr>
            <w:tcW w:w="3150" w:type="dxa"/>
            <w:noWrap w:val="0"/>
            <w:vAlign w:val="center"/>
          </w:tcPr>
          <w:p w14:paraId="6D479198">
            <w:pPr>
              <w:spacing w:line="400" w:lineRule="exact"/>
              <w:jc w:val="center"/>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金华市婺城区安地镇人民政府</w:t>
            </w:r>
          </w:p>
        </w:tc>
        <w:tc>
          <w:tcPr>
            <w:tcW w:w="900" w:type="dxa"/>
            <w:noWrap w:val="0"/>
            <w:vAlign w:val="center"/>
          </w:tcPr>
          <w:p w14:paraId="174CB705">
            <w:pPr>
              <w:spacing w:line="400" w:lineRule="exact"/>
              <w:jc w:val="center"/>
              <w:rPr>
                <w:rFonts w:hint="eastAsia" w:ascii="宋体" w:hAnsi="宋体" w:eastAsia="宋体" w:cs="宋体"/>
                <w:color w:val="auto"/>
                <w:sz w:val="21"/>
                <w:szCs w:val="21"/>
                <w:highlight w:val="none"/>
              </w:rPr>
            </w:pPr>
          </w:p>
        </w:tc>
      </w:tr>
      <w:tr w14:paraId="11E510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trPr>
        <w:tc>
          <w:tcPr>
            <w:tcW w:w="445" w:type="dxa"/>
            <w:noWrap w:val="0"/>
            <w:vAlign w:val="center"/>
          </w:tcPr>
          <w:p w14:paraId="6485331B">
            <w:pPr>
              <w:spacing w:line="400" w:lineRule="exact"/>
              <w:jc w:val="center"/>
              <w:rPr>
                <w:rFonts w:hint="default" w:ascii="宋体" w:hAnsi="宋体" w:eastAsia="宋体" w:cs="宋体"/>
                <w:color w:val="auto"/>
                <w:sz w:val="21"/>
                <w:szCs w:val="21"/>
                <w:highlight w:val="none"/>
                <w:shd w:val="clear" w:color="auto" w:fill="FFFFFF"/>
                <w:lang w:val="en-US" w:eastAsia="zh-CN"/>
              </w:rPr>
            </w:pPr>
            <w:r>
              <w:rPr>
                <w:rFonts w:hint="eastAsia" w:ascii="宋体" w:hAnsi="宋体" w:cs="宋体"/>
                <w:color w:val="auto"/>
                <w:sz w:val="21"/>
                <w:szCs w:val="21"/>
                <w:highlight w:val="none"/>
                <w:shd w:val="clear" w:color="auto" w:fill="FFFFFF"/>
                <w:lang w:val="en-US" w:eastAsia="zh-CN"/>
              </w:rPr>
              <w:t>12</w:t>
            </w:r>
          </w:p>
        </w:tc>
        <w:tc>
          <w:tcPr>
            <w:tcW w:w="1806" w:type="dxa"/>
            <w:noWrap w:val="0"/>
            <w:vAlign w:val="center"/>
          </w:tcPr>
          <w:p w14:paraId="30E64715">
            <w:pPr>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石岭头山塘</w:t>
            </w:r>
          </w:p>
        </w:tc>
        <w:tc>
          <w:tcPr>
            <w:tcW w:w="2386" w:type="dxa"/>
            <w:noWrap w:val="0"/>
            <w:vAlign w:val="center"/>
          </w:tcPr>
          <w:p w14:paraId="7E67E0DC">
            <w:pPr>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婺城区安地镇喻斯村</w:t>
            </w:r>
          </w:p>
        </w:tc>
        <w:tc>
          <w:tcPr>
            <w:tcW w:w="1050" w:type="dxa"/>
            <w:noWrap w:val="0"/>
            <w:vAlign w:val="center"/>
          </w:tcPr>
          <w:p w14:paraId="032C23B8">
            <w:pPr>
              <w:spacing w:line="400" w:lineRule="exact"/>
              <w:jc w:val="center"/>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rPr>
              <w:t>山塘</w:t>
            </w:r>
          </w:p>
        </w:tc>
        <w:tc>
          <w:tcPr>
            <w:tcW w:w="3150" w:type="dxa"/>
            <w:noWrap w:val="0"/>
            <w:vAlign w:val="center"/>
          </w:tcPr>
          <w:p w14:paraId="21EC04BC">
            <w:pPr>
              <w:spacing w:line="400" w:lineRule="exact"/>
              <w:jc w:val="center"/>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金华市婺城区安地镇人民政府</w:t>
            </w:r>
          </w:p>
        </w:tc>
        <w:tc>
          <w:tcPr>
            <w:tcW w:w="900" w:type="dxa"/>
            <w:noWrap w:val="0"/>
            <w:vAlign w:val="center"/>
          </w:tcPr>
          <w:p w14:paraId="2B7C909D">
            <w:pPr>
              <w:spacing w:line="400" w:lineRule="exact"/>
              <w:jc w:val="center"/>
              <w:rPr>
                <w:rFonts w:hint="eastAsia" w:ascii="宋体" w:hAnsi="宋体" w:eastAsia="宋体" w:cs="宋体"/>
                <w:color w:val="auto"/>
                <w:sz w:val="21"/>
                <w:szCs w:val="21"/>
                <w:highlight w:val="none"/>
              </w:rPr>
            </w:pPr>
          </w:p>
        </w:tc>
      </w:tr>
      <w:tr w14:paraId="4D0BD0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8" w:hRule="atLeast"/>
        </w:trPr>
        <w:tc>
          <w:tcPr>
            <w:tcW w:w="9737" w:type="dxa"/>
            <w:gridSpan w:val="6"/>
            <w:noWrap w:val="0"/>
            <w:vAlign w:val="center"/>
          </w:tcPr>
          <w:p w14:paraId="0202CE98">
            <w:pPr>
              <w:spacing w:line="400" w:lineRule="exact"/>
              <w:jc w:val="left"/>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注：管理单位（管理责任主体）</w:t>
            </w:r>
            <w:r>
              <w:rPr>
                <w:rFonts w:hint="eastAsia" w:ascii="宋体" w:hAnsi="宋体" w:eastAsia="宋体" w:cs="宋体"/>
                <w:color w:val="auto"/>
                <w:sz w:val="21"/>
                <w:szCs w:val="21"/>
                <w:highlight w:val="none"/>
              </w:rPr>
              <w:t>如有改变，由最新的</w:t>
            </w:r>
            <w:r>
              <w:rPr>
                <w:rFonts w:hint="eastAsia" w:ascii="宋体" w:hAnsi="宋体" w:eastAsia="宋体" w:cs="宋体"/>
                <w:color w:val="auto"/>
                <w:sz w:val="21"/>
                <w:szCs w:val="21"/>
                <w:highlight w:val="none"/>
                <w:shd w:val="clear" w:color="auto" w:fill="FFFFFF"/>
              </w:rPr>
              <w:t>管理单位（管理责任主体）接替。水库名录如遇调整，以省市水行政主管部门公布为准</w:t>
            </w:r>
          </w:p>
        </w:tc>
      </w:tr>
    </w:tbl>
    <w:p w14:paraId="220EB176">
      <w:pPr>
        <w:pStyle w:val="60"/>
        <w:rPr>
          <w:rFonts w:hint="eastAsia"/>
          <w:color w:val="auto"/>
          <w:highlight w:val="none"/>
        </w:rPr>
      </w:pPr>
    </w:p>
    <w:p w14:paraId="2E505A89">
      <w:pPr>
        <w:rPr>
          <w:rFonts w:hint="eastAsia" w:ascii="宋体" w:hAnsi="宋体" w:cs="宋体"/>
          <w:b/>
          <w:color w:val="auto"/>
          <w:sz w:val="21"/>
          <w:szCs w:val="21"/>
          <w:highlight w:val="none"/>
        </w:rPr>
      </w:pPr>
      <w:r>
        <w:rPr>
          <w:rFonts w:hint="eastAsia" w:ascii="宋体" w:hAnsi="宋体" w:cs="宋体"/>
          <w:b/>
          <w:color w:val="auto"/>
          <w:sz w:val="21"/>
          <w:szCs w:val="21"/>
          <w:highlight w:val="none"/>
        </w:rPr>
        <w:br w:type="page"/>
      </w:r>
    </w:p>
    <w:p w14:paraId="6E8D5A68">
      <w:pPr>
        <w:jc w:val="left"/>
        <w:outlineLvl w:val="1"/>
        <w:rPr>
          <w:rFonts w:hint="eastAsia" w:ascii="宋体" w:hAnsi="宋体" w:cs="宋体"/>
          <w:b/>
          <w:color w:val="auto"/>
          <w:sz w:val="21"/>
          <w:szCs w:val="21"/>
          <w:highlight w:val="none"/>
        </w:rPr>
      </w:pPr>
      <w:r>
        <w:rPr>
          <w:rFonts w:hint="eastAsia" w:ascii="宋体" w:hAnsi="宋体" w:cs="宋体"/>
          <w:b/>
          <w:color w:val="auto"/>
          <w:sz w:val="21"/>
          <w:szCs w:val="21"/>
          <w:highlight w:val="none"/>
        </w:rPr>
        <w:t>附件</w:t>
      </w:r>
      <w:r>
        <w:rPr>
          <w:rFonts w:hint="eastAsia" w:ascii="宋体" w:hAnsi="宋体" w:cs="宋体"/>
          <w:b/>
          <w:color w:val="auto"/>
          <w:sz w:val="21"/>
          <w:szCs w:val="21"/>
          <w:highlight w:val="none"/>
          <w:lang w:val="en-US" w:eastAsia="zh-CN"/>
        </w:rPr>
        <w:t>4</w:t>
      </w:r>
      <w:r>
        <w:rPr>
          <w:rFonts w:hint="eastAsia" w:ascii="宋体" w:hAnsi="宋体" w:cs="宋体"/>
          <w:b/>
          <w:color w:val="auto"/>
          <w:sz w:val="21"/>
          <w:szCs w:val="21"/>
          <w:highlight w:val="none"/>
        </w:rPr>
        <w:t>：</w:t>
      </w:r>
    </w:p>
    <w:p w14:paraId="15422AAF">
      <w:pPr>
        <w:jc w:val="center"/>
        <w:outlineLvl w:val="1"/>
        <w:rPr>
          <w:rFonts w:ascii="宋体" w:hAnsi="宋体" w:cs="宋体"/>
          <w:b/>
          <w:color w:val="auto"/>
          <w:sz w:val="21"/>
          <w:szCs w:val="21"/>
          <w:highlight w:val="none"/>
        </w:rPr>
      </w:pPr>
      <w:r>
        <w:rPr>
          <w:rFonts w:hint="eastAsia" w:ascii="宋体" w:hAnsi="宋体" w:cs="宋体"/>
          <w:b/>
          <w:color w:val="auto"/>
          <w:sz w:val="21"/>
          <w:szCs w:val="21"/>
          <w:highlight w:val="none"/>
        </w:rPr>
        <w:t>婺城区小型水利工程物业化考核内容及评分标准</w:t>
      </w:r>
    </w:p>
    <w:tbl>
      <w:tblPr>
        <w:tblStyle w:val="46"/>
        <w:tblW w:w="10025" w:type="dxa"/>
        <w:jc w:val="center"/>
        <w:tblLayout w:type="fixed"/>
        <w:tblCellMar>
          <w:top w:w="0" w:type="dxa"/>
          <w:left w:w="108" w:type="dxa"/>
          <w:bottom w:w="0" w:type="dxa"/>
          <w:right w:w="108" w:type="dxa"/>
        </w:tblCellMar>
      </w:tblPr>
      <w:tblGrid>
        <w:gridCol w:w="450"/>
        <w:gridCol w:w="1163"/>
        <w:gridCol w:w="867"/>
        <w:gridCol w:w="5963"/>
        <w:gridCol w:w="841"/>
        <w:gridCol w:w="741"/>
      </w:tblGrid>
      <w:tr w14:paraId="2A2F1B3A">
        <w:tblPrEx>
          <w:tblCellMar>
            <w:top w:w="0" w:type="dxa"/>
            <w:left w:w="108" w:type="dxa"/>
            <w:bottom w:w="0" w:type="dxa"/>
            <w:right w:w="108" w:type="dxa"/>
          </w:tblCellMar>
        </w:tblPrEx>
        <w:trPr>
          <w:cantSplit/>
          <w:trHeight w:val="57" w:hRule="atLeast"/>
          <w:jc w:val="center"/>
        </w:trPr>
        <w:tc>
          <w:tcPr>
            <w:tcW w:w="450" w:type="dxa"/>
            <w:tcBorders>
              <w:top w:val="single" w:color="auto" w:sz="4" w:space="0"/>
              <w:left w:val="single" w:color="auto" w:sz="4" w:space="0"/>
              <w:bottom w:val="single" w:color="auto" w:sz="4" w:space="0"/>
              <w:right w:val="single" w:color="auto" w:sz="4" w:space="0"/>
            </w:tcBorders>
            <w:noWrap/>
            <w:vAlign w:val="center"/>
          </w:tcPr>
          <w:p w14:paraId="0273CE67">
            <w:pPr>
              <w:jc w:val="center"/>
              <w:rPr>
                <w:rFonts w:ascii="宋体" w:hAnsi="宋体" w:cs="宋体"/>
                <w:color w:val="auto"/>
                <w:sz w:val="21"/>
                <w:szCs w:val="21"/>
                <w:highlight w:val="none"/>
              </w:rPr>
            </w:pPr>
            <w:r>
              <w:rPr>
                <w:rFonts w:hint="eastAsia" w:ascii="宋体" w:hAnsi="宋体" w:cs="宋体"/>
                <w:color w:val="auto"/>
                <w:sz w:val="21"/>
                <w:szCs w:val="21"/>
                <w:highlight w:val="none"/>
              </w:rPr>
              <w:t>序号</w:t>
            </w:r>
          </w:p>
        </w:tc>
        <w:tc>
          <w:tcPr>
            <w:tcW w:w="1163" w:type="dxa"/>
            <w:tcBorders>
              <w:top w:val="single" w:color="auto" w:sz="4" w:space="0"/>
              <w:left w:val="nil"/>
              <w:bottom w:val="single" w:color="auto" w:sz="4" w:space="0"/>
              <w:right w:val="single" w:color="auto" w:sz="4" w:space="0"/>
            </w:tcBorders>
            <w:noWrap/>
            <w:vAlign w:val="center"/>
          </w:tcPr>
          <w:p w14:paraId="4B78F5B8">
            <w:pPr>
              <w:jc w:val="center"/>
              <w:rPr>
                <w:rFonts w:ascii="宋体" w:hAnsi="宋体" w:cs="宋体"/>
                <w:color w:val="auto"/>
                <w:sz w:val="21"/>
                <w:szCs w:val="21"/>
                <w:highlight w:val="none"/>
              </w:rPr>
            </w:pPr>
            <w:r>
              <w:rPr>
                <w:rFonts w:hint="eastAsia" w:ascii="宋体" w:hAnsi="宋体" w:cs="宋体"/>
                <w:color w:val="auto"/>
                <w:sz w:val="21"/>
                <w:szCs w:val="21"/>
                <w:highlight w:val="none"/>
              </w:rPr>
              <w:t>考核项目</w:t>
            </w:r>
          </w:p>
        </w:tc>
        <w:tc>
          <w:tcPr>
            <w:tcW w:w="867" w:type="dxa"/>
            <w:tcBorders>
              <w:top w:val="single" w:color="auto" w:sz="4" w:space="0"/>
              <w:left w:val="nil"/>
              <w:bottom w:val="single" w:color="auto" w:sz="4" w:space="0"/>
              <w:right w:val="single" w:color="auto" w:sz="4" w:space="0"/>
            </w:tcBorders>
            <w:noWrap/>
            <w:vAlign w:val="center"/>
          </w:tcPr>
          <w:p w14:paraId="6AFE6CA2">
            <w:pPr>
              <w:jc w:val="center"/>
              <w:rPr>
                <w:rFonts w:ascii="宋体" w:hAnsi="宋体" w:cs="宋体"/>
                <w:color w:val="auto"/>
                <w:sz w:val="21"/>
                <w:szCs w:val="21"/>
                <w:highlight w:val="none"/>
              </w:rPr>
            </w:pPr>
            <w:r>
              <w:rPr>
                <w:rFonts w:hint="eastAsia" w:ascii="宋体" w:hAnsi="宋体" w:cs="宋体"/>
                <w:color w:val="auto"/>
                <w:sz w:val="21"/>
                <w:szCs w:val="21"/>
                <w:highlight w:val="none"/>
              </w:rPr>
              <w:t>标准分</w:t>
            </w:r>
          </w:p>
        </w:tc>
        <w:tc>
          <w:tcPr>
            <w:tcW w:w="5963" w:type="dxa"/>
            <w:tcBorders>
              <w:top w:val="single" w:color="auto" w:sz="4" w:space="0"/>
              <w:left w:val="nil"/>
              <w:bottom w:val="single" w:color="auto" w:sz="4" w:space="0"/>
              <w:right w:val="single" w:color="auto" w:sz="4" w:space="0"/>
            </w:tcBorders>
            <w:noWrap/>
            <w:vAlign w:val="center"/>
          </w:tcPr>
          <w:p w14:paraId="7099378C">
            <w:pPr>
              <w:jc w:val="center"/>
              <w:rPr>
                <w:rFonts w:ascii="宋体" w:hAnsi="宋体" w:cs="宋体"/>
                <w:color w:val="auto"/>
                <w:sz w:val="21"/>
                <w:szCs w:val="21"/>
                <w:highlight w:val="none"/>
              </w:rPr>
            </w:pPr>
            <w:r>
              <w:rPr>
                <w:rFonts w:hint="eastAsia" w:ascii="宋体" w:hAnsi="宋体" w:cs="宋体"/>
                <w:color w:val="auto"/>
                <w:sz w:val="21"/>
                <w:szCs w:val="21"/>
                <w:highlight w:val="none"/>
              </w:rPr>
              <w:t>赋分原则及考核标准</w:t>
            </w:r>
          </w:p>
        </w:tc>
        <w:tc>
          <w:tcPr>
            <w:tcW w:w="841" w:type="dxa"/>
            <w:tcBorders>
              <w:top w:val="single" w:color="auto" w:sz="4" w:space="0"/>
              <w:left w:val="nil"/>
              <w:bottom w:val="single" w:color="auto" w:sz="4" w:space="0"/>
              <w:right w:val="single" w:color="auto" w:sz="4" w:space="0"/>
            </w:tcBorders>
            <w:noWrap/>
            <w:vAlign w:val="center"/>
          </w:tcPr>
          <w:p w14:paraId="20975BBC">
            <w:pPr>
              <w:jc w:val="center"/>
              <w:rPr>
                <w:rFonts w:ascii="宋体" w:hAnsi="宋体" w:cs="宋体"/>
                <w:color w:val="auto"/>
                <w:sz w:val="21"/>
                <w:szCs w:val="21"/>
                <w:highlight w:val="none"/>
              </w:rPr>
            </w:pPr>
            <w:r>
              <w:rPr>
                <w:rFonts w:hint="eastAsia" w:ascii="宋体" w:hAnsi="宋体" w:cs="宋体"/>
                <w:color w:val="auto"/>
                <w:sz w:val="21"/>
                <w:szCs w:val="21"/>
                <w:highlight w:val="none"/>
              </w:rPr>
              <w:t>得分</w:t>
            </w:r>
          </w:p>
        </w:tc>
        <w:tc>
          <w:tcPr>
            <w:tcW w:w="741" w:type="dxa"/>
            <w:tcBorders>
              <w:top w:val="single" w:color="auto" w:sz="4" w:space="0"/>
              <w:left w:val="nil"/>
              <w:bottom w:val="single" w:color="auto" w:sz="4" w:space="0"/>
              <w:right w:val="single" w:color="auto" w:sz="4" w:space="0"/>
            </w:tcBorders>
            <w:noWrap/>
            <w:vAlign w:val="center"/>
          </w:tcPr>
          <w:p w14:paraId="3EE6C569">
            <w:pPr>
              <w:jc w:val="center"/>
              <w:rPr>
                <w:rFonts w:ascii="宋体" w:hAnsi="宋体" w:cs="宋体"/>
                <w:color w:val="auto"/>
                <w:sz w:val="21"/>
                <w:szCs w:val="21"/>
                <w:highlight w:val="none"/>
              </w:rPr>
            </w:pPr>
            <w:r>
              <w:rPr>
                <w:rFonts w:hint="eastAsia" w:ascii="宋体" w:hAnsi="宋体" w:cs="宋体"/>
                <w:color w:val="auto"/>
                <w:sz w:val="21"/>
                <w:szCs w:val="21"/>
                <w:highlight w:val="none"/>
              </w:rPr>
              <w:t>存在问题</w:t>
            </w:r>
          </w:p>
        </w:tc>
      </w:tr>
      <w:tr w14:paraId="6422017B">
        <w:tblPrEx>
          <w:tblCellMar>
            <w:top w:w="0" w:type="dxa"/>
            <w:left w:w="108" w:type="dxa"/>
            <w:bottom w:w="0" w:type="dxa"/>
            <w:right w:w="108" w:type="dxa"/>
          </w:tblCellMar>
        </w:tblPrEx>
        <w:trPr>
          <w:cantSplit/>
          <w:trHeight w:val="1211" w:hRule="atLeast"/>
          <w:jc w:val="center"/>
        </w:trPr>
        <w:tc>
          <w:tcPr>
            <w:tcW w:w="450" w:type="dxa"/>
            <w:tcBorders>
              <w:top w:val="nil"/>
              <w:left w:val="single" w:color="auto" w:sz="4" w:space="0"/>
              <w:bottom w:val="single" w:color="auto" w:sz="4" w:space="0"/>
              <w:right w:val="single" w:color="auto" w:sz="4" w:space="0"/>
            </w:tcBorders>
            <w:noWrap/>
            <w:vAlign w:val="center"/>
          </w:tcPr>
          <w:p w14:paraId="7A6FE016">
            <w:pPr>
              <w:jc w:val="center"/>
              <w:rPr>
                <w:rFonts w:ascii="宋体" w:hAnsi="宋体" w:cs="宋体"/>
                <w:color w:val="auto"/>
                <w:sz w:val="21"/>
                <w:szCs w:val="21"/>
                <w:highlight w:val="none"/>
              </w:rPr>
            </w:pPr>
            <w:r>
              <w:rPr>
                <w:rFonts w:hint="eastAsia" w:ascii="宋体" w:hAnsi="宋体" w:cs="宋体"/>
                <w:color w:val="auto"/>
                <w:sz w:val="21"/>
                <w:szCs w:val="21"/>
                <w:highlight w:val="none"/>
              </w:rPr>
              <w:t>1</w:t>
            </w:r>
          </w:p>
        </w:tc>
        <w:tc>
          <w:tcPr>
            <w:tcW w:w="1163" w:type="dxa"/>
            <w:tcBorders>
              <w:top w:val="nil"/>
              <w:left w:val="nil"/>
              <w:bottom w:val="single" w:color="auto" w:sz="4" w:space="0"/>
              <w:right w:val="single" w:color="auto" w:sz="4" w:space="0"/>
            </w:tcBorders>
            <w:noWrap/>
            <w:vAlign w:val="center"/>
          </w:tcPr>
          <w:p w14:paraId="4DC5CBDC">
            <w:pPr>
              <w:jc w:val="center"/>
              <w:rPr>
                <w:rFonts w:ascii="宋体" w:hAnsi="宋体" w:cs="宋体"/>
                <w:color w:val="auto"/>
                <w:sz w:val="21"/>
                <w:szCs w:val="21"/>
                <w:highlight w:val="none"/>
              </w:rPr>
            </w:pPr>
            <w:r>
              <w:rPr>
                <w:rFonts w:hint="eastAsia" w:ascii="宋体" w:hAnsi="宋体" w:cs="宋体"/>
                <w:color w:val="auto"/>
                <w:sz w:val="21"/>
                <w:szCs w:val="21"/>
                <w:highlight w:val="none"/>
              </w:rPr>
              <w:t>组织机构及管理方案</w:t>
            </w:r>
          </w:p>
        </w:tc>
        <w:tc>
          <w:tcPr>
            <w:tcW w:w="867" w:type="dxa"/>
            <w:tcBorders>
              <w:top w:val="nil"/>
              <w:left w:val="nil"/>
              <w:bottom w:val="single" w:color="auto" w:sz="4" w:space="0"/>
              <w:right w:val="single" w:color="auto" w:sz="4" w:space="0"/>
            </w:tcBorders>
            <w:noWrap/>
            <w:vAlign w:val="center"/>
          </w:tcPr>
          <w:p w14:paraId="67BAB35A">
            <w:pPr>
              <w:jc w:val="center"/>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val="en-US" w:eastAsia="zh-CN"/>
              </w:rPr>
              <w:t>4</w:t>
            </w:r>
          </w:p>
        </w:tc>
        <w:tc>
          <w:tcPr>
            <w:tcW w:w="5963" w:type="dxa"/>
            <w:tcBorders>
              <w:top w:val="nil"/>
              <w:left w:val="nil"/>
              <w:bottom w:val="single" w:color="auto" w:sz="4" w:space="0"/>
              <w:right w:val="single" w:color="auto" w:sz="4" w:space="0"/>
            </w:tcBorders>
            <w:noWrap/>
            <w:vAlign w:val="center"/>
          </w:tcPr>
          <w:p w14:paraId="180D0DA4">
            <w:pPr>
              <w:rPr>
                <w:rFonts w:ascii="宋体" w:hAnsi="宋体" w:cs="宋体"/>
                <w:color w:val="auto"/>
                <w:sz w:val="21"/>
                <w:szCs w:val="21"/>
                <w:highlight w:val="none"/>
              </w:rPr>
            </w:pPr>
            <w:r>
              <w:rPr>
                <w:rFonts w:hint="eastAsia" w:ascii="宋体" w:hAnsi="宋体" w:cs="宋体"/>
                <w:color w:val="auto"/>
                <w:sz w:val="21"/>
                <w:szCs w:val="21"/>
                <w:highlight w:val="none"/>
              </w:rPr>
              <w:t>物业化办公场所及相应物资、设施（0-1分），物业化管理人员配置是否合理，能否满足工作要求（0-1分）、维修养护计划方案（0-</w:t>
            </w:r>
            <w:r>
              <w:rPr>
                <w:rFonts w:hint="eastAsia" w:ascii="宋体" w:hAnsi="宋体" w:cs="宋体"/>
                <w:color w:val="auto"/>
                <w:sz w:val="21"/>
                <w:szCs w:val="21"/>
                <w:highlight w:val="none"/>
                <w:lang w:val="en-US" w:eastAsia="zh-CN"/>
              </w:rPr>
              <w:t>1</w:t>
            </w:r>
            <w:r>
              <w:rPr>
                <w:rFonts w:hint="eastAsia" w:ascii="宋体" w:hAnsi="宋体" w:cs="宋体"/>
                <w:color w:val="auto"/>
                <w:sz w:val="21"/>
                <w:szCs w:val="21"/>
                <w:highlight w:val="none"/>
              </w:rPr>
              <w:t>分），管理制度（0-1分）。</w:t>
            </w:r>
          </w:p>
        </w:tc>
        <w:tc>
          <w:tcPr>
            <w:tcW w:w="841" w:type="dxa"/>
            <w:tcBorders>
              <w:top w:val="nil"/>
              <w:left w:val="nil"/>
              <w:bottom w:val="single" w:color="auto" w:sz="4" w:space="0"/>
              <w:right w:val="single" w:color="auto" w:sz="4" w:space="0"/>
            </w:tcBorders>
            <w:noWrap/>
            <w:vAlign w:val="center"/>
          </w:tcPr>
          <w:p w14:paraId="35D5AE60">
            <w:pPr>
              <w:rPr>
                <w:rFonts w:ascii="宋体" w:hAnsi="宋体" w:cs="宋体"/>
                <w:color w:val="auto"/>
                <w:sz w:val="21"/>
                <w:szCs w:val="21"/>
                <w:highlight w:val="none"/>
              </w:rPr>
            </w:pPr>
          </w:p>
        </w:tc>
        <w:tc>
          <w:tcPr>
            <w:tcW w:w="741" w:type="dxa"/>
            <w:tcBorders>
              <w:top w:val="nil"/>
              <w:left w:val="nil"/>
              <w:bottom w:val="single" w:color="auto" w:sz="4" w:space="0"/>
              <w:right w:val="single" w:color="auto" w:sz="4" w:space="0"/>
            </w:tcBorders>
            <w:noWrap/>
            <w:vAlign w:val="center"/>
          </w:tcPr>
          <w:p w14:paraId="468B3456">
            <w:pPr>
              <w:jc w:val="center"/>
              <w:rPr>
                <w:rFonts w:ascii="宋体" w:hAnsi="宋体" w:cs="宋体"/>
                <w:color w:val="auto"/>
                <w:sz w:val="21"/>
                <w:szCs w:val="21"/>
                <w:highlight w:val="none"/>
              </w:rPr>
            </w:pPr>
          </w:p>
        </w:tc>
      </w:tr>
      <w:tr w14:paraId="07F7E527">
        <w:tblPrEx>
          <w:tblCellMar>
            <w:top w:w="0" w:type="dxa"/>
            <w:left w:w="108" w:type="dxa"/>
            <w:bottom w:w="0" w:type="dxa"/>
            <w:right w:w="108" w:type="dxa"/>
          </w:tblCellMar>
        </w:tblPrEx>
        <w:trPr>
          <w:cantSplit/>
          <w:trHeight w:val="1961" w:hRule="atLeast"/>
          <w:jc w:val="center"/>
        </w:trPr>
        <w:tc>
          <w:tcPr>
            <w:tcW w:w="450" w:type="dxa"/>
            <w:tcBorders>
              <w:top w:val="nil"/>
              <w:left w:val="single" w:color="auto" w:sz="4" w:space="0"/>
              <w:bottom w:val="single" w:color="auto" w:sz="4" w:space="0"/>
              <w:right w:val="single" w:color="auto" w:sz="4" w:space="0"/>
            </w:tcBorders>
            <w:noWrap/>
            <w:vAlign w:val="center"/>
          </w:tcPr>
          <w:p w14:paraId="0A89BB65">
            <w:pPr>
              <w:jc w:val="center"/>
              <w:rPr>
                <w:rFonts w:ascii="宋体" w:hAnsi="宋体" w:cs="宋体"/>
                <w:color w:val="auto"/>
                <w:sz w:val="21"/>
                <w:szCs w:val="21"/>
                <w:highlight w:val="none"/>
              </w:rPr>
            </w:pPr>
            <w:r>
              <w:rPr>
                <w:rFonts w:hint="eastAsia" w:ascii="宋体" w:hAnsi="宋体" w:cs="宋体"/>
                <w:color w:val="auto"/>
                <w:sz w:val="21"/>
                <w:szCs w:val="21"/>
                <w:highlight w:val="none"/>
              </w:rPr>
              <w:t>2</w:t>
            </w:r>
          </w:p>
        </w:tc>
        <w:tc>
          <w:tcPr>
            <w:tcW w:w="1163" w:type="dxa"/>
            <w:tcBorders>
              <w:top w:val="nil"/>
              <w:left w:val="nil"/>
              <w:bottom w:val="single" w:color="auto" w:sz="4" w:space="0"/>
              <w:right w:val="single" w:color="auto" w:sz="4" w:space="0"/>
            </w:tcBorders>
            <w:noWrap/>
            <w:vAlign w:val="center"/>
          </w:tcPr>
          <w:p w14:paraId="0FD9921E">
            <w:pPr>
              <w:jc w:val="center"/>
              <w:rPr>
                <w:rFonts w:ascii="宋体" w:hAnsi="宋体" w:cs="宋体"/>
                <w:color w:val="auto"/>
                <w:sz w:val="21"/>
                <w:szCs w:val="21"/>
                <w:highlight w:val="none"/>
              </w:rPr>
            </w:pPr>
            <w:r>
              <w:rPr>
                <w:rFonts w:hint="eastAsia" w:ascii="宋体" w:hAnsi="宋体" w:cs="宋体"/>
                <w:color w:val="auto"/>
                <w:sz w:val="21"/>
                <w:szCs w:val="21"/>
                <w:highlight w:val="none"/>
              </w:rPr>
              <w:t>巡查情况</w:t>
            </w:r>
          </w:p>
        </w:tc>
        <w:tc>
          <w:tcPr>
            <w:tcW w:w="867" w:type="dxa"/>
            <w:tcBorders>
              <w:top w:val="nil"/>
              <w:left w:val="nil"/>
              <w:bottom w:val="single" w:color="auto" w:sz="4" w:space="0"/>
              <w:right w:val="single" w:color="auto" w:sz="4" w:space="0"/>
            </w:tcBorders>
            <w:noWrap/>
            <w:vAlign w:val="center"/>
          </w:tcPr>
          <w:p w14:paraId="0B3B461A">
            <w:pPr>
              <w:jc w:val="center"/>
              <w:rPr>
                <w:rFonts w:ascii="宋体" w:hAnsi="宋体" w:cs="宋体"/>
                <w:color w:val="auto"/>
                <w:sz w:val="21"/>
                <w:szCs w:val="21"/>
                <w:highlight w:val="none"/>
              </w:rPr>
            </w:pPr>
            <w:r>
              <w:rPr>
                <w:rFonts w:hint="eastAsia" w:ascii="宋体" w:hAnsi="宋体" w:cs="宋体"/>
                <w:color w:val="auto"/>
                <w:sz w:val="21"/>
                <w:szCs w:val="21"/>
                <w:highlight w:val="none"/>
                <w:lang w:val="en-US" w:eastAsia="zh-CN"/>
              </w:rPr>
              <w:t>2</w:t>
            </w:r>
            <w:r>
              <w:rPr>
                <w:rFonts w:hint="eastAsia" w:ascii="宋体" w:hAnsi="宋体" w:cs="宋体"/>
                <w:color w:val="auto"/>
                <w:sz w:val="21"/>
                <w:szCs w:val="21"/>
                <w:highlight w:val="none"/>
              </w:rPr>
              <w:t>0</w:t>
            </w:r>
          </w:p>
        </w:tc>
        <w:tc>
          <w:tcPr>
            <w:tcW w:w="5963" w:type="dxa"/>
            <w:tcBorders>
              <w:top w:val="nil"/>
              <w:left w:val="nil"/>
              <w:bottom w:val="single" w:color="auto" w:sz="4" w:space="0"/>
              <w:right w:val="single" w:color="auto" w:sz="4" w:space="0"/>
            </w:tcBorders>
            <w:noWrap/>
            <w:vAlign w:val="center"/>
          </w:tcPr>
          <w:p w14:paraId="32FAEDB0">
            <w:pPr>
              <w:rPr>
                <w:rFonts w:ascii="宋体" w:hAnsi="宋体" w:cs="宋体"/>
                <w:color w:val="auto"/>
                <w:sz w:val="21"/>
                <w:szCs w:val="21"/>
                <w:highlight w:val="none"/>
              </w:rPr>
            </w:pPr>
            <w:r>
              <w:rPr>
                <w:rFonts w:hint="eastAsia" w:ascii="宋体" w:hAnsi="宋体" w:cs="宋体"/>
                <w:color w:val="auto"/>
                <w:sz w:val="21"/>
                <w:szCs w:val="21"/>
                <w:highlight w:val="none"/>
              </w:rPr>
              <w:t>巡查次数达不到频次要求每次扣</w:t>
            </w:r>
            <w:r>
              <w:rPr>
                <w:rFonts w:hint="eastAsia" w:ascii="宋体" w:hAnsi="宋体" w:cs="宋体"/>
                <w:color w:val="auto"/>
                <w:sz w:val="21"/>
                <w:szCs w:val="21"/>
                <w:highlight w:val="none"/>
                <w:lang w:val="en-US" w:eastAsia="zh-CN"/>
              </w:rPr>
              <w:t>2</w:t>
            </w:r>
            <w:r>
              <w:rPr>
                <w:rFonts w:hint="eastAsia" w:ascii="宋体" w:hAnsi="宋体" w:cs="宋体"/>
                <w:color w:val="auto"/>
                <w:sz w:val="21"/>
                <w:szCs w:val="21"/>
                <w:highlight w:val="none"/>
              </w:rPr>
              <w:t>分扣完为止（</w:t>
            </w:r>
            <w:r>
              <w:rPr>
                <w:rFonts w:hint="eastAsia" w:ascii="宋体" w:hAnsi="宋体" w:cs="宋体"/>
                <w:color w:val="auto"/>
                <w:sz w:val="21"/>
                <w:szCs w:val="21"/>
                <w:highlight w:val="none"/>
                <w:lang w:val="en-US" w:eastAsia="zh-CN"/>
              </w:rPr>
              <w:t>4</w:t>
            </w:r>
            <w:r>
              <w:rPr>
                <w:rFonts w:hint="eastAsia" w:ascii="宋体" w:hAnsi="宋体" w:cs="宋体"/>
                <w:color w:val="auto"/>
                <w:sz w:val="21"/>
                <w:szCs w:val="21"/>
                <w:highlight w:val="none"/>
              </w:rPr>
              <w:t>分），不按巡查路线巡查的每次扣</w:t>
            </w:r>
            <w:r>
              <w:rPr>
                <w:rFonts w:hint="eastAsia" w:ascii="宋体" w:hAnsi="宋体" w:cs="宋体"/>
                <w:color w:val="auto"/>
                <w:sz w:val="21"/>
                <w:szCs w:val="21"/>
                <w:highlight w:val="none"/>
                <w:lang w:val="en-US" w:eastAsia="zh-CN"/>
              </w:rPr>
              <w:t>2</w:t>
            </w:r>
            <w:r>
              <w:rPr>
                <w:rFonts w:hint="eastAsia" w:ascii="宋体" w:hAnsi="宋体" w:cs="宋体"/>
                <w:color w:val="auto"/>
                <w:sz w:val="21"/>
                <w:szCs w:val="21"/>
                <w:highlight w:val="none"/>
              </w:rPr>
              <w:t>分扣完为止（</w:t>
            </w:r>
            <w:r>
              <w:rPr>
                <w:rFonts w:hint="eastAsia" w:ascii="宋体" w:hAnsi="宋体" w:cs="宋体"/>
                <w:color w:val="auto"/>
                <w:sz w:val="21"/>
                <w:szCs w:val="21"/>
                <w:highlight w:val="none"/>
                <w:lang w:val="en-US" w:eastAsia="zh-CN"/>
              </w:rPr>
              <w:t>4</w:t>
            </w:r>
            <w:r>
              <w:rPr>
                <w:rFonts w:hint="eastAsia" w:ascii="宋体" w:hAnsi="宋体" w:cs="宋体"/>
                <w:color w:val="auto"/>
                <w:sz w:val="21"/>
                <w:szCs w:val="21"/>
                <w:highlight w:val="none"/>
              </w:rPr>
              <w:t>分）；巡查记录不规范记录每次扣</w:t>
            </w:r>
            <w:r>
              <w:rPr>
                <w:rFonts w:hint="eastAsia" w:ascii="宋体" w:hAnsi="宋体" w:cs="宋体"/>
                <w:color w:val="auto"/>
                <w:sz w:val="21"/>
                <w:szCs w:val="21"/>
                <w:highlight w:val="none"/>
                <w:lang w:val="en-US" w:eastAsia="zh-CN"/>
              </w:rPr>
              <w:t>2</w:t>
            </w:r>
            <w:r>
              <w:rPr>
                <w:rFonts w:hint="eastAsia" w:ascii="宋体" w:hAnsi="宋体" w:cs="宋体"/>
                <w:color w:val="auto"/>
                <w:sz w:val="21"/>
                <w:szCs w:val="21"/>
                <w:highlight w:val="none"/>
              </w:rPr>
              <w:t>分扣完为止（</w:t>
            </w:r>
            <w:r>
              <w:rPr>
                <w:rFonts w:hint="eastAsia" w:ascii="宋体" w:hAnsi="宋体" w:cs="宋体"/>
                <w:color w:val="auto"/>
                <w:sz w:val="21"/>
                <w:szCs w:val="21"/>
                <w:highlight w:val="none"/>
                <w:lang w:val="en-US" w:eastAsia="zh-CN"/>
              </w:rPr>
              <w:t>4</w:t>
            </w:r>
            <w:r>
              <w:rPr>
                <w:rFonts w:hint="eastAsia" w:ascii="宋体" w:hAnsi="宋体" w:cs="宋体"/>
                <w:color w:val="auto"/>
                <w:sz w:val="21"/>
                <w:szCs w:val="21"/>
                <w:highlight w:val="none"/>
              </w:rPr>
              <w:t>分），巡查人员不能随时正确回答巡查考核每次扣</w:t>
            </w:r>
            <w:r>
              <w:rPr>
                <w:rFonts w:hint="eastAsia" w:ascii="宋体" w:hAnsi="宋体" w:cs="宋体"/>
                <w:color w:val="auto"/>
                <w:sz w:val="21"/>
                <w:szCs w:val="21"/>
                <w:highlight w:val="none"/>
                <w:lang w:val="en-US" w:eastAsia="zh-CN"/>
              </w:rPr>
              <w:t>2</w:t>
            </w:r>
            <w:r>
              <w:rPr>
                <w:rFonts w:hint="eastAsia" w:ascii="宋体" w:hAnsi="宋体" w:cs="宋体"/>
                <w:color w:val="auto"/>
                <w:sz w:val="21"/>
                <w:szCs w:val="21"/>
                <w:highlight w:val="none"/>
              </w:rPr>
              <w:t>分（</w:t>
            </w:r>
            <w:r>
              <w:rPr>
                <w:rFonts w:hint="eastAsia" w:ascii="宋体" w:hAnsi="宋体" w:cs="宋体"/>
                <w:color w:val="auto"/>
                <w:sz w:val="21"/>
                <w:szCs w:val="21"/>
                <w:highlight w:val="none"/>
                <w:lang w:val="en-US" w:eastAsia="zh-CN"/>
              </w:rPr>
              <w:t>4</w:t>
            </w:r>
            <w:r>
              <w:rPr>
                <w:rFonts w:hint="eastAsia" w:ascii="宋体" w:hAnsi="宋体" w:cs="宋体"/>
                <w:color w:val="auto"/>
                <w:sz w:val="21"/>
                <w:szCs w:val="21"/>
                <w:highlight w:val="none"/>
              </w:rPr>
              <w:t>分），正确使用手机巡查软件巡查,巡查人员巡查后无上传至平台每次扣</w:t>
            </w:r>
            <w:r>
              <w:rPr>
                <w:rFonts w:hint="eastAsia" w:ascii="宋体" w:hAnsi="宋体" w:cs="宋体"/>
                <w:color w:val="auto"/>
                <w:sz w:val="21"/>
                <w:szCs w:val="21"/>
                <w:highlight w:val="none"/>
                <w:lang w:val="en-US" w:eastAsia="zh-CN"/>
              </w:rPr>
              <w:t>2</w:t>
            </w:r>
            <w:r>
              <w:rPr>
                <w:rFonts w:hint="eastAsia" w:ascii="宋体" w:hAnsi="宋体" w:cs="宋体"/>
                <w:color w:val="auto"/>
                <w:sz w:val="21"/>
                <w:szCs w:val="21"/>
                <w:highlight w:val="none"/>
              </w:rPr>
              <w:t>分扣完为止（</w:t>
            </w:r>
            <w:r>
              <w:rPr>
                <w:rFonts w:hint="eastAsia" w:ascii="宋体" w:hAnsi="宋体" w:cs="宋体"/>
                <w:color w:val="auto"/>
                <w:sz w:val="21"/>
                <w:szCs w:val="21"/>
                <w:highlight w:val="none"/>
                <w:lang w:val="en-US" w:eastAsia="zh-CN"/>
              </w:rPr>
              <w:t>4</w:t>
            </w:r>
            <w:r>
              <w:rPr>
                <w:rFonts w:hint="eastAsia" w:ascii="宋体" w:hAnsi="宋体" w:cs="宋体"/>
                <w:color w:val="auto"/>
                <w:sz w:val="21"/>
                <w:szCs w:val="21"/>
                <w:highlight w:val="none"/>
              </w:rPr>
              <w:t>分）</w:t>
            </w:r>
          </w:p>
        </w:tc>
        <w:tc>
          <w:tcPr>
            <w:tcW w:w="841" w:type="dxa"/>
            <w:tcBorders>
              <w:top w:val="nil"/>
              <w:left w:val="nil"/>
              <w:bottom w:val="single" w:color="auto" w:sz="4" w:space="0"/>
              <w:right w:val="single" w:color="auto" w:sz="4" w:space="0"/>
            </w:tcBorders>
            <w:noWrap/>
            <w:vAlign w:val="center"/>
          </w:tcPr>
          <w:p w14:paraId="7D4D4401">
            <w:pPr>
              <w:rPr>
                <w:rFonts w:ascii="宋体" w:hAnsi="宋体" w:cs="宋体"/>
                <w:color w:val="auto"/>
                <w:sz w:val="21"/>
                <w:szCs w:val="21"/>
                <w:highlight w:val="none"/>
              </w:rPr>
            </w:pPr>
          </w:p>
        </w:tc>
        <w:tc>
          <w:tcPr>
            <w:tcW w:w="741" w:type="dxa"/>
            <w:tcBorders>
              <w:top w:val="nil"/>
              <w:left w:val="nil"/>
              <w:bottom w:val="single" w:color="auto" w:sz="4" w:space="0"/>
              <w:right w:val="single" w:color="auto" w:sz="4" w:space="0"/>
            </w:tcBorders>
            <w:noWrap/>
            <w:vAlign w:val="center"/>
          </w:tcPr>
          <w:p w14:paraId="21BCE73F">
            <w:pPr>
              <w:rPr>
                <w:rFonts w:ascii="宋体" w:hAnsi="宋体" w:cs="宋体"/>
                <w:color w:val="auto"/>
                <w:sz w:val="21"/>
                <w:szCs w:val="21"/>
                <w:highlight w:val="none"/>
              </w:rPr>
            </w:pPr>
          </w:p>
        </w:tc>
      </w:tr>
      <w:tr w14:paraId="5476E5A0">
        <w:tblPrEx>
          <w:tblCellMar>
            <w:top w:w="0" w:type="dxa"/>
            <w:left w:w="108" w:type="dxa"/>
            <w:bottom w:w="0" w:type="dxa"/>
            <w:right w:w="108" w:type="dxa"/>
          </w:tblCellMar>
        </w:tblPrEx>
        <w:trPr>
          <w:cantSplit/>
          <w:trHeight w:val="1485" w:hRule="atLeast"/>
          <w:jc w:val="center"/>
        </w:trPr>
        <w:tc>
          <w:tcPr>
            <w:tcW w:w="450" w:type="dxa"/>
            <w:tcBorders>
              <w:top w:val="nil"/>
              <w:left w:val="single" w:color="auto" w:sz="4" w:space="0"/>
              <w:bottom w:val="single" w:color="auto" w:sz="4" w:space="0"/>
              <w:right w:val="single" w:color="auto" w:sz="4" w:space="0"/>
            </w:tcBorders>
            <w:noWrap/>
            <w:vAlign w:val="center"/>
          </w:tcPr>
          <w:p w14:paraId="02AE567E">
            <w:pPr>
              <w:jc w:val="center"/>
              <w:rPr>
                <w:rFonts w:ascii="宋体" w:hAnsi="宋体" w:cs="宋体"/>
                <w:color w:val="auto"/>
                <w:sz w:val="21"/>
                <w:szCs w:val="21"/>
                <w:highlight w:val="none"/>
              </w:rPr>
            </w:pPr>
            <w:r>
              <w:rPr>
                <w:rFonts w:hint="eastAsia" w:ascii="宋体" w:hAnsi="宋体" w:cs="宋体"/>
                <w:color w:val="auto"/>
                <w:sz w:val="21"/>
                <w:szCs w:val="21"/>
                <w:highlight w:val="none"/>
              </w:rPr>
              <w:t>3</w:t>
            </w:r>
          </w:p>
        </w:tc>
        <w:tc>
          <w:tcPr>
            <w:tcW w:w="1163" w:type="dxa"/>
            <w:tcBorders>
              <w:top w:val="nil"/>
              <w:left w:val="nil"/>
              <w:bottom w:val="single" w:color="auto" w:sz="4" w:space="0"/>
              <w:right w:val="single" w:color="auto" w:sz="4" w:space="0"/>
            </w:tcBorders>
            <w:noWrap/>
            <w:vAlign w:val="center"/>
          </w:tcPr>
          <w:p w14:paraId="766F6C85">
            <w:pPr>
              <w:jc w:val="center"/>
              <w:rPr>
                <w:rFonts w:ascii="宋体" w:hAnsi="宋体" w:cs="宋体"/>
                <w:color w:val="auto"/>
                <w:sz w:val="21"/>
                <w:szCs w:val="21"/>
                <w:highlight w:val="none"/>
              </w:rPr>
            </w:pPr>
            <w:r>
              <w:rPr>
                <w:rFonts w:hint="eastAsia" w:ascii="宋体" w:hAnsi="宋体" w:cs="宋体"/>
                <w:color w:val="auto"/>
                <w:sz w:val="21"/>
                <w:szCs w:val="21"/>
                <w:highlight w:val="none"/>
              </w:rPr>
              <w:t>物业化管理人员培训</w:t>
            </w:r>
          </w:p>
        </w:tc>
        <w:tc>
          <w:tcPr>
            <w:tcW w:w="867" w:type="dxa"/>
            <w:tcBorders>
              <w:top w:val="nil"/>
              <w:left w:val="nil"/>
              <w:bottom w:val="single" w:color="auto" w:sz="4" w:space="0"/>
              <w:right w:val="single" w:color="auto" w:sz="4" w:space="0"/>
            </w:tcBorders>
            <w:noWrap/>
            <w:vAlign w:val="center"/>
          </w:tcPr>
          <w:p w14:paraId="1B58D4A2">
            <w:pPr>
              <w:jc w:val="center"/>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val="en-US" w:eastAsia="zh-CN"/>
              </w:rPr>
              <w:t>5</w:t>
            </w:r>
          </w:p>
        </w:tc>
        <w:tc>
          <w:tcPr>
            <w:tcW w:w="5963" w:type="dxa"/>
            <w:tcBorders>
              <w:top w:val="nil"/>
              <w:left w:val="nil"/>
              <w:bottom w:val="single" w:color="auto" w:sz="4" w:space="0"/>
              <w:right w:val="single" w:color="auto" w:sz="4" w:space="0"/>
            </w:tcBorders>
            <w:noWrap/>
            <w:vAlign w:val="center"/>
          </w:tcPr>
          <w:p w14:paraId="249E2FFC">
            <w:pPr>
              <w:rPr>
                <w:rFonts w:ascii="宋体" w:hAnsi="宋体" w:cs="宋体"/>
                <w:color w:val="auto"/>
                <w:sz w:val="21"/>
                <w:szCs w:val="21"/>
                <w:highlight w:val="none"/>
              </w:rPr>
            </w:pPr>
            <w:r>
              <w:rPr>
                <w:rFonts w:hint="eastAsia" w:ascii="宋体" w:hAnsi="宋体" w:cs="宋体"/>
                <w:color w:val="auto"/>
                <w:sz w:val="21"/>
                <w:szCs w:val="21"/>
                <w:highlight w:val="none"/>
              </w:rPr>
              <w:t>不参加区水务局或乡镇街道组织的培训每人次扣1分扣完为止（3分）</w:t>
            </w:r>
          </w:p>
          <w:p w14:paraId="00087E56">
            <w:pPr>
              <w:rPr>
                <w:rFonts w:ascii="宋体" w:hAnsi="宋体" w:cs="宋体"/>
                <w:color w:val="auto"/>
                <w:sz w:val="21"/>
                <w:szCs w:val="21"/>
                <w:highlight w:val="none"/>
              </w:rPr>
            </w:pPr>
            <w:r>
              <w:rPr>
                <w:rFonts w:hint="eastAsia" w:ascii="宋体" w:hAnsi="宋体" w:cs="宋体"/>
                <w:color w:val="auto"/>
                <w:sz w:val="21"/>
                <w:szCs w:val="21"/>
                <w:highlight w:val="none"/>
              </w:rPr>
              <w:t>物业化公司组织内部培训每年不少于1次，未组织的减</w:t>
            </w:r>
            <w:r>
              <w:rPr>
                <w:rFonts w:hint="eastAsia" w:ascii="宋体" w:hAnsi="宋体" w:cs="宋体"/>
                <w:color w:val="auto"/>
                <w:sz w:val="21"/>
                <w:szCs w:val="21"/>
                <w:highlight w:val="none"/>
                <w:lang w:val="en-US" w:eastAsia="zh-CN"/>
              </w:rPr>
              <w:t>2</w:t>
            </w:r>
            <w:r>
              <w:rPr>
                <w:rFonts w:hint="eastAsia" w:ascii="宋体" w:hAnsi="宋体" w:cs="宋体"/>
                <w:color w:val="auto"/>
                <w:sz w:val="21"/>
                <w:szCs w:val="21"/>
                <w:highlight w:val="none"/>
              </w:rPr>
              <w:t>分，组织一次的得</w:t>
            </w:r>
            <w:r>
              <w:rPr>
                <w:rFonts w:hint="eastAsia" w:ascii="宋体" w:hAnsi="宋体" w:cs="宋体"/>
                <w:color w:val="auto"/>
                <w:sz w:val="21"/>
                <w:szCs w:val="21"/>
                <w:highlight w:val="none"/>
                <w:lang w:val="en-US" w:eastAsia="zh-CN"/>
              </w:rPr>
              <w:t>1</w:t>
            </w:r>
            <w:r>
              <w:rPr>
                <w:rFonts w:hint="eastAsia" w:ascii="宋体" w:hAnsi="宋体" w:cs="宋体"/>
                <w:color w:val="auto"/>
                <w:sz w:val="21"/>
                <w:szCs w:val="21"/>
                <w:highlight w:val="none"/>
              </w:rPr>
              <w:t>分，组织二次的再加1分。（0-</w:t>
            </w:r>
            <w:r>
              <w:rPr>
                <w:rFonts w:hint="eastAsia" w:ascii="宋体" w:hAnsi="宋体" w:cs="宋体"/>
                <w:color w:val="auto"/>
                <w:sz w:val="21"/>
                <w:szCs w:val="21"/>
                <w:highlight w:val="none"/>
                <w:lang w:val="en-US" w:eastAsia="zh-CN"/>
              </w:rPr>
              <w:t>2</w:t>
            </w:r>
            <w:r>
              <w:rPr>
                <w:rFonts w:hint="eastAsia" w:ascii="宋体" w:hAnsi="宋体" w:cs="宋体"/>
                <w:color w:val="auto"/>
                <w:sz w:val="21"/>
                <w:szCs w:val="21"/>
                <w:highlight w:val="none"/>
              </w:rPr>
              <w:t>分）</w:t>
            </w:r>
          </w:p>
        </w:tc>
        <w:tc>
          <w:tcPr>
            <w:tcW w:w="841" w:type="dxa"/>
            <w:tcBorders>
              <w:top w:val="nil"/>
              <w:left w:val="nil"/>
              <w:bottom w:val="single" w:color="auto" w:sz="4" w:space="0"/>
              <w:right w:val="single" w:color="auto" w:sz="4" w:space="0"/>
            </w:tcBorders>
            <w:noWrap/>
            <w:vAlign w:val="center"/>
          </w:tcPr>
          <w:p w14:paraId="3ABC6727">
            <w:pPr>
              <w:rPr>
                <w:rFonts w:ascii="宋体" w:hAnsi="宋体" w:cs="宋体"/>
                <w:color w:val="auto"/>
                <w:sz w:val="21"/>
                <w:szCs w:val="21"/>
                <w:highlight w:val="none"/>
              </w:rPr>
            </w:pPr>
          </w:p>
        </w:tc>
        <w:tc>
          <w:tcPr>
            <w:tcW w:w="741" w:type="dxa"/>
            <w:tcBorders>
              <w:top w:val="nil"/>
              <w:left w:val="nil"/>
              <w:bottom w:val="single" w:color="auto" w:sz="4" w:space="0"/>
              <w:right w:val="single" w:color="auto" w:sz="4" w:space="0"/>
            </w:tcBorders>
            <w:noWrap/>
            <w:vAlign w:val="center"/>
          </w:tcPr>
          <w:p w14:paraId="082F5698">
            <w:pPr>
              <w:jc w:val="center"/>
              <w:rPr>
                <w:rFonts w:ascii="宋体" w:hAnsi="宋体" w:cs="宋体"/>
                <w:color w:val="auto"/>
                <w:sz w:val="21"/>
                <w:szCs w:val="21"/>
                <w:highlight w:val="none"/>
              </w:rPr>
            </w:pPr>
          </w:p>
        </w:tc>
      </w:tr>
      <w:tr w14:paraId="71B2F97F">
        <w:tblPrEx>
          <w:tblCellMar>
            <w:top w:w="0" w:type="dxa"/>
            <w:left w:w="108" w:type="dxa"/>
            <w:bottom w:w="0" w:type="dxa"/>
            <w:right w:w="108" w:type="dxa"/>
          </w:tblCellMar>
        </w:tblPrEx>
        <w:trPr>
          <w:cantSplit/>
          <w:trHeight w:val="1286" w:hRule="atLeast"/>
          <w:jc w:val="center"/>
        </w:trPr>
        <w:tc>
          <w:tcPr>
            <w:tcW w:w="450" w:type="dxa"/>
            <w:tcBorders>
              <w:top w:val="nil"/>
              <w:left w:val="single" w:color="auto" w:sz="4" w:space="0"/>
              <w:bottom w:val="single" w:color="auto" w:sz="4" w:space="0"/>
              <w:right w:val="single" w:color="auto" w:sz="4" w:space="0"/>
            </w:tcBorders>
            <w:noWrap/>
            <w:vAlign w:val="center"/>
          </w:tcPr>
          <w:p w14:paraId="4860F49C">
            <w:pPr>
              <w:jc w:val="center"/>
              <w:rPr>
                <w:rFonts w:ascii="宋体" w:hAnsi="宋体" w:cs="宋体"/>
                <w:color w:val="auto"/>
                <w:sz w:val="21"/>
                <w:szCs w:val="21"/>
                <w:highlight w:val="none"/>
              </w:rPr>
            </w:pPr>
            <w:r>
              <w:rPr>
                <w:rFonts w:hint="eastAsia" w:ascii="宋体" w:hAnsi="宋体" w:cs="宋体"/>
                <w:color w:val="auto"/>
                <w:sz w:val="21"/>
                <w:szCs w:val="21"/>
                <w:highlight w:val="none"/>
              </w:rPr>
              <w:t>4</w:t>
            </w:r>
          </w:p>
        </w:tc>
        <w:tc>
          <w:tcPr>
            <w:tcW w:w="1163" w:type="dxa"/>
            <w:tcBorders>
              <w:top w:val="nil"/>
              <w:left w:val="nil"/>
              <w:bottom w:val="single" w:color="auto" w:sz="4" w:space="0"/>
              <w:right w:val="single" w:color="auto" w:sz="4" w:space="0"/>
            </w:tcBorders>
            <w:noWrap/>
            <w:vAlign w:val="center"/>
          </w:tcPr>
          <w:p w14:paraId="15558693">
            <w:pPr>
              <w:jc w:val="center"/>
              <w:rPr>
                <w:rFonts w:ascii="宋体" w:hAnsi="宋体" w:cs="宋体"/>
                <w:color w:val="auto"/>
                <w:sz w:val="21"/>
                <w:szCs w:val="21"/>
                <w:highlight w:val="none"/>
              </w:rPr>
            </w:pPr>
            <w:r>
              <w:rPr>
                <w:rFonts w:hint="eastAsia" w:ascii="宋体" w:hAnsi="宋体" w:cs="宋体"/>
                <w:color w:val="auto"/>
                <w:sz w:val="21"/>
                <w:szCs w:val="21"/>
                <w:highlight w:val="none"/>
              </w:rPr>
              <w:t>台账资料</w:t>
            </w:r>
          </w:p>
        </w:tc>
        <w:tc>
          <w:tcPr>
            <w:tcW w:w="867" w:type="dxa"/>
            <w:tcBorders>
              <w:top w:val="nil"/>
              <w:left w:val="nil"/>
              <w:bottom w:val="single" w:color="auto" w:sz="4" w:space="0"/>
              <w:right w:val="single" w:color="auto" w:sz="4" w:space="0"/>
            </w:tcBorders>
            <w:noWrap/>
            <w:vAlign w:val="center"/>
          </w:tcPr>
          <w:p w14:paraId="47C654C3">
            <w:pPr>
              <w:jc w:val="center"/>
              <w:rPr>
                <w:rFonts w:ascii="宋体" w:hAnsi="宋体" w:cs="宋体"/>
                <w:color w:val="auto"/>
                <w:sz w:val="21"/>
                <w:szCs w:val="21"/>
                <w:highlight w:val="none"/>
              </w:rPr>
            </w:pPr>
            <w:r>
              <w:rPr>
                <w:rFonts w:hint="eastAsia" w:ascii="宋体" w:hAnsi="宋体" w:cs="宋体"/>
                <w:color w:val="auto"/>
                <w:sz w:val="21"/>
                <w:szCs w:val="21"/>
                <w:highlight w:val="none"/>
              </w:rPr>
              <w:t>8</w:t>
            </w:r>
          </w:p>
        </w:tc>
        <w:tc>
          <w:tcPr>
            <w:tcW w:w="5963" w:type="dxa"/>
            <w:tcBorders>
              <w:top w:val="nil"/>
              <w:left w:val="nil"/>
              <w:bottom w:val="single" w:color="auto" w:sz="4" w:space="0"/>
              <w:right w:val="single" w:color="auto" w:sz="4" w:space="0"/>
            </w:tcBorders>
            <w:noWrap/>
            <w:vAlign w:val="center"/>
          </w:tcPr>
          <w:p w14:paraId="481572EC">
            <w:pPr>
              <w:rPr>
                <w:rFonts w:ascii="宋体" w:hAnsi="宋体" w:cs="宋体"/>
                <w:color w:val="auto"/>
                <w:sz w:val="21"/>
                <w:szCs w:val="21"/>
                <w:highlight w:val="none"/>
              </w:rPr>
            </w:pPr>
            <w:r>
              <w:rPr>
                <w:rFonts w:hint="eastAsia" w:ascii="宋体" w:hAnsi="宋体" w:cs="宋体"/>
                <w:color w:val="auto"/>
                <w:sz w:val="21"/>
                <w:szCs w:val="21"/>
                <w:highlight w:val="none"/>
              </w:rPr>
              <w:t>工程检查专项台账（0-1分）、维修养护台账（0-1分）、人员管理台账（0-1分）、安全台账（0-1分）；巡查台账（0-3分）、运行管理台账（0-1分）。</w:t>
            </w:r>
          </w:p>
        </w:tc>
        <w:tc>
          <w:tcPr>
            <w:tcW w:w="841" w:type="dxa"/>
            <w:tcBorders>
              <w:top w:val="nil"/>
              <w:left w:val="nil"/>
              <w:bottom w:val="single" w:color="auto" w:sz="4" w:space="0"/>
              <w:right w:val="single" w:color="auto" w:sz="4" w:space="0"/>
            </w:tcBorders>
            <w:noWrap/>
            <w:vAlign w:val="center"/>
          </w:tcPr>
          <w:p w14:paraId="5C74F2B4">
            <w:pPr>
              <w:rPr>
                <w:rFonts w:ascii="宋体" w:hAnsi="宋体" w:cs="宋体"/>
                <w:color w:val="auto"/>
                <w:sz w:val="21"/>
                <w:szCs w:val="21"/>
                <w:highlight w:val="none"/>
              </w:rPr>
            </w:pPr>
          </w:p>
        </w:tc>
        <w:tc>
          <w:tcPr>
            <w:tcW w:w="741" w:type="dxa"/>
            <w:tcBorders>
              <w:top w:val="nil"/>
              <w:left w:val="nil"/>
              <w:bottom w:val="single" w:color="auto" w:sz="4" w:space="0"/>
              <w:right w:val="single" w:color="auto" w:sz="4" w:space="0"/>
            </w:tcBorders>
            <w:noWrap/>
            <w:vAlign w:val="center"/>
          </w:tcPr>
          <w:p w14:paraId="2C0102C9">
            <w:pPr>
              <w:jc w:val="center"/>
              <w:rPr>
                <w:rFonts w:ascii="宋体" w:hAnsi="宋体" w:cs="宋体"/>
                <w:color w:val="auto"/>
                <w:sz w:val="21"/>
                <w:szCs w:val="21"/>
                <w:highlight w:val="none"/>
              </w:rPr>
            </w:pPr>
          </w:p>
        </w:tc>
      </w:tr>
      <w:tr w14:paraId="6619FC45">
        <w:tblPrEx>
          <w:tblCellMar>
            <w:top w:w="0" w:type="dxa"/>
            <w:left w:w="108" w:type="dxa"/>
            <w:bottom w:w="0" w:type="dxa"/>
            <w:right w:w="108" w:type="dxa"/>
          </w:tblCellMar>
        </w:tblPrEx>
        <w:trPr>
          <w:cantSplit/>
          <w:trHeight w:val="1214" w:hRule="atLeast"/>
          <w:jc w:val="center"/>
        </w:trPr>
        <w:tc>
          <w:tcPr>
            <w:tcW w:w="450" w:type="dxa"/>
            <w:tcBorders>
              <w:top w:val="single" w:color="auto" w:sz="4" w:space="0"/>
              <w:left w:val="single" w:color="auto" w:sz="4" w:space="0"/>
              <w:bottom w:val="single" w:color="auto" w:sz="4" w:space="0"/>
              <w:right w:val="single" w:color="auto" w:sz="4" w:space="0"/>
            </w:tcBorders>
            <w:noWrap/>
            <w:vAlign w:val="center"/>
          </w:tcPr>
          <w:p w14:paraId="1A809FBF">
            <w:pPr>
              <w:jc w:val="center"/>
              <w:rPr>
                <w:rFonts w:ascii="宋体" w:hAnsi="宋体" w:cs="宋体"/>
                <w:color w:val="auto"/>
                <w:sz w:val="21"/>
                <w:szCs w:val="21"/>
                <w:highlight w:val="none"/>
              </w:rPr>
            </w:pPr>
            <w:r>
              <w:rPr>
                <w:rFonts w:hint="eastAsia" w:ascii="宋体" w:hAnsi="宋体" w:cs="宋体"/>
                <w:color w:val="auto"/>
                <w:sz w:val="21"/>
                <w:szCs w:val="21"/>
                <w:highlight w:val="none"/>
              </w:rPr>
              <w:t>5</w:t>
            </w:r>
          </w:p>
        </w:tc>
        <w:tc>
          <w:tcPr>
            <w:tcW w:w="1163" w:type="dxa"/>
            <w:tcBorders>
              <w:top w:val="single" w:color="auto" w:sz="4" w:space="0"/>
              <w:left w:val="nil"/>
              <w:bottom w:val="single" w:color="auto" w:sz="4" w:space="0"/>
              <w:right w:val="single" w:color="auto" w:sz="4" w:space="0"/>
            </w:tcBorders>
            <w:noWrap/>
            <w:vAlign w:val="center"/>
          </w:tcPr>
          <w:p w14:paraId="290BD664">
            <w:pPr>
              <w:jc w:val="center"/>
              <w:rPr>
                <w:rFonts w:ascii="宋体" w:hAnsi="宋体" w:cs="宋体"/>
                <w:color w:val="auto"/>
                <w:sz w:val="21"/>
                <w:szCs w:val="21"/>
                <w:highlight w:val="none"/>
              </w:rPr>
            </w:pPr>
            <w:r>
              <w:rPr>
                <w:rFonts w:hint="eastAsia" w:ascii="宋体" w:hAnsi="宋体" w:cs="宋体"/>
                <w:color w:val="auto"/>
                <w:sz w:val="21"/>
                <w:szCs w:val="21"/>
                <w:highlight w:val="none"/>
              </w:rPr>
              <w:t>维修养护及设施看护</w:t>
            </w:r>
          </w:p>
        </w:tc>
        <w:tc>
          <w:tcPr>
            <w:tcW w:w="867" w:type="dxa"/>
            <w:tcBorders>
              <w:top w:val="single" w:color="auto" w:sz="4" w:space="0"/>
              <w:left w:val="nil"/>
              <w:bottom w:val="single" w:color="auto" w:sz="4" w:space="0"/>
              <w:right w:val="single" w:color="auto" w:sz="4" w:space="0"/>
            </w:tcBorders>
            <w:noWrap/>
            <w:vAlign w:val="center"/>
          </w:tcPr>
          <w:p w14:paraId="57A38D87">
            <w:pPr>
              <w:jc w:val="center"/>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rPr>
              <w:t>2</w:t>
            </w:r>
            <w:r>
              <w:rPr>
                <w:rFonts w:hint="eastAsia" w:ascii="宋体" w:hAnsi="宋体" w:cs="宋体"/>
                <w:color w:val="auto"/>
                <w:sz w:val="21"/>
                <w:szCs w:val="21"/>
                <w:highlight w:val="none"/>
                <w:lang w:val="en-US" w:eastAsia="zh-CN"/>
              </w:rPr>
              <w:t>0</w:t>
            </w:r>
          </w:p>
        </w:tc>
        <w:tc>
          <w:tcPr>
            <w:tcW w:w="5963" w:type="dxa"/>
            <w:tcBorders>
              <w:top w:val="single" w:color="auto" w:sz="4" w:space="0"/>
              <w:left w:val="nil"/>
              <w:bottom w:val="single" w:color="auto" w:sz="4" w:space="0"/>
              <w:right w:val="single" w:color="auto" w:sz="4" w:space="0"/>
            </w:tcBorders>
            <w:noWrap/>
            <w:vAlign w:val="center"/>
          </w:tcPr>
          <w:p w14:paraId="03D21921">
            <w:pPr>
              <w:rPr>
                <w:rFonts w:ascii="宋体" w:hAnsi="宋体" w:cs="宋体"/>
                <w:color w:val="auto"/>
                <w:sz w:val="21"/>
                <w:szCs w:val="21"/>
                <w:highlight w:val="none"/>
              </w:rPr>
            </w:pPr>
            <w:r>
              <w:rPr>
                <w:rFonts w:hint="eastAsia" w:ascii="宋体" w:hAnsi="宋体" w:cs="宋体"/>
                <w:color w:val="auto"/>
                <w:sz w:val="21"/>
                <w:szCs w:val="21"/>
                <w:highlight w:val="none"/>
              </w:rPr>
              <w:t>水面整洁（1-3分）、坝面整洁（1-</w:t>
            </w:r>
            <w:r>
              <w:rPr>
                <w:rFonts w:hint="eastAsia" w:ascii="宋体" w:hAnsi="宋体" w:cs="宋体"/>
                <w:color w:val="auto"/>
                <w:sz w:val="21"/>
                <w:szCs w:val="21"/>
                <w:highlight w:val="none"/>
                <w:lang w:val="en-US" w:eastAsia="zh-CN"/>
              </w:rPr>
              <w:t>3</w:t>
            </w:r>
            <w:r>
              <w:rPr>
                <w:rFonts w:hint="eastAsia" w:ascii="宋体" w:hAnsi="宋体" w:cs="宋体"/>
                <w:color w:val="auto"/>
                <w:sz w:val="21"/>
                <w:szCs w:val="21"/>
                <w:highlight w:val="none"/>
              </w:rPr>
              <w:t>分）、上坝道路整洁（1-</w:t>
            </w:r>
            <w:r>
              <w:rPr>
                <w:rFonts w:hint="eastAsia" w:ascii="宋体" w:hAnsi="宋体" w:cs="宋体"/>
                <w:color w:val="auto"/>
                <w:sz w:val="21"/>
                <w:szCs w:val="21"/>
                <w:highlight w:val="none"/>
                <w:lang w:val="en-US" w:eastAsia="zh-CN"/>
              </w:rPr>
              <w:t>3</w:t>
            </w:r>
            <w:r>
              <w:rPr>
                <w:rFonts w:hint="eastAsia" w:ascii="宋体" w:hAnsi="宋体" w:cs="宋体"/>
                <w:color w:val="auto"/>
                <w:sz w:val="21"/>
                <w:szCs w:val="21"/>
                <w:highlight w:val="none"/>
              </w:rPr>
              <w:t>分）、溢洪道整洁无阻碍物（0-</w:t>
            </w:r>
            <w:r>
              <w:rPr>
                <w:rFonts w:hint="eastAsia" w:ascii="宋体" w:hAnsi="宋体" w:cs="宋体"/>
                <w:color w:val="auto"/>
                <w:sz w:val="21"/>
                <w:szCs w:val="21"/>
                <w:highlight w:val="none"/>
                <w:lang w:val="en-US" w:eastAsia="zh-CN"/>
              </w:rPr>
              <w:t>3</w:t>
            </w:r>
            <w:r>
              <w:rPr>
                <w:rFonts w:hint="eastAsia" w:ascii="宋体" w:hAnsi="宋体" w:cs="宋体"/>
                <w:color w:val="auto"/>
                <w:sz w:val="21"/>
                <w:szCs w:val="21"/>
                <w:highlight w:val="none"/>
              </w:rPr>
              <w:t>分）、启闭机房及管理房观测设施（1-</w:t>
            </w:r>
            <w:r>
              <w:rPr>
                <w:rFonts w:hint="eastAsia" w:ascii="宋体" w:hAnsi="宋体" w:cs="宋体"/>
                <w:color w:val="auto"/>
                <w:sz w:val="21"/>
                <w:szCs w:val="21"/>
                <w:highlight w:val="none"/>
                <w:lang w:val="en-US" w:eastAsia="zh-CN"/>
              </w:rPr>
              <w:t>4</w:t>
            </w:r>
            <w:r>
              <w:rPr>
                <w:rFonts w:hint="eastAsia" w:ascii="宋体" w:hAnsi="宋体" w:cs="宋体"/>
                <w:color w:val="auto"/>
                <w:sz w:val="21"/>
                <w:szCs w:val="21"/>
                <w:highlight w:val="none"/>
              </w:rPr>
              <w:t>分）；按照规定及时对各设施进行维修养护（1-4分）。</w:t>
            </w:r>
          </w:p>
        </w:tc>
        <w:tc>
          <w:tcPr>
            <w:tcW w:w="841" w:type="dxa"/>
            <w:tcBorders>
              <w:top w:val="single" w:color="auto" w:sz="4" w:space="0"/>
              <w:left w:val="nil"/>
              <w:bottom w:val="single" w:color="auto" w:sz="4" w:space="0"/>
              <w:right w:val="single" w:color="auto" w:sz="4" w:space="0"/>
            </w:tcBorders>
            <w:noWrap/>
            <w:vAlign w:val="center"/>
          </w:tcPr>
          <w:p w14:paraId="7B8F4946">
            <w:pPr>
              <w:rPr>
                <w:rFonts w:ascii="宋体" w:hAnsi="宋体" w:cs="宋体"/>
                <w:color w:val="auto"/>
                <w:sz w:val="21"/>
                <w:szCs w:val="21"/>
                <w:highlight w:val="none"/>
              </w:rPr>
            </w:pPr>
          </w:p>
        </w:tc>
        <w:tc>
          <w:tcPr>
            <w:tcW w:w="741" w:type="dxa"/>
            <w:tcBorders>
              <w:top w:val="single" w:color="auto" w:sz="4" w:space="0"/>
              <w:left w:val="nil"/>
              <w:bottom w:val="single" w:color="auto" w:sz="4" w:space="0"/>
              <w:right w:val="single" w:color="auto" w:sz="4" w:space="0"/>
            </w:tcBorders>
            <w:noWrap/>
            <w:vAlign w:val="center"/>
          </w:tcPr>
          <w:p w14:paraId="40434A86">
            <w:pPr>
              <w:jc w:val="center"/>
              <w:rPr>
                <w:rFonts w:ascii="宋体" w:hAnsi="宋体" w:cs="宋体"/>
                <w:color w:val="auto"/>
                <w:sz w:val="21"/>
                <w:szCs w:val="21"/>
                <w:highlight w:val="none"/>
              </w:rPr>
            </w:pPr>
          </w:p>
        </w:tc>
      </w:tr>
      <w:tr w14:paraId="6CFA0DA3">
        <w:tblPrEx>
          <w:tblCellMar>
            <w:top w:w="0" w:type="dxa"/>
            <w:left w:w="108" w:type="dxa"/>
            <w:bottom w:w="0" w:type="dxa"/>
            <w:right w:w="108" w:type="dxa"/>
          </w:tblCellMar>
        </w:tblPrEx>
        <w:trPr>
          <w:cantSplit/>
          <w:trHeight w:val="1451" w:hRule="atLeast"/>
          <w:jc w:val="center"/>
        </w:trPr>
        <w:tc>
          <w:tcPr>
            <w:tcW w:w="450" w:type="dxa"/>
            <w:tcBorders>
              <w:top w:val="single" w:color="auto" w:sz="4" w:space="0"/>
              <w:left w:val="single" w:color="auto" w:sz="4" w:space="0"/>
              <w:bottom w:val="single" w:color="auto" w:sz="4" w:space="0"/>
              <w:right w:val="single" w:color="auto" w:sz="4" w:space="0"/>
            </w:tcBorders>
            <w:noWrap/>
            <w:vAlign w:val="center"/>
          </w:tcPr>
          <w:p w14:paraId="7D2F63E5">
            <w:pPr>
              <w:jc w:val="center"/>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6</w:t>
            </w:r>
          </w:p>
        </w:tc>
        <w:tc>
          <w:tcPr>
            <w:tcW w:w="1163" w:type="dxa"/>
            <w:tcBorders>
              <w:top w:val="single" w:color="auto" w:sz="4" w:space="0"/>
              <w:left w:val="nil"/>
              <w:bottom w:val="single" w:color="auto" w:sz="4" w:space="0"/>
              <w:right w:val="single" w:color="auto" w:sz="4" w:space="0"/>
            </w:tcBorders>
            <w:noWrap/>
            <w:vAlign w:val="center"/>
          </w:tcPr>
          <w:p w14:paraId="37A0BB82">
            <w:pPr>
              <w:jc w:val="center"/>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eastAsia="zh-CN"/>
              </w:rPr>
              <w:t>安全监测</w:t>
            </w:r>
          </w:p>
        </w:tc>
        <w:tc>
          <w:tcPr>
            <w:tcW w:w="867" w:type="dxa"/>
            <w:tcBorders>
              <w:top w:val="single" w:color="auto" w:sz="4" w:space="0"/>
              <w:left w:val="nil"/>
              <w:bottom w:val="single" w:color="auto" w:sz="4" w:space="0"/>
              <w:right w:val="single" w:color="auto" w:sz="4" w:space="0"/>
            </w:tcBorders>
            <w:noWrap/>
            <w:vAlign w:val="center"/>
          </w:tcPr>
          <w:p w14:paraId="4630FE86">
            <w:pPr>
              <w:jc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20</w:t>
            </w:r>
          </w:p>
        </w:tc>
        <w:tc>
          <w:tcPr>
            <w:tcW w:w="5963" w:type="dxa"/>
            <w:tcBorders>
              <w:top w:val="single" w:color="auto" w:sz="4" w:space="0"/>
              <w:left w:val="nil"/>
              <w:bottom w:val="single" w:color="auto" w:sz="4" w:space="0"/>
              <w:right w:val="single" w:color="auto" w:sz="4" w:space="0"/>
            </w:tcBorders>
            <w:noWrap/>
            <w:vAlign w:val="center"/>
          </w:tcPr>
          <w:p w14:paraId="69930917">
            <w:pPr>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eastAsia="zh-CN"/>
              </w:rPr>
              <w:t>按照规定及时对水库进行水平位移、垂直位移、</w:t>
            </w:r>
            <w:r>
              <w:rPr>
                <w:rFonts w:hint="eastAsia" w:ascii="宋体" w:hAnsi="宋体" w:cs="宋体"/>
                <w:color w:val="auto"/>
                <w:kern w:val="0"/>
                <w:sz w:val="21"/>
                <w:szCs w:val="21"/>
                <w:highlight w:val="none"/>
                <w:lang w:eastAsia="zh-CN"/>
              </w:rPr>
              <w:t>测压管观测</w:t>
            </w:r>
            <w:r>
              <w:rPr>
                <w:rFonts w:hint="eastAsia" w:ascii="宋体" w:hAnsi="宋体" w:cs="宋体"/>
                <w:color w:val="auto"/>
                <w:sz w:val="21"/>
                <w:szCs w:val="21"/>
                <w:highlight w:val="none"/>
              </w:rPr>
              <w:t>（</w:t>
            </w:r>
            <w:r>
              <w:rPr>
                <w:rFonts w:hint="eastAsia" w:ascii="宋体" w:hAnsi="宋体" w:cs="宋体"/>
                <w:color w:val="auto"/>
                <w:sz w:val="21"/>
                <w:szCs w:val="21"/>
                <w:highlight w:val="none"/>
                <w:lang w:val="en-US" w:eastAsia="zh-CN"/>
              </w:rPr>
              <w:t>0</w:t>
            </w:r>
            <w:r>
              <w:rPr>
                <w:rFonts w:hint="eastAsia" w:ascii="宋体" w:hAnsi="宋体" w:cs="宋体"/>
                <w:color w:val="auto"/>
                <w:sz w:val="21"/>
                <w:szCs w:val="21"/>
                <w:highlight w:val="none"/>
              </w:rPr>
              <w:t>-</w:t>
            </w:r>
            <w:r>
              <w:rPr>
                <w:rFonts w:hint="eastAsia" w:ascii="宋体" w:hAnsi="宋体" w:cs="宋体"/>
                <w:color w:val="auto"/>
                <w:sz w:val="21"/>
                <w:szCs w:val="21"/>
                <w:highlight w:val="none"/>
                <w:lang w:val="en-US" w:eastAsia="zh-CN"/>
              </w:rPr>
              <w:t>6</w:t>
            </w:r>
            <w:r>
              <w:rPr>
                <w:rFonts w:hint="eastAsia" w:ascii="宋体" w:hAnsi="宋体" w:cs="宋体"/>
                <w:color w:val="auto"/>
                <w:sz w:val="21"/>
                <w:szCs w:val="21"/>
                <w:highlight w:val="none"/>
              </w:rPr>
              <w:t>分）</w:t>
            </w:r>
            <w:r>
              <w:rPr>
                <w:rFonts w:hint="eastAsia" w:ascii="宋体" w:hAnsi="宋体" w:cs="宋体"/>
                <w:color w:val="auto"/>
                <w:kern w:val="0"/>
                <w:sz w:val="21"/>
                <w:szCs w:val="21"/>
                <w:highlight w:val="none"/>
                <w:lang w:eastAsia="zh-CN"/>
              </w:rPr>
              <w:t>，监测需物业化公司本公司人员参与并提供佐证材料（如现场观测照片）（</w:t>
            </w:r>
            <w:r>
              <w:rPr>
                <w:rFonts w:hint="eastAsia" w:ascii="宋体" w:hAnsi="宋体" w:cs="宋体"/>
                <w:color w:val="auto"/>
                <w:kern w:val="0"/>
                <w:sz w:val="21"/>
                <w:szCs w:val="21"/>
                <w:highlight w:val="none"/>
                <w:lang w:val="en-US" w:eastAsia="zh-CN"/>
              </w:rPr>
              <w:t>0-6分</w:t>
            </w:r>
            <w:r>
              <w:rPr>
                <w:rFonts w:hint="eastAsia" w:ascii="宋体" w:hAnsi="宋体" w:cs="宋体"/>
                <w:color w:val="auto"/>
                <w:kern w:val="0"/>
                <w:sz w:val="21"/>
                <w:szCs w:val="21"/>
                <w:highlight w:val="none"/>
                <w:lang w:eastAsia="zh-CN"/>
              </w:rPr>
              <w:t>），年度监测资料分析报告内容全面、结论完整且提出建议可行（</w:t>
            </w:r>
            <w:r>
              <w:rPr>
                <w:rFonts w:hint="eastAsia" w:ascii="宋体" w:hAnsi="宋体" w:cs="宋体"/>
                <w:color w:val="auto"/>
                <w:kern w:val="0"/>
                <w:sz w:val="21"/>
                <w:szCs w:val="21"/>
                <w:highlight w:val="none"/>
                <w:lang w:val="en-US" w:eastAsia="zh-CN"/>
              </w:rPr>
              <w:t>0-8分</w:t>
            </w:r>
            <w:r>
              <w:rPr>
                <w:rFonts w:hint="eastAsia" w:ascii="宋体" w:hAnsi="宋体" w:cs="宋体"/>
                <w:color w:val="auto"/>
                <w:kern w:val="0"/>
                <w:sz w:val="21"/>
                <w:szCs w:val="21"/>
                <w:highlight w:val="none"/>
                <w:lang w:eastAsia="zh-CN"/>
              </w:rPr>
              <w:t>）</w:t>
            </w:r>
          </w:p>
        </w:tc>
        <w:tc>
          <w:tcPr>
            <w:tcW w:w="841" w:type="dxa"/>
            <w:tcBorders>
              <w:top w:val="single" w:color="auto" w:sz="4" w:space="0"/>
              <w:left w:val="nil"/>
              <w:bottom w:val="single" w:color="auto" w:sz="4" w:space="0"/>
              <w:right w:val="single" w:color="auto" w:sz="4" w:space="0"/>
            </w:tcBorders>
            <w:noWrap/>
            <w:vAlign w:val="center"/>
          </w:tcPr>
          <w:p w14:paraId="378F7E36">
            <w:pPr>
              <w:rPr>
                <w:rFonts w:ascii="宋体" w:hAnsi="宋体" w:cs="宋体"/>
                <w:color w:val="auto"/>
                <w:sz w:val="21"/>
                <w:szCs w:val="21"/>
                <w:highlight w:val="none"/>
              </w:rPr>
            </w:pPr>
          </w:p>
        </w:tc>
        <w:tc>
          <w:tcPr>
            <w:tcW w:w="741" w:type="dxa"/>
            <w:tcBorders>
              <w:top w:val="single" w:color="auto" w:sz="4" w:space="0"/>
              <w:left w:val="nil"/>
              <w:bottom w:val="single" w:color="auto" w:sz="4" w:space="0"/>
              <w:right w:val="single" w:color="auto" w:sz="4" w:space="0"/>
            </w:tcBorders>
            <w:noWrap/>
            <w:vAlign w:val="center"/>
          </w:tcPr>
          <w:p w14:paraId="16A69C09">
            <w:pPr>
              <w:jc w:val="center"/>
              <w:rPr>
                <w:rFonts w:ascii="宋体" w:hAnsi="宋体" w:cs="宋体"/>
                <w:color w:val="auto"/>
                <w:sz w:val="21"/>
                <w:szCs w:val="21"/>
                <w:highlight w:val="none"/>
              </w:rPr>
            </w:pPr>
          </w:p>
        </w:tc>
      </w:tr>
      <w:tr w14:paraId="6E85859A">
        <w:tblPrEx>
          <w:tblCellMar>
            <w:top w:w="0" w:type="dxa"/>
            <w:left w:w="108" w:type="dxa"/>
            <w:bottom w:w="0" w:type="dxa"/>
            <w:right w:w="108" w:type="dxa"/>
          </w:tblCellMar>
        </w:tblPrEx>
        <w:trPr>
          <w:cantSplit/>
          <w:trHeight w:val="1251" w:hRule="atLeast"/>
          <w:jc w:val="center"/>
        </w:trPr>
        <w:tc>
          <w:tcPr>
            <w:tcW w:w="450" w:type="dxa"/>
            <w:tcBorders>
              <w:top w:val="single" w:color="auto" w:sz="4" w:space="0"/>
              <w:left w:val="single" w:color="auto" w:sz="4" w:space="0"/>
              <w:bottom w:val="single" w:color="auto" w:sz="4" w:space="0"/>
              <w:right w:val="single" w:color="auto" w:sz="4" w:space="0"/>
            </w:tcBorders>
            <w:noWrap/>
            <w:vAlign w:val="center"/>
          </w:tcPr>
          <w:p w14:paraId="60B8B6B5">
            <w:pPr>
              <w:jc w:val="center"/>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val="en-US" w:eastAsia="zh-CN"/>
              </w:rPr>
              <w:t>7</w:t>
            </w:r>
          </w:p>
        </w:tc>
        <w:tc>
          <w:tcPr>
            <w:tcW w:w="1163" w:type="dxa"/>
            <w:tcBorders>
              <w:top w:val="single" w:color="auto" w:sz="4" w:space="0"/>
              <w:left w:val="nil"/>
              <w:bottom w:val="single" w:color="auto" w:sz="4" w:space="0"/>
              <w:right w:val="single" w:color="auto" w:sz="4" w:space="0"/>
            </w:tcBorders>
            <w:noWrap/>
            <w:vAlign w:val="center"/>
          </w:tcPr>
          <w:p w14:paraId="07989545">
            <w:pPr>
              <w:jc w:val="center"/>
              <w:rPr>
                <w:rFonts w:ascii="宋体" w:hAnsi="宋体" w:cs="宋体"/>
                <w:color w:val="auto"/>
                <w:sz w:val="21"/>
                <w:szCs w:val="21"/>
                <w:highlight w:val="none"/>
              </w:rPr>
            </w:pPr>
            <w:r>
              <w:rPr>
                <w:rFonts w:hint="eastAsia" w:ascii="宋体" w:hAnsi="宋体" w:cs="宋体"/>
                <w:color w:val="auto"/>
                <w:sz w:val="21"/>
                <w:szCs w:val="21"/>
                <w:highlight w:val="none"/>
              </w:rPr>
              <w:t>信息化管理平台管理</w:t>
            </w:r>
          </w:p>
        </w:tc>
        <w:tc>
          <w:tcPr>
            <w:tcW w:w="867" w:type="dxa"/>
            <w:tcBorders>
              <w:top w:val="single" w:color="auto" w:sz="4" w:space="0"/>
              <w:left w:val="nil"/>
              <w:bottom w:val="single" w:color="auto" w:sz="4" w:space="0"/>
              <w:right w:val="single" w:color="auto" w:sz="4" w:space="0"/>
            </w:tcBorders>
            <w:noWrap/>
            <w:vAlign w:val="center"/>
          </w:tcPr>
          <w:p w14:paraId="28C7FE5D">
            <w:pPr>
              <w:jc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10</w:t>
            </w:r>
          </w:p>
        </w:tc>
        <w:tc>
          <w:tcPr>
            <w:tcW w:w="5963" w:type="dxa"/>
            <w:tcBorders>
              <w:top w:val="single" w:color="auto" w:sz="4" w:space="0"/>
              <w:left w:val="nil"/>
              <w:bottom w:val="single" w:color="auto" w:sz="4" w:space="0"/>
              <w:right w:val="single" w:color="auto" w:sz="4" w:space="0"/>
            </w:tcBorders>
            <w:noWrap/>
            <w:vAlign w:val="center"/>
          </w:tcPr>
          <w:p w14:paraId="425B0118">
            <w:pPr>
              <w:rPr>
                <w:rFonts w:ascii="宋体" w:hAnsi="宋体" w:cs="宋体"/>
                <w:color w:val="auto"/>
                <w:sz w:val="21"/>
                <w:szCs w:val="21"/>
                <w:highlight w:val="none"/>
              </w:rPr>
            </w:pPr>
            <w:r>
              <w:rPr>
                <w:rFonts w:hint="eastAsia" w:ascii="宋体" w:hAnsi="宋体" w:cs="宋体"/>
                <w:color w:val="auto"/>
                <w:sz w:val="21"/>
                <w:szCs w:val="21"/>
                <w:highlight w:val="none"/>
              </w:rPr>
              <w:t>物业化公司对巡查人员专职管理，信息不能及时传达到巡查人员每次扣2 分扣完为止（6分），</w:t>
            </w:r>
            <w:r>
              <w:rPr>
                <w:rFonts w:hint="eastAsia" w:ascii="宋体" w:hAnsi="宋体" w:cs="宋体"/>
                <w:color w:val="auto"/>
                <w:sz w:val="21"/>
                <w:szCs w:val="21"/>
                <w:highlight w:val="none"/>
                <w:lang w:val="en-US" w:eastAsia="zh-CN"/>
              </w:rPr>
              <w:t>省市区信息化管理平台</w:t>
            </w:r>
            <w:r>
              <w:rPr>
                <w:rFonts w:hint="eastAsia" w:ascii="宋体" w:hAnsi="宋体" w:cs="宋体"/>
                <w:color w:val="auto"/>
                <w:sz w:val="21"/>
                <w:szCs w:val="21"/>
                <w:highlight w:val="none"/>
              </w:rPr>
              <w:t>督查与服务平台数据及信息上传更新（0-</w:t>
            </w:r>
            <w:r>
              <w:rPr>
                <w:rFonts w:hint="eastAsia" w:ascii="宋体" w:hAnsi="宋体" w:cs="宋体"/>
                <w:color w:val="auto"/>
                <w:sz w:val="21"/>
                <w:szCs w:val="21"/>
                <w:highlight w:val="none"/>
                <w:lang w:val="en-US" w:eastAsia="zh-CN"/>
              </w:rPr>
              <w:t>4</w:t>
            </w:r>
            <w:r>
              <w:rPr>
                <w:rFonts w:hint="eastAsia" w:ascii="宋体" w:hAnsi="宋体" w:cs="宋体"/>
                <w:color w:val="auto"/>
                <w:sz w:val="21"/>
                <w:szCs w:val="21"/>
                <w:highlight w:val="none"/>
              </w:rPr>
              <w:t>分）</w:t>
            </w:r>
            <w:r>
              <w:rPr>
                <w:rFonts w:hint="eastAsia" w:ascii="宋体" w:hAnsi="宋体" w:cs="宋体"/>
                <w:color w:val="auto"/>
                <w:sz w:val="21"/>
                <w:szCs w:val="21"/>
                <w:highlight w:val="none"/>
                <w:lang w:eastAsia="zh-CN"/>
              </w:rPr>
              <w:t>；</w:t>
            </w:r>
          </w:p>
        </w:tc>
        <w:tc>
          <w:tcPr>
            <w:tcW w:w="841" w:type="dxa"/>
            <w:tcBorders>
              <w:top w:val="single" w:color="auto" w:sz="4" w:space="0"/>
              <w:left w:val="nil"/>
              <w:bottom w:val="single" w:color="auto" w:sz="4" w:space="0"/>
              <w:right w:val="single" w:color="auto" w:sz="4" w:space="0"/>
            </w:tcBorders>
            <w:noWrap/>
            <w:vAlign w:val="center"/>
          </w:tcPr>
          <w:p w14:paraId="5744D14E">
            <w:pPr>
              <w:rPr>
                <w:rFonts w:ascii="宋体" w:hAnsi="宋体" w:cs="宋体"/>
                <w:color w:val="auto"/>
                <w:sz w:val="21"/>
                <w:szCs w:val="21"/>
                <w:highlight w:val="none"/>
              </w:rPr>
            </w:pPr>
          </w:p>
        </w:tc>
        <w:tc>
          <w:tcPr>
            <w:tcW w:w="741" w:type="dxa"/>
            <w:tcBorders>
              <w:top w:val="single" w:color="auto" w:sz="4" w:space="0"/>
              <w:left w:val="nil"/>
              <w:bottom w:val="single" w:color="auto" w:sz="4" w:space="0"/>
              <w:right w:val="single" w:color="auto" w:sz="4" w:space="0"/>
            </w:tcBorders>
            <w:noWrap/>
            <w:vAlign w:val="center"/>
          </w:tcPr>
          <w:p w14:paraId="6B32BA06">
            <w:pPr>
              <w:jc w:val="center"/>
              <w:rPr>
                <w:rFonts w:ascii="宋体" w:hAnsi="宋体" w:cs="宋体"/>
                <w:color w:val="auto"/>
                <w:sz w:val="21"/>
                <w:szCs w:val="21"/>
                <w:highlight w:val="none"/>
              </w:rPr>
            </w:pPr>
          </w:p>
        </w:tc>
      </w:tr>
      <w:tr w14:paraId="48D86A08">
        <w:tblPrEx>
          <w:tblCellMar>
            <w:top w:w="0" w:type="dxa"/>
            <w:left w:w="108" w:type="dxa"/>
            <w:bottom w:w="0" w:type="dxa"/>
            <w:right w:w="108" w:type="dxa"/>
          </w:tblCellMar>
        </w:tblPrEx>
        <w:trPr>
          <w:cantSplit/>
          <w:trHeight w:val="889" w:hRule="atLeast"/>
          <w:jc w:val="center"/>
        </w:trPr>
        <w:tc>
          <w:tcPr>
            <w:tcW w:w="450" w:type="dxa"/>
            <w:tcBorders>
              <w:top w:val="single" w:color="auto" w:sz="4" w:space="0"/>
              <w:left w:val="single" w:color="auto" w:sz="4" w:space="0"/>
              <w:bottom w:val="single" w:color="auto" w:sz="4" w:space="0"/>
              <w:right w:val="single" w:color="auto" w:sz="4" w:space="0"/>
            </w:tcBorders>
            <w:noWrap/>
            <w:vAlign w:val="center"/>
          </w:tcPr>
          <w:p w14:paraId="0C0A4762">
            <w:pPr>
              <w:jc w:val="center"/>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val="en-US" w:eastAsia="zh-CN"/>
              </w:rPr>
              <w:t>8</w:t>
            </w:r>
          </w:p>
        </w:tc>
        <w:tc>
          <w:tcPr>
            <w:tcW w:w="1163" w:type="dxa"/>
            <w:tcBorders>
              <w:top w:val="single" w:color="auto" w:sz="4" w:space="0"/>
              <w:left w:val="nil"/>
              <w:bottom w:val="single" w:color="auto" w:sz="4" w:space="0"/>
              <w:right w:val="single" w:color="auto" w:sz="4" w:space="0"/>
            </w:tcBorders>
            <w:noWrap/>
            <w:vAlign w:val="center"/>
          </w:tcPr>
          <w:p w14:paraId="5F11B411">
            <w:pPr>
              <w:jc w:val="center"/>
              <w:rPr>
                <w:rFonts w:ascii="宋体" w:hAnsi="宋体" w:cs="宋体"/>
                <w:color w:val="auto"/>
                <w:sz w:val="21"/>
                <w:szCs w:val="21"/>
                <w:highlight w:val="none"/>
              </w:rPr>
            </w:pPr>
            <w:r>
              <w:rPr>
                <w:rFonts w:hint="eastAsia" w:ascii="宋体" w:hAnsi="宋体" w:cs="宋体"/>
                <w:color w:val="auto"/>
                <w:sz w:val="21"/>
                <w:szCs w:val="21"/>
                <w:highlight w:val="none"/>
              </w:rPr>
              <w:t>督查通报</w:t>
            </w:r>
          </w:p>
        </w:tc>
        <w:tc>
          <w:tcPr>
            <w:tcW w:w="867" w:type="dxa"/>
            <w:tcBorders>
              <w:top w:val="single" w:color="auto" w:sz="4" w:space="0"/>
              <w:left w:val="nil"/>
              <w:bottom w:val="single" w:color="auto" w:sz="4" w:space="0"/>
              <w:right w:val="single" w:color="auto" w:sz="4" w:space="0"/>
            </w:tcBorders>
            <w:noWrap/>
            <w:vAlign w:val="center"/>
          </w:tcPr>
          <w:p w14:paraId="71DCA4D5">
            <w:pPr>
              <w:jc w:val="center"/>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val="en-US" w:eastAsia="zh-CN"/>
              </w:rPr>
              <w:t>8</w:t>
            </w:r>
          </w:p>
        </w:tc>
        <w:tc>
          <w:tcPr>
            <w:tcW w:w="5963" w:type="dxa"/>
            <w:tcBorders>
              <w:top w:val="single" w:color="auto" w:sz="4" w:space="0"/>
              <w:left w:val="nil"/>
              <w:bottom w:val="single" w:color="auto" w:sz="4" w:space="0"/>
              <w:right w:val="single" w:color="auto" w:sz="4" w:space="0"/>
            </w:tcBorders>
            <w:noWrap/>
            <w:vAlign w:val="center"/>
          </w:tcPr>
          <w:p w14:paraId="330594CC">
            <w:pPr>
              <w:jc w:val="left"/>
              <w:rPr>
                <w:rFonts w:ascii="宋体" w:hAnsi="宋体" w:cs="宋体"/>
                <w:color w:val="auto"/>
                <w:sz w:val="21"/>
                <w:szCs w:val="21"/>
                <w:highlight w:val="none"/>
              </w:rPr>
            </w:pPr>
            <w:r>
              <w:rPr>
                <w:rFonts w:hint="eastAsia" w:ascii="宋体" w:hAnsi="宋体" w:cs="宋体"/>
                <w:color w:val="auto"/>
                <w:sz w:val="21"/>
                <w:szCs w:val="21"/>
                <w:highlight w:val="none"/>
              </w:rPr>
              <w:t>受到区市省（部）级督查通报每次分别扣2、</w:t>
            </w:r>
            <w:r>
              <w:rPr>
                <w:rFonts w:hint="eastAsia" w:ascii="宋体" w:hAnsi="宋体" w:cs="宋体"/>
                <w:color w:val="auto"/>
                <w:sz w:val="21"/>
                <w:szCs w:val="21"/>
                <w:highlight w:val="none"/>
                <w:lang w:val="en-US" w:eastAsia="zh-CN"/>
              </w:rPr>
              <w:t>4</w:t>
            </w:r>
            <w:r>
              <w:rPr>
                <w:rFonts w:hint="eastAsia" w:ascii="宋体" w:hAnsi="宋体" w:cs="宋体"/>
                <w:color w:val="auto"/>
                <w:sz w:val="21"/>
                <w:szCs w:val="21"/>
                <w:highlight w:val="none"/>
              </w:rPr>
              <w:t>、</w:t>
            </w:r>
            <w:r>
              <w:rPr>
                <w:rFonts w:hint="eastAsia" w:ascii="宋体" w:hAnsi="宋体" w:cs="宋体"/>
                <w:color w:val="auto"/>
                <w:sz w:val="21"/>
                <w:szCs w:val="21"/>
                <w:highlight w:val="none"/>
                <w:lang w:val="en-US" w:eastAsia="zh-CN"/>
              </w:rPr>
              <w:t>8</w:t>
            </w:r>
            <w:r>
              <w:rPr>
                <w:rFonts w:hint="eastAsia" w:ascii="宋体" w:hAnsi="宋体" w:cs="宋体"/>
                <w:color w:val="auto"/>
                <w:sz w:val="21"/>
                <w:szCs w:val="21"/>
                <w:highlight w:val="none"/>
              </w:rPr>
              <w:t>分（视情况可从重扣分）；</w:t>
            </w:r>
          </w:p>
        </w:tc>
        <w:tc>
          <w:tcPr>
            <w:tcW w:w="841" w:type="dxa"/>
            <w:tcBorders>
              <w:top w:val="single" w:color="auto" w:sz="4" w:space="0"/>
              <w:left w:val="nil"/>
              <w:bottom w:val="single" w:color="auto" w:sz="4" w:space="0"/>
              <w:right w:val="single" w:color="auto" w:sz="4" w:space="0"/>
            </w:tcBorders>
            <w:noWrap/>
            <w:vAlign w:val="center"/>
          </w:tcPr>
          <w:p w14:paraId="1B9EB295">
            <w:pPr>
              <w:rPr>
                <w:rFonts w:ascii="宋体" w:hAnsi="宋体" w:cs="宋体"/>
                <w:color w:val="auto"/>
                <w:sz w:val="21"/>
                <w:szCs w:val="21"/>
                <w:highlight w:val="none"/>
              </w:rPr>
            </w:pPr>
          </w:p>
        </w:tc>
        <w:tc>
          <w:tcPr>
            <w:tcW w:w="741" w:type="dxa"/>
            <w:tcBorders>
              <w:top w:val="single" w:color="auto" w:sz="4" w:space="0"/>
              <w:left w:val="nil"/>
              <w:bottom w:val="single" w:color="auto" w:sz="4" w:space="0"/>
              <w:right w:val="single" w:color="auto" w:sz="4" w:space="0"/>
            </w:tcBorders>
            <w:noWrap/>
            <w:vAlign w:val="center"/>
          </w:tcPr>
          <w:p w14:paraId="5796632F">
            <w:pPr>
              <w:jc w:val="center"/>
              <w:rPr>
                <w:rFonts w:ascii="宋体" w:hAnsi="宋体" w:cs="宋体"/>
                <w:color w:val="auto"/>
                <w:sz w:val="21"/>
                <w:szCs w:val="21"/>
                <w:highlight w:val="none"/>
              </w:rPr>
            </w:pPr>
          </w:p>
        </w:tc>
      </w:tr>
      <w:tr w14:paraId="1C16BF39">
        <w:tblPrEx>
          <w:tblCellMar>
            <w:top w:w="0" w:type="dxa"/>
            <w:left w:w="108" w:type="dxa"/>
            <w:bottom w:w="0" w:type="dxa"/>
            <w:right w:w="108" w:type="dxa"/>
          </w:tblCellMar>
        </w:tblPrEx>
        <w:trPr>
          <w:cantSplit/>
          <w:trHeight w:val="1002" w:hRule="atLeast"/>
          <w:jc w:val="center"/>
        </w:trPr>
        <w:tc>
          <w:tcPr>
            <w:tcW w:w="450" w:type="dxa"/>
            <w:tcBorders>
              <w:top w:val="single" w:color="auto" w:sz="4" w:space="0"/>
              <w:left w:val="single" w:color="auto" w:sz="4" w:space="0"/>
              <w:bottom w:val="single" w:color="auto" w:sz="4" w:space="0"/>
              <w:right w:val="single" w:color="auto" w:sz="4" w:space="0"/>
            </w:tcBorders>
            <w:noWrap/>
            <w:vAlign w:val="center"/>
          </w:tcPr>
          <w:p w14:paraId="076C105D">
            <w:pPr>
              <w:jc w:val="center"/>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val="en-US" w:eastAsia="zh-CN"/>
              </w:rPr>
              <w:t>9</w:t>
            </w:r>
          </w:p>
        </w:tc>
        <w:tc>
          <w:tcPr>
            <w:tcW w:w="1163" w:type="dxa"/>
            <w:tcBorders>
              <w:top w:val="single" w:color="auto" w:sz="4" w:space="0"/>
              <w:left w:val="nil"/>
              <w:bottom w:val="single" w:color="auto" w:sz="4" w:space="0"/>
              <w:right w:val="single" w:color="auto" w:sz="4" w:space="0"/>
            </w:tcBorders>
            <w:noWrap/>
            <w:vAlign w:val="center"/>
          </w:tcPr>
          <w:p w14:paraId="3F4FC5ED">
            <w:pPr>
              <w:jc w:val="center"/>
              <w:rPr>
                <w:rFonts w:ascii="宋体" w:hAnsi="宋体" w:cs="宋体"/>
                <w:color w:val="auto"/>
                <w:sz w:val="21"/>
                <w:szCs w:val="21"/>
                <w:highlight w:val="none"/>
              </w:rPr>
            </w:pPr>
            <w:r>
              <w:rPr>
                <w:rFonts w:hint="eastAsia" w:ascii="宋体" w:hAnsi="宋体" w:cs="宋体"/>
                <w:color w:val="auto"/>
                <w:sz w:val="21"/>
                <w:szCs w:val="21"/>
                <w:highlight w:val="none"/>
              </w:rPr>
              <w:t>督查整改</w:t>
            </w:r>
          </w:p>
        </w:tc>
        <w:tc>
          <w:tcPr>
            <w:tcW w:w="867" w:type="dxa"/>
            <w:tcBorders>
              <w:top w:val="single" w:color="auto" w:sz="4" w:space="0"/>
              <w:left w:val="nil"/>
              <w:bottom w:val="single" w:color="auto" w:sz="4" w:space="0"/>
              <w:right w:val="single" w:color="auto" w:sz="4" w:space="0"/>
            </w:tcBorders>
            <w:noWrap/>
            <w:vAlign w:val="center"/>
          </w:tcPr>
          <w:p w14:paraId="0AE369F9">
            <w:pPr>
              <w:jc w:val="center"/>
              <w:rPr>
                <w:rFonts w:ascii="宋体" w:hAnsi="宋体" w:cs="宋体"/>
                <w:color w:val="auto"/>
                <w:sz w:val="21"/>
                <w:szCs w:val="21"/>
                <w:highlight w:val="none"/>
              </w:rPr>
            </w:pPr>
            <w:r>
              <w:rPr>
                <w:rFonts w:hint="eastAsia" w:ascii="宋体" w:hAnsi="宋体" w:cs="宋体"/>
                <w:color w:val="auto"/>
                <w:sz w:val="21"/>
                <w:szCs w:val="21"/>
                <w:highlight w:val="none"/>
              </w:rPr>
              <w:t>5</w:t>
            </w:r>
          </w:p>
        </w:tc>
        <w:tc>
          <w:tcPr>
            <w:tcW w:w="5963" w:type="dxa"/>
            <w:tcBorders>
              <w:top w:val="single" w:color="auto" w:sz="4" w:space="0"/>
              <w:left w:val="nil"/>
              <w:bottom w:val="single" w:color="auto" w:sz="4" w:space="0"/>
              <w:right w:val="single" w:color="auto" w:sz="4" w:space="0"/>
            </w:tcBorders>
            <w:noWrap/>
            <w:vAlign w:val="center"/>
          </w:tcPr>
          <w:p w14:paraId="4C211A56">
            <w:pPr>
              <w:rPr>
                <w:rFonts w:ascii="宋体" w:hAnsi="宋体" w:cs="宋体"/>
                <w:color w:val="auto"/>
                <w:sz w:val="21"/>
                <w:szCs w:val="21"/>
                <w:highlight w:val="none"/>
              </w:rPr>
            </w:pPr>
            <w:r>
              <w:rPr>
                <w:rFonts w:hint="eastAsia" w:ascii="宋体" w:hAnsi="宋体" w:cs="宋体"/>
                <w:color w:val="auto"/>
                <w:sz w:val="21"/>
                <w:szCs w:val="21"/>
                <w:highlight w:val="none"/>
              </w:rPr>
              <w:t>对督查发现的问题未及时整改的每次扣5分，（上不封顶，视情况可从加倍扣分）</w:t>
            </w:r>
          </w:p>
        </w:tc>
        <w:tc>
          <w:tcPr>
            <w:tcW w:w="841" w:type="dxa"/>
            <w:tcBorders>
              <w:top w:val="single" w:color="auto" w:sz="4" w:space="0"/>
              <w:left w:val="nil"/>
              <w:bottom w:val="single" w:color="auto" w:sz="4" w:space="0"/>
              <w:right w:val="single" w:color="auto" w:sz="4" w:space="0"/>
            </w:tcBorders>
            <w:noWrap/>
            <w:vAlign w:val="center"/>
          </w:tcPr>
          <w:p w14:paraId="54EF4BF5">
            <w:pPr>
              <w:rPr>
                <w:rFonts w:ascii="宋体" w:hAnsi="宋体" w:cs="宋体"/>
                <w:color w:val="auto"/>
                <w:sz w:val="21"/>
                <w:szCs w:val="21"/>
                <w:highlight w:val="none"/>
              </w:rPr>
            </w:pPr>
          </w:p>
        </w:tc>
        <w:tc>
          <w:tcPr>
            <w:tcW w:w="741" w:type="dxa"/>
            <w:tcBorders>
              <w:top w:val="single" w:color="auto" w:sz="4" w:space="0"/>
              <w:left w:val="nil"/>
              <w:bottom w:val="single" w:color="auto" w:sz="4" w:space="0"/>
              <w:right w:val="single" w:color="auto" w:sz="4" w:space="0"/>
            </w:tcBorders>
            <w:noWrap/>
            <w:vAlign w:val="center"/>
          </w:tcPr>
          <w:p w14:paraId="48D4F8DA">
            <w:pPr>
              <w:jc w:val="center"/>
              <w:rPr>
                <w:rFonts w:ascii="宋体" w:hAnsi="宋体" w:cs="宋体"/>
                <w:color w:val="auto"/>
                <w:sz w:val="21"/>
                <w:szCs w:val="21"/>
                <w:highlight w:val="none"/>
              </w:rPr>
            </w:pPr>
          </w:p>
        </w:tc>
      </w:tr>
      <w:tr w14:paraId="26EDC24B">
        <w:tblPrEx>
          <w:tblCellMar>
            <w:top w:w="0" w:type="dxa"/>
            <w:left w:w="108" w:type="dxa"/>
            <w:bottom w:w="0" w:type="dxa"/>
            <w:right w:w="108" w:type="dxa"/>
          </w:tblCellMar>
        </w:tblPrEx>
        <w:trPr>
          <w:cantSplit/>
          <w:trHeight w:val="424" w:hRule="atLeast"/>
          <w:jc w:val="center"/>
        </w:trPr>
        <w:tc>
          <w:tcPr>
            <w:tcW w:w="2480" w:type="dxa"/>
            <w:gridSpan w:val="3"/>
            <w:tcBorders>
              <w:top w:val="single" w:color="auto" w:sz="4" w:space="0"/>
              <w:left w:val="single" w:color="auto" w:sz="4" w:space="0"/>
              <w:bottom w:val="single" w:color="auto" w:sz="4" w:space="0"/>
              <w:right w:val="single" w:color="auto" w:sz="4" w:space="0"/>
            </w:tcBorders>
            <w:noWrap/>
            <w:vAlign w:val="center"/>
          </w:tcPr>
          <w:p w14:paraId="74EBE037">
            <w:pPr>
              <w:jc w:val="center"/>
              <w:rPr>
                <w:rFonts w:ascii="宋体" w:hAnsi="宋体" w:cs="宋体"/>
                <w:color w:val="auto"/>
                <w:sz w:val="21"/>
                <w:szCs w:val="21"/>
                <w:highlight w:val="none"/>
              </w:rPr>
            </w:pPr>
            <w:r>
              <w:rPr>
                <w:rFonts w:hint="eastAsia" w:ascii="宋体" w:hAnsi="宋体" w:cs="宋体"/>
                <w:color w:val="auto"/>
                <w:sz w:val="21"/>
                <w:szCs w:val="21"/>
                <w:highlight w:val="none"/>
              </w:rPr>
              <w:t>合计</w:t>
            </w:r>
          </w:p>
        </w:tc>
        <w:tc>
          <w:tcPr>
            <w:tcW w:w="7545" w:type="dxa"/>
            <w:gridSpan w:val="3"/>
            <w:tcBorders>
              <w:top w:val="single" w:color="auto" w:sz="4" w:space="0"/>
              <w:left w:val="nil"/>
              <w:bottom w:val="single" w:color="auto" w:sz="4" w:space="0"/>
              <w:right w:val="single" w:color="auto" w:sz="4" w:space="0"/>
            </w:tcBorders>
            <w:noWrap/>
            <w:vAlign w:val="center"/>
          </w:tcPr>
          <w:p w14:paraId="79F88143">
            <w:pPr>
              <w:jc w:val="center"/>
              <w:rPr>
                <w:rFonts w:ascii="宋体" w:hAnsi="宋体" w:cs="宋体"/>
                <w:color w:val="auto"/>
                <w:sz w:val="21"/>
                <w:szCs w:val="21"/>
                <w:highlight w:val="none"/>
              </w:rPr>
            </w:pPr>
          </w:p>
        </w:tc>
      </w:tr>
    </w:tbl>
    <w:p w14:paraId="4C3235E7">
      <w:pPr>
        <w:pStyle w:val="26"/>
        <w:snapToGrid w:val="0"/>
        <w:spacing w:beforeLines="0" w:afterLines="0" w:line="360" w:lineRule="auto"/>
        <w:jc w:val="center"/>
        <w:outlineLvl w:val="0"/>
        <w:rPr>
          <w:rFonts w:hAnsi="宋体"/>
          <w:b/>
          <w:bCs/>
          <w:color w:val="auto"/>
          <w:sz w:val="32"/>
          <w:szCs w:val="32"/>
          <w:highlight w:val="none"/>
        </w:rPr>
        <w:sectPr>
          <w:footerReference r:id="rId9" w:type="first"/>
          <w:footerReference r:id="rId8" w:type="default"/>
          <w:pgSz w:w="11906" w:h="16838"/>
          <w:pgMar w:top="1418" w:right="1418" w:bottom="1134" w:left="1418" w:header="851" w:footer="851" w:gutter="0"/>
          <w:pgNumType w:fmt="decimal" w:start="1"/>
          <w:cols w:space="720" w:num="1"/>
          <w:titlePg/>
          <w:docGrid w:type="linesAndChars" w:linePitch="312" w:charSpace="0"/>
        </w:sectPr>
      </w:pPr>
    </w:p>
    <w:p w14:paraId="25F9CFBA">
      <w:pPr>
        <w:pStyle w:val="2"/>
        <w:keepLines w:val="0"/>
        <w:autoSpaceDE w:val="0"/>
        <w:autoSpaceDN w:val="0"/>
        <w:adjustRightInd w:val="0"/>
        <w:spacing w:before="0" w:line="360" w:lineRule="auto"/>
        <w:jc w:val="center"/>
        <w:textAlignment w:val="baseline"/>
        <w:rPr>
          <w:rFonts w:cs="宋体"/>
          <w:bCs w:val="0"/>
          <w:color w:val="auto"/>
          <w:kern w:val="0"/>
          <w:highlight w:val="none"/>
        </w:rPr>
      </w:pPr>
      <w:r>
        <w:rPr>
          <w:rFonts w:hint="eastAsia" w:cs="宋体"/>
          <w:bCs w:val="0"/>
          <w:color w:val="auto"/>
          <w:kern w:val="0"/>
          <w:highlight w:val="none"/>
        </w:rPr>
        <w:t>第三章  投标人须知</w:t>
      </w:r>
      <w:bookmarkEnd w:id="7"/>
    </w:p>
    <w:p w14:paraId="158D0680">
      <w:pPr>
        <w:pStyle w:val="2"/>
        <w:keepLines w:val="0"/>
        <w:autoSpaceDE w:val="0"/>
        <w:autoSpaceDN w:val="0"/>
        <w:adjustRightInd w:val="0"/>
        <w:spacing w:before="0" w:line="360" w:lineRule="auto"/>
        <w:textAlignment w:val="baseline"/>
        <w:rPr>
          <w:rFonts w:cs="宋体"/>
          <w:bCs w:val="0"/>
          <w:color w:val="auto"/>
          <w:kern w:val="0"/>
          <w:highlight w:val="none"/>
        </w:rPr>
      </w:pPr>
      <w:bookmarkStart w:id="8" w:name="_Toc502069657"/>
      <w:r>
        <w:rPr>
          <w:rFonts w:hint="eastAsia" w:cs="宋体"/>
          <w:bCs w:val="0"/>
          <w:color w:val="auto"/>
          <w:kern w:val="0"/>
          <w:highlight w:val="none"/>
        </w:rPr>
        <w:t>前附表</w:t>
      </w:r>
      <w:bookmarkEnd w:id="8"/>
    </w:p>
    <w:tbl>
      <w:tblPr>
        <w:tblStyle w:val="46"/>
        <w:tblW w:w="10019" w:type="dxa"/>
        <w:tblInd w:w="-13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91"/>
        <w:gridCol w:w="9228"/>
      </w:tblGrid>
      <w:tr w14:paraId="000832B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791" w:type="dxa"/>
            <w:tcBorders>
              <w:top w:val="single" w:color="auto" w:sz="4" w:space="0"/>
              <w:left w:val="single" w:color="auto" w:sz="4" w:space="0"/>
              <w:bottom w:val="single" w:color="auto" w:sz="4" w:space="0"/>
              <w:right w:val="single" w:color="auto" w:sz="4" w:space="0"/>
            </w:tcBorders>
            <w:noWrap w:val="0"/>
            <w:vAlign w:val="center"/>
          </w:tcPr>
          <w:p w14:paraId="55C4E977">
            <w:pPr>
              <w:snapToGri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序号</w:t>
            </w:r>
          </w:p>
        </w:tc>
        <w:tc>
          <w:tcPr>
            <w:tcW w:w="9228" w:type="dxa"/>
            <w:tcBorders>
              <w:top w:val="single" w:color="auto" w:sz="4" w:space="0"/>
              <w:left w:val="single" w:color="auto" w:sz="4" w:space="0"/>
              <w:bottom w:val="single" w:color="auto" w:sz="4" w:space="0"/>
              <w:right w:val="single" w:color="auto" w:sz="4" w:space="0"/>
            </w:tcBorders>
            <w:noWrap w:val="0"/>
            <w:vAlign w:val="center"/>
          </w:tcPr>
          <w:p w14:paraId="29549347">
            <w:pPr>
              <w:autoSpaceDE w:val="0"/>
              <w:autoSpaceDN w:val="0"/>
              <w:adjustRightInd w:val="0"/>
              <w:snapToGrid w:val="0"/>
              <w:spacing w:line="360" w:lineRule="exact"/>
              <w:jc w:val="center"/>
              <w:textAlignment w:val="baseline"/>
              <w:rPr>
                <w:rFonts w:ascii="宋体" w:hAnsi="宋体" w:cs="宋体"/>
                <w:b/>
                <w:color w:val="auto"/>
                <w:szCs w:val="21"/>
                <w:highlight w:val="none"/>
              </w:rPr>
            </w:pPr>
            <w:r>
              <w:rPr>
                <w:rFonts w:hint="eastAsia" w:ascii="宋体" w:hAnsi="宋体" w:cs="宋体"/>
                <w:bCs/>
                <w:color w:val="auto"/>
                <w:szCs w:val="21"/>
                <w:highlight w:val="none"/>
              </w:rPr>
              <w:t>内容、要求</w:t>
            </w:r>
          </w:p>
        </w:tc>
      </w:tr>
      <w:tr w14:paraId="29BA0F9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0" w:hRule="atLeast"/>
        </w:trPr>
        <w:tc>
          <w:tcPr>
            <w:tcW w:w="791" w:type="dxa"/>
            <w:tcBorders>
              <w:top w:val="single" w:color="auto" w:sz="4" w:space="0"/>
              <w:left w:val="single" w:color="auto" w:sz="4" w:space="0"/>
              <w:bottom w:val="single" w:color="auto" w:sz="4" w:space="0"/>
              <w:right w:val="single" w:color="auto" w:sz="4" w:space="0"/>
            </w:tcBorders>
            <w:noWrap w:val="0"/>
            <w:vAlign w:val="center"/>
          </w:tcPr>
          <w:p w14:paraId="2A4468D2">
            <w:pPr>
              <w:snapToGri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w:t>
            </w:r>
          </w:p>
        </w:tc>
        <w:tc>
          <w:tcPr>
            <w:tcW w:w="9228" w:type="dxa"/>
            <w:tcBorders>
              <w:top w:val="single" w:color="auto" w:sz="4" w:space="0"/>
              <w:left w:val="single" w:color="auto" w:sz="4" w:space="0"/>
              <w:bottom w:val="single" w:color="auto" w:sz="4" w:space="0"/>
              <w:right w:val="single" w:color="auto" w:sz="4" w:space="0"/>
            </w:tcBorders>
            <w:noWrap w:val="0"/>
            <w:vAlign w:val="center"/>
          </w:tcPr>
          <w:p w14:paraId="24BBFFCD">
            <w:pPr>
              <w:autoSpaceDE w:val="0"/>
              <w:autoSpaceDN w:val="0"/>
              <w:adjustRightInd w:val="0"/>
              <w:snapToGrid w:val="0"/>
              <w:spacing w:line="360" w:lineRule="exact"/>
              <w:textAlignment w:val="baseline"/>
              <w:rPr>
                <w:rFonts w:hint="eastAsia" w:ascii="宋体" w:hAnsi="宋体" w:eastAsia="宋体" w:cs="宋体"/>
                <w:b/>
                <w:color w:val="auto"/>
                <w:szCs w:val="21"/>
                <w:highlight w:val="none"/>
                <w:lang w:eastAsia="zh-CN"/>
              </w:rPr>
            </w:pPr>
            <w:r>
              <w:rPr>
                <w:rFonts w:hint="eastAsia" w:ascii="宋体" w:hAnsi="宋体" w:cs="宋体"/>
                <w:b w:val="0"/>
                <w:bCs/>
                <w:color w:val="auto"/>
                <w:szCs w:val="21"/>
                <w:highlight w:val="none"/>
              </w:rPr>
              <w:t>项目名称：</w:t>
            </w:r>
            <w:r>
              <w:rPr>
                <w:rFonts w:hint="eastAsia" w:ascii="宋体" w:hAnsi="宋体" w:cs="宋体"/>
                <w:b w:val="0"/>
                <w:bCs/>
                <w:color w:val="auto"/>
                <w:szCs w:val="21"/>
                <w:highlight w:val="none"/>
                <w:lang w:eastAsia="zh-CN"/>
              </w:rPr>
              <w:t>婺城区2025-2026年水库（山塘）维修养护（物业化管理）项目</w:t>
            </w:r>
          </w:p>
        </w:tc>
      </w:tr>
      <w:tr w14:paraId="756BA51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40" w:hRule="atLeast"/>
        </w:trPr>
        <w:tc>
          <w:tcPr>
            <w:tcW w:w="791" w:type="dxa"/>
            <w:tcBorders>
              <w:top w:val="single" w:color="auto" w:sz="4" w:space="0"/>
              <w:left w:val="single" w:color="auto" w:sz="4" w:space="0"/>
              <w:bottom w:val="single" w:color="auto" w:sz="4" w:space="0"/>
              <w:right w:val="single" w:color="auto" w:sz="4" w:space="0"/>
            </w:tcBorders>
            <w:noWrap w:val="0"/>
            <w:vAlign w:val="center"/>
          </w:tcPr>
          <w:p w14:paraId="0BE030F0">
            <w:pPr>
              <w:snapToGri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2</w:t>
            </w:r>
          </w:p>
        </w:tc>
        <w:tc>
          <w:tcPr>
            <w:tcW w:w="9228" w:type="dxa"/>
            <w:tcBorders>
              <w:top w:val="single" w:color="auto" w:sz="4" w:space="0"/>
              <w:left w:val="single" w:color="auto" w:sz="4" w:space="0"/>
              <w:bottom w:val="single" w:color="auto" w:sz="4" w:space="0"/>
              <w:right w:val="single" w:color="auto" w:sz="4" w:space="0"/>
            </w:tcBorders>
            <w:noWrap w:val="0"/>
            <w:vAlign w:val="center"/>
          </w:tcPr>
          <w:p w14:paraId="4BC2C73F">
            <w:pPr>
              <w:autoSpaceDE w:val="0"/>
              <w:autoSpaceDN w:val="0"/>
              <w:adjustRightInd w:val="0"/>
              <w:snapToGrid w:val="0"/>
              <w:spacing w:line="360" w:lineRule="exact"/>
              <w:textAlignment w:val="baseline"/>
              <w:rPr>
                <w:rFonts w:ascii="宋体" w:hAnsi="宋体" w:cs="宋体"/>
                <w:b w:val="0"/>
                <w:bCs/>
                <w:color w:val="auto"/>
                <w:szCs w:val="21"/>
                <w:highlight w:val="none"/>
              </w:rPr>
            </w:pPr>
            <w:r>
              <w:rPr>
                <w:rFonts w:hint="eastAsia" w:ascii="宋体" w:hAnsi="宋体" w:cs="宋体"/>
                <w:b w:val="0"/>
                <w:bCs/>
                <w:color w:val="auto"/>
                <w:szCs w:val="21"/>
                <w:highlight w:val="none"/>
              </w:rPr>
              <w:t>投标报价及费用：</w:t>
            </w:r>
          </w:p>
          <w:p w14:paraId="201E90FF">
            <w:pPr>
              <w:autoSpaceDE w:val="0"/>
              <w:autoSpaceDN w:val="0"/>
              <w:adjustRightInd w:val="0"/>
              <w:snapToGrid w:val="0"/>
              <w:spacing w:line="360" w:lineRule="exact"/>
              <w:textAlignment w:val="baseline"/>
              <w:rPr>
                <w:rFonts w:ascii="宋体" w:hAnsi="宋体" w:cs="宋体"/>
                <w:b w:val="0"/>
                <w:bCs/>
                <w:color w:val="auto"/>
                <w:szCs w:val="21"/>
                <w:highlight w:val="none"/>
              </w:rPr>
            </w:pPr>
            <w:r>
              <w:rPr>
                <w:rFonts w:hint="eastAsia" w:ascii="宋体" w:hAnsi="宋体" w:cs="宋体"/>
                <w:b w:val="0"/>
                <w:bCs/>
                <w:color w:val="auto"/>
                <w:szCs w:val="21"/>
                <w:highlight w:val="none"/>
              </w:rPr>
              <w:t>1.本项目以人民币计价；</w:t>
            </w:r>
          </w:p>
          <w:p w14:paraId="209145C6">
            <w:pPr>
              <w:autoSpaceDE w:val="0"/>
              <w:autoSpaceDN w:val="0"/>
              <w:adjustRightInd w:val="0"/>
              <w:snapToGrid w:val="0"/>
              <w:spacing w:line="360" w:lineRule="exact"/>
              <w:textAlignment w:val="baseline"/>
              <w:rPr>
                <w:rFonts w:ascii="宋体" w:hAnsi="宋体" w:cs="宋体"/>
                <w:b w:val="0"/>
                <w:bCs/>
                <w:color w:val="auto"/>
                <w:szCs w:val="21"/>
                <w:highlight w:val="none"/>
              </w:rPr>
            </w:pPr>
            <w:r>
              <w:rPr>
                <w:rFonts w:hint="eastAsia" w:ascii="宋体" w:hAnsi="宋体" w:cs="宋体"/>
                <w:b w:val="0"/>
                <w:bCs/>
                <w:color w:val="auto"/>
                <w:szCs w:val="21"/>
                <w:highlight w:val="none"/>
              </w:rPr>
              <w:t>2.不论投标结果如何，投标人均应自行承担所有与投标有关的全部费用；</w:t>
            </w:r>
          </w:p>
          <w:p w14:paraId="13C9C27C">
            <w:pPr>
              <w:autoSpaceDE w:val="0"/>
              <w:autoSpaceDN w:val="0"/>
              <w:adjustRightInd w:val="0"/>
              <w:snapToGrid w:val="0"/>
              <w:spacing w:line="360" w:lineRule="exact"/>
              <w:textAlignment w:val="baseline"/>
              <w:rPr>
                <w:rFonts w:ascii="宋体" w:hAnsi="宋体" w:cs="宋体"/>
                <w:b/>
                <w:color w:val="auto"/>
                <w:szCs w:val="21"/>
                <w:highlight w:val="none"/>
              </w:rPr>
            </w:pPr>
            <w:r>
              <w:rPr>
                <w:rFonts w:hint="eastAsia" w:ascii="宋体" w:hAnsi="宋体" w:cs="宋体"/>
                <w:b/>
                <w:color w:val="auto"/>
                <w:szCs w:val="21"/>
                <w:highlight w:val="none"/>
              </w:rPr>
              <w:t>3.投标人取得中标资格后，须在收到中标通知书的同时向招标代理机构支付采购代理服务费</w:t>
            </w:r>
            <w:r>
              <w:rPr>
                <w:rFonts w:hint="eastAsia" w:ascii="宋体" w:hAnsi="宋体" w:cs="宋体"/>
                <w:b/>
                <w:color w:val="auto"/>
                <w:szCs w:val="21"/>
                <w:highlight w:val="none"/>
                <w:lang w:eastAsia="zh-CN"/>
              </w:rPr>
              <w:t>（</w:t>
            </w:r>
            <w:r>
              <w:rPr>
                <w:rFonts w:hint="eastAsia" w:ascii="宋体" w:hAnsi="宋体" w:cs="宋体"/>
                <w:b/>
                <w:color w:val="auto"/>
                <w:szCs w:val="21"/>
                <w:highlight w:val="none"/>
                <w:lang w:val="en-US" w:eastAsia="zh-CN"/>
              </w:rPr>
              <w:t>标准收费*75%</w:t>
            </w:r>
            <w:r>
              <w:rPr>
                <w:rFonts w:hint="eastAsia" w:ascii="宋体" w:hAnsi="宋体" w:cs="宋体"/>
                <w:b/>
                <w:color w:val="auto"/>
                <w:szCs w:val="21"/>
                <w:highlight w:val="none"/>
                <w:lang w:eastAsia="zh-CN"/>
              </w:rPr>
              <w:t>）</w:t>
            </w:r>
            <w:r>
              <w:rPr>
                <w:rFonts w:hint="eastAsia" w:ascii="宋体" w:hAnsi="宋体" w:cs="宋体"/>
                <w:b/>
                <w:color w:val="auto"/>
                <w:szCs w:val="21"/>
                <w:highlight w:val="none"/>
              </w:rPr>
              <w:t>。</w:t>
            </w:r>
          </w:p>
        </w:tc>
      </w:tr>
      <w:tr w14:paraId="2BEB358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791" w:type="dxa"/>
            <w:tcBorders>
              <w:top w:val="single" w:color="auto" w:sz="4" w:space="0"/>
              <w:left w:val="single" w:color="auto" w:sz="4" w:space="0"/>
              <w:bottom w:val="single" w:color="auto" w:sz="4" w:space="0"/>
              <w:right w:val="single" w:color="auto" w:sz="4" w:space="0"/>
            </w:tcBorders>
            <w:noWrap w:val="0"/>
            <w:vAlign w:val="center"/>
          </w:tcPr>
          <w:p w14:paraId="46A78D40">
            <w:pPr>
              <w:snapToGri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3</w:t>
            </w:r>
          </w:p>
        </w:tc>
        <w:tc>
          <w:tcPr>
            <w:tcW w:w="9228" w:type="dxa"/>
            <w:tcBorders>
              <w:top w:val="single" w:color="auto" w:sz="4" w:space="0"/>
              <w:left w:val="single" w:color="auto" w:sz="4" w:space="0"/>
              <w:bottom w:val="single" w:color="auto" w:sz="4" w:space="0"/>
              <w:right w:val="single" w:color="auto" w:sz="4" w:space="0"/>
            </w:tcBorders>
            <w:noWrap w:val="0"/>
            <w:vAlign w:val="center"/>
          </w:tcPr>
          <w:p w14:paraId="37917AF9">
            <w:pPr>
              <w:snapToGrid w:val="0"/>
              <w:spacing w:line="360" w:lineRule="exact"/>
              <w:rPr>
                <w:rFonts w:ascii="宋体" w:hAnsi="宋体" w:cs="宋体"/>
                <w:color w:val="auto"/>
                <w:szCs w:val="21"/>
                <w:highlight w:val="none"/>
              </w:rPr>
            </w:pPr>
            <w:r>
              <w:rPr>
                <w:rFonts w:hint="eastAsia" w:ascii="宋体" w:cs="宋体"/>
                <w:color w:val="auto"/>
                <w:sz w:val="21"/>
                <w:szCs w:val="21"/>
                <w:highlight w:val="none"/>
                <w:lang w:val="zh-CN"/>
              </w:rPr>
              <w:t>答疑与澄清：</w:t>
            </w:r>
            <w:r>
              <w:rPr>
                <w:rFonts w:hint="eastAsia" w:ascii="宋体" w:hAnsi="宋体" w:eastAsia="宋体" w:cs="宋体"/>
                <w:i w:val="0"/>
                <w:iCs w:val="0"/>
                <w:caps w:val="0"/>
                <w:color w:val="auto"/>
                <w:spacing w:val="0"/>
                <w:sz w:val="21"/>
                <w:szCs w:val="21"/>
                <w:highlight w:val="none"/>
              </w:rPr>
              <w:t>供应商认为采购文件使自己的权益受到损害的，可以自收到采购文件之日（获取采购文件截止日之后收到采购文件的，以获取截止日为准）或者采购文件公告期限届满之日（即为招标公告发布后的第 6 个工作日）起 7 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供应商应在法定质疑期内一次性提出针对同一采购程序环节的质疑。</w:t>
            </w:r>
          </w:p>
        </w:tc>
      </w:tr>
      <w:tr w14:paraId="0F3ACED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791" w:type="dxa"/>
            <w:tcBorders>
              <w:top w:val="single" w:color="auto" w:sz="4" w:space="0"/>
              <w:left w:val="single" w:color="auto" w:sz="4" w:space="0"/>
              <w:bottom w:val="single" w:color="auto" w:sz="4" w:space="0"/>
              <w:right w:val="single" w:color="auto" w:sz="4" w:space="0"/>
            </w:tcBorders>
            <w:noWrap w:val="0"/>
            <w:vAlign w:val="center"/>
          </w:tcPr>
          <w:p w14:paraId="6A296C44">
            <w:pPr>
              <w:snapToGri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4</w:t>
            </w:r>
          </w:p>
        </w:tc>
        <w:tc>
          <w:tcPr>
            <w:tcW w:w="9228" w:type="dxa"/>
            <w:tcBorders>
              <w:top w:val="single" w:color="auto" w:sz="4" w:space="0"/>
              <w:left w:val="single" w:color="auto" w:sz="4" w:space="0"/>
              <w:bottom w:val="single" w:color="auto" w:sz="4" w:space="0"/>
              <w:right w:val="single" w:color="auto" w:sz="4" w:space="0"/>
            </w:tcBorders>
            <w:noWrap w:val="0"/>
            <w:vAlign w:val="center"/>
          </w:tcPr>
          <w:p w14:paraId="0FC052BF">
            <w:pPr>
              <w:widowControl/>
              <w:snapToGrid w:val="0"/>
              <w:spacing w:line="460" w:lineRule="exact"/>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政策落实：</w:t>
            </w:r>
          </w:p>
          <w:p w14:paraId="0CE1C894">
            <w:pPr>
              <w:widowControl/>
              <w:snapToGrid w:val="0"/>
              <w:spacing w:line="46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1.扶持中小企业（监狱企业、残疾人福利性单位）：</w:t>
            </w:r>
          </w:p>
          <w:p w14:paraId="6854505C">
            <w:pPr>
              <w:widowControl/>
              <w:snapToGrid w:val="0"/>
              <w:spacing w:line="46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根据《政府采购促进中小企业发展管理办法》（财库〔2020〕46号），本单位在政府采购活动中应当通过加强采购需求管理，落实预留采购份额，价格评审优惠、优先采购等措施，提高中小企业在政府采购中的份额，支持中小企业发展。项目相关情况如下：</w:t>
            </w:r>
          </w:p>
          <w:p w14:paraId="4C5D6981">
            <w:pPr>
              <w:widowControl/>
              <w:snapToGrid w:val="0"/>
              <w:spacing w:line="46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（1）项目预算：</w:t>
            </w:r>
            <w:r>
              <w:rPr>
                <w:rFonts w:hint="eastAsia" w:ascii="宋体" w:hAnsi="宋体" w:cs="宋体"/>
                <w:color w:val="auto"/>
                <w:sz w:val="21"/>
                <w:szCs w:val="21"/>
                <w:highlight w:val="none"/>
                <w:u w:val="single"/>
                <w:lang w:val="en-US" w:eastAsia="zh-CN"/>
              </w:rPr>
              <w:t xml:space="preserve"> 4198800 </w:t>
            </w:r>
            <w:r>
              <w:rPr>
                <w:rFonts w:hint="eastAsia" w:ascii="宋体" w:hAnsi="宋体" w:eastAsia="宋体" w:cs="宋体"/>
                <w:color w:val="auto"/>
                <w:sz w:val="21"/>
                <w:szCs w:val="21"/>
                <w:highlight w:val="none"/>
              </w:rPr>
              <w:t>元；</w:t>
            </w:r>
          </w:p>
          <w:p w14:paraId="35CD89CF">
            <w:pPr>
              <w:widowControl/>
              <w:snapToGrid w:val="0"/>
              <w:spacing w:line="46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（2）项目属性：</w:t>
            </w:r>
            <w:r>
              <w:rPr>
                <w:rFonts w:hint="eastAsia" w:ascii="宋体" w:hAnsi="宋体" w:eastAsia="宋体" w:cs="宋体"/>
                <w:color w:val="auto"/>
                <w:sz w:val="21"/>
                <w:szCs w:val="21"/>
                <w:highlight w:val="none"/>
                <w:u w:val="single"/>
              </w:rPr>
              <w:t xml:space="preserve"> ②    </w:t>
            </w:r>
            <w:r>
              <w:rPr>
                <w:rFonts w:hint="eastAsia" w:ascii="宋体" w:hAnsi="宋体" w:eastAsia="宋体" w:cs="宋体"/>
                <w:color w:val="auto"/>
                <w:sz w:val="21"/>
                <w:szCs w:val="21"/>
                <w:highlight w:val="none"/>
              </w:rPr>
              <w:t>（①货物类/②服务类/③工程类）</w:t>
            </w:r>
          </w:p>
          <w:p w14:paraId="382BCDD6">
            <w:pPr>
              <w:widowControl/>
              <w:snapToGrid w:val="0"/>
              <w:spacing w:line="46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（3）项目对应的中小企业划分标准所属行业：</w:t>
            </w:r>
            <w:r>
              <w:rPr>
                <w:rFonts w:hint="eastAsia" w:ascii="宋体" w:hAnsi="宋体" w:eastAsia="宋体" w:cs="宋体"/>
                <w:color w:val="auto"/>
                <w:sz w:val="21"/>
                <w:szCs w:val="21"/>
                <w:highlight w:val="none"/>
                <w:u w:val="single"/>
              </w:rPr>
              <w:t>“其他未列明行业”</w:t>
            </w:r>
            <w:r>
              <w:rPr>
                <w:rFonts w:hint="eastAsia" w:ascii="宋体" w:hAnsi="宋体" w:eastAsia="宋体" w:cs="宋体"/>
                <w:color w:val="auto"/>
                <w:sz w:val="21"/>
                <w:szCs w:val="21"/>
                <w:highlight w:val="none"/>
              </w:rPr>
              <w:t>（具体根据《中小企业划型标准规定》执行）</w:t>
            </w:r>
          </w:p>
          <w:p w14:paraId="02596988">
            <w:pPr>
              <w:widowControl/>
              <w:snapToGrid w:val="0"/>
              <w:spacing w:line="46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（4）本项目</w:t>
            </w:r>
            <w:r>
              <w:rPr>
                <w:rFonts w:hint="eastAsia" w:ascii="宋体" w:hAnsi="宋体" w:eastAsia="宋体" w:cs="宋体"/>
                <w:color w:val="auto"/>
                <w:sz w:val="21"/>
                <w:szCs w:val="21"/>
                <w:highlight w:val="none"/>
                <w:u w:val="single"/>
              </w:rPr>
              <w:t xml:space="preserve"> 是  </w:t>
            </w:r>
            <w:r>
              <w:rPr>
                <w:rFonts w:hint="eastAsia" w:ascii="宋体" w:hAnsi="宋体" w:eastAsia="宋体" w:cs="宋体"/>
                <w:color w:val="auto"/>
                <w:sz w:val="21"/>
                <w:szCs w:val="21"/>
                <w:highlight w:val="none"/>
              </w:rPr>
              <w:t>（是/否）属于预留份额专门面向中小企业采购的项目。</w:t>
            </w:r>
          </w:p>
          <w:p w14:paraId="66E5D744">
            <w:pPr>
              <w:widowControl/>
              <w:snapToGrid w:val="0"/>
              <w:spacing w:line="46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（5）上述第4项中确定为“是”的采购项目，预留份额通过</w:t>
            </w:r>
            <w:r>
              <w:rPr>
                <w:rFonts w:hint="eastAsia" w:ascii="宋体" w:hAnsi="宋体" w:eastAsia="宋体" w:cs="宋体"/>
                <w:color w:val="auto"/>
                <w:sz w:val="21"/>
                <w:szCs w:val="21"/>
                <w:highlight w:val="none"/>
                <w:u w:val="single"/>
              </w:rPr>
              <w:t xml:space="preserve">  （①）  </w:t>
            </w:r>
            <w:r>
              <w:rPr>
                <w:rFonts w:hint="eastAsia" w:ascii="宋体" w:hAnsi="宋体" w:eastAsia="宋体" w:cs="宋体"/>
                <w:color w:val="auto"/>
                <w:sz w:val="21"/>
                <w:szCs w:val="21"/>
                <w:highlight w:val="none"/>
              </w:rPr>
              <w:t>措施进行：</w:t>
            </w:r>
          </w:p>
          <w:p w14:paraId="4A852626">
            <w:pPr>
              <w:widowControl/>
              <w:snapToGrid w:val="0"/>
              <w:spacing w:line="46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①将采购项目整体或者设置采购包专门面向中小企业采购； </w:t>
            </w:r>
          </w:p>
          <w:p w14:paraId="3522CF90">
            <w:pPr>
              <w:widowControl/>
              <w:snapToGrid w:val="0"/>
              <w:spacing w:line="46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②要求供应商以联合体形式参加采购活动，且联合体中中小企业承担的部分达到</w:t>
            </w:r>
            <w:r>
              <w:rPr>
                <w:rFonts w:hint="eastAsia" w:ascii="宋体" w:hAnsi="宋体" w:eastAsia="宋体" w:cs="宋体"/>
                <w:color w:val="auto"/>
                <w:sz w:val="21"/>
                <w:szCs w:val="21"/>
                <w:highlight w:val="none"/>
                <w:u w:val="single"/>
              </w:rPr>
              <w:t> / </w:t>
            </w:r>
            <w:r>
              <w:rPr>
                <w:rFonts w:hint="eastAsia" w:ascii="宋体" w:hAnsi="宋体" w:eastAsia="宋体" w:cs="宋体"/>
                <w:color w:val="auto"/>
                <w:sz w:val="21"/>
                <w:szCs w:val="21"/>
                <w:highlight w:val="none"/>
              </w:rPr>
              <w:t xml:space="preserve">(比例)； </w:t>
            </w:r>
          </w:p>
          <w:p w14:paraId="44FA7FF4">
            <w:pPr>
              <w:widowControl/>
              <w:snapToGrid w:val="0"/>
              <w:spacing w:line="46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③要求获得采购合同的供应商将采购项目中的</w:t>
            </w:r>
            <w:r>
              <w:rPr>
                <w:rFonts w:hint="eastAsia" w:ascii="宋体" w:hAnsi="宋体" w:eastAsia="宋体" w:cs="宋体"/>
                <w:color w:val="auto"/>
                <w:sz w:val="21"/>
                <w:szCs w:val="21"/>
                <w:highlight w:val="none"/>
                <w:u w:val="single"/>
              </w:rPr>
              <w:t xml:space="preserve"> / </w:t>
            </w:r>
            <w:r>
              <w:rPr>
                <w:rFonts w:hint="eastAsia" w:ascii="宋体" w:hAnsi="宋体" w:eastAsia="宋体" w:cs="宋体"/>
                <w:color w:val="auto"/>
                <w:sz w:val="21"/>
                <w:szCs w:val="21"/>
                <w:highlight w:val="none"/>
              </w:rPr>
              <w:t>(比例)分包给一家或者多家中小企业。</w:t>
            </w:r>
          </w:p>
          <w:p w14:paraId="11DC7D80">
            <w:pPr>
              <w:widowControl/>
              <w:snapToGrid w:val="0"/>
              <w:spacing w:line="46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（6）对于经主管预算单位统筹后未预留份额专门面向中小企业采购的采购项目，以及预留份额项目中的非预留部分采购包，对小微企业报价给予</w:t>
            </w:r>
            <w:r>
              <w:rPr>
                <w:rFonts w:hint="eastAsia" w:ascii="宋体" w:hAnsi="宋体" w:eastAsia="宋体" w:cs="宋体"/>
                <w:color w:val="auto"/>
                <w:sz w:val="21"/>
                <w:szCs w:val="21"/>
                <w:highlight w:val="none"/>
                <w:u w:val="single"/>
              </w:rPr>
              <w:t> / %</w:t>
            </w:r>
            <w:r>
              <w:rPr>
                <w:rFonts w:hint="eastAsia" w:ascii="宋体" w:hAnsi="宋体" w:eastAsia="宋体" w:cs="宋体"/>
                <w:color w:val="auto"/>
                <w:sz w:val="21"/>
                <w:szCs w:val="21"/>
                <w:highlight w:val="none"/>
              </w:rPr>
              <w:t xml:space="preserve"> 的扣除，用扣除后的价格参加评审。 </w:t>
            </w:r>
          </w:p>
          <w:p w14:paraId="5A256E50">
            <w:pPr>
              <w:widowControl/>
              <w:snapToGrid w:val="0"/>
              <w:spacing w:line="46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对于接受大中型企业与小微企业组成联合体或者允许大中型企业向一家或者多家小微企业分包的采购项目，对于联合协议或者分包意向协议约定小微企业的合同份额占到合同总金额 30%以上的，对联合体或者大中型企业的报价给予</w:t>
            </w:r>
            <w:r>
              <w:rPr>
                <w:rFonts w:hint="eastAsia" w:ascii="宋体" w:hAnsi="宋体" w:eastAsia="宋体" w:cs="宋体"/>
                <w:color w:val="auto"/>
                <w:sz w:val="21"/>
                <w:szCs w:val="21"/>
                <w:highlight w:val="none"/>
                <w:u w:val="single"/>
              </w:rPr>
              <w:t>  /% </w:t>
            </w:r>
            <w:r>
              <w:rPr>
                <w:rFonts w:hint="eastAsia" w:ascii="宋体" w:hAnsi="宋体" w:eastAsia="宋体" w:cs="宋体"/>
                <w:color w:val="auto"/>
                <w:sz w:val="21"/>
                <w:szCs w:val="21"/>
                <w:highlight w:val="none"/>
              </w:rPr>
              <w:t>的扣除，用扣除后的价格参加评审。</w:t>
            </w:r>
          </w:p>
          <w:p w14:paraId="5B41CCAE">
            <w:pPr>
              <w:widowControl/>
              <w:snapToGrid w:val="0"/>
              <w:spacing w:line="46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专门面向中小企业采购的项目或者标项，不再执行价格评审优惠的扶持政策。</w:t>
            </w:r>
          </w:p>
          <w:p w14:paraId="529B1A36">
            <w:pPr>
              <w:widowControl/>
              <w:snapToGrid w:val="0"/>
              <w:spacing w:line="46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2.节能产品、环境标志产品的强制采购政策</w:t>
            </w:r>
          </w:p>
          <w:p w14:paraId="7A310D45">
            <w:pPr>
              <w:widowControl/>
              <w:snapToGrid w:val="0"/>
              <w:spacing w:line="46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根据财政部、国家发展和改革委员会、生态环境部等部门公布的政府采购节能产品、环境标志产品品目清单的规定，依据品目清单和认证证书实施政府优先采购和强制采购。采购人拟采购的产品属于品目清单范围内的强制采购品目的，供应商提供的产品应具有国家确定的认证机构出具的、处于有效期之内的节能产品、环境标志产品认证证书，并在响应文件中提供该产品节能产品、环境标志产品认证证书，否则无效。（注：本项目执行最新政府采购节能产品、环境标志产品品目清单。）</w:t>
            </w:r>
          </w:p>
          <w:p w14:paraId="4F2F0CB3">
            <w:pPr>
              <w:widowControl/>
              <w:snapToGrid w:val="0"/>
              <w:spacing w:line="46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3.节能产品、环境标志产品的优先采购政策</w:t>
            </w:r>
          </w:p>
          <w:p w14:paraId="74C741A6">
            <w:pPr>
              <w:snapToGrid w:val="0"/>
              <w:spacing w:line="360" w:lineRule="exact"/>
              <w:textAlignment w:val="bottom"/>
              <w:rPr>
                <w:rFonts w:ascii="宋体" w:hAnsi="宋体" w:cs="宋体"/>
                <w:b/>
                <w:color w:val="auto"/>
                <w:szCs w:val="21"/>
                <w:highlight w:val="none"/>
              </w:rPr>
            </w:pPr>
            <w:r>
              <w:rPr>
                <w:rFonts w:hint="eastAsia" w:ascii="宋体" w:hAnsi="宋体" w:eastAsia="宋体" w:cs="宋体"/>
                <w:color w:val="auto"/>
                <w:sz w:val="21"/>
                <w:szCs w:val="21"/>
                <w:highlight w:val="none"/>
              </w:rPr>
              <w:t>根据财政部、国家发展和改革委员会、生态环境部等部门公布的政府采购节能产品、环境标志产品品目清单的规定、依据品目清单和认证证书实施政府优先采购和强制采购。采购人拟采购的产品属于品目清单范围内的优先采购品目的，供应商提供的产品应具有国家确定的认证机构出具的、处于有效期之内的节能产品、环境标志产品认证证书，并在响应文件中提供该产品节能产品、环境标志产品认证证书，（注：本项目执行最新政府采购节能产品、环境标志产品品目清单。）</w:t>
            </w:r>
          </w:p>
        </w:tc>
      </w:tr>
      <w:tr w14:paraId="704734B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791" w:type="dxa"/>
            <w:tcBorders>
              <w:top w:val="single" w:color="auto" w:sz="4" w:space="0"/>
              <w:left w:val="single" w:color="auto" w:sz="4" w:space="0"/>
              <w:bottom w:val="single" w:color="auto" w:sz="4" w:space="0"/>
              <w:right w:val="single" w:color="auto" w:sz="4" w:space="0"/>
            </w:tcBorders>
            <w:noWrap w:val="0"/>
            <w:vAlign w:val="center"/>
          </w:tcPr>
          <w:p w14:paraId="7266A04D">
            <w:pPr>
              <w:snapToGrid w:val="0"/>
              <w:spacing w:line="360" w:lineRule="exact"/>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5</w:t>
            </w:r>
          </w:p>
        </w:tc>
        <w:tc>
          <w:tcPr>
            <w:tcW w:w="9228" w:type="dxa"/>
            <w:tcBorders>
              <w:top w:val="single" w:color="auto" w:sz="4" w:space="0"/>
              <w:left w:val="single" w:color="auto" w:sz="4" w:space="0"/>
              <w:bottom w:val="single" w:color="auto" w:sz="4" w:space="0"/>
              <w:right w:val="single" w:color="auto" w:sz="4" w:space="0"/>
            </w:tcBorders>
            <w:noWrap w:val="0"/>
            <w:vAlign w:val="center"/>
          </w:tcPr>
          <w:p w14:paraId="5FE22E36">
            <w:pPr>
              <w:spacing w:line="360" w:lineRule="exact"/>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rPr>
              <w:t>节能产品：</w:t>
            </w:r>
            <w:r>
              <w:rPr>
                <w:rFonts w:hint="eastAsia" w:ascii="宋体" w:hAnsi="宋体" w:eastAsia="宋体" w:cs="宋体"/>
                <w:color w:val="auto"/>
                <w:sz w:val="21"/>
                <w:szCs w:val="21"/>
                <w:highlight w:val="none"/>
              </w:rPr>
              <w:t>□ 强制采购节能产品</w:t>
            </w:r>
          </w:p>
          <w:p w14:paraId="3A7B4E8D">
            <w:pPr>
              <w:spacing w:line="360" w:lineRule="exact"/>
              <w:ind w:firstLine="1050" w:firstLineChars="5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优先采购节能产品</w:t>
            </w:r>
          </w:p>
          <w:p w14:paraId="513D245F">
            <w:pPr>
              <w:spacing w:line="36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 不适用</w:t>
            </w:r>
          </w:p>
        </w:tc>
      </w:tr>
      <w:tr w14:paraId="09819AA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791" w:type="dxa"/>
            <w:tcBorders>
              <w:top w:val="single" w:color="auto" w:sz="4" w:space="0"/>
              <w:left w:val="single" w:color="auto" w:sz="4" w:space="0"/>
              <w:bottom w:val="single" w:color="auto" w:sz="4" w:space="0"/>
              <w:right w:val="single" w:color="auto" w:sz="4" w:space="0"/>
            </w:tcBorders>
            <w:noWrap w:val="0"/>
            <w:vAlign w:val="center"/>
          </w:tcPr>
          <w:p w14:paraId="14D1E0D6">
            <w:pPr>
              <w:snapToGrid w:val="0"/>
              <w:spacing w:line="360" w:lineRule="exact"/>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6</w:t>
            </w:r>
          </w:p>
        </w:tc>
        <w:tc>
          <w:tcPr>
            <w:tcW w:w="9228" w:type="dxa"/>
            <w:tcBorders>
              <w:top w:val="single" w:color="auto" w:sz="4" w:space="0"/>
              <w:left w:val="single" w:color="auto" w:sz="4" w:space="0"/>
              <w:bottom w:val="single" w:color="auto" w:sz="4" w:space="0"/>
              <w:right w:val="single" w:color="auto" w:sz="4" w:space="0"/>
            </w:tcBorders>
            <w:noWrap w:val="0"/>
            <w:vAlign w:val="center"/>
          </w:tcPr>
          <w:p w14:paraId="136A7D16">
            <w:pPr>
              <w:spacing w:line="360" w:lineRule="exact"/>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rPr>
              <w:t>环境标志产品：</w:t>
            </w:r>
            <w:r>
              <w:rPr>
                <w:rFonts w:hint="eastAsia" w:ascii="宋体" w:hAnsi="宋体" w:eastAsia="宋体" w:cs="宋体"/>
                <w:color w:val="auto"/>
                <w:sz w:val="21"/>
                <w:szCs w:val="21"/>
                <w:highlight w:val="none"/>
              </w:rPr>
              <w:t>□ 优先采购环境标志产品</w:t>
            </w:r>
          </w:p>
          <w:p w14:paraId="45917714">
            <w:pPr>
              <w:spacing w:line="36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 不适用</w:t>
            </w:r>
          </w:p>
        </w:tc>
      </w:tr>
      <w:tr w14:paraId="5426148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78" w:hRule="atLeast"/>
        </w:trPr>
        <w:tc>
          <w:tcPr>
            <w:tcW w:w="791" w:type="dxa"/>
            <w:tcBorders>
              <w:top w:val="single" w:color="auto" w:sz="4" w:space="0"/>
              <w:left w:val="single" w:color="auto" w:sz="4" w:space="0"/>
              <w:bottom w:val="single" w:color="auto" w:sz="4" w:space="0"/>
              <w:right w:val="single" w:color="auto" w:sz="4" w:space="0"/>
            </w:tcBorders>
            <w:noWrap w:val="0"/>
            <w:vAlign w:val="center"/>
          </w:tcPr>
          <w:p w14:paraId="776BFE1A">
            <w:pPr>
              <w:snapToGrid w:val="0"/>
              <w:spacing w:line="360" w:lineRule="exact"/>
              <w:jc w:val="center"/>
              <w:rPr>
                <w:rFonts w:hint="eastAsia" w:ascii="宋体" w:hAnsi="宋体" w:eastAsia="宋体" w:cs="宋体"/>
                <w:color w:val="auto"/>
                <w:szCs w:val="21"/>
                <w:highlight w:val="none"/>
                <w:lang w:eastAsia="zh-CN"/>
              </w:rPr>
            </w:pPr>
            <w:r>
              <w:rPr>
                <w:rFonts w:hint="eastAsia" w:ascii="宋体" w:hAnsi="宋体" w:cs="宋体"/>
                <w:color w:val="auto"/>
                <w:szCs w:val="21"/>
                <w:highlight w:val="none"/>
                <w:lang w:val="en-US" w:eastAsia="zh-CN"/>
              </w:rPr>
              <w:t>7</w:t>
            </w:r>
          </w:p>
        </w:tc>
        <w:tc>
          <w:tcPr>
            <w:tcW w:w="9228" w:type="dxa"/>
            <w:tcBorders>
              <w:top w:val="single" w:color="auto" w:sz="4" w:space="0"/>
              <w:left w:val="single" w:color="auto" w:sz="4" w:space="0"/>
              <w:bottom w:val="single" w:color="auto" w:sz="4" w:space="0"/>
              <w:right w:val="single" w:color="auto" w:sz="4" w:space="0"/>
            </w:tcBorders>
            <w:noWrap w:val="0"/>
            <w:vAlign w:val="center"/>
          </w:tcPr>
          <w:p w14:paraId="0AD467FE">
            <w:pPr>
              <w:snapToGrid w:val="0"/>
              <w:spacing w:line="360" w:lineRule="exact"/>
              <w:rPr>
                <w:rFonts w:ascii="宋体" w:hAnsi="宋体" w:cs="宋体"/>
                <w:color w:val="auto"/>
                <w:szCs w:val="21"/>
                <w:highlight w:val="none"/>
              </w:rPr>
            </w:pPr>
            <w:r>
              <w:rPr>
                <w:rFonts w:hint="eastAsia" w:ascii="宋体" w:hAnsi="宋体" w:cs="宋体"/>
                <w:color w:val="auto"/>
                <w:szCs w:val="21"/>
                <w:highlight w:val="none"/>
              </w:rPr>
              <w:t>投标截止时间及地点：</w:t>
            </w:r>
            <w:r>
              <w:rPr>
                <w:rFonts w:hint="eastAsia" w:ascii="宋体" w:hAnsi="宋体" w:cs="宋体"/>
                <w:bCs/>
                <w:color w:val="auto"/>
                <w:szCs w:val="21"/>
                <w:highlight w:val="none"/>
              </w:rPr>
              <w:t>202</w:t>
            </w:r>
            <w:r>
              <w:rPr>
                <w:rFonts w:hint="eastAsia" w:ascii="宋体" w:hAnsi="宋体" w:cs="宋体"/>
                <w:bCs/>
                <w:color w:val="auto"/>
                <w:szCs w:val="21"/>
                <w:highlight w:val="none"/>
                <w:lang w:val="en-US" w:eastAsia="zh-CN"/>
              </w:rPr>
              <w:t>5</w:t>
            </w:r>
            <w:r>
              <w:rPr>
                <w:rFonts w:hint="eastAsia" w:ascii="宋体" w:hAnsi="宋体" w:cs="宋体"/>
                <w:bCs/>
                <w:color w:val="auto"/>
                <w:szCs w:val="21"/>
                <w:highlight w:val="none"/>
              </w:rPr>
              <w:t>年</w:t>
            </w:r>
            <w:r>
              <w:rPr>
                <w:rFonts w:hint="eastAsia" w:ascii="宋体" w:hAnsi="宋体" w:cs="宋体"/>
                <w:bCs/>
                <w:color w:val="auto"/>
                <w:szCs w:val="21"/>
                <w:highlight w:val="none"/>
                <w:lang w:val="en-US" w:eastAsia="zh-CN"/>
              </w:rPr>
              <w:t>03</w:t>
            </w:r>
            <w:r>
              <w:rPr>
                <w:rFonts w:hint="eastAsia" w:ascii="宋体" w:hAnsi="宋体" w:cs="宋体"/>
                <w:bCs/>
                <w:color w:val="auto"/>
                <w:szCs w:val="21"/>
                <w:highlight w:val="none"/>
              </w:rPr>
              <w:t>月</w:t>
            </w:r>
            <w:r>
              <w:rPr>
                <w:rFonts w:hint="eastAsia" w:ascii="宋体" w:hAnsi="宋体" w:cs="宋体"/>
                <w:bCs/>
                <w:color w:val="auto"/>
                <w:szCs w:val="21"/>
                <w:highlight w:val="none"/>
                <w:lang w:val="en-US" w:eastAsia="zh-CN"/>
              </w:rPr>
              <w:t>20</w:t>
            </w:r>
            <w:r>
              <w:rPr>
                <w:rFonts w:hint="eastAsia" w:ascii="宋体" w:hAnsi="宋体" w:cs="宋体"/>
                <w:bCs/>
                <w:color w:val="auto"/>
                <w:szCs w:val="21"/>
                <w:highlight w:val="none"/>
              </w:rPr>
              <w:t>日</w:t>
            </w:r>
            <w:r>
              <w:rPr>
                <w:rFonts w:hint="eastAsia" w:ascii="宋体" w:hAnsi="宋体" w:cs="宋体"/>
                <w:bCs/>
                <w:color w:val="auto"/>
                <w:szCs w:val="21"/>
                <w:highlight w:val="none"/>
                <w:lang w:val="en-US" w:eastAsia="zh-CN"/>
              </w:rPr>
              <w:t>上</w:t>
            </w:r>
            <w:r>
              <w:rPr>
                <w:rFonts w:hint="eastAsia" w:ascii="宋体" w:hAnsi="宋体" w:cs="宋体"/>
                <w:color w:val="auto"/>
                <w:szCs w:val="21"/>
                <w:highlight w:val="none"/>
              </w:rPr>
              <w:t>午</w:t>
            </w:r>
            <w:r>
              <w:rPr>
                <w:rFonts w:hint="eastAsia" w:ascii="宋体" w:hAnsi="宋体" w:cs="宋体"/>
                <w:color w:val="auto"/>
                <w:szCs w:val="21"/>
                <w:highlight w:val="none"/>
                <w:lang w:val="en-US" w:eastAsia="zh-CN"/>
              </w:rPr>
              <w:t>09</w:t>
            </w:r>
            <w:r>
              <w:rPr>
                <w:rFonts w:hint="eastAsia" w:ascii="宋体" w:hAnsi="宋体" w:cs="宋体"/>
                <w:color w:val="auto"/>
                <w:szCs w:val="21"/>
                <w:highlight w:val="none"/>
              </w:rPr>
              <w:t>点30分，请登录政采云投标客户端投标。</w:t>
            </w:r>
          </w:p>
        </w:tc>
      </w:tr>
      <w:tr w14:paraId="6C13A01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 w:hRule="atLeast"/>
        </w:trPr>
        <w:tc>
          <w:tcPr>
            <w:tcW w:w="791" w:type="dxa"/>
            <w:tcBorders>
              <w:top w:val="single" w:color="auto" w:sz="4" w:space="0"/>
              <w:left w:val="single" w:color="auto" w:sz="4" w:space="0"/>
              <w:bottom w:val="single" w:color="auto" w:sz="4" w:space="0"/>
              <w:right w:val="single" w:color="auto" w:sz="4" w:space="0"/>
            </w:tcBorders>
            <w:noWrap w:val="0"/>
            <w:vAlign w:val="center"/>
          </w:tcPr>
          <w:p w14:paraId="2C8EECD9">
            <w:pPr>
              <w:snapToGrid w:val="0"/>
              <w:spacing w:line="360" w:lineRule="exact"/>
              <w:jc w:val="center"/>
              <w:rPr>
                <w:rFonts w:hint="eastAsia" w:ascii="宋体" w:hAnsi="宋体" w:eastAsia="宋体" w:cs="宋体"/>
                <w:color w:val="auto"/>
                <w:szCs w:val="21"/>
                <w:highlight w:val="none"/>
                <w:lang w:eastAsia="zh-CN"/>
              </w:rPr>
            </w:pPr>
            <w:r>
              <w:rPr>
                <w:rFonts w:hint="eastAsia" w:ascii="宋体" w:hAnsi="宋体" w:cs="宋体"/>
                <w:color w:val="auto"/>
                <w:szCs w:val="21"/>
                <w:highlight w:val="none"/>
                <w:lang w:val="en-US" w:eastAsia="zh-CN"/>
              </w:rPr>
              <w:t>8</w:t>
            </w:r>
          </w:p>
        </w:tc>
        <w:tc>
          <w:tcPr>
            <w:tcW w:w="9228" w:type="dxa"/>
            <w:tcBorders>
              <w:top w:val="single" w:color="auto" w:sz="4" w:space="0"/>
              <w:left w:val="single" w:color="auto" w:sz="4" w:space="0"/>
              <w:bottom w:val="single" w:color="auto" w:sz="4" w:space="0"/>
              <w:right w:val="single" w:color="auto" w:sz="4" w:space="0"/>
            </w:tcBorders>
            <w:noWrap w:val="0"/>
            <w:vAlign w:val="center"/>
          </w:tcPr>
          <w:p w14:paraId="398D8A86">
            <w:pPr>
              <w:snapToGrid w:val="0"/>
              <w:spacing w:line="360" w:lineRule="exact"/>
              <w:rPr>
                <w:rFonts w:ascii="宋体" w:hAnsi="宋体" w:cs="宋体"/>
                <w:color w:val="auto"/>
                <w:szCs w:val="21"/>
                <w:highlight w:val="none"/>
              </w:rPr>
            </w:pPr>
            <w:r>
              <w:rPr>
                <w:rFonts w:hint="eastAsia" w:ascii="宋体" w:hAnsi="宋体" w:cs="宋体"/>
                <w:color w:val="auto"/>
                <w:szCs w:val="21"/>
                <w:highlight w:val="none"/>
              </w:rPr>
              <w:t>开标时间：</w:t>
            </w:r>
            <w:r>
              <w:rPr>
                <w:rFonts w:hint="eastAsia" w:ascii="宋体" w:hAnsi="宋体" w:cs="宋体"/>
                <w:bCs/>
                <w:color w:val="auto"/>
                <w:szCs w:val="21"/>
                <w:highlight w:val="none"/>
              </w:rPr>
              <w:t>202</w:t>
            </w:r>
            <w:r>
              <w:rPr>
                <w:rFonts w:hint="eastAsia" w:ascii="宋体" w:hAnsi="宋体" w:cs="宋体"/>
                <w:bCs/>
                <w:color w:val="auto"/>
                <w:szCs w:val="21"/>
                <w:highlight w:val="none"/>
                <w:lang w:val="en-US" w:eastAsia="zh-CN"/>
              </w:rPr>
              <w:t>5</w:t>
            </w:r>
            <w:r>
              <w:rPr>
                <w:rFonts w:hint="eastAsia" w:ascii="宋体" w:hAnsi="宋体" w:cs="宋体"/>
                <w:bCs/>
                <w:color w:val="auto"/>
                <w:szCs w:val="21"/>
                <w:highlight w:val="none"/>
              </w:rPr>
              <w:t>年</w:t>
            </w:r>
            <w:r>
              <w:rPr>
                <w:rFonts w:hint="eastAsia" w:ascii="宋体" w:hAnsi="宋体" w:cs="宋体"/>
                <w:bCs/>
                <w:color w:val="auto"/>
                <w:szCs w:val="21"/>
                <w:highlight w:val="none"/>
                <w:lang w:val="en-US" w:eastAsia="zh-CN"/>
              </w:rPr>
              <w:t>03</w:t>
            </w:r>
            <w:r>
              <w:rPr>
                <w:rFonts w:hint="eastAsia" w:ascii="宋体" w:hAnsi="宋体" w:cs="宋体"/>
                <w:bCs/>
                <w:color w:val="auto"/>
                <w:szCs w:val="21"/>
                <w:highlight w:val="none"/>
              </w:rPr>
              <w:t>月</w:t>
            </w:r>
            <w:r>
              <w:rPr>
                <w:rFonts w:hint="eastAsia" w:ascii="宋体" w:hAnsi="宋体" w:cs="宋体"/>
                <w:bCs/>
                <w:color w:val="auto"/>
                <w:szCs w:val="21"/>
                <w:highlight w:val="none"/>
                <w:lang w:val="en-US" w:eastAsia="zh-CN"/>
              </w:rPr>
              <w:t>20</w:t>
            </w:r>
            <w:r>
              <w:rPr>
                <w:rFonts w:hint="eastAsia" w:ascii="宋体" w:hAnsi="宋体" w:cs="宋体"/>
                <w:bCs/>
                <w:color w:val="auto"/>
                <w:szCs w:val="21"/>
                <w:highlight w:val="none"/>
              </w:rPr>
              <w:t>日</w:t>
            </w:r>
            <w:r>
              <w:rPr>
                <w:rFonts w:hint="eastAsia" w:ascii="宋体" w:hAnsi="宋体" w:cs="宋体"/>
                <w:bCs/>
                <w:color w:val="auto"/>
                <w:szCs w:val="21"/>
                <w:highlight w:val="none"/>
                <w:lang w:val="en-US" w:eastAsia="zh-CN"/>
              </w:rPr>
              <w:t>上</w:t>
            </w:r>
            <w:r>
              <w:rPr>
                <w:rFonts w:hint="eastAsia" w:ascii="宋体" w:hAnsi="宋体" w:cs="宋体"/>
                <w:color w:val="auto"/>
                <w:szCs w:val="21"/>
                <w:highlight w:val="none"/>
              </w:rPr>
              <w:t>午</w:t>
            </w:r>
            <w:r>
              <w:rPr>
                <w:rFonts w:hint="eastAsia" w:ascii="宋体" w:hAnsi="宋体" w:cs="宋体"/>
                <w:color w:val="auto"/>
                <w:szCs w:val="21"/>
                <w:highlight w:val="none"/>
                <w:lang w:val="en-US" w:eastAsia="zh-CN"/>
              </w:rPr>
              <w:t>09</w:t>
            </w:r>
            <w:r>
              <w:rPr>
                <w:rFonts w:hint="eastAsia" w:ascii="宋体" w:hAnsi="宋体" w:cs="宋体"/>
                <w:color w:val="auto"/>
                <w:szCs w:val="21"/>
                <w:highlight w:val="none"/>
              </w:rPr>
              <w:t>点30分</w:t>
            </w:r>
          </w:p>
          <w:p w14:paraId="59DDC3A6">
            <w:pPr>
              <w:snapToGrid w:val="0"/>
              <w:spacing w:line="360" w:lineRule="exact"/>
              <w:rPr>
                <w:rFonts w:ascii="宋体" w:hAnsi="宋体" w:cs="宋体"/>
                <w:color w:val="auto"/>
                <w:szCs w:val="21"/>
                <w:highlight w:val="none"/>
              </w:rPr>
            </w:pPr>
            <w:r>
              <w:rPr>
                <w:rFonts w:hint="eastAsia" w:ascii="宋体" w:hAnsi="宋体" w:cs="宋体"/>
                <w:color w:val="auto"/>
                <w:szCs w:val="21"/>
                <w:highlight w:val="none"/>
              </w:rPr>
              <w:t>开标地点：</w:t>
            </w:r>
            <w:r>
              <w:rPr>
                <w:rFonts w:hint="eastAsia" w:ascii="宋体" w:hAnsi="宋体" w:eastAsia="宋体" w:cs="宋体"/>
                <w:i w:val="0"/>
                <w:iCs w:val="0"/>
                <w:caps w:val="0"/>
                <w:color w:val="auto"/>
                <w:spacing w:val="0"/>
                <w:sz w:val="21"/>
                <w:szCs w:val="21"/>
                <w:highlight w:val="none"/>
              </w:rPr>
              <w:t>本项目通过浙江政府采购网政府采购云平台在线开标，供应商无需到开标现场，但须准时在线参加，直至评审结束</w:t>
            </w:r>
            <w:r>
              <w:rPr>
                <w:rFonts w:hint="eastAsia" w:ascii="宋体" w:hAnsi="宋体" w:cs="宋体"/>
                <w:color w:val="auto"/>
                <w:szCs w:val="21"/>
                <w:highlight w:val="none"/>
              </w:rPr>
              <w:t>。</w:t>
            </w:r>
          </w:p>
        </w:tc>
      </w:tr>
      <w:tr w14:paraId="77C484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7" w:hRule="atLeast"/>
        </w:trPr>
        <w:tc>
          <w:tcPr>
            <w:tcW w:w="791" w:type="dxa"/>
            <w:tcBorders>
              <w:top w:val="single" w:color="auto" w:sz="4" w:space="0"/>
              <w:left w:val="single" w:color="auto" w:sz="4" w:space="0"/>
              <w:bottom w:val="single" w:color="auto" w:sz="4" w:space="0"/>
              <w:right w:val="single" w:color="auto" w:sz="4" w:space="0"/>
            </w:tcBorders>
            <w:noWrap w:val="0"/>
            <w:vAlign w:val="center"/>
          </w:tcPr>
          <w:p w14:paraId="14B536A9">
            <w:pPr>
              <w:snapToGrid w:val="0"/>
              <w:spacing w:line="360" w:lineRule="exact"/>
              <w:jc w:val="center"/>
              <w:rPr>
                <w:rFonts w:hint="default" w:ascii="宋体" w:hAnsi="宋体" w:cs="宋体"/>
                <w:color w:val="auto"/>
                <w:szCs w:val="21"/>
                <w:highlight w:val="none"/>
                <w:lang w:val="en-US" w:eastAsia="zh-CN"/>
              </w:rPr>
            </w:pPr>
            <w:r>
              <w:rPr>
                <w:rFonts w:hint="eastAsia" w:ascii="宋体" w:hAnsi="宋体" w:cs="宋体"/>
                <w:color w:val="auto"/>
                <w:szCs w:val="21"/>
                <w:highlight w:val="none"/>
                <w:lang w:val="en-US" w:eastAsia="zh-CN"/>
              </w:rPr>
              <w:t>9</w:t>
            </w:r>
          </w:p>
        </w:tc>
        <w:tc>
          <w:tcPr>
            <w:tcW w:w="9228" w:type="dxa"/>
            <w:tcBorders>
              <w:top w:val="single" w:color="auto" w:sz="4" w:space="0"/>
              <w:left w:val="single" w:color="auto" w:sz="4" w:space="0"/>
              <w:bottom w:val="single" w:color="auto" w:sz="4" w:space="0"/>
              <w:right w:val="single" w:color="auto" w:sz="4" w:space="0"/>
            </w:tcBorders>
            <w:noWrap w:val="0"/>
            <w:vAlign w:val="center"/>
          </w:tcPr>
          <w:p w14:paraId="21BA056C">
            <w:pPr>
              <w:snapToGrid w:val="0"/>
              <w:spacing w:line="360" w:lineRule="exact"/>
              <w:rPr>
                <w:rFonts w:hint="eastAsia" w:ascii="宋体" w:hAnsi="宋体" w:cs="宋体"/>
                <w:color w:val="auto"/>
                <w:szCs w:val="21"/>
                <w:highlight w:val="none"/>
              </w:rPr>
            </w:pPr>
            <w:r>
              <w:rPr>
                <w:rFonts w:hint="eastAsia" w:ascii="宋体" w:hAnsi="宋体" w:cs="宋体"/>
                <w:color w:val="auto"/>
                <w:szCs w:val="21"/>
                <w:highlight w:val="none"/>
              </w:rPr>
              <w:t>评标结果公示：评标结果公示于浙江政府采购网(</w:t>
            </w:r>
            <w:r>
              <w:rPr>
                <w:rFonts w:hint="eastAsia" w:ascii="宋体" w:hAnsi="宋体" w:cs="宋体"/>
                <w:color w:val="auto"/>
                <w:szCs w:val="21"/>
                <w:highlight w:val="none"/>
              </w:rPr>
              <w:fldChar w:fldCharType="begin"/>
            </w:r>
            <w:r>
              <w:rPr>
                <w:rFonts w:hint="eastAsia" w:ascii="宋体" w:hAnsi="宋体" w:cs="宋体"/>
                <w:color w:val="auto"/>
                <w:szCs w:val="21"/>
                <w:highlight w:val="none"/>
              </w:rPr>
              <w:instrText xml:space="preserve"> HYPERLINK "http://www.zjzfcg.gov.cn/" </w:instrText>
            </w:r>
            <w:r>
              <w:rPr>
                <w:rFonts w:hint="eastAsia" w:ascii="宋体" w:hAnsi="宋体" w:cs="宋体"/>
                <w:color w:val="auto"/>
                <w:szCs w:val="21"/>
                <w:highlight w:val="none"/>
              </w:rPr>
              <w:fldChar w:fldCharType="separate"/>
            </w:r>
            <w:r>
              <w:rPr>
                <w:rFonts w:hint="eastAsia" w:ascii="宋体" w:hAnsi="宋体" w:cs="宋体"/>
                <w:color w:val="auto"/>
                <w:szCs w:val="21"/>
                <w:highlight w:val="none"/>
              </w:rPr>
              <w:t>http://zfcg.czt.zj.gov.cn</w:t>
            </w:r>
            <w:r>
              <w:rPr>
                <w:rFonts w:hint="eastAsia" w:ascii="宋体" w:hAnsi="宋体" w:cs="宋体"/>
                <w:color w:val="auto"/>
                <w:szCs w:val="21"/>
                <w:highlight w:val="none"/>
              </w:rPr>
              <w:fldChar w:fldCharType="end"/>
            </w:r>
            <w:r>
              <w:rPr>
                <w:rFonts w:hint="eastAsia" w:ascii="宋体" w:hAnsi="宋体" w:cs="宋体"/>
                <w:color w:val="auto"/>
                <w:szCs w:val="21"/>
                <w:highlight w:val="none"/>
              </w:rPr>
              <w:t>)；</w:t>
            </w:r>
          </w:p>
        </w:tc>
      </w:tr>
      <w:tr w14:paraId="42E45BE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91" w:type="dxa"/>
            <w:tcBorders>
              <w:top w:val="single" w:color="auto" w:sz="4" w:space="0"/>
              <w:left w:val="single" w:color="auto" w:sz="4" w:space="0"/>
              <w:bottom w:val="single" w:color="auto" w:sz="4" w:space="0"/>
              <w:right w:val="single" w:color="auto" w:sz="4" w:space="0"/>
            </w:tcBorders>
            <w:noWrap w:val="0"/>
            <w:vAlign w:val="center"/>
          </w:tcPr>
          <w:p w14:paraId="4A833BB5">
            <w:pPr>
              <w:snapToGrid w:val="0"/>
              <w:spacing w:line="360" w:lineRule="exact"/>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10</w:t>
            </w:r>
          </w:p>
        </w:tc>
        <w:tc>
          <w:tcPr>
            <w:tcW w:w="9228" w:type="dxa"/>
            <w:tcBorders>
              <w:top w:val="single" w:color="auto" w:sz="4" w:space="0"/>
              <w:left w:val="single" w:color="auto" w:sz="4" w:space="0"/>
              <w:bottom w:val="single" w:color="auto" w:sz="4" w:space="0"/>
              <w:right w:val="single" w:color="auto" w:sz="4" w:space="0"/>
            </w:tcBorders>
            <w:noWrap w:val="0"/>
            <w:vAlign w:val="center"/>
          </w:tcPr>
          <w:p w14:paraId="3AC351CD">
            <w:pPr>
              <w:snapToGrid w:val="0"/>
              <w:spacing w:line="360" w:lineRule="exact"/>
              <w:textAlignment w:val="bottom"/>
              <w:rPr>
                <w:rFonts w:ascii="宋体" w:hAnsi="宋体" w:cs="宋体"/>
                <w:color w:val="auto"/>
                <w:szCs w:val="21"/>
                <w:highlight w:val="none"/>
              </w:rPr>
            </w:pPr>
            <w:r>
              <w:rPr>
                <w:rFonts w:hint="eastAsia" w:ascii="宋体" w:hAnsi="宋体" w:cs="宋体"/>
                <w:color w:val="auto"/>
                <w:szCs w:val="21"/>
                <w:highlight w:val="none"/>
              </w:rPr>
              <w:t>评标办法：综合评分法</w:t>
            </w:r>
          </w:p>
        </w:tc>
      </w:tr>
      <w:tr w14:paraId="3639262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6" w:hRule="atLeast"/>
        </w:trPr>
        <w:tc>
          <w:tcPr>
            <w:tcW w:w="791" w:type="dxa"/>
            <w:tcBorders>
              <w:top w:val="single" w:color="auto" w:sz="4" w:space="0"/>
              <w:left w:val="single" w:color="auto" w:sz="4" w:space="0"/>
              <w:bottom w:val="single" w:color="auto" w:sz="4" w:space="0"/>
              <w:right w:val="single" w:color="auto" w:sz="4" w:space="0"/>
            </w:tcBorders>
            <w:noWrap w:val="0"/>
            <w:vAlign w:val="center"/>
          </w:tcPr>
          <w:p w14:paraId="065517B6">
            <w:pPr>
              <w:snapToGrid w:val="0"/>
              <w:spacing w:line="360" w:lineRule="exact"/>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11</w:t>
            </w:r>
          </w:p>
        </w:tc>
        <w:tc>
          <w:tcPr>
            <w:tcW w:w="9228" w:type="dxa"/>
            <w:tcBorders>
              <w:top w:val="single" w:color="auto" w:sz="4" w:space="0"/>
              <w:left w:val="single" w:color="auto" w:sz="4" w:space="0"/>
              <w:bottom w:val="single" w:color="auto" w:sz="4" w:space="0"/>
              <w:right w:val="single" w:color="auto" w:sz="4" w:space="0"/>
            </w:tcBorders>
            <w:noWrap w:val="0"/>
            <w:vAlign w:val="center"/>
          </w:tcPr>
          <w:p w14:paraId="4C728C4B">
            <w:pPr>
              <w:snapToGrid w:val="0"/>
              <w:spacing w:line="360" w:lineRule="exact"/>
              <w:textAlignment w:val="bottom"/>
              <w:rPr>
                <w:rFonts w:ascii="宋体" w:hAnsi="宋体" w:cs="宋体"/>
                <w:color w:val="auto"/>
                <w:szCs w:val="21"/>
                <w:highlight w:val="none"/>
              </w:rPr>
            </w:pPr>
            <w:r>
              <w:rPr>
                <w:rFonts w:hint="eastAsia" w:ascii="宋体" w:hAnsi="宋体" w:cs="宋体"/>
                <w:color w:val="auto"/>
                <w:szCs w:val="21"/>
                <w:highlight w:val="none"/>
              </w:rPr>
              <w:t>签订合同时间：中标通知书发出后</w:t>
            </w:r>
            <w:r>
              <w:rPr>
                <w:rFonts w:hint="eastAsia" w:ascii="宋体" w:hAnsi="宋体" w:cs="宋体"/>
                <w:color w:val="auto"/>
                <w:szCs w:val="21"/>
                <w:highlight w:val="none"/>
                <w:lang w:val="en-US" w:eastAsia="zh-CN"/>
              </w:rPr>
              <w:t>2</w:t>
            </w:r>
            <w:r>
              <w:rPr>
                <w:rFonts w:hint="eastAsia" w:ascii="宋体" w:hAnsi="宋体" w:cs="宋体"/>
                <w:color w:val="auto"/>
                <w:szCs w:val="21"/>
                <w:highlight w:val="none"/>
              </w:rPr>
              <w:t>0日内。</w:t>
            </w:r>
          </w:p>
        </w:tc>
      </w:tr>
      <w:tr w14:paraId="01C0C61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791" w:type="dxa"/>
            <w:tcBorders>
              <w:top w:val="single" w:color="auto" w:sz="4" w:space="0"/>
              <w:left w:val="single" w:color="auto" w:sz="4" w:space="0"/>
              <w:bottom w:val="single" w:color="auto" w:sz="4" w:space="0"/>
              <w:right w:val="single" w:color="auto" w:sz="4" w:space="0"/>
            </w:tcBorders>
            <w:noWrap w:val="0"/>
            <w:vAlign w:val="center"/>
          </w:tcPr>
          <w:p w14:paraId="55956E0D">
            <w:pPr>
              <w:snapToGrid w:val="0"/>
              <w:spacing w:line="360" w:lineRule="exact"/>
              <w:jc w:val="center"/>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1</w:t>
            </w:r>
            <w:r>
              <w:rPr>
                <w:rFonts w:hint="eastAsia" w:ascii="宋体" w:hAnsi="宋体" w:cs="宋体"/>
                <w:color w:val="auto"/>
                <w:szCs w:val="21"/>
                <w:highlight w:val="none"/>
                <w:lang w:val="en-US" w:eastAsia="zh-CN"/>
              </w:rPr>
              <w:t>2</w:t>
            </w:r>
          </w:p>
        </w:tc>
        <w:tc>
          <w:tcPr>
            <w:tcW w:w="9228" w:type="dxa"/>
            <w:tcBorders>
              <w:top w:val="single" w:color="auto" w:sz="4" w:space="0"/>
              <w:left w:val="single" w:color="auto" w:sz="4" w:space="0"/>
              <w:bottom w:val="single" w:color="auto" w:sz="4" w:space="0"/>
              <w:right w:val="single" w:color="auto" w:sz="4" w:space="0"/>
            </w:tcBorders>
            <w:noWrap w:val="0"/>
            <w:vAlign w:val="center"/>
          </w:tcPr>
          <w:p w14:paraId="2463FA34">
            <w:pPr>
              <w:autoSpaceDE w:val="0"/>
              <w:autoSpaceDN w:val="0"/>
              <w:adjustRightInd w:val="0"/>
              <w:spacing w:line="360" w:lineRule="exact"/>
              <w:textAlignment w:val="baseline"/>
              <w:rPr>
                <w:rFonts w:hint="eastAsia" w:hAnsi="宋体" w:cs="宋体"/>
                <w:color w:val="auto"/>
                <w:szCs w:val="21"/>
                <w:highlight w:val="none"/>
                <w:lang w:val="zh-CN"/>
              </w:rPr>
            </w:pPr>
            <w:r>
              <w:rPr>
                <w:rFonts w:hint="eastAsia" w:hAnsi="宋体" w:cs="宋体"/>
                <w:color w:val="auto"/>
                <w:szCs w:val="21"/>
                <w:highlight w:val="none"/>
                <w:lang w:val="zh-CN"/>
              </w:rPr>
              <w:t>履约保证金：</w:t>
            </w:r>
            <w:r>
              <w:rPr>
                <w:rFonts w:hint="eastAsia" w:ascii="宋体" w:hAnsi="宋体" w:cs="宋体"/>
                <w:color w:val="auto"/>
                <w:szCs w:val="21"/>
                <w:highlight w:val="none"/>
                <w:lang w:val="zh-CN"/>
              </w:rPr>
              <w:t>中标价的</w:t>
            </w:r>
            <w:r>
              <w:rPr>
                <w:rFonts w:hint="eastAsia" w:ascii="宋体" w:hAnsi="宋体" w:cs="宋体"/>
                <w:color w:val="auto"/>
                <w:szCs w:val="21"/>
                <w:highlight w:val="none"/>
                <w:lang w:val="en-US" w:eastAsia="zh-CN"/>
              </w:rPr>
              <w:t>1</w:t>
            </w:r>
            <w:r>
              <w:rPr>
                <w:rFonts w:hint="eastAsia" w:ascii="宋体" w:hAnsi="宋体" w:cs="宋体"/>
                <w:color w:val="auto"/>
                <w:szCs w:val="21"/>
                <w:highlight w:val="none"/>
                <w:lang w:val="zh-CN"/>
              </w:rPr>
              <w:t>%</w:t>
            </w:r>
            <w:r>
              <w:rPr>
                <w:rFonts w:hint="eastAsia" w:hAnsi="宋体" w:cs="宋体"/>
                <w:color w:val="auto"/>
                <w:szCs w:val="21"/>
                <w:highlight w:val="none"/>
                <w:lang w:val="zh-CN"/>
              </w:rPr>
              <w:t>。</w:t>
            </w:r>
          </w:p>
          <w:p w14:paraId="50586614">
            <w:pPr>
              <w:autoSpaceDE w:val="0"/>
              <w:autoSpaceDN w:val="0"/>
              <w:adjustRightInd w:val="0"/>
              <w:spacing w:line="360" w:lineRule="exact"/>
              <w:textAlignment w:val="baseline"/>
              <w:rPr>
                <w:rFonts w:hint="eastAsia" w:hAnsi="宋体" w:cs="宋体"/>
                <w:color w:val="auto"/>
                <w:szCs w:val="21"/>
                <w:highlight w:val="none"/>
                <w:lang w:val="zh-CN"/>
              </w:rPr>
            </w:pPr>
            <w:r>
              <w:rPr>
                <w:rFonts w:hint="eastAsia" w:hAnsi="宋体" w:cs="宋体"/>
                <w:color w:val="auto"/>
                <w:szCs w:val="21"/>
                <w:highlight w:val="none"/>
                <w:lang w:val="zh-CN"/>
              </w:rPr>
              <w:t>履约担保形式：</w:t>
            </w:r>
          </w:p>
          <w:p w14:paraId="41DEF2DB">
            <w:pPr>
              <w:autoSpaceDE w:val="0"/>
              <w:autoSpaceDN w:val="0"/>
              <w:adjustRightInd w:val="0"/>
              <w:spacing w:line="360" w:lineRule="exact"/>
              <w:textAlignment w:val="baseline"/>
              <w:rPr>
                <w:rFonts w:hint="eastAsia" w:hAnsi="宋体" w:cs="宋体"/>
                <w:color w:val="auto"/>
                <w:szCs w:val="21"/>
                <w:highlight w:val="none"/>
                <w:lang w:val="zh-CN"/>
              </w:rPr>
            </w:pPr>
            <w:r>
              <w:rPr>
                <w:rFonts w:hint="eastAsia" w:hAnsi="宋体" w:cs="宋体"/>
                <w:color w:val="auto"/>
                <w:szCs w:val="21"/>
                <w:highlight w:val="none"/>
                <w:lang w:val="zh-CN"/>
              </w:rPr>
              <w:t>国有或股份制商业银行县（区、市）级及以上银行出具的银行保函、县级及以上国有或股份制商业保险公司保单或现金（电汇或银行汇票形式）。中标单位在签订合同前将履约保证金缴纳至招标人处。</w:t>
            </w:r>
          </w:p>
          <w:p w14:paraId="36DD620B">
            <w:pPr>
              <w:keepNext w:val="0"/>
              <w:keepLines w:val="0"/>
              <w:pageBreakBefore w:val="0"/>
              <w:widowControl w:val="0"/>
              <w:kinsoku/>
              <w:wordWrap/>
              <w:overflowPunct/>
              <w:topLinePunct w:val="0"/>
              <w:autoSpaceDE/>
              <w:autoSpaceDN/>
              <w:bidi w:val="0"/>
              <w:adjustRightInd/>
              <w:snapToGrid w:val="0"/>
              <w:spacing w:line="360" w:lineRule="exact"/>
              <w:textAlignment w:val="bottom"/>
              <w:rPr>
                <w:rFonts w:ascii="宋体" w:hAnsi="宋体" w:cs="宋体"/>
                <w:b/>
                <w:color w:val="auto"/>
                <w:szCs w:val="21"/>
                <w:highlight w:val="none"/>
              </w:rPr>
            </w:pPr>
            <w:r>
              <w:rPr>
                <w:rFonts w:hint="eastAsia" w:ascii="宋体" w:hAnsi="宋体" w:cs="宋体"/>
                <w:b w:val="0"/>
                <w:bCs/>
                <w:color w:val="auto"/>
                <w:szCs w:val="21"/>
                <w:highlight w:val="none"/>
              </w:rPr>
              <w:t>签订合同后，</w:t>
            </w:r>
            <w:r>
              <w:rPr>
                <w:rFonts w:hint="eastAsia" w:hAnsi="宋体" w:cs="宋体"/>
                <w:color w:val="auto"/>
                <w:szCs w:val="21"/>
                <w:highlight w:val="none"/>
                <w:lang w:val="zh-CN"/>
              </w:rPr>
              <w:t>未发生履约受处罚情形的，</w:t>
            </w:r>
            <w:r>
              <w:rPr>
                <w:rFonts w:hint="eastAsia" w:ascii="宋体" w:hAnsi="宋体" w:cs="宋体"/>
                <w:b w:val="0"/>
                <w:bCs/>
                <w:color w:val="auto"/>
                <w:szCs w:val="21"/>
                <w:highlight w:val="none"/>
              </w:rPr>
              <w:t>履约保证金在中标人服务期满且履约责任履行完毕后15日内无息退还</w:t>
            </w:r>
            <w:r>
              <w:rPr>
                <w:rFonts w:hint="eastAsia" w:hAnsi="宋体" w:cs="宋体"/>
                <w:color w:val="auto"/>
                <w:szCs w:val="21"/>
                <w:highlight w:val="none"/>
                <w:lang w:val="zh-CN"/>
              </w:rPr>
              <w:t>。</w:t>
            </w:r>
            <w:r>
              <w:rPr>
                <w:rFonts w:hint="eastAsia" w:ascii="宋体" w:hAnsi="宋体" w:cs="宋体"/>
                <w:b w:val="0"/>
                <w:bCs/>
                <w:color w:val="auto"/>
                <w:szCs w:val="21"/>
                <w:highlight w:val="none"/>
              </w:rPr>
              <w:t>如中标人不按双方合同约定履约，则没收其全部履约保证金，履约保证金不足以赔偿损失的，按实际损失赔偿。</w:t>
            </w:r>
          </w:p>
        </w:tc>
      </w:tr>
      <w:tr w14:paraId="4EA6A70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791" w:type="dxa"/>
            <w:tcBorders>
              <w:top w:val="single" w:color="auto" w:sz="4" w:space="0"/>
              <w:left w:val="single" w:color="auto" w:sz="4" w:space="0"/>
              <w:bottom w:val="single" w:color="auto" w:sz="4" w:space="0"/>
              <w:right w:val="single" w:color="auto" w:sz="4" w:space="0"/>
            </w:tcBorders>
            <w:noWrap w:val="0"/>
            <w:vAlign w:val="center"/>
          </w:tcPr>
          <w:p w14:paraId="4305FBF9">
            <w:pPr>
              <w:snapToGrid w:val="0"/>
              <w:spacing w:line="360" w:lineRule="exact"/>
              <w:jc w:val="center"/>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1</w:t>
            </w:r>
            <w:r>
              <w:rPr>
                <w:rFonts w:hint="eastAsia" w:ascii="宋体" w:hAnsi="宋体" w:cs="宋体"/>
                <w:color w:val="auto"/>
                <w:szCs w:val="21"/>
                <w:highlight w:val="none"/>
                <w:lang w:val="en-US" w:eastAsia="zh-CN"/>
              </w:rPr>
              <w:t>3</w:t>
            </w:r>
          </w:p>
        </w:tc>
        <w:tc>
          <w:tcPr>
            <w:tcW w:w="9228" w:type="dxa"/>
            <w:tcBorders>
              <w:top w:val="single" w:color="auto" w:sz="4" w:space="0"/>
              <w:left w:val="single" w:color="auto" w:sz="4" w:space="0"/>
              <w:bottom w:val="single" w:color="auto" w:sz="4" w:space="0"/>
              <w:right w:val="single" w:color="auto" w:sz="4" w:space="0"/>
            </w:tcBorders>
            <w:noWrap w:val="0"/>
            <w:vAlign w:val="center"/>
          </w:tcPr>
          <w:p w14:paraId="6769FD2C">
            <w:pPr>
              <w:snapToGrid w:val="0"/>
              <w:spacing w:line="360" w:lineRule="exact"/>
              <w:rPr>
                <w:rFonts w:ascii="宋体" w:hAnsi="宋体" w:cs="宋体"/>
                <w:color w:val="auto"/>
                <w:szCs w:val="21"/>
                <w:highlight w:val="none"/>
              </w:rPr>
            </w:pPr>
            <w:r>
              <w:rPr>
                <w:rFonts w:hint="eastAsia" w:ascii="宋体" w:hAnsi="宋体" w:cs="宋体"/>
                <w:color w:val="auto"/>
                <w:szCs w:val="21"/>
                <w:highlight w:val="none"/>
              </w:rPr>
              <w:t>投标文件有效期：90天。</w:t>
            </w:r>
          </w:p>
        </w:tc>
      </w:tr>
      <w:tr w14:paraId="4390D3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791" w:type="dxa"/>
            <w:tcBorders>
              <w:top w:val="single" w:color="auto" w:sz="4" w:space="0"/>
              <w:left w:val="single" w:color="auto" w:sz="4" w:space="0"/>
              <w:bottom w:val="single" w:color="auto" w:sz="4" w:space="0"/>
              <w:right w:val="single" w:color="auto" w:sz="4" w:space="0"/>
            </w:tcBorders>
            <w:noWrap w:val="0"/>
            <w:vAlign w:val="center"/>
          </w:tcPr>
          <w:p w14:paraId="6D0175B1">
            <w:pPr>
              <w:snapToGrid w:val="0"/>
              <w:spacing w:line="360" w:lineRule="exact"/>
              <w:jc w:val="center"/>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1</w:t>
            </w:r>
            <w:r>
              <w:rPr>
                <w:rFonts w:hint="eastAsia" w:ascii="宋体" w:hAnsi="宋体" w:cs="宋体"/>
                <w:color w:val="auto"/>
                <w:szCs w:val="21"/>
                <w:highlight w:val="none"/>
                <w:lang w:val="en-US" w:eastAsia="zh-CN"/>
              </w:rPr>
              <w:t>4</w:t>
            </w:r>
          </w:p>
        </w:tc>
        <w:tc>
          <w:tcPr>
            <w:tcW w:w="9228" w:type="dxa"/>
            <w:tcBorders>
              <w:top w:val="single" w:color="auto" w:sz="4" w:space="0"/>
              <w:left w:val="single" w:color="auto" w:sz="4" w:space="0"/>
              <w:bottom w:val="single" w:color="auto" w:sz="4" w:space="0"/>
              <w:right w:val="single" w:color="auto" w:sz="4" w:space="0"/>
            </w:tcBorders>
            <w:noWrap w:val="0"/>
            <w:vAlign w:val="center"/>
          </w:tcPr>
          <w:p w14:paraId="270562A1">
            <w:pPr>
              <w:snapToGrid w:val="0"/>
              <w:spacing w:line="360" w:lineRule="exact"/>
              <w:rPr>
                <w:rFonts w:ascii="宋体" w:hAnsi="宋体" w:cs="宋体"/>
                <w:color w:val="auto"/>
                <w:szCs w:val="21"/>
                <w:highlight w:val="none"/>
              </w:rPr>
            </w:pPr>
            <w:r>
              <w:rPr>
                <w:rFonts w:hint="eastAsia" w:ascii="宋体" w:hAnsi="宋体" w:cs="宋体"/>
                <w:color w:val="auto"/>
                <w:szCs w:val="21"/>
                <w:highlight w:val="none"/>
              </w:rPr>
              <w:t>解释：本招标文件的解释权属于招标采购单位。</w:t>
            </w:r>
          </w:p>
        </w:tc>
      </w:tr>
    </w:tbl>
    <w:p w14:paraId="4EAA2E6D">
      <w:pPr>
        <w:spacing w:line="500" w:lineRule="exact"/>
        <w:ind w:firstLine="422" w:firstLineChars="200"/>
        <w:rPr>
          <w:rFonts w:hint="eastAsia" w:ascii="宋体" w:hAnsi="宋体" w:cs="宋体"/>
          <w:b/>
          <w:color w:val="auto"/>
          <w:szCs w:val="21"/>
          <w:highlight w:val="none"/>
        </w:rPr>
      </w:pPr>
    </w:p>
    <w:p w14:paraId="1C005C12">
      <w:pPr>
        <w:rPr>
          <w:rFonts w:hint="eastAsia" w:ascii="宋体" w:hAnsi="宋体" w:cs="宋体"/>
          <w:b/>
          <w:color w:val="auto"/>
          <w:szCs w:val="21"/>
          <w:highlight w:val="none"/>
        </w:rPr>
      </w:pPr>
      <w:r>
        <w:rPr>
          <w:rFonts w:hint="eastAsia" w:ascii="宋体" w:hAnsi="宋体" w:cs="宋体"/>
          <w:b/>
          <w:color w:val="auto"/>
          <w:szCs w:val="21"/>
          <w:highlight w:val="none"/>
        </w:rPr>
        <w:br w:type="page"/>
      </w:r>
    </w:p>
    <w:p w14:paraId="75F679D2">
      <w:pPr>
        <w:keepNext w:val="0"/>
        <w:keepLines w:val="0"/>
        <w:pageBreakBefore w:val="0"/>
        <w:kinsoku/>
        <w:wordWrap/>
        <w:overflowPunct/>
        <w:topLinePunct w:val="0"/>
        <w:bidi w:val="0"/>
        <w:spacing w:line="480" w:lineRule="exact"/>
        <w:ind w:firstLine="422" w:firstLineChars="200"/>
        <w:textAlignment w:val="auto"/>
        <w:rPr>
          <w:rFonts w:ascii="宋体" w:hAnsi="宋体" w:cs="宋体"/>
          <w:b/>
          <w:color w:val="auto"/>
          <w:szCs w:val="21"/>
          <w:highlight w:val="none"/>
        </w:rPr>
      </w:pPr>
      <w:r>
        <w:rPr>
          <w:rFonts w:hint="eastAsia" w:ascii="宋体" w:hAnsi="宋体" w:cs="宋体"/>
          <w:b/>
          <w:color w:val="auto"/>
          <w:szCs w:val="21"/>
          <w:highlight w:val="none"/>
        </w:rPr>
        <w:t>一   总  则</w:t>
      </w:r>
    </w:p>
    <w:p w14:paraId="1DBCAF8E">
      <w:pPr>
        <w:keepNext w:val="0"/>
        <w:keepLines w:val="0"/>
        <w:pageBreakBefore w:val="0"/>
        <w:kinsoku/>
        <w:wordWrap/>
        <w:overflowPunct/>
        <w:topLinePunct w:val="0"/>
        <w:bidi w:val="0"/>
        <w:spacing w:line="480" w:lineRule="exact"/>
        <w:ind w:firstLine="422" w:firstLineChars="200"/>
        <w:textAlignment w:val="auto"/>
        <w:rPr>
          <w:rFonts w:ascii="宋体" w:hAnsi="宋体" w:cs="宋体"/>
          <w:b/>
          <w:color w:val="auto"/>
          <w:szCs w:val="21"/>
          <w:highlight w:val="none"/>
        </w:rPr>
      </w:pPr>
      <w:r>
        <w:rPr>
          <w:rFonts w:hint="eastAsia" w:ascii="宋体" w:hAnsi="宋体" w:cs="宋体"/>
          <w:b/>
          <w:color w:val="auto"/>
          <w:szCs w:val="21"/>
          <w:highlight w:val="none"/>
        </w:rPr>
        <w:t>（一） 适用范围</w:t>
      </w:r>
    </w:p>
    <w:p w14:paraId="555D114F">
      <w:pPr>
        <w:keepNext w:val="0"/>
        <w:keepLines w:val="0"/>
        <w:pageBreakBefore w:val="0"/>
        <w:kinsoku/>
        <w:wordWrap/>
        <w:overflowPunct/>
        <w:topLinePunct w:val="0"/>
        <w:bidi w:val="0"/>
        <w:spacing w:line="48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本招标文件适用于</w:t>
      </w:r>
      <w:r>
        <w:rPr>
          <w:rFonts w:hint="eastAsia" w:ascii="宋体" w:hAnsi="宋体" w:cs="宋体"/>
          <w:b/>
          <w:color w:val="auto"/>
          <w:szCs w:val="21"/>
          <w:highlight w:val="none"/>
          <w:lang w:eastAsia="zh-CN"/>
        </w:rPr>
        <w:t>婺城区2025-2026年水库（山塘）维修养护（物业化管理）项目</w:t>
      </w:r>
      <w:r>
        <w:rPr>
          <w:rFonts w:hint="eastAsia" w:ascii="宋体" w:hAnsi="宋体" w:cs="宋体"/>
          <w:color w:val="auto"/>
          <w:szCs w:val="21"/>
          <w:highlight w:val="none"/>
        </w:rPr>
        <w:t>的招标、投标、评标、定标、合同履约、付款等行为（法律、法规另有规定的，从其规定）。</w:t>
      </w:r>
    </w:p>
    <w:p w14:paraId="7C82E039">
      <w:pPr>
        <w:keepNext w:val="0"/>
        <w:keepLines w:val="0"/>
        <w:pageBreakBefore w:val="0"/>
        <w:kinsoku/>
        <w:wordWrap/>
        <w:overflowPunct/>
        <w:topLinePunct w:val="0"/>
        <w:bidi w:val="0"/>
        <w:spacing w:line="480" w:lineRule="exact"/>
        <w:ind w:firstLine="422" w:firstLineChars="200"/>
        <w:textAlignment w:val="auto"/>
        <w:rPr>
          <w:rFonts w:ascii="宋体" w:hAnsi="宋体" w:cs="宋体"/>
          <w:b/>
          <w:color w:val="auto"/>
          <w:szCs w:val="21"/>
          <w:highlight w:val="none"/>
        </w:rPr>
      </w:pPr>
      <w:r>
        <w:rPr>
          <w:rFonts w:hint="eastAsia" w:ascii="宋体" w:hAnsi="宋体" w:cs="宋体"/>
          <w:b/>
          <w:color w:val="auto"/>
          <w:szCs w:val="21"/>
          <w:highlight w:val="none"/>
        </w:rPr>
        <w:t>（二）定义</w:t>
      </w:r>
    </w:p>
    <w:p w14:paraId="46AB0EEC">
      <w:pPr>
        <w:keepNext w:val="0"/>
        <w:keepLines w:val="0"/>
        <w:pageBreakBefore w:val="0"/>
        <w:kinsoku/>
        <w:wordWrap/>
        <w:overflowPunct/>
        <w:topLinePunct w:val="0"/>
        <w:bidi w:val="0"/>
        <w:spacing w:line="480" w:lineRule="exact"/>
        <w:ind w:firstLine="420" w:firstLineChars="200"/>
        <w:textAlignment w:val="auto"/>
        <w:rPr>
          <w:rFonts w:ascii="宋体" w:hAnsi="宋体" w:cs="宋体"/>
          <w:b/>
          <w:color w:val="auto"/>
          <w:szCs w:val="21"/>
          <w:highlight w:val="none"/>
        </w:rPr>
      </w:pPr>
      <w:r>
        <w:rPr>
          <w:rFonts w:hint="eastAsia" w:ascii="宋体" w:hAnsi="宋体" w:cs="宋体"/>
          <w:color w:val="auto"/>
          <w:szCs w:val="21"/>
          <w:highlight w:val="none"/>
        </w:rPr>
        <w:t>1.招标采购单位系指组织本次招标的代理机构</w:t>
      </w:r>
      <w:r>
        <w:rPr>
          <w:rFonts w:hint="eastAsia" w:ascii="宋体" w:hAnsi="宋体" w:cs="宋体"/>
          <w:color w:val="auto"/>
          <w:szCs w:val="21"/>
          <w:highlight w:val="none"/>
          <w:lang w:eastAsia="zh-CN"/>
        </w:rPr>
        <w:t>金华天逸工程咨询有限公司</w:t>
      </w:r>
      <w:r>
        <w:rPr>
          <w:rFonts w:hint="eastAsia" w:ascii="宋体" w:hAnsi="宋体" w:cs="宋体"/>
          <w:color w:val="auto"/>
          <w:szCs w:val="21"/>
          <w:highlight w:val="none"/>
        </w:rPr>
        <w:t>和采购单位</w:t>
      </w:r>
      <w:r>
        <w:rPr>
          <w:rFonts w:hint="eastAsia"/>
          <w:color w:val="auto"/>
          <w:highlight w:val="none"/>
          <w:lang w:eastAsia="zh-CN"/>
        </w:rPr>
        <w:t>金华市婺城区水务局</w:t>
      </w:r>
      <w:r>
        <w:rPr>
          <w:rFonts w:hint="eastAsia" w:ascii="宋体" w:hAnsi="宋体" w:cs="宋体"/>
          <w:color w:val="auto"/>
          <w:szCs w:val="21"/>
          <w:highlight w:val="none"/>
        </w:rPr>
        <w:t>（“招标人”）。</w:t>
      </w:r>
    </w:p>
    <w:p w14:paraId="52F420D1">
      <w:pPr>
        <w:keepNext w:val="0"/>
        <w:keepLines w:val="0"/>
        <w:pageBreakBefore w:val="0"/>
        <w:kinsoku/>
        <w:wordWrap/>
        <w:overflowPunct/>
        <w:topLinePunct w:val="0"/>
        <w:bidi w:val="0"/>
        <w:spacing w:line="48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2.“投标人”系指向招标方提交投标文件的单位或个人，本次招标对合格投标人的具体要求见招标公告。</w:t>
      </w:r>
    </w:p>
    <w:p w14:paraId="1CE56FD3">
      <w:pPr>
        <w:keepNext w:val="0"/>
        <w:keepLines w:val="0"/>
        <w:pageBreakBefore w:val="0"/>
        <w:kinsoku/>
        <w:wordWrap/>
        <w:overflowPunct/>
        <w:topLinePunct w:val="0"/>
        <w:bidi w:val="0"/>
        <w:spacing w:line="48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lang w:val="en-US" w:eastAsia="zh-CN"/>
        </w:rPr>
        <w:t>3</w:t>
      </w:r>
      <w:r>
        <w:rPr>
          <w:rFonts w:hint="eastAsia" w:ascii="宋体" w:hAnsi="宋体" w:cs="宋体"/>
          <w:color w:val="auto"/>
          <w:szCs w:val="21"/>
          <w:highlight w:val="none"/>
        </w:rPr>
        <w:t>.“服务”系指招标文件规定投标人须承担的</w:t>
      </w:r>
      <w:r>
        <w:rPr>
          <w:rFonts w:hint="eastAsia" w:hAnsi="宋体" w:cs="宋体"/>
          <w:color w:val="auto"/>
          <w:sz w:val="21"/>
          <w:szCs w:val="21"/>
          <w:highlight w:val="none"/>
        </w:rPr>
        <w:t>服务以及其他类似的义务</w:t>
      </w:r>
      <w:r>
        <w:rPr>
          <w:rFonts w:hint="eastAsia" w:ascii="宋体" w:hAnsi="宋体" w:cs="宋体"/>
          <w:color w:val="auto"/>
          <w:szCs w:val="21"/>
          <w:highlight w:val="none"/>
        </w:rPr>
        <w:t>。</w:t>
      </w:r>
    </w:p>
    <w:p w14:paraId="0BDF51E4">
      <w:pPr>
        <w:keepNext w:val="0"/>
        <w:keepLines w:val="0"/>
        <w:pageBreakBefore w:val="0"/>
        <w:kinsoku/>
        <w:wordWrap/>
        <w:overflowPunct/>
        <w:topLinePunct w:val="0"/>
        <w:bidi w:val="0"/>
        <w:spacing w:line="48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lang w:val="en-US" w:eastAsia="zh-CN"/>
        </w:rPr>
        <w:t>4</w:t>
      </w:r>
      <w:r>
        <w:rPr>
          <w:rFonts w:hint="eastAsia" w:ascii="宋体" w:hAnsi="宋体" w:cs="宋体"/>
          <w:color w:val="auto"/>
          <w:szCs w:val="21"/>
          <w:highlight w:val="none"/>
        </w:rPr>
        <w:t>.“项目”系指投标人按招标文件规定向采购人提供的服务。</w:t>
      </w:r>
    </w:p>
    <w:p w14:paraId="6B76E6B6">
      <w:pPr>
        <w:keepNext w:val="0"/>
        <w:keepLines w:val="0"/>
        <w:pageBreakBefore w:val="0"/>
        <w:kinsoku/>
        <w:wordWrap/>
        <w:overflowPunct/>
        <w:topLinePunct w:val="0"/>
        <w:bidi w:val="0"/>
        <w:spacing w:line="48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lang w:val="en-US" w:eastAsia="zh-CN"/>
        </w:rPr>
        <w:t>5</w:t>
      </w:r>
      <w:r>
        <w:rPr>
          <w:rFonts w:hint="eastAsia" w:ascii="宋体" w:hAnsi="宋体" w:cs="宋体"/>
          <w:color w:val="auto"/>
          <w:szCs w:val="21"/>
          <w:highlight w:val="none"/>
        </w:rPr>
        <w:t>.“书面形式”包括信函、传真、电报等。</w:t>
      </w:r>
    </w:p>
    <w:p w14:paraId="69E969AD">
      <w:pPr>
        <w:keepNext w:val="0"/>
        <w:keepLines w:val="0"/>
        <w:pageBreakBefore w:val="0"/>
        <w:kinsoku/>
        <w:wordWrap/>
        <w:overflowPunct/>
        <w:topLinePunct w:val="0"/>
        <w:bidi w:val="0"/>
        <w:spacing w:line="48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lang w:val="en-US" w:eastAsia="zh-CN"/>
        </w:rPr>
        <w:t>6</w:t>
      </w:r>
      <w:r>
        <w:rPr>
          <w:rFonts w:hint="eastAsia" w:ascii="宋体" w:hAnsi="宋体" w:cs="宋体"/>
          <w:color w:val="auto"/>
          <w:szCs w:val="21"/>
          <w:highlight w:val="none"/>
        </w:rPr>
        <w:t>.“★”条款为实质性条款，不允许负偏离，否则作无效标处理。</w:t>
      </w:r>
    </w:p>
    <w:p w14:paraId="5831472B">
      <w:pPr>
        <w:keepNext w:val="0"/>
        <w:keepLines w:val="0"/>
        <w:pageBreakBefore w:val="0"/>
        <w:kinsoku/>
        <w:wordWrap/>
        <w:overflowPunct/>
        <w:topLinePunct w:val="0"/>
        <w:bidi w:val="0"/>
        <w:spacing w:line="480" w:lineRule="exact"/>
        <w:ind w:firstLine="422" w:firstLineChars="200"/>
        <w:textAlignment w:val="auto"/>
        <w:rPr>
          <w:rFonts w:ascii="宋体" w:hAnsi="宋体" w:cs="宋体"/>
          <w:b/>
          <w:color w:val="auto"/>
          <w:szCs w:val="21"/>
          <w:highlight w:val="none"/>
        </w:rPr>
      </w:pPr>
      <w:r>
        <w:rPr>
          <w:rFonts w:hint="eastAsia" w:ascii="宋体" w:hAnsi="宋体" w:cs="宋体"/>
          <w:b/>
          <w:color w:val="auto"/>
          <w:szCs w:val="21"/>
          <w:highlight w:val="none"/>
        </w:rPr>
        <w:t>（三）招标方式</w:t>
      </w:r>
    </w:p>
    <w:p w14:paraId="08865A1A">
      <w:pPr>
        <w:keepNext w:val="0"/>
        <w:keepLines w:val="0"/>
        <w:pageBreakBefore w:val="0"/>
        <w:kinsoku/>
        <w:wordWrap/>
        <w:overflowPunct/>
        <w:topLinePunct w:val="0"/>
        <w:bidi w:val="0"/>
        <w:spacing w:line="480" w:lineRule="exact"/>
        <w:ind w:firstLine="315" w:firstLineChars="150"/>
        <w:textAlignment w:val="auto"/>
        <w:rPr>
          <w:rFonts w:ascii="宋体" w:hAnsi="宋体" w:cs="宋体"/>
          <w:color w:val="auto"/>
          <w:szCs w:val="21"/>
          <w:highlight w:val="none"/>
        </w:rPr>
      </w:pPr>
      <w:r>
        <w:rPr>
          <w:rFonts w:hint="eastAsia" w:ascii="宋体" w:hAnsi="宋体" w:cs="宋体"/>
          <w:color w:val="auto"/>
          <w:szCs w:val="21"/>
          <w:highlight w:val="none"/>
        </w:rPr>
        <w:t>本次招标采用公开招标方式进行。</w:t>
      </w:r>
    </w:p>
    <w:p w14:paraId="6AAA11FF">
      <w:pPr>
        <w:keepNext w:val="0"/>
        <w:keepLines w:val="0"/>
        <w:pageBreakBefore w:val="0"/>
        <w:kinsoku/>
        <w:wordWrap/>
        <w:overflowPunct/>
        <w:topLinePunct w:val="0"/>
        <w:bidi w:val="0"/>
        <w:spacing w:line="480" w:lineRule="exact"/>
        <w:ind w:firstLine="422" w:firstLineChars="200"/>
        <w:textAlignment w:val="auto"/>
        <w:rPr>
          <w:rFonts w:ascii="宋体" w:hAnsi="宋体" w:cs="宋体"/>
          <w:b/>
          <w:color w:val="auto"/>
          <w:sz w:val="18"/>
          <w:szCs w:val="18"/>
          <w:highlight w:val="none"/>
        </w:rPr>
      </w:pPr>
      <w:r>
        <w:rPr>
          <w:rFonts w:hint="eastAsia" w:ascii="宋体" w:hAnsi="宋体" w:cs="宋体"/>
          <w:b/>
          <w:color w:val="auto"/>
          <w:szCs w:val="21"/>
          <w:highlight w:val="none"/>
        </w:rPr>
        <w:t>（四）投标委托</w:t>
      </w:r>
    </w:p>
    <w:p w14:paraId="72F10D99">
      <w:pPr>
        <w:keepNext w:val="0"/>
        <w:keepLines w:val="0"/>
        <w:pageBreakBefore w:val="0"/>
        <w:kinsoku/>
        <w:wordWrap/>
        <w:overflowPunct/>
        <w:topLinePunct w:val="0"/>
        <w:bidi w:val="0"/>
        <w:spacing w:line="480" w:lineRule="exact"/>
        <w:ind w:firstLine="315" w:firstLineChars="150"/>
        <w:textAlignment w:val="auto"/>
        <w:rPr>
          <w:rFonts w:ascii="宋体" w:hAnsi="宋体" w:cs="宋体"/>
          <w:color w:val="auto"/>
          <w:szCs w:val="21"/>
          <w:highlight w:val="none"/>
        </w:rPr>
      </w:pPr>
      <w:r>
        <w:rPr>
          <w:rFonts w:hint="eastAsia" w:ascii="宋体" w:hAnsi="宋体" w:cs="宋体"/>
          <w:color w:val="auto"/>
          <w:szCs w:val="21"/>
          <w:highlight w:val="none"/>
        </w:rPr>
        <w:t>投标人代表须携带有效身份证件。如投标人代表不是法定代表人，须有法定代表人出具的授权委托书。</w:t>
      </w:r>
    </w:p>
    <w:p w14:paraId="3908F7F3">
      <w:pPr>
        <w:keepNext w:val="0"/>
        <w:keepLines w:val="0"/>
        <w:pageBreakBefore w:val="0"/>
        <w:kinsoku/>
        <w:wordWrap/>
        <w:overflowPunct/>
        <w:topLinePunct w:val="0"/>
        <w:bidi w:val="0"/>
        <w:spacing w:line="480" w:lineRule="exact"/>
        <w:ind w:firstLine="422" w:firstLineChars="200"/>
        <w:textAlignment w:val="auto"/>
        <w:rPr>
          <w:rFonts w:ascii="宋体" w:hAnsi="宋体" w:cs="宋体"/>
          <w:b/>
          <w:color w:val="auto"/>
          <w:szCs w:val="21"/>
          <w:highlight w:val="none"/>
        </w:rPr>
      </w:pPr>
      <w:r>
        <w:rPr>
          <w:rFonts w:hint="eastAsia" w:ascii="宋体" w:hAnsi="宋体" w:cs="宋体"/>
          <w:b/>
          <w:color w:val="auto"/>
          <w:szCs w:val="21"/>
          <w:highlight w:val="none"/>
        </w:rPr>
        <w:t>（五）投标费用</w:t>
      </w:r>
    </w:p>
    <w:p w14:paraId="265EC0C0">
      <w:pPr>
        <w:keepNext w:val="0"/>
        <w:keepLines w:val="0"/>
        <w:pageBreakBefore w:val="0"/>
        <w:kinsoku/>
        <w:wordWrap/>
        <w:overflowPunct/>
        <w:topLinePunct w:val="0"/>
        <w:bidi w:val="0"/>
        <w:spacing w:line="480" w:lineRule="exact"/>
        <w:ind w:firstLine="315" w:firstLineChars="150"/>
        <w:textAlignment w:val="auto"/>
        <w:rPr>
          <w:rFonts w:ascii="宋体" w:hAnsi="宋体" w:cs="宋体"/>
          <w:color w:val="auto"/>
          <w:szCs w:val="21"/>
          <w:highlight w:val="none"/>
        </w:rPr>
      </w:pPr>
      <w:r>
        <w:rPr>
          <w:rFonts w:hint="eastAsia" w:ascii="宋体" w:hAnsi="宋体" w:cs="宋体"/>
          <w:color w:val="auto"/>
          <w:szCs w:val="21"/>
          <w:highlight w:val="none"/>
        </w:rPr>
        <w:t>不论投标结果如何，投标人均应自行承担所有与投标有关的全部费用（招标文件有相反规定除外）。</w:t>
      </w:r>
    </w:p>
    <w:p w14:paraId="7EEB792B">
      <w:pPr>
        <w:keepNext w:val="0"/>
        <w:keepLines w:val="0"/>
        <w:pageBreakBefore w:val="0"/>
        <w:kinsoku/>
        <w:wordWrap/>
        <w:overflowPunct/>
        <w:topLinePunct w:val="0"/>
        <w:bidi w:val="0"/>
        <w:spacing w:line="480" w:lineRule="exact"/>
        <w:ind w:firstLine="422" w:firstLineChars="200"/>
        <w:textAlignment w:val="auto"/>
        <w:rPr>
          <w:rFonts w:ascii="宋体" w:hAnsi="宋体" w:cs="宋体"/>
          <w:b/>
          <w:color w:val="auto"/>
          <w:szCs w:val="21"/>
          <w:highlight w:val="none"/>
        </w:rPr>
      </w:pPr>
      <w:r>
        <w:rPr>
          <w:rFonts w:hint="eastAsia" w:ascii="宋体" w:hAnsi="宋体" w:cs="宋体"/>
          <w:b/>
          <w:color w:val="auto"/>
          <w:szCs w:val="21"/>
          <w:highlight w:val="none"/>
        </w:rPr>
        <w:t>（六）知识产权</w:t>
      </w:r>
    </w:p>
    <w:p w14:paraId="626D0B90">
      <w:pPr>
        <w:keepNext w:val="0"/>
        <w:keepLines w:val="0"/>
        <w:pageBreakBefore w:val="0"/>
        <w:kinsoku/>
        <w:wordWrap/>
        <w:overflowPunct/>
        <w:topLinePunct w:val="0"/>
        <w:bidi w:val="0"/>
        <w:spacing w:line="48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1.投标人须保证，招标人在中华人民共和国境内使用投标资料、技术、服务或其任何一部分时，享有不受限制的无偿使用权，不会产生因第三方提出侵犯其专利权、商标权或其它知识产权而引起的法律或经济纠纷。如投标人不拥有相应的知识产权，则在投标报价中必须包括合法获取该知识产权的一切相关费用。如因此导致招标人损失的，投标人须承担全部赔偿责任。</w:t>
      </w:r>
    </w:p>
    <w:p w14:paraId="2617E34A">
      <w:pPr>
        <w:keepNext w:val="0"/>
        <w:keepLines w:val="0"/>
        <w:pageBreakBefore w:val="0"/>
        <w:kinsoku/>
        <w:wordWrap/>
        <w:overflowPunct/>
        <w:topLinePunct w:val="0"/>
        <w:bidi w:val="0"/>
        <w:spacing w:line="48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2.所有投标文件不论中标与否均不退还。</w:t>
      </w:r>
    </w:p>
    <w:p w14:paraId="6016F154">
      <w:pPr>
        <w:keepNext w:val="0"/>
        <w:keepLines w:val="0"/>
        <w:pageBreakBefore w:val="0"/>
        <w:kinsoku/>
        <w:wordWrap/>
        <w:overflowPunct/>
        <w:topLinePunct w:val="0"/>
        <w:bidi w:val="0"/>
        <w:spacing w:line="48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3.在招标过程中，本项目由招标人提供的所有基础资料（包括文字、图纸、电子数据）的版权均受法律保护，投标人应按国家要求做好所有基础资料的保密工作，除为本项目本身使用外，不做其他用途，任何未经招标人同意的修改、拷贝、传播、公开发布等行为都将承担由此引起的一切经济、法律责任。</w:t>
      </w:r>
    </w:p>
    <w:p w14:paraId="19DA9694">
      <w:pPr>
        <w:keepNext w:val="0"/>
        <w:keepLines w:val="0"/>
        <w:pageBreakBefore w:val="0"/>
        <w:kinsoku/>
        <w:wordWrap/>
        <w:overflowPunct/>
        <w:topLinePunct w:val="0"/>
        <w:bidi w:val="0"/>
        <w:spacing w:line="480" w:lineRule="exact"/>
        <w:ind w:firstLine="422" w:firstLineChars="200"/>
        <w:textAlignment w:val="auto"/>
        <w:rPr>
          <w:rFonts w:ascii="宋体" w:hAnsi="宋体" w:cs="宋体"/>
          <w:b/>
          <w:color w:val="auto"/>
          <w:szCs w:val="21"/>
          <w:highlight w:val="none"/>
        </w:rPr>
      </w:pPr>
      <w:r>
        <w:rPr>
          <w:rFonts w:hint="eastAsia" w:ascii="宋体" w:hAnsi="宋体" w:cs="宋体"/>
          <w:b/>
          <w:color w:val="auto"/>
          <w:szCs w:val="21"/>
          <w:highlight w:val="none"/>
        </w:rPr>
        <w:t>（七）联合体投标</w:t>
      </w:r>
    </w:p>
    <w:p w14:paraId="423EDC37">
      <w:pPr>
        <w:keepNext w:val="0"/>
        <w:keepLines w:val="0"/>
        <w:pageBreakBefore w:val="0"/>
        <w:kinsoku/>
        <w:wordWrap/>
        <w:overflowPunct/>
        <w:topLinePunct w:val="0"/>
        <w:bidi w:val="0"/>
        <w:snapToGrid w:val="0"/>
        <w:spacing w:line="48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1.本项目不接受联合体形式投标。</w:t>
      </w:r>
    </w:p>
    <w:p w14:paraId="4C466FB6">
      <w:pPr>
        <w:keepNext w:val="0"/>
        <w:keepLines w:val="0"/>
        <w:pageBreakBefore w:val="0"/>
        <w:kinsoku/>
        <w:wordWrap/>
        <w:overflowPunct/>
        <w:topLinePunct w:val="0"/>
        <w:bidi w:val="0"/>
        <w:spacing w:line="480" w:lineRule="exact"/>
        <w:ind w:firstLine="422" w:firstLineChars="200"/>
        <w:textAlignment w:val="auto"/>
        <w:rPr>
          <w:rFonts w:ascii="宋体" w:hAnsi="宋体" w:cs="宋体"/>
          <w:b/>
          <w:color w:val="auto"/>
          <w:szCs w:val="21"/>
          <w:highlight w:val="none"/>
        </w:rPr>
      </w:pPr>
      <w:r>
        <w:rPr>
          <w:rFonts w:hint="eastAsia" w:ascii="宋体" w:hAnsi="宋体" w:cs="宋体"/>
          <w:b/>
          <w:color w:val="auto"/>
          <w:szCs w:val="21"/>
          <w:highlight w:val="none"/>
        </w:rPr>
        <w:t>（八）转包与分包</w:t>
      </w:r>
    </w:p>
    <w:p w14:paraId="36373792">
      <w:pPr>
        <w:keepNext w:val="0"/>
        <w:keepLines w:val="0"/>
        <w:pageBreakBefore w:val="0"/>
        <w:kinsoku/>
        <w:wordWrap/>
        <w:overflowPunct/>
        <w:topLinePunct w:val="0"/>
        <w:bidi w:val="0"/>
        <w:snapToGrid w:val="0"/>
        <w:spacing w:line="480" w:lineRule="exact"/>
        <w:ind w:firstLine="420" w:firstLineChars="200"/>
        <w:textAlignment w:val="auto"/>
        <w:rPr>
          <w:rFonts w:hint="eastAsia" w:ascii="宋体" w:hAnsi="宋体" w:cs="宋体"/>
          <w:color w:val="auto"/>
          <w:szCs w:val="21"/>
          <w:highlight w:val="none"/>
        </w:rPr>
      </w:pPr>
      <w:r>
        <w:rPr>
          <w:rFonts w:hint="eastAsia" w:ascii="宋体" w:hAnsi="宋体" w:cs="宋体"/>
          <w:color w:val="auto"/>
          <w:szCs w:val="21"/>
          <w:highlight w:val="none"/>
        </w:rPr>
        <w:t>1.本项目不允许转包。</w:t>
      </w:r>
    </w:p>
    <w:p w14:paraId="2E3869D1">
      <w:pPr>
        <w:keepNext w:val="0"/>
        <w:keepLines w:val="0"/>
        <w:pageBreakBefore w:val="0"/>
        <w:kinsoku/>
        <w:wordWrap/>
        <w:overflowPunct/>
        <w:topLinePunct w:val="0"/>
        <w:bidi w:val="0"/>
        <w:snapToGrid w:val="0"/>
        <w:spacing w:line="480" w:lineRule="exact"/>
        <w:ind w:firstLine="420" w:firstLineChars="200"/>
        <w:textAlignment w:val="auto"/>
        <w:rPr>
          <w:rFonts w:hint="eastAsia" w:ascii="宋体" w:hAnsi="宋体" w:cs="宋体"/>
          <w:color w:val="auto"/>
          <w:szCs w:val="21"/>
          <w:highlight w:val="none"/>
        </w:rPr>
      </w:pPr>
      <w:r>
        <w:rPr>
          <w:rFonts w:hint="eastAsia" w:ascii="宋体" w:hAnsi="宋体" w:cs="宋体"/>
          <w:color w:val="auto"/>
          <w:szCs w:val="21"/>
          <w:highlight w:val="none"/>
        </w:rPr>
        <w:t>2.未经招标人同意，本项目不可以分包。</w:t>
      </w:r>
    </w:p>
    <w:p w14:paraId="7AF0C450">
      <w:pPr>
        <w:keepNext w:val="0"/>
        <w:keepLines w:val="0"/>
        <w:pageBreakBefore w:val="0"/>
        <w:kinsoku/>
        <w:wordWrap/>
        <w:overflowPunct/>
        <w:topLinePunct w:val="0"/>
        <w:bidi w:val="0"/>
        <w:spacing w:line="480" w:lineRule="exact"/>
        <w:ind w:firstLine="422" w:firstLineChars="200"/>
        <w:textAlignment w:val="auto"/>
        <w:rPr>
          <w:rFonts w:ascii="宋体" w:hAnsi="宋体" w:cs="宋体"/>
          <w:b/>
          <w:color w:val="auto"/>
          <w:szCs w:val="21"/>
          <w:highlight w:val="none"/>
        </w:rPr>
      </w:pPr>
      <w:r>
        <w:rPr>
          <w:rFonts w:hint="eastAsia" w:ascii="宋体" w:hAnsi="宋体" w:cs="宋体"/>
          <w:b/>
          <w:color w:val="auto"/>
          <w:szCs w:val="21"/>
          <w:highlight w:val="none"/>
        </w:rPr>
        <w:t>（九）现场考察</w:t>
      </w:r>
    </w:p>
    <w:p w14:paraId="0992C424">
      <w:pPr>
        <w:keepNext w:val="0"/>
        <w:keepLines w:val="0"/>
        <w:pageBreakBefore w:val="0"/>
        <w:kinsoku/>
        <w:wordWrap/>
        <w:overflowPunct/>
        <w:topLinePunct w:val="0"/>
        <w:bidi w:val="0"/>
        <w:snapToGrid w:val="0"/>
        <w:spacing w:line="48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1.投标人可进行现场考察，以获取有关投标、签署合同和其他所需的资料。不组织集中考察，由各投标人自行安排，但必须在开标5天前进行。投标人在考察过程中发生的各类事件和所发生的各项费用，均由投标人自行承担，招标人和代理机构概不负责。</w:t>
      </w:r>
    </w:p>
    <w:p w14:paraId="1BC84D3C">
      <w:pPr>
        <w:keepNext w:val="0"/>
        <w:keepLines w:val="0"/>
        <w:pageBreakBefore w:val="0"/>
        <w:kinsoku/>
        <w:wordWrap/>
        <w:overflowPunct/>
        <w:topLinePunct w:val="0"/>
        <w:bidi w:val="0"/>
        <w:snapToGrid w:val="0"/>
        <w:spacing w:line="48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2.招标人向投标人提供的有关现场的数据和资料，是招标人现有的能被投标人利用的资料，招标人对投标人据此做出的任何推论、理解和结论不负责任。</w:t>
      </w:r>
    </w:p>
    <w:p w14:paraId="75A4B1D2">
      <w:pPr>
        <w:keepNext w:val="0"/>
        <w:keepLines w:val="0"/>
        <w:pageBreakBefore w:val="0"/>
        <w:kinsoku/>
        <w:wordWrap/>
        <w:overflowPunct/>
        <w:topLinePunct w:val="0"/>
        <w:bidi w:val="0"/>
        <w:spacing w:line="480" w:lineRule="exact"/>
        <w:ind w:firstLine="422" w:firstLineChars="200"/>
        <w:textAlignment w:val="auto"/>
        <w:rPr>
          <w:rFonts w:ascii="宋体" w:hAnsi="宋体" w:cs="宋体"/>
          <w:b/>
          <w:color w:val="auto"/>
          <w:szCs w:val="21"/>
          <w:highlight w:val="none"/>
        </w:rPr>
      </w:pPr>
      <w:r>
        <w:rPr>
          <w:rFonts w:hint="eastAsia" w:ascii="宋体" w:hAnsi="宋体" w:cs="宋体"/>
          <w:b/>
          <w:color w:val="auto"/>
          <w:szCs w:val="21"/>
          <w:highlight w:val="none"/>
        </w:rPr>
        <w:t>（十）特别说明：</w:t>
      </w:r>
    </w:p>
    <w:p w14:paraId="77157A8D">
      <w:pPr>
        <w:keepNext w:val="0"/>
        <w:keepLines w:val="0"/>
        <w:pageBreakBefore w:val="0"/>
        <w:kinsoku/>
        <w:wordWrap/>
        <w:overflowPunct/>
        <w:topLinePunct w:val="0"/>
        <w:bidi w:val="0"/>
        <w:spacing w:line="48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lang w:val="en-US" w:eastAsia="zh-CN"/>
        </w:rPr>
        <w:t>1</w:t>
      </w:r>
      <w:r>
        <w:rPr>
          <w:rFonts w:hint="eastAsia" w:ascii="宋体" w:hAnsi="宋体" w:cs="宋体"/>
          <w:color w:val="auto"/>
          <w:szCs w:val="21"/>
          <w:highlight w:val="none"/>
        </w:rPr>
        <w:t>.投标人投标所使用的资格、信誉、荣誉、业绩与企业认证必须为本法人所拥有。投标人投标所使用的采购项目实施人员必须为本法人员工（或必须为本法人或控股公司正式员工）。</w:t>
      </w:r>
    </w:p>
    <w:p w14:paraId="0BE02BF1">
      <w:pPr>
        <w:keepNext w:val="0"/>
        <w:keepLines w:val="0"/>
        <w:pageBreakBefore w:val="0"/>
        <w:kinsoku/>
        <w:wordWrap/>
        <w:overflowPunct/>
        <w:topLinePunct w:val="0"/>
        <w:bidi w:val="0"/>
        <w:spacing w:line="48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lang w:val="en-US" w:eastAsia="zh-CN"/>
        </w:rPr>
        <w:t>2</w:t>
      </w:r>
      <w:r>
        <w:rPr>
          <w:rFonts w:hint="eastAsia" w:ascii="宋体" w:hAnsi="宋体" w:cs="宋体"/>
          <w:color w:val="auto"/>
          <w:szCs w:val="21"/>
          <w:highlight w:val="none"/>
        </w:rPr>
        <w:t>.投标人应仔细阅读招标文件的所有内容，按照招标文件的要求提交投标文件。投标人必须对投标文件所提供的全部资料的真实性承担法律责任，并无条件接受采购代理机构、招标人及政府采购监督管理部门等对其中任何资料进行核实的要求。</w:t>
      </w:r>
    </w:p>
    <w:p w14:paraId="3EBC3A53">
      <w:pPr>
        <w:keepNext w:val="0"/>
        <w:keepLines w:val="0"/>
        <w:pageBreakBefore w:val="0"/>
        <w:kinsoku/>
        <w:wordWrap/>
        <w:overflowPunct/>
        <w:topLinePunct w:val="0"/>
        <w:bidi w:val="0"/>
        <w:snapToGrid w:val="0"/>
        <w:spacing w:line="48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lang w:val="en-US" w:eastAsia="zh-CN"/>
        </w:rPr>
        <w:t>3</w:t>
      </w:r>
      <w:r>
        <w:rPr>
          <w:rFonts w:hint="eastAsia" w:ascii="宋体" w:hAnsi="宋体" w:cs="宋体"/>
          <w:color w:val="auto"/>
          <w:szCs w:val="21"/>
          <w:highlight w:val="none"/>
        </w:rPr>
        <w:t>.投标人在投标活动中提供任何虚假材料,其投标无效，并报监管部门查处；中标后发现的,中标人须依照《中华人民共和国消费者权益保护法》第49条之规定双倍赔偿招标人，且民事赔偿并不免除违法投标人的行政与刑事责任。</w:t>
      </w:r>
    </w:p>
    <w:p w14:paraId="75C5EE00">
      <w:pPr>
        <w:keepNext w:val="0"/>
        <w:keepLines w:val="0"/>
        <w:pageBreakBefore w:val="0"/>
        <w:kinsoku/>
        <w:wordWrap/>
        <w:overflowPunct/>
        <w:topLinePunct w:val="0"/>
        <w:bidi w:val="0"/>
        <w:spacing w:line="480" w:lineRule="exact"/>
        <w:ind w:firstLine="422" w:firstLineChars="200"/>
        <w:textAlignment w:val="auto"/>
        <w:rPr>
          <w:rFonts w:ascii="宋体" w:hAnsi="宋体" w:cs="宋体"/>
          <w:b/>
          <w:color w:val="auto"/>
          <w:szCs w:val="21"/>
          <w:highlight w:val="none"/>
        </w:rPr>
      </w:pPr>
      <w:r>
        <w:rPr>
          <w:rFonts w:hint="eastAsia" w:ascii="宋体" w:hAnsi="宋体" w:cs="宋体"/>
          <w:b/>
          <w:color w:val="auto"/>
          <w:szCs w:val="21"/>
          <w:highlight w:val="none"/>
        </w:rPr>
        <w:t>（十一）质疑和投诉</w:t>
      </w:r>
    </w:p>
    <w:p w14:paraId="2D8E7BD2">
      <w:pPr>
        <w:keepNext w:val="0"/>
        <w:keepLines w:val="0"/>
        <w:pageBreakBefore w:val="0"/>
        <w:kinsoku/>
        <w:wordWrap/>
        <w:overflowPunct/>
        <w:topLinePunct w:val="0"/>
        <w:bidi w:val="0"/>
        <w:spacing w:line="480" w:lineRule="exact"/>
        <w:ind w:firstLine="411" w:firstLineChars="196"/>
        <w:textAlignment w:val="auto"/>
        <w:rPr>
          <w:rFonts w:ascii="宋体" w:hAnsi="宋体" w:cs="宋体"/>
          <w:color w:val="auto"/>
          <w:szCs w:val="21"/>
          <w:highlight w:val="none"/>
        </w:rPr>
      </w:pPr>
      <w:r>
        <w:rPr>
          <w:rFonts w:hint="eastAsia" w:ascii="宋体" w:hAnsi="宋体" w:cs="宋体"/>
          <w:color w:val="auto"/>
          <w:szCs w:val="21"/>
          <w:highlight w:val="none"/>
        </w:rPr>
        <w:t>1.投标人认为招标文件、招标过程或中标结果使自己的合法权益受到损害的，应当在知道或者应知其权益受到损害之日起七个工作日内，以书面形式向招标人、采购代理机构提出质疑。投标人对招标采购单位的质疑答复不满意或者招标采购单位未在规定时间内作出答复的，可以在答复期满后十五个工作日内向同级采购监管部门投诉。</w:t>
      </w:r>
    </w:p>
    <w:p w14:paraId="1D6EBF91">
      <w:pPr>
        <w:keepNext w:val="0"/>
        <w:keepLines w:val="0"/>
        <w:pageBreakBefore w:val="0"/>
        <w:kinsoku/>
        <w:wordWrap/>
        <w:overflowPunct/>
        <w:topLinePunct w:val="0"/>
        <w:bidi w:val="0"/>
        <w:spacing w:line="48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2.质疑、投诉应当符合中华人民共和国财政部令第94号《政府采购质疑和投诉办法》的规定，并分别采用财政部发布的《政府采购供应商质疑函范本》和《政府采购供应商投诉书范本》等书面形式，质疑书、投诉书均应明确阐述招标文件、招标过程或中标结果中使自己合法权益受到损害的实质性内容，提供相关事实、依据和证据及其来源或线索，便于有关单位调查、答复和处理。</w:t>
      </w:r>
    </w:p>
    <w:p w14:paraId="2B150472">
      <w:pPr>
        <w:keepNext w:val="0"/>
        <w:keepLines w:val="0"/>
        <w:pageBreakBefore w:val="0"/>
        <w:kinsoku/>
        <w:wordWrap/>
        <w:overflowPunct/>
        <w:topLinePunct w:val="0"/>
        <w:bidi w:val="0"/>
        <w:spacing w:line="480" w:lineRule="exact"/>
        <w:ind w:firstLine="422" w:firstLineChars="200"/>
        <w:textAlignment w:val="auto"/>
        <w:rPr>
          <w:rFonts w:ascii="宋体" w:hAnsi="宋体" w:cs="宋体"/>
          <w:b/>
          <w:color w:val="auto"/>
          <w:szCs w:val="21"/>
          <w:highlight w:val="none"/>
        </w:rPr>
      </w:pPr>
      <w:r>
        <w:rPr>
          <w:rFonts w:hint="eastAsia" w:ascii="宋体" w:hAnsi="宋体" w:cs="宋体"/>
          <w:b/>
          <w:color w:val="auto"/>
          <w:szCs w:val="21"/>
          <w:highlight w:val="none"/>
        </w:rPr>
        <w:t>二 、招标文件</w:t>
      </w:r>
    </w:p>
    <w:p w14:paraId="2854D64E">
      <w:pPr>
        <w:keepNext w:val="0"/>
        <w:keepLines w:val="0"/>
        <w:pageBreakBefore w:val="0"/>
        <w:kinsoku/>
        <w:wordWrap/>
        <w:overflowPunct/>
        <w:topLinePunct w:val="0"/>
        <w:bidi w:val="0"/>
        <w:spacing w:line="480" w:lineRule="exact"/>
        <w:ind w:firstLine="422" w:firstLineChars="200"/>
        <w:textAlignment w:val="auto"/>
        <w:rPr>
          <w:rFonts w:ascii="宋体" w:hAnsi="宋体" w:cs="宋体"/>
          <w:b/>
          <w:color w:val="auto"/>
          <w:szCs w:val="21"/>
          <w:highlight w:val="none"/>
        </w:rPr>
      </w:pPr>
      <w:r>
        <w:rPr>
          <w:rFonts w:hint="eastAsia" w:ascii="宋体" w:hAnsi="宋体" w:cs="宋体"/>
          <w:b/>
          <w:color w:val="auto"/>
          <w:szCs w:val="21"/>
          <w:highlight w:val="none"/>
        </w:rPr>
        <w:t>（一）招标文件的构成。本招标文件由以下部分组成：</w:t>
      </w:r>
    </w:p>
    <w:p w14:paraId="59E3004B">
      <w:pPr>
        <w:keepNext w:val="0"/>
        <w:keepLines w:val="0"/>
        <w:pageBreakBefore w:val="0"/>
        <w:kinsoku/>
        <w:wordWrap/>
        <w:overflowPunct/>
        <w:topLinePunct w:val="0"/>
        <w:bidi w:val="0"/>
        <w:spacing w:line="48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1.公开招标采购公告</w:t>
      </w:r>
    </w:p>
    <w:p w14:paraId="6C21935B">
      <w:pPr>
        <w:keepNext w:val="0"/>
        <w:keepLines w:val="0"/>
        <w:pageBreakBefore w:val="0"/>
        <w:kinsoku/>
        <w:wordWrap/>
        <w:overflowPunct/>
        <w:topLinePunct w:val="0"/>
        <w:bidi w:val="0"/>
        <w:spacing w:line="48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2.招标需求</w:t>
      </w:r>
    </w:p>
    <w:p w14:paraId="52994102">
      <w:pPr>
        <w:keepNext w:val="0"/>
        <w:keepLines w:val="0"/>
        <w:pageBreakBefore w:val="0"/>
        <w:kinsoku/>
        <w:wordWrap/>
        <w:overflowPunct/>
        <w:topLinePunct w:val="0"/>
        <w:bidi w:val="0"/>
        <w:spacing w:line="48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3.投标人须知</w:t>
      </w:r>
    </w:p>
    <w:p w14:paraId="7320F3E3">
      <w:pPr>
        <w:keepNext w:val="0"/>
        <w:keepLines w:val="0"/>
        <w:pageBreakBefore w:val="0"/>
        <w:kinsoku/>
        <w:wordWrap/>
        <w:overflowPunct/>
        <w:topLinePunct w:val="0"/>
        <w:bidi w:val="0"/>
        <w:spacing w:line="48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4.评标办法及标准</w:t>
      </w:r>
    </w:p>
    <w:p w14:paraId="231BBFBC">
      <w:pPr>
        <w:keepNext w:val="0"/>
        <w:keepLines w:val="0"/>
        <w:pageBreakBefore w:val="0"/>
        <w:kinsoku/>
        <w:wordWrap/>
        <w:overflowPunct/>
        <w:topLinePunct w:val="0"/>
        <w:bidi w:val="0"/>
        <w:spacing w:line="48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5.合同主要条款</w:t>
      </w:r>
    </w:p>
    <w:p w14:paraId="1D4397EB">
      <w:pPr>
        <w:keepNext w:val="0"/>
        <w:keepLines w:val="0"/>
        <w:pageBreakBefore w:val="0"/>
        <w:kinsoku/>
        <w:wordWrap/>
        <w:overflowPunct/>
        <w:topLinePunct w:val="0"/>
        <w:bidi w:val="0"/>
        <w:spacing w:line="48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6.投标文件格式</w:t>
      </w:r>
    </w:p>
    <w:p w14:paraId="61691E8D">
      <w:pPr>
        <w:keepNext w:val="0"/>
        <w:keepLines w:val="0"/>
        <w:pageBreakBefore w:val="0"/>
        <w:kinsoku/>
        <w:wordWrap/>
        <w:overflowPunct/>
        <w:topLinePunct w:val="0"/>
        <w:bidi w:val="0"/>
        <w:spacing w:line="48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7.本项目招标文件的澄清、答复、修改、补充的内容（如有）</w:t>
      </w:r>
    </w:p>
    <w:p w14:paraId="7D8BC2EE">
      <w:pPr>
        <w:keepNext w:val="0"/>
        <w:keepLines w:val="0"/>
        <w:pageBreakBefore w:val="0"/>
        <w:kinsoku/>
        <w:wordWrap/>
        <w:overflowPunct/>
        <w:topLinePunct w:val="0"/>
        <w:bidi w:val="0"/>
        <w:spacing w:line="480" w:lineRule="exact"/>
        <w:ind w:firstLine="422" w:firstLineChars="200"/>
        <w:textAlignment w:val="auto"/>
        <w:rPr>
          <w:rFonts w:ascii="宋体" w:hAnsi="宋体" w:cs="宋体"/>
          <w:b/>
          <w:color w:val="auto"/>
          <w:szCs w:val="21"/>
          <w:highlight w:val="none"/>
        </w:rPr>
      </w:pPr>
      <w:r>
        <w:rPr>
          <w:rFonts w:hint="eastAsia" w:ascii="宋体" w:hAnsi="宋体" w:cs="宋体"/>
          <w:b/>
          <w:color w:val="auto"/>
          <w:szCs w:val="21"/>
          <w:highlight w:val="none"/>
        </w:rPr>
        <w:t>（二）投标人的风险</w:t>
      </w:r>
    </w:p>
    <w:p w14:paraId="73BFC97B">
      <w:pPr>
        <w:keepNext w:val="0"/>
        <w:keepLines w:val="0"/>
        <w:pageBreakBefore w:val="0"/>
        <w:kinsoku/>
        <w:wordWrap/>
        <w:overflowPunct/>
        <w:topLinePunct w:val="0"/>
        <w:bidi w:val="0"/>
        <w:spacing w:line="48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投标人没有按照招标文件要求提供全部资料，或者投标人没有对招标文件在各方面作出实质性响应是投标人的风险，并可能导致其投标被拒绝。</w:t>
      </w:r>
    </w:p>
    <w:p w14:paraId="0CF4213A">
      <w:pPr>
        <w:keepNext w:val="0"/>
        <w:keepLines w:val="0"/>
        <w:pageBreakBefore w:val="0"/>
        <w:kinsoku/>
        <w:wordWrap/>
        <w:overflowPunct/>
        <w:topLinePunct w:val="0"/>
        <w:bidi w:val="0"/>
        <w:spacing w:line="48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招标人、采购代理机构不保证所有已完成报名的投标人都符合资格要求。</w:t>
      </w:r>
    </w:p>
    <w:p w14:paraId="1D0F70E0">
      <w:pPr>
        <w:keepNext w:val="0"/>
        <w:keepLines w:val="0"/>
        <w:pageBreakBefore w:val="0"/>
        <w:kinsoku/>
        <w:wordWrap/>
        <w:overflowPunct/>
        <w:topLinePunct w:val="0"/>
        <w:bidi w:val="0"/>
        <w:spacing w:line="480" w:lineRule="exact"/>
        <w:ind w:firstLine="422" w:firstLineChars="200"/>
        <w:textAlignment w:val="auto"/>
        <w:rPr>
          <w:rFonts w:ascii="宋体" w:hAnsi="宋体" w:cs="宋体"/>
          <w:b/>
          <w:color w:val="auto"/>
          <w:szCs w:val="21"/>
          <w:highlight w:val="none"/>
        </w:rPr>
      </w:pPr>
      <w:r>
        <w:rPr>
          <w:rFonts w:hint="eastAsia" w:ascii="宋体" w:hAnsi="宋体" w:cs="宋体"/>
          <w:b/>
          <w:color w:val="auto"/>
          <w:szCs w:val="21"/>
          <w:highlight w:val="none"/>
        </w:rPr>
        <w:t>（三）招标文件的澄清与修改</w:t>
      </w:r>
    </w:p>
    <w:p w14:paraId="45634F7D">
      <w:pPr>
        <w:keepNext w:val="0"/>
        <w:keepLines w:val="0"/>
        <w:pageBreakBefore w:val="0"/>
        <w:kinsoku/>
        <w:wordWrap/>
        <w:overflowPunct/>
        <w:topLinePunct w:val="0"/>
        <w:bidi w:val="0"/>
        <w:spacing w:line="48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1.投标人应认真阅读本招标文件，发现其中有误或有不合理要求的，投标人必须在投标截止时间15天前以书面形式要求招标采购单位澄清。招标采购单位对已发出的招标文件进行必要澄清、答复、修改或补充的，在财政部门指定的政府采购信息发布媒体上发布更正公告，并以书面形式通知所有招标文件收受人。澄清或者修改的内容可能影响投标文件编制的，应当在投标截止时间至少15日前，以书面形式通知所有获取招标文件的潜在投标人；不足15日的，顺延提交投标文件的截止时间。</w:t>
      </w:r>
    </w:p>
    <w:p w14:paraId="424A8DFF">
      <w:pPr>
        <w:keepNext w:val="0"/>
        <w:keepLines w:val="0"/>
        <w:pageBreakBefore w:val="0"/>
        <w:kinsoku/>
        <w:wordWrap/>
        <w:overflowPunct/>
        <w:topLinePunct w:val="0"/>
        <w:bidi w:val="0"/>
        <w:spacing w:line="48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2.采购代理机构必须以书面形式答复投标人要求澄清的问题，并将不包含问题来源的答复书面通知所有购买招标文件的投标人；除书面答复以外的其他澄清方式及澄清内容均无效。</w:t>
      </w:r>
    </w:p>
    <w:p w14:paraId="531FAD95">
      <w:pPr>
        <w:keepNext w:val="0"/>
        <w:keepLines w:val="0"/>
        <w:pageBreakBefore w:val="0"/>
        <w:kinsoku/>
        <w:wordWrap/>
        <w:overflowPunct/>
        <w:topLinePunct w:val="0"/>
        <w:bidi w:val="0"/>
        <w:spacing w:line="48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3.招标文件澄清、答复、修改、补充的内容为招标文件的组成部分。当招标文件与招标文件的答复、澄清、修改、补充通知就同一内容的表述不一致时，以最后发出的书面文件为准。</w:t>
      </w:r>
    </w:p>
    <w:p w14:paraId="5F25B959">
      <w:pPr>
        <w:keepNext w:val="0"/>
        <w:keepLines w:val="0"/>
        <w:pageBreakBefore w:val="0"/>
        <w:kinsoku/>
        <w:wordWrap/>
        <w:overflowPunct/>
        <w:topLinePunct w:val="0"/>
        <w:bidi w:val="0"/>
        <w:spacing w:line="48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4.招标文件的澄清、答复、修改或补充都应该通过本代理机构以法定形式发布，招标人非通过本机构，不得擅自澄清、答复、修改或补充招标文件。</w:t>
      </w:r>
    </w:p>
    <w:p w14:paraId="0FEEF204">
      <w:pPr>
        <w:keepNext w:val="0"/>
        <w:keepLines w:val="0"/>
        <w:pageBreakBefore w:val="0"/>
        <w:kinsoku/>
        <w:wordWrap/>
        <w:overflowPunct/>
        <w:topLinePunct w:val="0"/>
        <w:bidi w:val="0"/>
        <w:spacing w:line="480" w:lineRule="exact"/>
        <w:ind w:firstLine="422" w:firstLineChars="200"/>
        <w:textAlignment w:val="auto"/>
        <w:rPr>
          <w:rFonts w:ascii="宋体" w:hAnsi="宋体" w:cs="宋体"/>
          <w:b/>
          <w:color w:val="auto"/>
          <w:szCs w:val="21"/>
          <w:highlight w:val="none"/>
        </w:rPr>
      </w:pPr>
      <w:r>
        <w:rPr>
          <w:rFonts w:hint="eastAsia" w:ascii="宋体" w:hAnsi="宋体" w:cs="宋体"/>
          <w:b/>
          <w:color w:val="auto"/>
          <w:szCs w:val="21"/>
          <w:highlight w:val="none"/>
        </w:rPr>
        <w:t>三、投标文件的编制</w:t>
      </w:r>
    </w:p>
    <w:p w14:paraId="46447723">
      <w:pPr>
        <w:keepNext w:val="0"/>
        <w:keepLines w:val="0"/>
        <w:pageBreakBefore w:val="0"/>
        <w:kinsoku/>
        <w:wordWrap/>
        <w:overflowPunct/>
        <w:topLinePunct w:val="0"/>
        <w:bidi w:val="0"/>
        <w:snapToGrid w:val="0"/>
        <w:spacing w:line="480" w:lineRule="exact"/>
        <w:ind w:firstLine="422" w:firstLineChars="200"/>
        <w:textAlignment w:val="auto"/>
        <w:rPr>
          <w:rFonts w:hint="eastAsia" w:hAnsi="宋体" w:cs="宋体"/>
          <w:b/>
          <w:color w:val="auto"/>
          <w:sz w:val="21"/>
          <w:szCs w:val="21"/>
          <w:highlight w:val="none"/>
        </w:rPr>
      </w:pPr>
      <w:r>
        <w:rPr>
          <w:rFonts w:hint="eastAsia" w:hAnsi="宋体" w:cs="宋体"/>
          <w:b/>
          <w:color w:val="auto"/>
          <w:sz w:val="21"/>
          <w:szCs w:val="21"/>
          <w:highlight w:val="none"/>
        </w:rPr>
        <w:t>注：投标人应保证所提供文件资料的真实性，所有文件资料必须是针对本次投标的。如发现投标人提供了虚假文件资料，其投标将被拒绝，并自行承担相应的法律责任。</w:t>
      </w:r>
    </w:p>
    <w:p w14:paraId="5AAA1E81">
      <w:pPr>
        <w:keepNext w:val="0"/>
        <w:keepLines w:val="0"/>
        <w:pageBreakBefore w:val="0"/>
        <w:tabs>
          <w:tab w:val="left" w:pos="6955"/>
        </w:tabs>
        <w:kinsoku/>
        <w:wordWrap/>
        <w:overflowPunct/>
        <w:topLinePunct w:val="0"/>
        <w:bidi w:val="0"/>
        <w:snapToGrid w:val="0"/>
        <w:spacing w:line="480" w:lineRule="exact"/>
        <w:ind w:firstLine="422" w:firstLineChars="200"/>
        <w:textAlignment w:val="auto"/>
        <w:outlineLvl w:val="0"/>
        <w:rPr>
          <w:rFonts w:hint="eastAsia" w:hAnsi="宋体" w:cs="宋体"/>
          <w:b/>
          <w:color w:val="auto"/>
          <w:sz w:val="21"/>
          <w:szCs w:val="21"/>
          <w:highlight w:val="none"/>
        </w:rPr>
      </w:pPr>
      <w:r>
        <w:rPr>
          <w:rFonts w:hint="eastAsia" w:hAnsi="宋体" w:cs="宋体"/>
          <w:b/>
          <w:color w:val="auto"/>
          <w:sz w:val="21"/>
          <w:szCs w:val="21"/>
          <w:highlight w:val="none"/>
        </w:rPr>
        <w:t>（一）投标文件的形式</w:t>
      </w:r>
      <w:r>
        <w:rPr>
          <w:rFonts w:hint="eastAsia" w:hAnsi="宋体" w:cs="宋体"/>
          <w:b/>
          <w:color w:val="auto"/>
          <w:sz w:val="21"/>
          <w:szCs w:val="21"/>
          <w:highlight w:val="none"/>
        </w:rPr>
        <w:tab/>
      </w:r>
    </w:p>
    <w:p w14:paraId="6FD9A497">
      <w:pPr>
        <w:keepNext w:val="0"/>
        <w:keepLines w:val="0"/>
        <w:pageBreakBefore w:val="0"/>
        <w:kinsoku/>
        <w:wordWrap/>
        <w:overflowPunct/>
        <w:topLinePunct w:val="0"/>
        <w:bidi w:val="0"/>
        <w:snapToGrid w:val="0"/>
        <w:spacing w:line="480" w:lineRule="exact"/>
        <w:ind w:firstLine="422" w:firstLineChars="200"/>
        <w:textAlignment w:val="auto"/>
        <w:outlineLvl w:val="0"/>
        <w:rPr>
          <w:rFonts w:hint="eastAsia" w:hAnsi="宋体" w:cs="宋体"/>
          <w:b/>
          <w:color w:val="auto"/>
          <w:sz w:val="21"/>
          <w:szCs w:val="21"/>
          <w:highlight w:val="none"/>
        </w:rPr>
      </w:pPr>
      <w:r>
        <w:rPr>
          <w:rFonts w:hint="eastAsia" w:hAnsi="宋体" w:cs="宋体"/>
          <w:b/>
          <w:color w:val="auto"/>
          <w:sz w:val="21"/>
          <w:szCs w:val="21"/>
          <w:highlight w:val="none"/>
        </w:rPr>
        <w:t>1.投标文件为电子投标文件。</w:t>
      </w:r>
    </w:p>
    <w:p w14:paraId="7837077A">
      <w:pPr>
        <w:keepNext w:val="0"/>
        <w:keepLines w:val="0"/>
        <w:pageBreakBefore w:val="0"/>
        <w:kinsoku/>
        <w:wordWrap/>
        <w:overflowPunct/>
        <w:topLinePunct w:val="0"/>
        <w:bidi w:val="0"/>
        <w:snapToGrid w:val="0"/>
        <w:spacing w:line="480" w:lineRule="exact"/>
        <w:ind w:firstLine="422" w:firstLineChars="200"/>
        <w:textAlignment w:val="auto"/>
        <w:outlineLvl w:val="0"/>
        <w:rPr>
          <w:rFonts w:hint="eastAsia" w:hAnsi="宋体" w:cs="宋体"/>
          <w:b/>
          <w:color w:val="auto"/>
          <w:sz w:val="21"/>
          <w:szCs w:val="21"/>
          <w:highlight w:val="none"/>
        </w:rPr>
      </w:pPr>
      <w:r>
        <w:rPr>
          <w:rFonts w:hint="eastAsia" w:hAnsi="宋体" w:cs="宋体"/>
          <w:b/>
          <w:color w:val="auto"/>
          <w:sz w:val="21"/>
          <w:szCs w:val="21"/>
          <w:highlight w:val="none"/>
        </w:rPr>
        <w:t>1.1电子投标文件：电子投标文件按政采云平台供应商项目采购-电子交易操作指南（</w:t>
      </w:r>
      <w:r>
        <w:rPr>
          <w:rFonts w:hint="eastAsia" w:hAnsi="宋体" w:cs="宋体"/>
          <w:color w:val="auto"/>
          <w:sz w:val="21"/>
          <w:szCs w:val="21"/>
          <w:highlight w:val="none"/>
          <w:shd w:val="clear" w:color="auto" w:fill="FFFFFF"/>
        </w:rPr>
        <w:t>https://edu.zcygov.cn/luban/ebiding?utm=a0004.2ef5001f.0001.0109.da8b35e0da8611e98d8937b7ef8a3544</w:t>
      </w:r>
      <w:r>
        <w:rPr>
          <w:rFonts w:hint="eastAsia" w:hAnsi="宋体" w:cs="宋体"/>
          <w:b/>
          <w:color w:val="auto"/>
          <w:sz w:val="21"/>
          <w:szCs w:val="21"/>
          <w:highlight w:val="none"/>
        </w:rPr>
        <w:t>）及本招标文件规定的格式和顺序编制电子投标文件并进行关联。建议根据招标文件合格供应商的资格要求、投标文件的编制及评分标准等内容一一关联。</w:t>
      </w:r>
    </w:p>
    <w:p w14:paraId="0FAB56F3">
      <w:pPr>
        <w:keepNext w:val="0"/>
        <w:keepLines w:val="0"/>
        <w:pageBreakBefore w:val="0"/>
        <w:kinsoku/>
        <w:wordWrap/>
        <w:overflowPunct/>
        <w:topLinePunct w:val="0"/>
        <w:bidi w:val="0"/>
        <w:snapToGrid w:val="0"/>
        <w:spacing w:line="480" w:lineRule="exact"/>
        <w:ind w:firstLine="422" w:firstLineChars="200"/>
        <w:textAlignment w:val="auto"/>
        <w:outlineLvl w:val="0"/>
        <w:rPr>
          <w:rFonts w:hint="eastAsia" w:hAnsi="宋体" w:cs="宋体"/>
          <w:b/>
          <w:color w:val="auto"/>
          <w:sz w:val="21"/>
          <w:szCs w:val="21"/>
          <w:highlight w:val="none"/>
        </w:rPr>
      </w:pPr>
      <w:r>
        <w:rPr>
          <w:rFonts w:hint="eastAsia" w:hAnsi="宋体" w:cs="宋体"/>
          <w:b/>
          <w:color w:val="auto"/>
          <w:sz w:val="21"/>
          <w:szCs w:val="21"/>
          <w:highlight w:val="none"/>
        </w:rPr>
        <w:t>（二）投标文件的组成</w:t>
      </w:r>
    </w:p>
    <w:p w14:paraId="7822A61E">
      <w:pPr>
        <w:keepNext w:val="0"/>
        <w:keepLines w:val="0"/>
        <w:pageBreakBefore w:val="0"/>
        <w:kinsoku/>
        <w:wordWrap/>
        <w:overflowPunct/>
        <w:topLinePunct w:val="0"/>
        <w:bidi w:val="0"/>
        <w:snapToGrid w:val="0"/>
        <w:spacing w:line="480" w:lineRule="exact"/>
        <w:ind w:firstLine="422" w:firstLineChars="200"/>
        <w:textAlignment w:val="auto"/>
        <w:outlineLvl w:val="0"/>
        <w:rPr>
          <w:rFonts w:hint="eastAsia" w:hAnsi="宋体" w:cs="宋体"/>
          <w:b/>
          <w:color w:val="auto"/>
          <w:sz w:val="21"/>
          <w:szCs w:val="21"/>
          <w:highlight w:val="none"/>
        </w:rPr>
      </w:pPr>
      <w:r>
        <w:rPr>
          <w:rFonts w:hint="eastAsia" w:hAnsi="宋体" w:cs="宋体"/>
          <w:b/>
          <w:color w:val="auto"/>
          <w:sz w:val="21"/>
          <w:szCs w:val="21"/>
          <w:highlight w:val="none"/>
        </w:rPr>
        <w:t>投标文件（电子投标文件）由</w:t>
      </w:r>
      <w:r>
        <w:rPr>
          <w:rFonts w:hint="eastAsia" w:hAnsi="宋体" w:cs="宋体"/>
          <w:b/>
          <w:color w:val="auto"/>
          <w:sz w:val="21"/>
          <w:szCs w:val="21"/>
          <w:highlight w:val="none"/>
          <w:lang w:val="en-US" w:eastAsia="zh-CN"/>
        </w:rPr>
        <w:t>资信</w:t>
      </w:r>
      <w:r>
        <w:rPr>
          <w:rFonts w:hint="eastAsia" w:hAnsi="宋体" w:cs="宋体"/>
          <w:b/>
          <w:color w:val="auto"/>
          <w:sz w:val="21"/>
          <w:szCs w:val="21"/>
          <w:highlight w:val="none"/>
        </w:rPr>
        <w:t>技术文件和报价文件</w:t>
      </w:r>
      <w:r>
        <w:rPr>
          <w:rFonts w:hint="eastAsia" w:hAnsi="宋体" w:cs="宋体"/>
          <w:b/>
          <w:color w:val="auto"/>
          <w:sz w:val="21"/>
          <w:szCs w:val="21"/>
          <w:highlight w:val="none"/>
          <w:lang w:val="en-US" w:eastAsia="zh-CN"/>
        </w:rPr>
        <w:t>二</w:t>
      </w:r>
      <w:r>
        <w:rPr>
          <w:rFonts w:hint="eastAsia" w:hAnsi="宋体" w:cs="宋体"/>
          <w:b/>
          <w:color w:val="auto"/>
          <w:sz w:val="21"/>
          <w:szCs w:val="21"/>
          <w:highlight w:val="none"/>
        </w:rPr>
        <w:t>部份组成。电子投标文件中所须加盖公章部分均采用CA签章。</w:t>
      </w:r>
    </w:p>
    <w:p w14:paraId="22B7990A">
      <w:pPr>
        <w:keepNext w:val="0"/>
        <w:keepLines w:val="0"/>
        <w:pageBreakBefore w:val="0"/>
        <w:kinsoku/>
        <w:wordWrap/>
        <w:overflowPunct/>
        <w:topLinePunct w:val="0"/>
        <w:bidi w:val="0"/>
        <w:spacing w:line="480" w:lineRule="exact"/>
        <w:ind w:firstLine="422" w:firstLineChars="200"/>
        <w:textAlignment w:val="auto"/>
        <w:rPr>
          <w:rFonts w:hint="eastAsia"/>
          <w:b/>
          <w:bCs w:val="0"/>
          <w:color w:val="auto"/>
          <w:highlight w:val="none"/>
        </w:rPr>
      </w:pPr>
      <w:r>
        <w:rPr>
          <w:rFonts w:hint="eastAsia" w:ascii="宋体" w:hAnsi="宋体" w:cs="宋体"/>
          <w:b/>
          <w:bCs w:val="0"/>
          <w:color w:val="auto"/>
          <w:sz w:val="21"/>
          <w:szCs w:val="21"/>
          <w:highlight w:val="none"/>
          <w:lang w:eastAsia="zh-CN"/>
        </w:rPr>
        <w:t>详见第六章投标文件格式目录。</w:t>
      </w:r>
    </w:p>
    <w:p w14:paraId="5296FAC8">
      <w:pPr>
        <w:keepNext w:val="0"/>
        <w:keepLines w:val="0"/>
        <w:pageBreakBefore w:val="0"/>
        <w:kinsoku/>
        <w:wordWrap/>
        <w:overflowPunct/>
        <w:topLinePunct w:val="0"/>
        <w:bidi w:val="0"/>
        <w:snapToGrid w:val="0"/>
        <w:spacing w:line="480" w:lineRule="exact"/>
        <w:ind w:firstLine="422" w:firstLineChars="200"/>
        <w:textAlignment w:val="auto"/>
        <w:outlineLvl w:val="0"/>
        <w:rPr>
          <w:rFonts w:hint="eastAsia" w:ascii="宋体" w:hAnsi="宋体" w:cs="宋体"/>
          <w:color w:val="auto"/>
          <w:szCs w:val="21"/>
          <w:highlight w:val="none"/>
        </w:rPr>
      </w:pPr>
      <w:r>
        <w:rPr>
          <w:rFonts w:hint="eastAsia" w:hAnsi="宋体" w:cs="宋体"/>
          <w:b/>
          <w:color w:val="auto"/>
          <w:sz w:val="21"/>
          <w:szCs w:val="21"/>
          <w:highlight w:val="none"/>
        </w:rPr>
        <w:t>注：本项目投标价格的信息只允许出现在“报价文件”中，不得出现在</w:t>
      </w:r>
      <w:r>
        <w:rPr>
          <w:rFonts w:hint="eastAsia" w:hAnsi="宋体" w:cs="宋体"/>
          <w:b/>
          <w:color w:val="auto"/>
          <w:sz w:val="21"/>
          <w:szCs w:val="21"/>
          <w:highlight w:val="none"/>
          <w:lang w:val="en-US" w:eastAsia="zh-CN"/>
        </w:rPr>
        <w:t>资信</w:t>
      </w:r>
      <w:r>
        <w:rPr>
          <w:rFonts w:hint="eastAsia" w:hAnsi="宋体" w:cs="宋体"/>
          <w:b/>
          <w:color w:val="auto"/>
          <w:sz w:val="21"/>
          <w:szCs w:val="21"/>
          <w:highlight w:val="none"/>
        </w:rPr>
        <w:t>技术文件中。</w:t>
      </w:r>
    </w:p>
    <w:p w14:paraId="7D39D4A6">
      <w:pPr>
        <w:keepNext w:val="0"/>
        <w:keepLines w:val="0"/>
        <w:pageBreakBefore w:val="0"/>
        <w:kinsoku/>
        <w:wordWrap/>
        <w:overflowPunct/>
        <w:topLinePunct w:val="0"/>
        <w:bidi w:val="0"/>
        <w:spacing w:line="480" w:lineRule="exact"/>
        <w:ind w:firstLine="422" w:firstLineChars="200"/>
        <w:textAlignment w:val="auto"/>
        <w:rPr>
          <w:rFonts w:ascii="宋体" w:hAnsi="宋体" w:cs="宋体"/>
          <w:b/>
          <w:color w:val="auto"/>
          <w:szCs w:val="21"/>
          <w:highlight w:val="none"/>
        </w:rPr>
      </w:pPr>
      <w:r>
        <w:rPr>
          <w:rFonts w:hint="eastAsia" w:ascii="宋体" w:hAnsi="宋体" w:cs="宋体"/>
          <w:b/>
          <w:color w:val="auto"/>
          <w:szCs w:val="21"/>
          <w:highlight w:val="none"/>
        </w:rPr>
        <w:t>（二）投标文件的语言及计量</w:t>
      </w:r>
    </w:p>
    <w:p w14:paraId="0910895B">
      <w:pPr>
        <w:keepNext w:val="0"/>
        <w:keepLines w:val="0"/>
        <w:pageBreakBefore w:val="0"/>
        <w:kinsoku/>
        <w:wordWrap/>
        <w:overflowPunct/>
        <w:topLinePunct w:val="0"/>
        <w:bidi w:val="0"/>
        <w:spacing w:line="48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1.投标文件以及投标方与招标人就有关投标事宜的所有来往函电，均应以中文汉语书写。除签名、盖章、专用名称等特殊情形外，以中文汉语以外的文字表述的投标文件视同未提供。</w:t>
      </w:r>
    </w:p>
    <w:p w14:paraId="4CD9B81A">
      <w:pPr>
        <w:keepNext w:val="0"/>
        <w:keepLines w:val="0"/>
        <w:pageBreakBefore w:val="0"/>
        <w:kinsoku/>
        <w:wordWrap/>
        <w:overflowPunct/>
        <w:topLinePunct w:val="0"/>
        <w:bidi w:val="0"/>
        <w:spacing w:line="48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2.投标计量单位，招标文件已有明确规定的，使用招标文件规定的计量单位；招标文件没有规定的，应采用中华人民共和国法定计量单位（货币单位：人民币元），否则视同未响应。</w:t>
      </w:r>
    </w:p>
    <w:p w14:paraId="0B41BC5C">
      <w:pPr>
        <w:keepNext w:val="0"/>
        <w:keepLines w:val="0"/>
        <w:pageBreakBefore w:val="0"/>
        <w:kinsoku/>
        <w:wordWrap/>
        <w:overflowPunct/>
        <w:topLinePunct w:val="0"/>
        <w:bidi w:val="0"/>
        <w:snapToGrid w:val="0"/>
        <w:spacing w:line="480" w:lineRule="exact"/>
        <w:ind w:firstLine="422" w:firstLineChars="200"/>
        <w:textAlignment w:val="auto"/>
        <w:rPr>
          <w:rFonts w:ascii="宋体" w:hAnsi="宋体" w:cs="宋体"/>
          <w:b/>
          <w:color w:val="auto"/>
          <w:szCs w:val="21"/>
          <w:highlight w:val="none"/>
        </w:rPr>
      </w:pPr>
      <w:r>
        <w:rPr>
          <w:rFonts w:hint="eastAsia" w:ascii="宋体" w:hAnsi="宋体" w:cs="宋体"/>
          <w:b/>
          <w:color w:val="auto"/>
          <w:szCs w:val="21"/>
          <w:highlight w:val="none"/>
        </w:rPr>
        <w:t>（三）投标报价</w:t>
      </w:r>
    </w:p>
    <w:p w14:paraId="048CD71D">
      <w:pPr>
        <w:keepNext w:val="0"/>
        <w:keepLines w:val="0"/>
        <w:pageBreakBefore w:val="0"/>
        <w:kinsoku/>
        <w:wordWrap/>
        <w:overflowPunct/>
        <w:topLinePunct w:val="0"/>
        <w:autoSpaceDE/>
        <w:autoSpaceDN/>
        <w:bidi w:val="0"/>
        <w:adjustRightInd/>
        <w:spacing w:line="480" w:lineRule="exact"/>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本项目</w:t>
      </w:r>
      <w:r>
        <w:rPr>
          <w:rFonts w:hint="eastAsia" w:ascii="宋体" w:hAnsi="宋体" w:cs="宋体"/>
          <w:color w:val="auto"/>
          <w:sz w:val="21"/>
          <w:szCs w:val="21"/>
          <w:highlight w:val="none"/>
          <w:lang w:val="en-US" w:eastAsia="zh-CN"/>
        </w:rPr>
        <w:t>总价</w:t>
      </w:r>
      <w:r>
        <w:rPr>
          <w:rFonts w:hint="eastAsia" w:ascii="宋体" w:hAnsi="宋体" w:eastAsia="宋体" w:cs="宋体"/>
          <w:color w:val="auto"/>
          <w:sz w:val="21"/>
          <w:szCs w:val="21"/>
          <w:highlight w:val="none"/>
          <w:lang w:val="en-US" w:eastAsia="zh-CN"/>
        </w:rPr>
        <w:t>最高限价4198800</w:t>
      </w:r>
      <w:r>
        <w:rPr>
          <w:rFonts w:hint="eastAsia" w:ascii="宋体" w:hAnsi="宋体" w:eastAsia="宋体" w:cs="宋体"/>
          <w:color w:val="auto"/>
          <w:sz w:val="21"/>
          <w:szCs w:val="21"/>
          <w:highlight w:val="none"/>
        </w:rPr>
        <w:t>元</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报价高于单价</w:t>
      </w:r>
      <w:r>
        <w:rPr>
          <w:rFonts w:hint="eastAsia" w:ascii="宋体" w:hAnsi="宋体" w:cs="宋体"/>
          <w:color w:val="auto"/>
          <w:sz w:val="21"/>
          <w:szCs w:val="21"/>
          <w:highlight w:val="none"/>
          <w:lang w:val="en-US" w:eastAsia="zh-CN"/>
        </w:rPr>
        <w:t>最高</w:t>
      </w:r>
      <w:r>
        <w:rPr>
          <w:rFonts w:hint="eastAsia" w:ascii="宋体" w:hAnsi="宋体" w:eastAsia="宋体" w:cs="宋体"/>
          <w:color w:val="auto"/>
          <w:sz w:val="21"/>
          <w:szCs w:val="21"/>
          <w:highlight w:val="none"/>
        </w:rPr>
        <w:t>限价</w:t>
      </w:r>
      <w:r>
        <w:rPr>
          <w:rFonts w:hint="eastAsia" w:ascii="宋体" w:hAnsi="宋体" w:cs="宋体"/>
          <w:color w:val="auto"/>
          <w:sz w:val="21"/>
          <w:szCs w:val="21"/>
          <w:highlight w:val="none"/>
          <w:lang w:val="en-US" w:eastAsia="zh-CN"/>
        </w:rPr>
        <w:t>或总价最高限价</w:t>
      </w:r>
      <w:r>
        <w:rPr>
          <w:rFonts w:hint="eastAsia" w:ascii="宋体" w:hAnsi="宋体" w:eastAsia="宋体" w:cs="宋体"/>
          <w:color w:val="auto"/>
          <w:sz w:val="21"/>
          <w:szCs w:val="21"/>
          <w:highlight w:val="none"/>
        </w:rPr>
        <w:t>的</w:t>
      </w:r>
      <w:r>
        <w:rPr>
          <w:rFonts w:hint="eastAsia" w:ascii="宋体" w:hAnsi="宋体" w:cs="宋体"/>
          <w:color w:val="auto"/>
          <w:sz w:val="21"/>
          <w:szCs w:val="21"/>
          <w:highlight w:val="none"/>
          <w:lang w:val="en-US" w:eastAsia="zh-CN"/>
        </w:rPr>
        <w:t>均</w:t>
      </w:r>
      <w:r>
        <w:rPr>
          <w:rFonts w:hint="eastAsia" w:ascii="宋体" w:hAnsi="宋体" w:eastAsia="宋体" w:cs="宋体"/>
          <w:color w:val="auto"/>
          <w:sz w:val="21"/>
          <w:szCs w:val="21"/>
          <w:highlight w:val="none"/>
        </w:rPr>
        <w:t>作无效标处理。投标文件只允许有一个报价，有选择的或有条件的报价将不予接受。</w:t>
      </w:r>
    </w:p>
    <w:p w14:paraId="42CA4531">
      <w:pPr>
        <w:keepNext w:val="0"/>
        <w:keepLines w:val="0"/>
        <w:pageBreakBefore w:val="0"/>
        <w:kinsoku/>
        <w:wordWrap/>
        <w:overflowPunct/>
        <w:topLinePunct w:val="0"/>
        <w:autoSpaceDE/>
        <w:autoSpaceDN/>
        <w:bidi w:val="0"/>
        <w:adjustRightInd/>
        <w:spacing w:line="480" w:lineRule="exact"/>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供应商应考虑企业自身实力、经验及项目实施过程中的各种因素，根据采购要求，自主确定报价。</w:t>
      </w:r>
    </w:p>
    <w:p w14:paraId="45FAFCEC">
      <w:pPr>
        <w:keepNext w:val="0"/>
        <w:keepLines w:val="0"/>
        <w:pageBreakBefore w:val="0"/>
        <w:kinsoku/>
        <w:wordWrap/>
        <w:overflowPunct/>
        <w:topLinePunct w:val="0"/>
        <w:autoSpaceDE/>
        <w:autoSpaceDN/>
        <w:bidi w:val="0"/>
        <w:adjustRightInd/>
        <w:spacing w:line="480" w:lineRule="exact"/>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本次采购，在服务期内如因政策性因素调整导致相关人员的工资、社保、节假日、高温补贴等出现变化的，该部分费用由中标供应商自行承担，采购方不予以调整该部分费用，各供应商在报价时须综合考虑风险。</w:t>
      </w:r>
    </w:p>
    <w:p w14:paraId="784D28CB">
      <w:pPr>
        <w:keepNext w:val="0"/>
        <w:keepLines w:val="0"/>
        <w:pageBreakBefore w:val="0"/>
        <w:kinsoku/>
        <w:wordWrap/>
        <w:overflowPunct/>
        <w:topLinePunct w:val="0"/>
        <w:autoSpaceDE/>
        <w:autoSpaceDN/>
        <w:bidi w:val="0"/>
        <w:adjustRightInd/>
        <w:spacing w:line="480" w:lineRule="exact"/>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供应商须负责对员工的职责范围进行安全文明操作进行培训，确保安全合理高效服务。合同承包期内，供应商的工作人员出现意外事故导致人员伤亡的情况，均由中标供应商自负责任，各供应商须在报价中考虑风险。</w:t>
      </w:r>
    </w:p>
    <w:p w14:paraId="3A20A7BF">
      <w:pPr>
        <w:keepNext w:val="0"/>
        <w:keepLines w:val="0"/>
        <w:pageBreakBefore w:val="0"/>
        <w:kinsoku/>
        <w:wordWrap/>
        <w:overflowPunct/>
        <w:topLinePunct w:val="0"/>
        <w:autoSpaceDE/>
        <w:autoSpaceDN/>
        <w:bidi w:val="0"/>
        <w:adjustRightInd/>
        <w:snapToGrid w:val="0"/>
        <w:spacing w:line="480" w:lineRule="exact"/>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供应商的报价应</w:t>
      </w:r>
      <w:r>
        <w:rPr>
          <w:rFonts w:hint="eastAsia" w:ascii="宋体" w:hAnsi="宋体" w:cs="宋体"/>
          <w:snapToGrid w:val="0"/>
          <w:color w:val="auto"/>
          <w:szCs w:val="21"/>
          <w:highlight w:val="none"/>
        </w:rPr>
        <w:t>包括但不限于以下费用：服务、巡查、保洁、维修费、养护、材料、机械、工具、服装、保险、企业管理费、利润、规费、税金、风险费用等各项应有费用</w:t>
      </w:r>
      <w:r>
        <w:rPr>
          <w:rFonts w:hint="eastAsia" w:ascii="宋体" w:hAnsi="宋体" w:cs="宋体"/>
          <w:color w:val="auto"/>
          <w:szCs w:val="21"/>
          <w:highlight w:val="none"/>
        </w:rPr>
        <w:t>。即投标人所投报的投标报价为投标人所能承受的整个项目的一次性最终报价，如有漏项，视同已包含在其它项目中，合同总价不做调整</w:t>
      </w:r>
      <w:r>
        <w:rPr>
          <w:rFonts w:hint="eastAsia" w:ascii="宋体" w:hAnsi="宋体" w:eastAsia="宋体" w:cs="宋体"/>
          <w:color w:val="auto"/>
          <w:sz w:val="21"/>
          <w:szCs w:val="21"/>
          <w:highlight w:val="none"/>
        </w:rPr>
        <w:t>。供应商对合同内容的费用、质量、安全、文明服务等实行全面承包。</w:t>
      </w:r>
    </w:p>
    <w:p w14:paraId="14F54197">
      <w:pPr>
        <w:keepNext w:val="0"/>
        <w:keepLines w:val="0"/>
        <w:pageBreakBefore w:val="0"/>
        <w:widowControl/>
        <w:kinsoku/>
        <w:wordWrap/>
        <w:overflowPunct/>
        <w:topLinePunct w:val="0"/>
        <w:bidi w:val="0"/>
        <w:snapToGrid w:val="0"/>
        <w:spacing w:line="480" w:lineRule="exact"/>
        <w:ind w:firstLine="422" w:firstLineChars="200"/>
        <w:jc w:val="left"/>
        <w:textAlignment w:val="auto"/>
        <w:rPr>
          <w:rFonts w:ascii="宋体" w:hAnsi="宋体" w:cs="宋体"/>
          <w:b/>
          <w:color w:val="auto"/>
          <w:szCs w:val="21"/>
          <w:highlight w:val="none"/>
        </w:rPr>
      </w:pPr>
      <w:r>
        <w:rPr>
          <w:rFonts w:hint="eastAsia" w:ascii="宋体" w:hAnsi="宋体" w:cs="宋体"/>
          <w:b/>
          <w:color w:val="auto"/>
          <w:szCs w:val="21"/>
          <w:highlight w:val="none"/>
        </w:rPr>
        <w:t>（四）投标文件的有效期</w:t>
      </w:r>
    </w:p>
    <w:p w14:paraId="5D077459">
      <w:pPr>
        <w:keepNext w:val="0"/>
        <w:keepLines w:val="0"/>
        <w:pageBreakBefore w:val="0"/>
        <w:kinsoku/>
        <w:wordWrap/>
        <w:overflowPunct/>
        <w:topLinePunct w:val="0"/>
        <w:bidi w:val="0"/>
        <w:adjustRightInd w:val="0"/>
        <w:snapToGrid w:val="0"/>
        <w:spacing w:line="48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★1.自投标截止日起90天投标文件应保持有效。有效期不足的投标文件将被拒绝。</w:t>
      </w:r>
    </w:p>
    <w:p w14:paraId="60A4EBC9">
      <w:pPr>
        <w:keepNext w:val="0"/>
        <w:keepLines w:val="0"/>
        <w:pageBreakBefore w:val="0"/>
        <w:kinsoku/>
        <w:wordWrap/>
        <w:overflowPunct/>
        <w:topLinePunct w:val="0"/>
        <w:bidi w:val="0"/>
        <w:adjustRightInd w:val="0"/>
        <w:snapToGrid w:val="0"/>
        <w:spacing w:line="48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2.在特殊情况下，招标人可与投标人协商延长投标书的有效期，这种要求和答复均以书面形式进行。</w:t>
      </w:r>
    </w:p>
    <w:p w14:paraId="0AA79873">
      <w:pPr>
        <w:keepNext w:val="0"/>
        <w:keepLines w:val="0"/>
        <w:pageBreakBefore w:val="0"/>
        <w:kinsoku/>
        <w:wordWrap/>
        <w:overflowPunct/>
        <w:topLinePunct w:val="0"/>
        <w:bidi w:val="0"/>
        <w:spacing w:line="48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3.投标人可拒绝接受延期要求，同意延长有效期的投标人不能以此为由修改投标文件。</w:t>
      </w:r>
    </w:p>
    <w:p w14:paraId="1EBE7ABE">
      <w:pPr>
        <w:keepNext w:val="0"/>
        <w:keepLines w:val="0"/>
        <w:pageBreakBefore w:val="0"/>
        <w:kinsoku/>
        <w:wordWrap/>
        <w:overflowPunct/>
        <w:topLinePunct w:val="0"/>
        <w:bidi w:val="0"/>
        <w:spacing w:line="48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4.中标人的投标文件自开标之日起至合同履行完毕止均应保持有效。</w:t>
      </w:r>
    </w:p>
    <w:p w14:paraId="700BEA72">
      <w:pPr>
        <w:keepNext w:val="0"/>
        <w:keepLines w:val="0"/>
        <w:pageBreakBefore w:val="0"/>
        <w:kinsoku/>
        <w:wordWrap/>
        <w:overflowPunct/>
        <w:topLinePunct w:val="0"/>
        <w:bidi w:val="0"/>
        <w:spacing w:line="480" w:lineRule="exact"/>
        <w:ind w:firstLine="422" w:firstLineChars="200"/>
        <w:textAlignment w:val="auto"/>
        <w:rPr>
          <w:rFonts w:ascii="宋体" w:hAnsi="宋体" w:cs="宋体"/>
          <w:b/>
          <w:color w:val="auto"/>
          <w:szCs w:val="21"/>
          <w:highlight w:val="none"/>
        </w:rPr>
      </w:pPr>
      <w:r>
        <w:rPr>
          <w:rFonts w:hint="eastAsia" w:ascii="宋体" w:hAnsi="宋体" w:cs="宋体"/>
          <w:b/>
          <w:color w:val="auto"/>
          <w:szCs w:val="21"/>
          <w:highlight w:val="none"/>
        </w:rPr>
        <w:t>（五）投标文件的签署和份数</w:t>
      </w:r>
    </w:p>
    <w:p w14:paraId="396EE985">
      <w:pPr>
        <w:keepNext w:val="0"/>
        <w:keepLines w:val="0"/>
        <w:pageBreakBefore w:val="0"/>
        <w:widowControl/>
        <w:kinsoku/>
        <w:wordWrap/>
        <w:overflowPunct/>
        <w:topLinePunct w:val="0"/>
        <w:bidi w:val="0"/>
        <w:snapToGrid w:val="0"/>
        <w:spacing w:line="480" w:lineRule="exact"/>
        <w:ind w:firstLine="420"/>
        <w:textAlignment w:val="auto"/>
        <w:rPr>
          <w:rFonts w:hint="eastAsia" w:ascii="宋体" w:hAnsi="宋体" w:eastAsia="宋体" w:cs="宋体"/>
          <w:color w:val="auto"/>
          <w:sz w:val="21"/>
          <w:highlight w:val="none"/>
        </w:rPr>
      </w:pPr>
      <w:r>
        <w:rPr>
          <w:rFonts w:hint="eastAsia" w:ascii="宋体" w:hAnsi="宋体" w:eastAsia="宋体" w:cs="宋体"/>
          <w:color w:val="auto"/>
          <w:sz w:val="21"/>
          <w:szCs w:val="24"/>
          <w:highlight w:val="none"/>
        </w:rPr>
        <w:t>1.</w:t>
      </w:r>
      <w:r>
        <w:rPr>
          <w:rFonts w:hint="eastAsia" w:ascii="宋体" w:hAnsi="宋体" w:eastAsia="宋体" w:cs="宋体"/>
          <w:color w:val="auto"/>
          <w:sz w:val="21"/>
          <w:highlight w:val="none"/>
        </w:rPr>
        <w:t>电子投标文件部分：</w:t>
      </w:r>
    </w:p>
    <w:p w14:paraId="0A4D79CA">
      <w:pPr>
        <w:keepNext w:val="0"/>
        <w:keepLines w:val="0"/>
        <w:pageBreakBefore w:val="0"/>
        <w:widowControl/>
        <w:kinsoku/>
        <w:wordWrap/>
        <w:overflowPunct/>
        <w:topLinePunct w:val="0"/>
        <w:bidi w:val="0"/>
        <w:snapToGrid w:val="0"/>
        <w:spacing w:line="480" w:lineRule="exact"/>
        <w:ind w:firstLine="420"/>
        <w:textAlignment w:val="auto"/>
        <w:rPr>
          <w:rFonts w:hint="eastAsia" w:ascii="宋体" w:hAnsi="宋体" w:eastAsia="宋体" w:cs="宋体"/>
          <w:color w:val="auto"/>
          <w:szCs w:val="21"/>
          <w:highlight w:val="none"/>
        </w:rPr>
      </w:pPr>
      <w:r>
        <w:rPr>
          <w:rFonts w:hint="eastAsia" w:ascii="宋体" w:hAnsi="宋体" w:eastAsia="宋体" w:cs="宋体"/>
          <w:color w:val="auto"/>
          <w:sz w:val="21"/>
          <w:highlight w:val="none"/>
        </w:rPr>
        <w:t>投标人应根据“政采云供应商项目采购-电子交易操作指南”及本招标文件规定的格式和顺序编制电子投标文件并进行关联定位。</w:t>
      </w:r>
    </w:p>
    <w:p w14:paraId="2EF28964">
      <w:pPr>
        <w:keepNext w:val="0"/>
        <w:keepLines w:val="0"/>
        <w:pageBreakBefore w:val="0"/>
        <w:kinsoku/>
        <w:wordWrap/>
        <w:overflowPunct/>
        <w:topLinePunct w:val="0"/>
        <w:bidi w:val="0"/>
        <w:spacing w:line="480" w:lineRule="exact"/>
        <w:ind w:firstLine="422" w:firstLineChars="200"/>
        <w:textAlignment w:val="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（六）投标文件的包装、递交、修改和撤回</w:t>
      </w:r>
    </w:p>
    <w:p w14:paraId="24256223">
      <w:pPr>
        <w:keepNext w:val="0"/>
        <w:keepLines w:val="0"/>
        <w:pageBreakBefore w:val="0"/>
        <w:widowControl/>
        <w:kinsoku/>
        <w:wordWrap/>
        <w:overflowPunct/>
        <w:topLinePunct w:val="0"/>
        <w:autoSpaceDE/>
        <w:autoSpaceDN/>
        <w:bidi w:val="0"/>
        <w:adjustRightInd/>
        <w:snapToGrid w:val="0"/>
        <w:spacing w:line="480" w:lineRule="exact"/>
        <w:ind w:firstLine="420"/>
        <w:jc w:val="both"/>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1．投标人应当在投标截止时间前在“政采云”（</w:t>
      </w:r>
      <w:r>
        <w:rPr>
          <w:rFonts w:hint="eastAsia" w:ascii="宋体" w:hAnsi="宋体" w:eastAsia="宋体" w:cs="宋体"/>
          <w:color w:val="auto"/>
          <w:sz w:val="21"/>
          <w:szCs w:val="21"/>
          <w:highlight w:val="none"/>
          <w:shd w:val="clear" w:color="auto" w:fill="FFFFFF"/>
        </w:rPr>
        <w:t xml:space="preserve"> 电子交易客户端</w:t>
      </w:r>
      <w:r>
        <w:rPr>
          <w:rFonts w:hint="eastAsia" w:ascii="宋体" w:hAnsi="宋体" w:eastAsia="宋体" w:cs="宋体"/>
          <w:b/>
          <w:bCs/>
          <w:color w:val="auto"/>
          <w:sz w:val="21"/>
          <w:szCs w:val="21"/>
          <w:highlight w:val="none"/>
        </w:rPr>
        <w:t>）上自行上传加密的电子投标文件。</w:t>
      </w:r>
    </w:p>
    <w:p w14:paraId="42C8185C">
      <w:pPr>
        <w:keepNext w:val="0"/>
        <w:keepLines w:val="0"/>
        <w:pageBreakBefore w:val="0"/>
        <w:kinsoku/>
        <w:wordWrap/>
        <w:overflowPunct/>
        <w:topLinePunct w:val="0"/>
        <w:autoSpaceDE/>
        <w:autoSpaceDN/>
        <w:bidi w:val="0"/>
        <w:adjustRightInd/>
        <w:spacing w:line="480" w:lineRule="exact"/>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bCs/>
          <w:color w:val="auto"/>
          <w:sz w:val="21"/>
          <w:szCs w:val="21"/>
          <w:highlight w:val="none"/>
        </w:rPr>
        <w:t>★</w:t>
      </w:r>
      <w:r>
        <w:rPr>
          <w:rFonts w:hint="eastAsia" w:ascii="宋体" w:hAnsi="宋体" w:eastAsia="宋体" w:cs="宋体"/>
          <w:color w:val="auto"/>
          <w:sz w:val="21"/>
          <w:szCs w:val="21"/>
          <w:highlight w:val="none"/>
        </w:rPr>
        <w:t>2.投标人未在“政采云”（</w:t>
      </w:r>
      <w:r>
        <w:rPr>
          <w:rFonts w:hint="eastAsia" w:ascii="宋体" w:hAnsi="宋体" w:eastAsia="宋体" w:cs="宋体"/>
          <w:color w:val="auto"/>
          <w:sz w:val="21"/>
          <w:szCs w:val="21"/>
          <w:highlight w:val="none"/>
          <w:shd w:val="clear" w:color="auto" w:fill="FFFFFF"/>
        </w:rPr>
        <w:t xml:space="preserve"> 电子交易客户端</w:t>
      </w:r>
      <w:r>
        <w:rPr>
          <w:rFonts w:hint="eastAsia" w:ascii="宋体" w:hAnsi="宋体" w:eastAsia="宋体" w:cs="宋体"/>
          <w:color w:val="auto"/>
          <w:sz w:val="21"/>
          <w:szCs w:val="21"/>
          <w:highlight w:val="none"/>
        </w:rPr>
        <w:t>）上自行上传加密的电子投标文件的，投标无效。</w:t>
      </w:r>
    </w:p>
    <w:p w14:paraId="1DC3C455">
      <w:pPr>
        <w:keepNext w:val="0"/>
        <w:keepLines w:val="0"/>
        <w:pageBreakBefore w:val="0"/>
        <w:kinsoku/>
        <w:wordWrap/>
        <w:overflowPunct/>
        <w:topLinePunct w:val="0"/>
        <w:autoSpaceDE/>
        <w:autoSpaceDN/>
        <w:bidi w:val="0"/>
        <w:adjustRightInd/>
        <w:spacing w:line="480" w:lineRule="exact"/>
        <w:ind w:firstLine="422" w:firstLineChars="200"/>
        <w:jc w:val="both"/>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3.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送达的投标、响应文件，将被政采云平台拒收。</w:t>
      </w:r>
    </w:p>
    <w:p w14:paraId="1CA9BDE8">
      <w:pPr>
        <w:keepNext w:val="0"/>
        <w:keepLines w:val="0"/>
        <w:pageBreakBefore w:val="0"/>
        <w:kinsoku/>
        <w:wordWrap/>
        <w:overflowPunct/>
        <w:topLinePunct w:val="0"/>
        <w:autoSpaceDE w:val="0"/>
        <w:autoSpaceDN w:val="0"/>
        <w:bidi w:val="0"/>
        <w:snapToGrid w:val="0"/>
        <w:spacing w:line="480" w:lineRule="exact"/>
        <w:ind w:firstLine="420"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sz w:val="21"/>
          <w:szCs w:val="21"/>
          <w:highlight w:val="none"/>
        </w:rPr>
        <w:t>4.截止开标时间，政采云（</w:t>
      </w:r>
      <w:r>
        <w:rPr>
          <w:rFonts w:hint="eastAsia" w:ascii="宋体" w:hAnsi="宋体" w:eastAsia="宋体" w:cs="宋体"/>
          <w:color w:val="auto"/>
          <w:sz w:val="21"/>
          <w:szCs w:val="21"/>
          <w:highlight w:val="none"/>
          <w:shd w:val="clear" w:color="auto" w:fill="FFFFFF"/>
        </w:rPr>
        <w:t>电子交易客户端</w:t>
      </w:r>
      <w:r>
        <w:rPr>
          <w:rFonts w:hint="eastAsia" w:ascii="宋体" w:hAnsi="宋体" w:eastAsia="宋体" w:cs="宋体"/>
          <w:color w:val="auto"/>
          <w:sz w:val="21"/>
          <w:szCs w:val="21"/>
          <w:highlight w:val="none"/>
        </w:rPr>
        <w:t>）自动提取所有投标文件，投标人须在解密时限内完成解密，解密时限由财政部门设置，投标人在规定的时间内都已解密完成，则系统自动结束解密，采购代理机构开启投标文件；投标人超过解密时限的，系统默认自动放弃。</w:t>
      </w:r>
    </w:p>
    <w:p w14:paraId="3BE10298">
      <w:pPr>
        <w:keepNext w:val="0"/>
        <w:keepLines w:val="0"/>
        <w:pageBreakBefore w:val="0"/>
        <w:kinsoku/>
        <w:wordWrap/>
        <w:overflowPunct/>
        <w:topLinePunct w:val="0"/>
        <w:bidi w:val="0"/>
        <w:spacing w:line="480" w:lineRule="exact"/>
        <w:ind w:firstLine="422" w:firstLineChars="200"/>
        <w:textAlignment w:val="auto"/>
        <w:rPr>
          <w:rFonts w:ascii="宋体" w:hAnsi="宋体" w:cs="宋体"/>
          <w:b/>
          <w:color w:val="auto"/>
          <w:szCs w:val="21"/>
          <w:highlight w:val="none"/>
        </w:rPr>
      </w:pPr>
      <w:r>
        <w:rPr>
          <w:rFonts w:hint="eastAsia" w:ascii="宋体" w:hAnsi="宋体" w:cs="宋体"/>
          <w:b/>
          <w:color w:val="auto"/>
          <w:szCs w:val="21"/>
          <w:highlight w:val="none"/>
        </w:rPr>
        <w:t>（七）投标无效的情形</w:t>
      </w:r>
    </w:p>
    <w:p w14:paraId="74F38F6A">
      <w:pPr>
        <w:keepNext w:val="0"/>
        <w:keepLines w:val="0"/>
        <w:pageBreakBefore w:val="0"/>
        <w:kinsoku/>
        <w:wordWrap/>
        <w:overflowPunct/>
        <w:topLinePunct w:val="0"/>
        <w:autoSpaceDE/>
        <w:autoSpaceDN/>
        <w:bidi w:val="0"/>
        <w:adjustRightInd/>
        <w:spacing w:line="480" w:lineRule="exact"/>
        <w:ind w:firstLine="420" w:firstLineChars="200"/>
        <w:jc w:val="both"/>
        <w:textAlignment w:val="auto"/>
        <w:rPr>
          <w:rFonts w:ascii="宋体" w:hAnsi="宋体" w:cs="宋体"/>
          <w:color w:val="auto"/>
          <w:szCs w:val="21"/>
          <w:highlight w:val="none"/>
        </w:rPr>
      </w:pPr>
      <w:r>
        <w:rPr>
          <w:rFonts w:hint="eastAsia" w:hAnsi="宋体" w:cs="宋体"/>
          <w:color w:val="auto"/>
          <w:sz w:val="21"/>
          <w:szCs w:val="21"/>
          <w:highlight w:val="none"/>
        </w:rPr>
        <w:t>实质上没有响应招标文件要求的投标将被视为无效投标。投标人不得通过修正或撤消不合要求的偏离或保留从而使其投标成为实质上响应的投标，但经评标委员会认定属于投标人疏忽、笔误所造成的差错，应当允许其在评标结束之前进行修改或者补正。修改或者补正投标文件必须以书面形式进行，并应在中标结果公告之前查核原件。限期内不补正或经补正后仍不符合招标文件要求的，应认定其投标无效。投标人修改、补正投标文件后，不影响评标委员会对其投标文件所作的评价和评分结果。</w:t>
      </w:r>
    </w:p>
    <w:p w14:paraId="51817362">
      <w:pPr>
        <w:keepNext w:val="0"/>
        <w:keepLines w:val="0"/>
        <w:pageBreakBefore w:val="0"/>
        <w:kinsoku/>
        <w:wordWrap/>
        <w:overflowPunct/>
        <w:topLinePunct w:val="0"/>
        <w:bidi w:val="0"/>
        <w:spacing w:line="48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1.在符合性审查和商务评审时，如发现下列情形之一的，投标文件将被视为无效：</w:t>
      </w:r>
    </w:p>
    <w:p w14:paraId="7C66A4BF">
      <w:pPr>
        <w:keepNext w:val="0"/>
        <w:keepLines w:val="0"/>
        <w:pageBreakBefore w:val="0"/>
        <w:kinsoku/>
        <w:wordWrap/>
        <w:overflowPunct/>
        <w:topLinePunct w:val="0"/>
        <w:bidi w:val="0"/>
        <w:spacing w:line="480" w:lineRule="exact"/>
        <w:ind w:firstLine="315" w:firstLineChars="150"/>
        <w:textAlignment w:val="auto"/>
        <w:rPr>
          <w:rFonts w:ascii="宋体" w:hAnsi="宋体" w:cs="宋体"/>
          <w:color w:val="auto"/>
          <w:szCs w:val="21"/>
          <w:highlight w:val="none"/>
        </w:rPr>
      </w:pPr>
      <w:r>
        <w:rPr>
          <w:rFonts w:hint="eastAsia" w:ascii="宋体" w:hAnsi="宋体" w:cs="宋体"/>
          <w:color w:val="auto"/>
          <w:szCs w:val="21"/>
          <w:highlight w:val="none"/>
        </w:rPr>
        <w:t>（1）资格证明文件不全的，或者不符合招标文件标明的资格要求的；</w:t>
      </w:r>
    </w:p>
    <w:p w14:paraId="05551477">
      <w:pPr>
        <w:keepNext w:val="0"/>
        <w:keepLines w:val="0"/>
        <w:pageBreakBefore w:val="0"/>
        <w:kinsoku/>
        <w:wordWrap/>
        <w:overflowPunct/>
        <w:topLinePunct w:val="0"/>
        <w:bidi w:val="0"/>
        <w:spacing w:line="480" w:lineRule="exact"/>
        <w:ind w:firstLine="315" w:firstLineChars="150"/>
        <w:textAlignment w:val="auto"/>
        <w:rPr>
          <w:rFonts w:ascii="宋体" w:hAnsi="宋体" w:cs="宋体"/>
          <w:color w:val="auto"/>
          <w:szCs w:val="21"/>
          <w:highlight w:val="none"/>
        </w:rPr>
      </w:pPr>
      <w:r>
        <w:rPr>
          <w:rFonts w:hint="eastAsia" w:ascii="宋体" w:hAnsi="宋体" w:cs="宋体"/>
          <w:color w:val="auto"/>
          <w:szCs w:val="21"/>
          <w:highlight w:val="none"/>
        </w:rPr>
        <w:t>（</w:t>
      </w:r>
      <w:r>
        <w:rPr>
          <w:rFonts w:hint="eastAsia" w:ascii="宋体" w:hAnsi="宋体" w:cs="宋体"/>
          <w:color w:val="auto"/>
          <w:szCs w:val="21"/>
          <w:highlight w:val="none"/>
          <w:lang w:val="en-US" w:eastAsia="zh-CN"/>
        </w:rPr>
        <w:t>2</w:t>
      </w:r>
      <w:r>
        <w:rPr>
          <w:rFonts w:hint="eastAsia" w:ascii="宋体" w:hAnsi="宋体" w:cs="宋体"/>
          <w:color w:val="auto"/>
          <w:szCs w:val="21"/>
          <w:highlight w:val="none"/>
        </w:rPr>
        <w:t>）投标文件未按招标文件要求签署、盖章的；</w:t>
      </w:r>
    </w:p>
    <w:p w14:paraId="61E9FD92">
      <w:pPr>
        <w:keepNext w:val="0"/>
        <w:keepLines w:val="0"/>
        <w:pageBreakBefore w:val="0"/>
        <w:kinsoku/>
        <w:wordWrap/>
        <w:overflowPunct/>
        <w:topLinePunct w:val="0"/>
        <w:bidi w:val="0"/>
        <w:spacing w:line="480" w:lineRule="exact"/>
        <w:ind w:firstLine="315" w:firstLineChars="150"/>
        <w:textAlignment w:val="auto"/>
        <w:rPr>
          <w:rFonts w:ascii="宋体" w:hAnsi="宋体" w:cs="宋体"/>
          <w:color w:val="auto"/>
          <w:szCs w:val="21"/>
          <w:highlight w:val="none"/>
        </w:rPr>
      </w:pPr>
      <w:r>
        <w:rPr>
          <w:rFonts w:hint="eastAsia" w:ascii="宋体" w:hAnsi="宋体" w:cs="宋体"/>
          <w:color w:val="auto"/>
          <w:szCs w:val="21"/>
          <w:highlight w:val="none"/>
        </w:rPr>
        <w:t>（</w:t>
      </w:r>
      <w:r>
        <w:rPr>
          <w:rFonts w:hint="eastAsia" w:ascii="宋体" w:hAnsi="宋体" w:cs="宋体"/>
          <w:color w:val="auto"/>
          <w:szCs w:val="21"/>
          <w:highlight w:val="none"/>
          <w:lang w:val="en-US" w:eastAsia="zh-CN"/>
        </w:rPr>
        <w:t>3</w:t>
      </w:r>
      <w:r>
        <w:rPr>
          <w:rFonts w:hint="eastAsia" w:ascii="宋体" w:hAnsi="宋体" w:cs="宋体"/>
          <w:color w:val="auto"/>
          <w:szCs w:val="21"/>
          <w:highlight w:val="none"/>
        </w:rPr>
        <w:t>）投标代表人未能出具身份证明或与法定代表人授权委托人身份不符的；</w:t>
      </w:r>
    </w:p>
    <w:p w14:paraId="35A4FFF4">
      <w:pPr>
        <w:keepNext w:val="0"/>
        <w:keepLines w:val="0"/>
        <w:pageBreakBefore w:val="0"/>
        <w:kinsoku/>
        <w:wordWrap/>
        <w:overflowPunct/>
        <w:topLinePunct w:val="0"/>
        <w:bidi w:val="0"/>
        <w:spacing w:line="480" w:lineRule="exact"/>
        <w:ind w:firstLine="315" w:firstLineChars="150"/>
        <w:textAlignment w:val="auto"/>
        <w:rPr>
          <w:rFonts w:ascii="宋体" w:hAnsi="宋体" w:cs="宋体"/>
          <w:color w:val="auto"/>
          <w:szCs w:val="21"/>
          <w:highlight w:val="none"/>
        </w:rPr>
      </w:pPr>
      <w:r>
        <w:rPr>
          <w:rFonts w:hint="eastAsia" w:ascii="宋体" w:hAnsi="宋体" w:cs="宋体"/>
          <w:color w:val="auto"/>
          <w:szCs w:val="21"/>
          <w:highlight w:val="none"/>
        </w:rPr>
        <w:t>（</w:t>
      </w:r>
      <w:r>
        <w:rPr>
          <w:rFonts w:hint="eastAsia" w:ascii="宋体" w:hAnsi="宋体" w:cs="宋体"/>
          <w:color w:val="auto"/>
          <w:szCs w:val="21"/>
          <w:highlight w:val="none"/>
          <w:lang w:val="en-US" w:eastAsia="zh-CN"/>
        </w:rPr>
        <w:t>4</w:t>
      </w:r>
      <w:r>
        <w:rPr>
          <w:rFonts w:hint="eastAsia" w:ascii="宋体" w:hAnsi="宋体" w:cs="宋体"/>
          <w:color w:val="auto"/>
          <w:szCs w:val="21"/>
          <w:highlight w:val="none"/>
        </w:rPr>
        <w:t>）投标文件格式不规范、项目不齐全或者内容虚假的；</w:t>
      </w:r>
    </w:p>
    <w:p w14:paraId="7D4FAB9E">
      <w:pPr>
        <w:keepNext w:val="0"/>
        <w:keepLines w:val="0"/>
        <w:pageBreakBefore w:val="0"/>
        <w:kinsoku/>
        <w:wordWrap/>
        <w:overflowPunct/>
        <w:topLinePunct w:val="0"/>
        <w:bidi w:val="0"/>
        <w:spacing w:line="480" w:lineRule="exact"/>
        <w:ind w:firstLine="315" w:firstLineChars="150"/>
        <w:textAlignment w:val="auto"/>
        <w:rPr>
          <w:rFonts w:ascii="宋体" w:hAnsi="宋体" w:cs="宋体"/>
          <w:color w:val="auto"/>
          <w:szCs w:val="21"/>
          <w:highlight w:val="none"/>
        </w:rPr>
      </w:pPr>
      <w:r>
        <w:rPr>
          <w:rFonts w:hint="eastAsia" w:ascii="宋体" w:hAnsi="宋体" w:cs="宋体"/>
          <w:color w:val="auto"/>
          <w:szCs w:val="21"/>
          <w:highlight w:val="none"/>
        </w:rPr>
        <w:t>（</w:t>
      </w:r>
      <w:r>
        <w:rPr>
          <w:rFonts w:hint="eastAsia" w:ascii="宋体" w:hAnsi="宋体" w:cs="宋体"/>
          <w:color w:val="auto"/>
          <w:szCs w:val="21"/>
          <w:highlight w:val="none"/>
          <w:lang w:val="en-US" w:eastAsia="zh-CN"/>
        </w:rPr>
        <w:t>5</w:t>
      </w:r>
      <w:r>
        <w:rPr>
          <w:rFonts w:hint="eastAsia" w:ascii="宋体" w:hAnsi="宋体" w:cs="宋体"/>
          <w:color w:val="auto"/>
          <w:szCs w:val="21"/>
          <w:highlight w:val="none"/>
        </w:rPr>
        <w:t>）投标文件的实质性内容未使用中文表述、意思表述不明确、前后矛盾或者使用计量单位不符合招标文件要求的（经评标委员会认定并允许其当场更正的笔误除外）；</w:t>
      </w:r>
    </w:p>
    <w:p w14:paraId="1DC96669">
      <w:pPr>
        <w:keepNext w:val="0"/>
        <w:keepLines w:val="0"/>
        <w:pageBreakBefore w:val="0"/>
        <w:kinsoku/>
        <w:wordWrap/>
        <w:overflowPunct/>
        <w:topLinePunct w:val="0"/>
        <w:bidi w:val="0"/>
        <w:spacing w:line="480" w:lineRule="exact"/>
        <w:ind w:firstLine="315" w:firstLineChars="150"/>
        <w:textAlignment w:val="auto"/>
        <w:rPr>
          <w:rFonts w:ascii="宋体" w:hAnsi="宋体" w:cs="宋体"/>
          <w:color w:val="auto"/>
          <w:szCs w:val="21"/>
          <w:highlight w:val="none"/>
        </w:rPr>
      </w:pPr>
      <w:r>
        <w:rPr>
          <w:rFonts w:hint="eastAsia" w:ascii="宋体" w:hAnsi="宋体" w:cs="宋体"/>
          <w:color w:val="auto"/>
          <w:szCs w:val="21"/>
          <w:highlight w:val="none"/>
        </w:rPr>
        <w:t>（</w:t>
      </w:r>
      <w:r>
        <w:rPr>
          <w:rFonts w:hint="eastAsia" w:ascii="宋体" w:hAnsi="宋体" w:cs="宋体"/>
          <w:color w:val="auto"/>
          <w:szCs w:val="21"/>
          <w:highlight w:val="none"/>
          <w:lang w:val="en-US" w:eastAsia="zh-CN"/>
        </w:rPr>
        <w:t>6</w:t>
      </w:r>
      <w:r>
        <w:rPr>
          <w:rFonts w:hint="eastAsia" w:ascii="宋体" w:hAnsi="宋体" w:cs="宋体"/>
          <w:color w:val="auto"/>
          <w:szCs w:val="21"/>
          <w:highlight w:val="none"/>
        </w:rPr>
        <w:t>）投标有效期、服务期、付款方式等商务条款不能满足招标文件要求的；</w:t>
      </w:r>
    </w:p>
    <w:p w14:paraId="3CFC8720">
      <w:pPr>
        <w:keepNext w:val="0"/>
        <w:keepLines w:val="0"/>
        <w:pageBreakBefore w:val="0"/>
        <w:kinsoku/>
        <w:wordWrap/>
        <w:overflowPunct/>
        <w:topLinePunct w:val="0"/>
        <w:bidi w:val="0"/>
        <w:spacing w:line="480" w:lineRule="exact"/>
        <w:ind w:firstLine="315" w:firstLineChars="150"/>
        <w:textAlignment w:val="auto"/>
        <w:rPr>
          <w:rFonts w:hint="eastAsia" w:ascii="宋体" w:hAnsi="宋体" w:cs="宋体"/>
          <w:color w:val="auto"/>
          <w:szCs w:val="21"/>
          <w:highlight w:val="none"/>
        </w:rPr>
      </w:pPr>
      <w:r>
        <w:rPr>
          <w:rFonts w:hint="eastAsia" w:ascii="宋体" w:hAnsi="宋体" w:cs="宋体"/>
          <w:color w:val="auto"/>
          <w:szCs w:val="21"/>
          <w:highlight w:val="none"/>
        </w:rPr>
        <w:t>（</w:t>
      </w:r>
      <w:r>
        <w:rPr>
          <w:rFonts w:hint="eastAsia" w:ascii="宋体" w:hAnsi="宋体" w:cs="宋体"/>
          <w:color w:val="auto"/>
          <w:szCs w:val="21"/>
          <w:highlight w:val="none"/>
          <w:lang w:val="en-US" w:eastAsia="zh-CN"/>
        </w:rPr>
        <w:t>7</w:t>
      </w:r>
      <w:r>
        <w:rPr>
          <w:rFonts w:hint="eastAsia" w:ascii="宋体" w:hAnsi="宋体" w:cs="宋体"/>
          <w:color w:val="auto"/>
          <w:szCs w:val="21"/>
          <w:highlight w:val="none"/>
        </w:rPr>
        <w:t>）未实质性响应招标文件要求或者投标文件有招标人不能接受的附加条件的。</w:t>
      </w:r>
    </w:p>
    <w:p w14:paraId="478E11CB">
      <w:pPr>
        <w:keepNext w:val="0"/>
        <w:keepLines w:val="0"/>
        <w:pageBreakBefore w:val="0"/>
        <w:kinsoku/>
        <w:wordWrap/>
        <w:overflowPunct/>
        <w:topLinePunct w:val="0"/>
        <w:bidi w:val="0"/>
        <w:spacing w:line="480" w:lineRule="exact"/>
        <w:ind w:firstLine="315" w:firstLineChars="150"/>
        <w:textAlignment w:val="auto"/>
        <w:rPr>
          <w:rFonts w:hint="eastAsia" w:ascii="宋体" w:hAnsi="宋体" w:cs="宋体"/>
          <w:color w:val="auto"/>
          <w:szCs w:val="21"/>
          <w:highlight w:val="none"/>
        </w:rPr>
      </w:pPr>
      <w:r>
        <w:rPr>
          <w:rFonts w:hint="eastAsia" w:ascii="宋体" w:hAnsi="宋体" w:cs="宋体"/>
          <w:color w:val="auto"/>
          <w:szCs w:val="21"/>
          <w:highlight w:val="none"/>
        </w:rPr>
        <w:t>（</w:t>
      </w:r>
      <w:r>
        <w:rPr>
          <w:rFonts w:hint="eastAsia" w:ascii="宋体" w:hAnsi="宋体" w:cs="宋体"/>
          <w:color w:val="auto"/>
          <w:szCs w:val="21"/>
          <w:highlight w:val="none"/>
          <w:lang w:val="en-US" w:eastAsia="zh-CN"/>
        </w:rPr>
        <w:t>8</w:t>
      </w:r>
      <w:r>
        <w:rPr>
          <w:rFonts w:hint="eastAsia" w:ascii="宋体" w:hAnsi="宋体" w:cs="宋体"/>
          <w:color w:val="auto"/>
          <w:szCs w:val="21"/>
          <w:highlight w:val="none"/>
        </w:rPr>
        <w:t>）不同供应商制作电子投标(响应)文件的计算机网卡MAC地址相同的；</w:t>
      </w:r>
    </w:p>
    <w:p w14:paraId="0C6FCFC0">
      <w:pPr>
        <w:keepNext w:val="0"/>
        <w:keepLines w:val="0"/>
        <w:pageBreakBefore w:val="0"/>
        <w:kinsoku/>
        <w:wordWrap/>
        <w:overflowPunct/>
        <w:topLinePunct w:val="0"/>
        <w:bidi w:val="0"/>
        <w:spacing w:line="480" w:lineRule="exact"/>
        <w:ind w:firstLine="315" w:firstLineChars="150"/>
        <w:textAlignment w:val="auto"/>
        <w:rPr>
          <w:rFonts w:hint="eastAsia" w:ascii="宋体" w:hAnsi="宋体" w:cs="宋体"/>
          <w:color w:val="auto"/>
          <w:szCs w:val="21"/>
          <w:highlight w:val="none"/>
        </w:rPr>
      </w:pPr>
      <w:r>
        <w:rPr>
          <w:rFonts w:hint="eastAsia" w:ascii="宋体" w:hAnsi="宋体" w:cs="宋体"/>
          <w:color w:val="auto"/>
          <w:szCs w:val="21"/>
          <w:highlight w:val="none"/>
        </w:rPr>
        <w:t>（</w:t>
      </w:r>
      <w:r>
        <w:rPr>
          <w:rFonts w:hint="eastAsia" w:ascii="宋体" w:hAnsi="宋体" w:cs="宋体"/>
          <w:color w:val="auto"/>
          <w:szCs w:val="21"/>
          <w:highlight w:val="none"/>
          <w:lang w:val="en-US" w:eastAsia="zh-CN"/>
        </w:rPr>
        <w:t>9</w:t>
      </w:r>
      <w:r>
        <w:rPr>
          <w:rFonts w:hint="eastAsia" w:ascii="宋体" w:hAnsi="宋体" w:cs="宋体"/>
          <w:color w:val="auto"/>
          <w:szCs w:val="21"/>
          <w:highlight w:val="none"/>
        </w:rPr>
        <w:t>）不同供应商制作电子投标(响应)文件的计算机硬盘序列号相同的；</w:t>
      </w:r>
    </w:p>
    <w:p w14:paraId="21BB03A3">
      <w:pPr>
        <w:keepNext w:val="0"/>
        <w:keepLines w:val="0"/>
        <w:pageBreakBefore w:val="0"/>
        <w:kinsoku/>
        <w:wordWrap/>
        <w:overflowPunct/>
        <w:topLinePunct w:val="0"/>
        <w:bidi w:val="0"/>
        <w:spacing w:line="480" w:lineRule="exact"/>
        <w:ind w:firstLine="315" w:firstLineChars="150"/>
        <w:textAlignment w:val="auto"/>
        <w:rPr>
          <w:rFonts w:ascii="宋体" w:hAnsi="宋体" w:cs="宋体"/>
          <w:color w:val="auto"/>
          <w:szCs w:val="21"/>
          <w:highlight w:val="none"/>
        </w:rPr>
      </w:pPr>
      <w:r>
        <w:rPr>
          <w:rFonts w:hint="eastAsia" w:ascii="宋体" w:hAnsi="宋体" w:cs="宋体"/>
          <w:color w:val="auto"/>
          <w:szCs w:val="21"/>
          <w:highlight w:val="none"/>
        </w:rPr>
        <w:t>（</w:t>
      </w:r>
      <w:r>
        <w:rPr>
          <w:rFonts w:hint="eastAsia" w:ascii="宋体" w:hAnsi="宋体" w:cs="宋体"/>
          <w:color w:val="auto"/>
          <w:szCs w:val="21"/>
          <w:highlight w:val="none"/>
          <w:lang w:val="en-US" w:eastAsia="zh-CN"/>
        </w:rPr>
        <w:t>10</w:t>
      </w:r>
      <w:r>
        <w:rPr>
          <w:rFonts w:hint="eastAsia" w:ascii="宋体" w:hAnsi="宋体" w:cs="宋体"/>
          <w:color w:val="auto"/>
          <w:szCs w:val="21"/>
          <w:highlight w:val="none"/>
        </w:rPr>
        <w:t>）不同供应商的投标(响应)文件的内容存在两处以上细节错误一致，且无法合理解释的。</w:t>
      </w:r>
    </w:p>
    <w:p w14:paraId="4DD0C555">
      <w:pPr>
        <w:keepNext w:val="0"/>
        <w:keepLines w:val="0"/>
        <w:pageBreakBefore w:val="0"/>
        <w:kinsoku/>
        <w:wordWrap/>
        <w:overflowPunct/>
        <w:topLinePunct w:val="0"/>
        <w:bidi w:val="0"/>
        <w:spacing w:line="48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2.在技术评审时，如发现下列情形之一的，投标文件将被视为无效：</w:t>
      </w:r>
    </w:p>
    <w:p w14:paraId="7827044D">
      <w:pPr>
        <w:keepNext w:val="0"/>
        <w:keepLines w:val="0"/>
        <w:pageBreakBefore w:val="0"/>
        <w:kinsoku/>
        <w:wordWrap/>
        <w:overflowPunct/>
        <w:topLinePunct w:val="0"/>
        <w:bidi w:val="0"/>
        <w:spacing w:line="480" w:lineRule="exact"/>
        <w:ind w:firstLine="315" w:firstLineChars="150"/>
        <w:textAlignment w:val="auto"/>
        <w:rPr>
          <w:rFonts w:ascii="宋体" w:hAnsi="宋体" w:cs="宋体"/>
          <w:color w:val="auto"/>
          <w:szCs w:val="21"/>
          <w:highlight w:val="none"/>
        </w:rPr>
      </w:pPr>
      <w:r>
        <w:rPr>
          <w:rFonts w:hint="eastAsia" w:ascii="宋体" w:hAnsi="宋体" w:cs="宋体"/>
          <w:color w:val="auto"/>
          <w:szCs w:val="21"/>
          <w:highlight w:val="none"/>
        </w:rPr>
        <w:t>（1）不符合法律、法规和招标文件中规定的其他实质性要求的（评标委员会一致认定）的；</w:t>
      </w:r>
    </w:p>
    <w:p w14:paraId="4B956EB4">
      <w:pPr>
        <w:keepNext w:val="0"/>
        <w:keepLines w:val="0"/>
        <w:pageBreakBefore w:val="0"/>
        <w:kinsoku/>
        <w:wordWrap/>
        <w:overflowPunct/>
        <w:topLinePunct w:val="0"/>
        <w:bidi w:val="0"/>
        <w:spacing w:line="480" w:lineRule="exact"/>
        <w:ind w:firstLine="315" w:firstLineChars="150"/>
        <w:textAlignment w:val="auto"/>
        <w:rPr>
          <w:rFonts w:ascii="宋体" w:hAnsi="宋体" w:cs="宋体"/>
          <w:color w:val="auto"/>
          <w:szCs w:val="21"/>
          <w:highlight w:val="none"/>
        </w:rPr>
      </w:pPr>
      <w:r>
        <w:rPr>
          <w:rFonts w:hint="eastAsia" w:ascii="宋体" w:hAnsi="宋体" w:cs="宋体"/>
          <w:color w:val="auto"/>
          <w:szCs w:val="21"/>
          <w:highlight w:val="none"/>
        </w:rPr>
        <w:t>（2）未提供或未如实提供本项目平台建设的技术参数，或者投标文件标明的响应或偏离与事实不符或虚假投标的；</w:t>
      </w:r>
    </w:p>
    <w:p w14:paraId="42CC80ED">
      <w:pPr>
        <w:keepNext w:val="0"/>
        <w:keepLines w:val="0"/>
        <w:pageBreakBefore w:val="0"/>
        <w:kinsoku/>
        <w:wordWrap/>
        <w:overflowPunct/>
        <w:topLinePunct w:val="0"/>
        <w:bidi w:val="0"/>
        <w:spacing w:line="480" w:lineRule="exact"/>
        <w:ind w:firstLine="315" w:firstLineChars="150"/>
        <w:textAlignment w:val="auto"/>
        <w:rPr>
          <w:rFonts w:ascii="宋体" w:hAnsi="宋体" w:cs="宋体"/>
          <w:color w:val="auto"/>
          <w:szCs w:val="21"/>
          <w:highlight w:val="none"/>
        </w:rPr>
      </w:pPr>
      <w:r>
        <w:rPr>
          <w:rFonts w:hint="eastAsia" w:ascii="宋体" w:hAnsi="宋体" w:cs="宋体"/>
          <w:color w:val="auto"/>
          <w:szCs w:val="21"/>
          <w:highlight w:val="none"/>
        </w:rPr>
        <w:t>（3）明显不符合招标文件服务要求、服务质量标准、规格型号、质量标准，或者与招标文件中标“★”的要求项目发生实质性偏离的；</w:t>
      </w:r>
    </w:p>
    <w:p w14:paraId="496B373D">
      <w:pPr>
        <w:keepNext w:val="0"/>
        <w:keepLines w:val="0"/>
        <w:pageBreakBefore w:val="0"/>
        <w:kinsoku/>
        <w:wordWrap/>
        <w:overflowPunct/>
        <w:topLinePunct w:val="0"/>
        <w:bidi w:val="0"/>
        <w:spacing w:line="480" w:lineRule="exact"/>
        <w:ind w:firstLine="315" w:firstLineChars="150"/>
        <w:textAlignment w:val="auto"/>
        <w:rPr>
          <w:rFonts w:ascii="宋体" w:hAnsi="宋体" w:cs="宋体"/>
          <w:color w:val="auto"/>
          <w:szCs w:val="21"/>
          <w:highlight w:val="none"/>
        </w:rPr>
      </w:pPr>
      <w:r>
        <w:rPr>
          <w:rFonts w:hint="eastAsia" w:ascii="宋体" w:hAnsi="宋体" w:cs="宋体"/>
          <w:color w:val="auto"/>
          <w:szCs w:val="21"/>
          <w:highlight w:val="none"/>
        </w:rPr>
        <w:t>（4）允许偏离的技术、性能指标或者辅助功能项目发生负偏离，评委认为偏离整个项目所要达到的主要功能需求的；</w:t>
      </w:r>
    </w:p>
    <w:p w14:paraId="51BA2B3E">
      <w:pPr>
        <w:keepNext w:val="0"/>
        <w:keepLines w:val="0"/>
        <w:pageBreakBefore w:val="0"/>
        <w:kinsoku/>
        <w:wordWrap/>
        <w:overflowPunct/>
        <w:topLinePunct w:val="0"/>
        <w:bidi w:val="0"/>
        <w:spacing w:line="480" w:lineRule="exact"/>
        <w:ind w:firstLine="315" w:firstLineChars="150"/>
        <w:textAlignment w:val="auto"/>
        <w:rPr>
          <w:rFonts w:ascii="宋体" w:hAnsi="宋体" w:cs="宋体"/>
          <w:color w:val="auto"/>
          <w:szCs w:val="21"/>
          <w:highlight w:val="none"/>
        </w:rPr>
      </w:pPr>
      <w:r>
        <w:rPr>
          <w:rFonts w:hint="eastAsia" w:ascii="宋体" w:hAnsi="宋体" w:cs="宋体"/>
          <w:color w:val="auto"/>
          <w:szCs w:val="21"/>
          <w:highlight w:val="none"/>
        </w:rPr>
        <w:t>（5）服务计划书中的服务方案不明确，存在一个或一个以上备选（替代）投标方案的；</w:t>
      </w:r>
    </w:p>
    <w:p w14:paraId="13C58477">
      <w:pPr>
        <w:keepNext w:val="0"/>
        <w:keepLines w:val="0"/>
        <w:pageBreakBefore w:val="0"/>
        <w:kinsoku/>
        <w:wordWrap/>
        <w:overflowPunct/>
        <w:topLinePunct w:val="0"/>
        <w:bidi w:val="0"/>
        <w:spacing w:line="480" w:lineRule="exact"/>
        <w:ind w:firstLine="315" w:firstLineChars="150"/>
        <w:textAlignment w:val="auto"/>
        <w:rPr>
          <w:rFonts w:hint="eastAsia" w:ascii="宋体" w:hAnsi="宋体" w:cs="宋体"/>
          <w:color w:val="auto"/>
          <w:szCs w:val="21"/>
          <w:highlight w:val="none"/>
        </w:rPr>
      </w:pPr>
      <w:r>
        <w:rPr>
          <w:rFonts w:hint="eastAsia" w:ascii="宋体" w:hAnsi="宋体" w:cs="宋体"/>
          <w:color w:val="auto"/>
          <w:szCs w:val="21"/>
          <w:highlight w:val="none"/>
        </w:rPr>
        <w:t>（6）与其他参加本次投标供应商的投标文件（技术文件）的文字表述内容相同连续20行以上或者差错相同2处以上的。</w:t>
      </w:r>
    </w:p>
    <w:p w14:paraId="0F864A27">
      <w:pPr>
        <w:keepNext w:val="0"/>
        <w:keepLines w:val="0"/>
        <w:pageBreakBefore w:val="0"/>
        <w:kinsoku/>
        <w:wordWrap/>
        <w:overflowPunct/>
        <w:topLinePunct w:val="0"/>
        <w:bidi w:val="0"/>
        <w:spacing w:line="480" w:lineRule="exact"/>
        <w:ind w:firstLine="315" w:firstLineChars="150"/>
        <w:textAlignment w:val="auto"/>
        <w:rPr>
          <w:rFonts w:ascii="宋体" w:hAnsi="宋体" w:cs="宋体"/>
          <w:color w:val="auto"/>
          <w:szCs w:val="21"/>
          <w:highlight w:val="none"/>
        </w:rPr>
      </w:pPr>
      <w:r>
        <w:rPr>
          <w:rFonts w:hint="eastAsia" w:ascii="宋体" w:hAnsi="宋体" w:cs="宋体"/>
          <w:color w:val="auto"/>
          <w:szCs w:val="21"/>
          <w:highlight w:val="none"/>
        </w:rPr>
        <w:t>（</w:t>
      </w:r>
      <w:r>
        <w:rPr>
          <w:rFonts w:hint="eastAsia" w:ascii="宋体" w:hAnsi="宋体" w:cs="宋体"/>
          <w:color w:val="auto"/>
          <w:szCs w:val="21"/>
          <w:highlight w:val="none"/>
          <w:lang w:val="en-US" w:eastAsia="zh-CN"/>
        </w:rPr>
        <w:t>7</w:t>
      </w:r>
      <w:r>
        <w:rPr>
          <w:rFonts w:hint="eastAsia" w:ascii="宋体" w:hAnsi="宋体" w:cs="宋体"/>
          <w:color w:val="auto"/>
          <w:szCs w:val="21"/>
          <w:highlight w:val="none"/>
        </w:rPr>
        <w:t>）提供不真实材料的；</w:t>
      </w:r>
    </w:p>
    <w:p w14:paraId="3E192485">
      <w:pPr>
        <w:keepNext w:val="0"/>
        <w:keepLines w:val="0"/>
        <w:pageBreakBefore w:val="0"/>
        <w:kinsoku/>
        <w:wordWrap/>
        <w:overflowPunct/>
        <w:topLinePunct w:val="0"/>
        <w:bidi w:val="0"/>
        <w:spacing w:line="480" w:lineRule="exact"/>
        <w:ind w:firstLine="315" w:firstLineChars="150"/>
        <w:textAlignment w:val="auto"/>
        <w:rPr>
          <w:rFonts w:ascii="宋体" w:hAnsi="宋体" w:cs="宋体"/>
          <w:color w:val="auto"/>
          <w:szCs w:val="21"/>
          <w:highlight w:val="none"/>
        </w:rPr>
      </w:pPr>
      <w:r>
        <w:rPr>
          <w:rFonts w:hint="eastAsia" w:ascii="宋体" w:hAnsi="宋体" w:cs="宋体"/>
          <w:color w:val="auto"/>
          <w:szCs w:val="21"/>
          <w:highlight w:val="none"/>
        </w:rPr>
        <w:t>（9）法律、法规、规章等规定的其他情形。</w:t>
      </w:r>
    </w:p>
    <w:p w14:paraId="13D33FCA">
      <w:pPr>
        <w:keepNext w:val="0"/>
        <w:keepLines w:val="0"/>
        <w:pageBreakBefore w:val="0"/>
        <w:kinsoku/>
        <w:wordWrap/>
        <w:overflowPunct/>
        <w:topLinePunct w:val="0"/>
        <w:bidi w:val="0"/>
        <w:spacing w:line="480" w:lineRule="exact"/>
        <w:ind w:firstLine="315" w:firstLineChars="150"/>
        <w:textAlignment w:val="auto"/>
        <w:rPr>
          <w:rFonts w:ascii="宋体" w:hAnsi="宋体" w:cs="宋体"/>
          <w:color w:val="auto"/>
          <w:szCs w:val="21"/>
          <w:highlight w:val="none"/>
        </w:rPr>
      </w:pPr>
      <w:r>
        <w:rPr>
          <w:rFonts w:hint="eastAsia" w:ascii="宋体" w:hAnsi="宋体" w:cs="宋体"/>
          <w:color w:val="auto"/>
          <w:szCs w:val="21"/>
          <w:highlight w:val="none"/>
        </w:rPr>
        <w:t>3.在报价评审时，如发现下列情形之一的，投标文件将被视为无效：</w:t>
      </w:r>
    </w:p>
    <w:p w14:paraId="0579FA89">
      <w:pPr>
        <w:keepNext w:val="0"/>
        <w:keepLines w:val="0"/>
        <w:pageBreakBefore w:val="0"/>
        <w:kinsoku/>
        <w:wordWrap/>
        <w:overflowPunct/>
        <w:topLinePunct w:val="0"/>
        <w:bidi w:val="0"/>
        <w:spacing w:line="480" w:lineRule="exact"/>
        <w:ind w:firstLine="315" w:firstLineChars="150"/>
        <w:textAlignment w:val="auto"/>
        <w:rPr>
          <w:rFonts w:ascii="宋体" w:hAnsi="宋体" w:cs="宋体"/>
          <w:color w:val="auto"/>
          <w:szCs w:val="21"/>
          <w:highlight w:val="none"/>
        </w:rPr>
      </w:pPr>
      <w:r>
        <w:rPr>
          <w:rFonts w:hint="eastAsia" w:ascii="宋体" w:hAnsi="宋体" w:cs="宋体"/>
          <w:color w:val="auto"/>
          <w:szCs w:val="21"/>
          <w:highlight w:val="none"/>
        </w:rPr>
        <w:t>（1）未采用人民币报价或者未按照招标文件标明的报价方式报价的；</w:t>
      </w:r>
    </w:p>
    <w:p w14:paraId="3495AC56">
      <w:pPr>
        <w:keepNext w:val="0"/>
        <w:keepLines w:val="0"/>
        <w:pageBreakBefore w:val="0"/>
        <w:kinsoku/>
        <w:wordWrap/>
        <w:overflowPunct/>
        <w:topLinePunct w:val="0"/>
        <w:bidi w:val="0"/>
        <w:spacing w:line="480" w:lineRule="exact"/>
        <w:ind w:firstLine="315" w:firstLineChars="150"/>
        <w:textAlignment w:val="auto"/>
        <w:rPr>
          <w:rFonts w:ascii="宋体" w:hAnsi="宋体" w:cs="宋体"/>
          <w:color w:val="auto"/>
          <w:szCs w:val="21"/>
          <w:highlight w:val="none"/>
        </w:rPr>
      </w:pPr>
      <w:r>
        <w:rPr>
          <w:rFonts w:hint="eastAsia" w:ascii="宋体" w:hAnsi="宋体" w:cs="宋体"/>
          <w:color w:val="auto"/>
          <w:szCs w:val="21"/>
          <w:highlight w:val="none"/>
        </w:rPr>
        <w:t>（2）报价超出</w:t>
      </w:r>
      <w:r>
        <w:rPr>
          <w:rFonts w:hint="eastAsia" w:ascii="宋体" w:hAnsi="宋体" w:cs="宋体"/>
          <w:color w:val="auto"/>
          <w:szCs w:val="21"/>
          <w:highlight w:val="none"/>
          <w:lang w:val="en-US" w:eastAsia="zh-CN"/>
        </w:rPr>
        <w:t>单价最高限价或总价</w:t>
      </w:r>
      <w:r>
        <w:rPr>
          <w:rFonts w:hint="eastAsia" w:ascii="宋体" w:hAnsi="宋体" w:cs="宋体"/>
          <w:color w:val="auto"/>
          <w:szCs w:val="21"/>
          <w:highlight w:val="none"/>
        </w:rPr>
        <w:t>最高限价，招标人不能支付的；</w:t>
      </w:r>
    </w:p>
    <w:p w14:paraId="448B756A">
      <w:pPr>
        <w:keepNext w:val="0"/>
        <w:keepLines w:val="0"/>
        <w:pageBreakBefore w:val="0"/>
        <w:kinsoku/>
        <w:wordWrap/>
        <w:overflowPunct/>
        <w:topLinePunct w:val="0"/>
        <w:bidi w:val="0"/>
        <w:spacing w:line="480" w:lineRule="exact"/>
        <w:ind w:firstLine="315" w:firstLineChars="150"/>
        <w:textAlignment w:val="auto"/>
        <w:rPr>
          <w:rFonts w:ascii="宋体" w:hAnsi="宋体" w:cs="宋体"/>
          <w:color w:val="auto"/>
          <w:szCs w:val="21"/>
          <w:highlight w:val="none"/>
        </w:rPr>
      </w:pPr>
      <w:r>
        <w:rPr>
          <w:rFonts w:hint="eastAsia" w:ascii="宋体" w:hAnsi="宋体" w:cs="宋体"/>
          <w:color w:val="auto"/>
          <w:szCs w:val="21"/>
          <w:highlight w:val="none"/>
        </w:rPr>
        <w:t>（3）投标报价具有选择性，或者开标价格与投标文件承诺的优惠（折扣）价格不一致的；</w:t>
      </w:r>
    </w:p>
    <w:p w14:paraId="512842D3">
      <w:pPr>
        <w:keepNext w:val="0"/>
        <w:keepLines w:val="0"/>
        <w:pageBreakBefore w:val="0"/>
        <w:kinsoku/>
        <w:wordWrap/>
        <w:overflowPunct/>
        <w:topLinePunct w:val="0"/>
        <w:bidi w:val="0"/>
        <w:spacing w:line="480" w:lineRule="exact"/>
        <w:ind w:firstLine="315" w:firstLineChars="150"/>
        <w:textAlignment w:val="auto"/>
        <w:rPr>
          <w:rFonts w:hint="eastAsia" w:ascii="宋体" w:hAnsi="宋体" w:cs="宋体"/>
          <w:color w:val="auto"/>
          <w:szCs w:val="21"/>
          <w:highlight w:val="none"/>
        </w:rPr>
      </w:pPr>
      <w:r>
        <w:rPr>
          <w:rFonts w:hint="eastAsia" w:ascii="宋体" w:hAnsi="宋体" w:cs="宋体"/>
          <w:color w:val="auto"/>
          <w:szCs w:val="21"/>
          <w:highlight w:val="none"/>
        </w:rPr>
        <w:t>（4）报价明显低于其他通过符合性审查投标人的报价，投标人不能证明其报价合理性的，评标委员会将其作无效投标处理的。</w:t>
      </w:r>
    </w:p>
    <w:p w14:paraId="46A86099">
      <w:pPr>
        <w:keepNext w:val="0"/>
        <w:keepLines w:val="0"/>
        <w:pageBreakBefore w:val="0"/>
        <w:kinsoku/>
        <w:wordWrap/>
        <w:overflowPunct/>
        <w:topLinePunct w:val="0"/>
        <w:bidi w:val="0"/>
        <w:spacing w:line="480" w:lineRule="exact"/>
        <w:ind w:firstLine="315" w:firstLineChars="15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5</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投标人在线制作投标文件时《开标一览表》中填写的金额与解密后“电子加密投标文件”中《开标一览表》填写的金额不一致的，以解密后“电子加密投标文件”中《开标一览表》填写的金额为准，投标供应商拒绝接受此调整的，按无效投标处理。</w:t>
      </w:r>
    </w:p>
    <w:p w14:paraId="0B2D7FB4">
      <w:pPr>
        <w:keepNext w:val="0"/>
        <w:keepLines w:val="0"/>
        <w:pageBreakBefore w:val="0"/>
        <w:kinsoku/>
        <w:wordWrap/>
        <w:overflowPunct/>
        <w:topLinePunct w:val="0"/>
        <w:bidi w:val="0"/>
        <w:spacing w:line="480" w:lineRule="exact"/>
        <w:ind w:firstLine="315" w:firstLineChars="150"/>
        <w:textAlignment w:val="auto"/>
        <w:rPr>
          <w:rFonts w:ascii="宋体" w:hAnsi="宋体" w:cs="宋体"/>
          <w:color w:val="auto"/>
          <w:szCs w:val="21"/>
          <w:highlight w:val="none"/>
        </w:rPr>
      </w:pPr>
      <w:r>
        <w:rPr>
          <w:rFonts w:hint="eastAsia" w:ascii="宋体" w:hAnsi="宋体" w:cs="宋体"/>
          <w:color w:val="auto"/>
          <w:szCs w:val="21"/>
          <w:highlight w:val="none"/>
        </w:rPr>
        <w:t>4.被拒绝的投标文件为无效投标文件。</w:t>
      </w:r>
    </w:p>
    <w:p w14:paraId="49423486">
      <w:pPr>
        <w:keepNext w:val="0"/>
        <w:keepLines w:val="0"/>
        <w:pageBreakBefore w:val="0"/>
        <w:kinsoku/>
        <w:wordWrap/>
        <w:overflowPunct/>
        <w:topLinePunct w:val="0"/>
        <w:bidi w:val="0"/>
        <w:spacing w:line="480" w:lineRule="exact"/>
        <w:ind w:firstLine="316" w:firstLineChars="150"/>
        <w:textAlignment w:val="auto"/>
        <w:rPr>
          <w:rFonts w:ascii="宋体" w:hAnsi="宋体" w:cs="宋体"/>
          <w:b/>
          <w:color w:val="auto"/>
          <w:szCs w:val="21"/>
          <w:highlight w:val="none"/>
        </w:rPr>
      </w:pPr>
      <w:r>
        <w:rPr>
          <w:rFonts w:hint="eastAsia" w:ascii="宋体" w:hAnsi="宋体" w:cs="宋体"/>
          <w:b/>
          <w:color w:val="auto"/>
          <w:szCs w:val="21"/>
          <w:highlight w:val="none"/>
        </w:rPr>
        <w:t>四、开标</w:t>
      </w:r>
    </w:p>
    <w:p w14:paraId="38254ECA">
      <w:pPr>
        <w:keepNext w:val="0"/>
        <w:keepLines w:val="0"/>
        <w:pageBreakBefore w:val="0"/>
        <w:kinsoku/>
        <w:wordWrap/>
        <w:overflowPunct/>
        <w:topLinePunct w:val="0"/>
        <w:autoSpaceDE/>
        <w:autoSpaceDN/>
        <w:bidi w:val="0"/>
        <w:adjustRightInd/>
        <w:spacing w:line="480" w:lineRule="exact"/>
        <w:ind w:firstLine="525" w:firstLineChars="25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1.开标会由采购代理机构主持，宣布开标会议开始；</w:t>
      </w:r>
    </w:p>
    <w:p w14:paraId="7E7D95D2">
      <w:pPr>
        <w:keepNext w:val="0"/>
        <w:keepLines w:val="0"/>
        <w:pageBreakBefore w:val="0"/>
        <w:kinsoku/>
        <w:wordWrap/>
        <w:overflowPunct/>
        <w:topLinePunct w:val="0"/>
        <w:autoSpaceDE/>
        <w:autoSpaceDN/>
        <w:bidi w:val="0"/>
        <w:adjustRightInd/>
        <w:spacing w:line="480" w:lineRule="exact"/>
        <w:ind w:firstLine="525" w:firstLineChars="25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2.在开标后投标供应商登陆“政采云”平台，用“项目采购-开标评标”功能进行解密投标文件。</w:t>
      </w:r>
    </w:p>
    <w:p w14:paraId="26CE9FC2">
      <w:pPr>
        <w:keepNext w:val="0"/>
        <w:keepLines w:val="0"/>
        <w:pageBreakBefore w:val="0"/>
        <w:kinsoku/>
        <w:wordWrap/>
        <w:overflowPunct/>
        <w:topLinePunct w:val="0"/>
        <w:autoSpaceDE/>
        <w:autoSpaceDN/>
        <w:bidi w:val="0"/>
        <w:adjustRightInd/>
        <w:spacing w:line="480" w:lineRule="exact"/>
        <w:ind w:firstLine="525" w:firstLineChars="25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若投标供应商在规定时间内无法解密或解密失败的，视为投标文件撤回。</w:t>
      </w:r>
    </w:p>
    <w:p w14:paraId="7B837198">
      <w:pPr>
        <w:keepNext w:val="0"/>
        <w:keepLines w:val="0"/>
        <w:pageBreakBefore w:val="0"/>
        <w:kinsoku/>
        <w:wordWrap/>
        <w:overflowPunct/>
        <w:topLinePunct w:val="0"/>
        <w:autoSpaceDE/>
        <w:autoSpaceDN/>
        <w:bidi w:val="0"/>
        <w:adjustRightInd/>
        <w:spacing w:line="480" w:lineRule="exact"/>
        <w:ind w:firstLine="525" w:firstLineChars="25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采购人或采购代理机构先对投标人的资格进行审查，如评审小组对投标文件有疑问，对投标人进行在线询标，投标人须在澄清截止时间前上传澄清函，若在澄清截止时间前未进行有效澄清的，逾期将不再接受澄清。资格审查不合格的投标人不再进入商务技术文件及报价文件的评审。</w:t>
      </w:r>
    </w:p>
    <w:p w14:paraId="62F8D373">
      <w:pPr>
        <w:keepNext w:val="0"/>
        <w:keepLines w:val="0"/>
        <w:pageBreakBefore w:val="0"/>
        <w:kinsoku/>
        <w:wordWrap/>
        <w:overflowPunct/>
        <w:topLinePunct w:val="0"/>
        <w:autoSpaceDE/>
        <w:autoSpaceDN/>
        <w:bidi w:val="0"/>
        <w:adjustRightInd/>
        <w:spacing w:line="480" w:lineRule="exact"/>
        <w:ind w:firstLine="525" w:firstLineChars="25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评标委员会先对商务技术文件进行评审，如对投标文件有疑问，对投标人进行在线询标，投标人须在发起的澄清截止时间前上传澄清函，若在发起的澄清截止时间前未进行有效澄清的，逾期将不再接受澄清。商务技术文件不合格的投标人不再进入报价文件评审。</w:t>
      </w:r>
    </w:p>
    <w:p w14:paraId="41CF67A2">
      <w:pPr>
        <w:keepNext w:val="0"/>
        <w:keepLines w:val="0"/>
        <w:pageBreakBefore w:val="0"/>
        <w:kinsoku/>
        <w:wordWrap/>
        <w:overflowPunct/>
        <w:topLinePunct w:val="0"/>
        <w:autoSpaceDE/>
        <w:autoSpaceDN/>
        <w:bidi w:val="0"/>
        <w:adjustRightInd/>
        <w:spacing w:line="480" w:lineRule="exact"/>
        <w:ind w:firstLine="525" w:firstLineChars="25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5.资信商务技术文件评审结果在线公布后，在线开启报价文件，并由评标委员会进行报价评审。</w:t>
      </w:r>
      <w:r>
        <w:rPr>
          <w:rFonts w:hint="eastAsia" w:ascii="宋体" w:hAnsi="宋体" w:eastAsia="宋体" w:cs="宋体"/>
          <w:color w:val="auto"/>
          <w:sz w:val="21"/>
          <w:highlight w:val="none"/>
        </w:rPr>
        <w:t>投标供应商在线制作投标</w:t>
      </w:r>
      <w:r>
        <w:rPr>
          <w:rFonts w:hint="eastAsia" w:ascii="宋体" w:hAnsi="宋体" w:eastAsia="宋体" w:cs="宋体"/>
          <w:b/>
          <w:color w:val="auto"/>
          <w:sz w:val="21"/>
          <w:szCs w:val="21"/>
          <w:highlight w:val="none"/>
        </w:rPr>
        <w:t>报价</w:t>
      </w:r>
      <w:r>
        <w:rPr>
          <w:rFonts w:hint="eastAsia" w:ascii="宋体" w:hAnsi="宋体" w:eastAsia="宋体" w:cs="宋体"/>
          <w:color w:val="auto"/>
          <w:sz w:val="21"/>
          <w:highlight w:val="none"/>
        </w:rPr>
        <w:t>文件中填写的金额与解密后“电子加密投标</w:t>
      </w:r>
      <w:r>
        <w:rPr>
          <w:rFonts w:hint="eastAsia" w:ascii="宋体" w:hAnsi="宋体" w:eastAsia="宋体" w:cs="宋体"/>
          <w:b/>
          <w:color w:val="auto"/>
          <w:sz w:val="21"/>
          <w:szCs w:val="21"/>
          <w:highlight w:val="none"/>
        </w:rPr>
        <w:t>报价</w:t>
      </w:r>
      <w:r>
        <w:rPr>
          <w:rFonts w:hint="eastAsia" w:ascii="宋体" w:hAnsi="宋体" w:eastAsia="宋体" w:cs="宋体"/>
          <w:color w:val="auto"/>
          <w:sz w:val="21"/>
          <w:highlight w:val="none"/>
        </w:rPr>
        <w:t>文件”中填写的金额不一致时，以解密后“电子加密投标</w:t>
      </w:r>
      <w:r>
        <w:rPr>
          <w:rFonts w:hint="eastAsia" w:ascii="宋体" w:hAnsi="宋体" w:eastAsia="宋体" w:cs="宋体"/>
          <w:b/>
          <w:color w:val="auto"/>
          <w:sz w:val="21"/>
          <w:szCs w:val="21"/>
          <w:highlight w:val="none"/>
        </w:rPr>
        <w:t>报价</w:t>
      </w:r>
      <w:r>
        <w:rPr>
          <w:rFonts w:hint="eastAsia" w:ascii="宋体" w:hAnsi="宋体" w:eastAsia="宋体" w:cs="宋体"/>
          <w:color w:val="auto"/>
          <w:sz w:val="21"/>
          <w:highlight w:val="none"/>
        </w:rPr>
        <w:t>文件”中填写的金额为准，投标供应商拒绝接受此规定的，按无效标处理。</w:t>
      </w:r>
    </w:p>
    <w:p w14:paraId="4AC2345C">
      <w:pPr>
        <w:keepNext w:val="0"/>
        <w:keepLines w:val="0"/>
        <w:pageBreakBefore w:val="0"/>
        <w:kinsoku/>
        <w:wordWrap/>
        <w:overflowPunct/>
        <w:topLinePunct w:val="0"/>
        <w:autoSpaceDE/>
        <w:autoSpaceDN/>
        <w:bidi w:val="0"/>
        <w:adjustRightInd/>
        <w:spacing w:line="480" w:lineRule="exact"/>
        <w:ind w:firstLine="525" w:firstLineChars="25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 综合评审结果在线公布各投标人得分汇总，并在线提交（宣布）中标候选人。</w:t>
      </w:r>
    </w:p>
    <w:p w14:paraId="16A870AD">
      <w:pPr>
        <w:keepNext w:val="0"/>
        <w:keepLines w:val="0"/>
        <w:pageBreakBefore w:val="0"/>
        <w:kinsoku/>
        <w:wordWrap/>
        <w:overflowPunct/>
        <w:topLinePunct w:val="0"/>
        <w:autoSpaceDE/>
        <w:autoSpaceDN/>
        <w:bidi w:val="0"/>
        <w:adjustRightInd/>
        <w:spacing w:line="480" w:lineRule="exact"/>
        <w:ind w:firstLine="525" w:firstLineChars="25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w:t>
      </w:r>
      <w:r>
        <w:rPr>
          <w:rFonts w:hint="eastAsia" w:ascii="宋体" w:hAnsi="宋体" w:eastAsia="宋体" w:cs="宋体"/>
          <w:color w:val="auto"/>
          <w:sz w:val="22"/>
          <w:szCs w:val="22"/>
          <w:highlight w:val="none"/>
        </w:rPr>
        <w:t xml:space="preserve"> </w:t>
      </w:r>
      <w:r>
        <w:rPr>
          <w:rFonts w:hint="eastAsia" w:ascii="宋体" w:hAnsi="宋体" w:eastAsia="宋体" w:cs="宋体"/>
          <w:color w:val="auto"/>
          <w:sz w:val="21"/>
          <w:szCs w:val="21"/>
          <w:highlight w:val="none"/>
        </w:rPr>
        <w:t>评审结束后，代理机构宣布开标结束，并公布采购结果。</w:t>
      </w:r>
    </w:p>
    <w:p w14:paraId="52411D66">
      <w:pPr>
        <w:keepNext w:val="0"/>
        <w:keepLines w:val="0"/>
        <w:pageBreakBefore w:val="0"/>
        <w:kinsoku/>
        <w:wordWrap/>
        <w:overflowPunct/>
        <w:topLinePunct w:val="0"/>
        <w:autoSpaceDE/>
        <w:autoSpaceDN/>
        <w:bidi w:val="0"/>
        <w:adjustRightInd/>
        <w:spacing w:line="480" w:lineRule="exact"/>
        <w:ind w:firstLine="525" w:firstLineChars="250"/>
        <w:jc w:val="both"/>
        <w:textAlignment w:val="auto"/>
        <w:rPr>
          <w:rFonts w:hint="eastAsia" w:ascii="宋体" w:hAnsi="宋体" w:eastAsia="宋体" w:cs="宋体"/>
          <w:color w:val="auto"/>
          <w:szCs w:val="21"/>
          <w:highlight w:val="none"/>
        </w:rPr>
      </w:pPr>
      <w:r>
        <w:rPr>
          <w:rFonts w:hint="eastAsia" w:ascii="宋体" w:hAnsi="宋体" w:eastAsia="宋体" w:cs="宋体"/>
          <w:color w:val="auto"/>
          <w:sz w:val="21"/>
          <w:szCs w:val="21"/>
          <w:highlight w:val="none"/>
        </w:rPr>
        <w:t>注：政采云公司如对电子化开标及评审程序有调整的，按调整后的程序操作。</w:t>
      </w:r>
    </w:p>
    <w:p w14:paraId="23B0DB46">
      <w:pPr>
        <w:keepNext w:val="0"/>
        <w:keepLines w:val="0"/>
        <w:pageBreakBefore w:val="0"/>
        <w:kinsoku/>
        <w:wordWrap/>
        <w:overflowPunct/>
        <w:topLinePunct w:val="0"/>
        <w:bidi w:val="0"/>
        <w:adjustRightInd w:val="0"/>
        <w:spacing w:line="480" w:lineRule="exact"/>
        <w:ind w:firstLine="422" w:firstLineChars="200"/>
        <w:textAlignment w:val="auto"/>
        <w:rPr>
          <w:rFonts w:ascii="宋体" w:hAnsi="宋体" w:cs="宋体"/>
          <w:b/>
          <w:color w:val="auto"/>
          <w:szCs w:val="21"/>
          <w:highlight w:val="none"/>
        </w:rPr>
      </w:pPr>
      <w:r>
        <w:rPr>
          <w:rFonts w:hint="eastAsia" w:ascii="宋体" w:hAnsi="宋体" w:cs="宋体"/>
          <w:b/>
          <w:color w:val="auto"/>
          <w:szCs w:val="21"/>
          <w:highlight w:val="none"/>
        </w:rPr>
        <w:t>五、评标</w:t>
      </w:r>
    </w:p>
    <w:p w14:paraId="6A3676A6">
      <w:pPr>
        <w:keepNext w:val="0"/>
        <w:keepLines w:val="0"/>
        <w:pageBreakBefore w:val="0"/>
        <w:kinsoku/>
        <w:wordWrap/>
        <w:overflowPunct/>
        <w:topLinePunct w:val="0"/>
        <w:bidi w:val="0"/>
        <w:adjustRightInd w:val="0"/>
        <w:spacing w:line="48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（一）组建评标委员会</w:t>
      </w:r>
    </w:p>
    <w:p w14:paraId="3CA97DB5">
      <w:pPr>
        <w:keepNext w:val="0"/>
        <w:keepLines w:val="0"/>
        <w:pageBreakBefore w:val="0"/>
        <w:kinsoku/>
        <w:wordWrap/>
        <w:overflowPunct/>
        <w:topLinePunct w:val="0"/>
        <w:bidi w:val="0"/>
        <w:adjustRightInd w:val="0"/>
        <w:spacing w:line="48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招标单位和代理机构将根据本项目的特点依法组建评标委员会，评标委员会由招标单位和有关技术、经济等方面</w:t>
      </w:r>
      <w:r>
        <w:rPr>
          <w:rFonts w:hint="eastAsia" w:ascii="宋体" w:hAnsi="宋体" w:cs="宋体"/>
          <w:color w:val="auto"/>
          <w:szCs w:val="21"/>
          <w:highlight w:val="none"/>
          <w:lang w:val="en-US" w:eastAsia="zh-CN"/>
        </w:rPr>
        <w:t>5</w:t>
      </w:r>
      <w:r>
        <w:rPr>
          <w:rFonts w:hint="eastAsia" w:ascii="宋体" w:hAnsi="宋体" w:cs="宋体"/>
          <w:color w:val="auto"/>
          <w:szCs w:val="21"/>
          <w:highlight w:val="none"/>
        </w:rPr>
        <w:t>名或以上单数的专家组成，其中技术、经济等方面的专家不少于成员总数的三分之二。专家统一在政采云系统中的政府采购专家库中随机抽取。</w:t>
      </w:r>
    </w:p>
    <w:p w14:paraId="43D8425C">
      <w:pPr>
        <w:keepNext w:val="0"/>
        <w:keepLines w:val="0"/>
        <w:pageBreakBefore w:val="0"/>
        <w:kinsoku/>
        <w:wordWrap/>
        <w:overflowPunct/>
        <w:topLinePunct w:val="0"/>
        <w:bidi w:val="0"/>
        <w:adjustRightInd w:val="0"/>
        <w:spacing w:line="48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（二）评标的方式</w:t>
      </w:r>
    </w:p>
    <w:p w14:paraId="008F61A5">
      <w:pPr>
        <w:keepNext w:val="0"/>
        <w:keepLines w:val="0"/>
        <w:pageBreakBefore w:val="0"/>
        <w:kinsoku/>
        <w:wordWrap/>
        <w:overflowPunct/>
        <w:topLinePunct w:val="0"/>
        <w:bidi w:val="0"/>
        <w:adjustRightInd w:val="0"/>
        <w:spacing w:line="48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本项目采用不公开方式评标，评标的依据为招标文件和投标文件。</w:t>
      </w:r>
    </w:p>
    <w:p w14:paraId="20CE301C">
      <w:pPr>
        <w:keepNext w:val="0"/>
        <w:keepLines w:val="0"/>
        <w:pageBreakBefore w:val="0"/>
        <w:kinsoku/>
        <w:wordWrap/>
        <w:overflowPunct/>
        <w:topLinePunct w:val="0"/>
        <w:bidi w:val="0"/>
        <w:adjustRightInd w:val="0"/>
        <w:snapToGrid w:val="0"/>
        <w:spacing w:line="48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（三）评标程序</w:t>
      </w:r>
    </w:p>
    <w:p w14:paraId="0DC90C06">
      <w:pPr>
        <w:keepNext w:val="0"/>
        <w:keepLines w:val="0"/>
        <w:pageBreakBefore w:val="0"/>
        <w:kinsoku/>
        <w:wordWrap/>
        <w:overflowPunct/>
        <w:topLinePunct w:val="0"/>
        <w:bidi w:val="0"/>
        <w:adjustRightInd w:val="0"/>
        <w:snapToGrid w:val="0"/>
        <w:spacing w:line="48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1.形式审查</w:t>
      </w:r>
    </w:p>
    <w:p w14:paraId="4661CCB8">
      <w:pPr>
        <w:keepNext w:val="0"/>
        <w:keepLines w:val="0"/>
        <w:pageBreakBefore w:val="0"/>
        <w:kinsoku/>
        <w:wordWrap/>
        <w:overflowPunct/>
        <w:topLinePunct w:val="0"/>
        <w:bidi w:val="0"/>
        <w:adjustRightInd w:val="0"/>
        <w:snapToGrid w:val="0"/>
        <w:spacing w:line="48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招标人代表和代理机构工作人员协助评标委员会对投标人的资格和投标文件的完整性、合法性等进行审查。</w:t>
      </w:r>
    </w:p>
    <w:p w14:paraId="0AABDE48">
      <w:pPr>
        <w:keepNext w:val="0"/>
        <w:keepLines w:val="0"/>
        <w:pageBreakBefore w:val="0"/>
        <w:kinsoku/>
        <w:wordWrap/>
        <w:overflowPunct/>
        <w:topLinePunct w:val="0"/>
        <w:bidi w:val="0"/>
        <w:adjustRightInd w:val="0"/>
        <w:snapToGrid w:val="0"/>
        <w:spacing w:line="48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2.实质审查与比较</w:t>
      </w:r>
    </w:p>
    <w:p w14:paraId="2C2B157F">
      <w:pPr>
        <w:keepNext w:val="0"/>
        <w:keepLines w:val="0"/>
        <w:pageBreakBefore w:val="0"/>
        <w:kinsoku/>
        <w:wordWrap/>
        <w:overflowPunct/>
        <w:topLinePunct w:val="0"/>
        <w:bidi w:val="0"/>
        <w:adjustRightInd w:val="0"/>
        <w:snapToGrid w:val="0"/>
        <w:spacing w:line="48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（1）评标委员会审查投标文件的实质性内容是否符合招标文件的实质性要求。</w:t>
      </w:r>
    </w:p>
    <w:p w14:paraId="7FD80D40">
      <w:pPr>
        <w:keepNext w:val="0"/>
        <w:keepLines w:val="0"/>
        <w:pageBreakBefore w:val="0"/>
        <w:kinsoku/>
        <w:wordWrap/>
        <w:overflowPunct/>
        <w:topLinePunct w:val="0"/>
        <w:bidi w:val="0"/>
        <w:adjustRightInd w:val="0"/>
        <w:snapToGrid w:val="0"/>
        <w:spacing w:line="48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（2）评标委员会将根据投标人的投标文件进行审查、核对,如有疑问,将对投标人进行询标,投标人要向评标委员会澄清有关问题,并最终以书面形式进行答复。</w:t>
      </w:r>
    </w:p>
    <w:p w14:paraId="6A5D7BE1">
      <w:pPr>
        <w:keepNext w:val="0"/>
        <w:keepLines w:val="0"/>
        <w:pageBreakBefore w:val="0"/>
        <w:kinsoku/>
        <w:wordWrap/>
        <w:overflowPunct/>
        <w:topLinePunct w:val="0"/>
        <w:bidi w:val="0"/>
        <w:adjustRightInd w:val="0"/>
        <w:snapToGrid w:val="0"/>
        <w:spacing w:line="48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投标人代表未到场或者拒绝澄清或者澄清的内容改变了投标文件的实质性内容的，评标委员会有权对该投标文件作出不利于投标人的评判。</w:t>
      </w:r>
    </w:p>
    <w:p w14:paraId="26F65F37">
      <w:pPr>
        <w:keepNext w:val="0"/>
        <w:keepLines w:val="0"/>
        <w:pageBreakBefore w:val="0"/>
        <w:kinsoku/>
        <w:wordWrap/>
        <w:overflowPunct/>
        <w:topLinePunct w:val="0"/>
        <w:bidi w:val="0"/>
        <w:adjustRightInd w:val="0"/>
        <w:snapToGrid w:val="0"/>
        <w:spacing w:line="48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（3）各投标人的资信技术文件得分为所有评委的有效评分的算术平均数，由指定专人进行计算复核。</w:t>
      </w:r>
    </w:p>
    <w:p w14:paraId="5916AAD3">
      <w:pPr>
        <w:keepNext w:val="0"/>
        <w:keepLines w:val="0"/>
        <w:pageBreakBefore w:val="0"/>
        <w:kinsoku/>
        <w:wordWrap/>
        <w:overflowPunct/>
        <w:topLinePunct w:val="0"/>
        <w:bidi w:val="0"/>
        <w:adjustRightInd w:val="0"/>
        <w:snapToGrid w:val="0"/>
        <w:spacing w:line="48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（4）代理机构工作人员协助评标委员会根据本项目的评分标准计算各投标人的投标报价得分。</w:t>
      </w:r>
    </w:p>
    <w:p w14:paraId="09A679E0">
      <w:pPr>
        <w:keepNext w:val="0"/>
        <w:keepLines w:val="0"/>
        <w:pageBreakBefore w:val="0"/>
        <w:kinsoku/>
        <w:wordWrap/>
        <w:overflowPunct/>
        <w:topLinePunct w:val="0"/>
        <w:bidi w:val="0"/>
        <w:adjustRightInd w:val="0"/>
        <w:snapToGrid w:val="0"/>
        <w:spacing w:line="48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（5）评标委员会完成评标后,评委对各部分得分汇总,计算出本项目最终得分、性价比、评标价等。评标委员会按评标原则推荐中标候选人同时起草评标报告。</w:t>
      </w:r>
    </w:p>
    <w:p w14:paraId="4A51683E">
      <w:pPr>
        <w:keepNext w:val="0"/>
        <w:keepLines w:val="0"/>
        <w:pageBreakBefore w:val="0"/>
        <w:kinsoku/>
        <w:wordWrap/>
        <w:overflowPunct/>
        <w:topLinePunct w:val="0"/>
        <w:bidi w:val="0"/>
        <w:adjustRightInd w:val="0"/>
        <w:spacing w:line="48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（四）澄清问题的形式</w:t>
      </w:r>
    </w:p>
    <w:p w14:paraId="2711F640">
      <w:pPr>
        <w:keepNext w:val="0"/>
        <w:keepLines w:val="0"/>
        <w:pageBreakBefore w:val="0"/>
        <w:kinsoku/>
        <w:wordWrap/>
        <w:overflowPunct/>
        <w:topLinePunct w:val="0"/>
        <w:bidi w:val="0"/>
        <w:adjustRightInd w:val="0"/>
        <w:spacing w:line="48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对投标文件中含义不明确、同类问题表述不一致或者有明显文字和计算错误的内容，评标委员会可要求投标人作出必要的澄清、说明或者纠正。投标人的澄清、说明或者补正应当采用书面形式，由其授权代表签字或盖章确认，并不得超出投标文件的范围或者改变投标文件的实质性内容。</w:t>
      </w:r>
    </w:p>
    <w:p w14:paraId="5CFC6EB4">
      <w:pPr>
        <w:keepNext w:val="0"/>
        <w:keepLines w:val="0"/>
        <w:pageBreakBefore w:val="0"/>
        <w:kinsoku/>
        <w:wordWrap/>
        <w:overflowPunct/>
        <w:topLinePunct w:val="0"/>
        <w:bidi w:val="0"/>
        <w:adjustRightInd w:val="0"/>
        <w:spacing w:line="48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（五）错误修正</w:t>
      </w:r>
    </w:p>
    <w:p w14:paraId="7B4B6AF8">
      <w:pPr>
        <w:keepNext w:val="0"/>
        <w:keepLines w:val="0"/>
        <w:pageBreakBefore w:val="0"/>
        <w:kinsoku/>
        <w:wordWrap/>
        <w:overflowPunct/>
        <w:topLinePunct w:val="0"/>
        <w:bidi w:val="0"/>
        <w:adjustRightInd w:val="0"/>
        <w:spacing w:line="48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投标文件如果出现计算或表达上的错误，修正错误的原则如下：</w:t>
      </w:r>
    </w:p>
    <w:p w14:paraId="4C923957">
      <w:pPr>
        <w:keepNext w:val="0"/>
        <w:keepLines w:val="0"/>
        <w:pageBreakBefore w:val="0"/>
        <w:kinsoku/>
        <w:wordWrap/>
        <w:overflowPunct/>
        <w:topLinePunct w:val="0"/>
        <w:bidi w:val="0"/>
        <w:adjustRightInd w:val="0"/>
        <w:spacing w:line="48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1.开标一览表总价与投标报价明细表汇总数不一致的，以开标一览表为准；</w:t>
      </w:r>
    </w:p>
    <w:p w14:paraId="40109C8C">
      <w:pPr>
        <w:keepNext w:val="0"/>
        <w:keepLines w:val="0"/>
        <w:pageBreakBefore w:val="0"/>
        <w:kinsoku/>
        <w:wordWrap/>
        <w:overflowPunct/>
        <w:topLinePunct w:val="0"/>
        <w:bidi w:val="0"/>
        <w:adjustRightInd w:val="0"/>
        <w:spacing w:line="48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2.投标文件的大写金额和小写金额不一致的，以大写金额为准；</w:t>
      </w:r>
    </w:p>
    <w:p w14:paraId="7AFFCE41">
      <w:pPr>
        <w:keepNext w:val="0"/>
        <w:keepLines w:val="0"/>
        <w:pageBreakBefore w:val="0"/>
        <w:kinsoku/>
        <w:wordWrap/>
        <w:overflowPunct/>
        <w:topLinePunct w:val="0"/>
        <w:bidi w:val="0"/>
        <w:adjustRightInd w:val="0"/>
        <w:spacing w:line="48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3.总价金额与按单价汇总金额不一致的，以</w:t>
      </w:r>
      <w:r>
        <w:rPr>
          <w:rFonts w:hint="eastAsia" w:ascii="宋体" w:hAnsi="宋体" w:cs="宋体"/>
          <w:color w:val="auto"/>
          <w:szCs w:val="21"/>
          <w:highlight w:val="none"/>
          <w:lang w:val="en-US" w:eastAsia="zh-CN"/>
        </w:rPr>
        <w:t>总价</w:t>
      </w:r>
      <w:r>
        <w:rPr>
          <w:rFonts w:hint="eastAsia" w:ascii="宋体" w:hAnsi="宋体" w:cs="宋体"/>
          <w:color w:val="auto"/>
          <w:szCs w:val="21"/>
          <w:highlight w:val="none"/>
        </w:rPr>
        <w:t>金额计算结果为准；</w:t>
      </w:r>
    </w:p>
    <w:p w14:paraId="6D9794D4">
      <w:pPr>
        <w:keepNext w:val="0"/>
        <w:keepLines w:val="0"/>
        <w:pageBreakBefore w:val="0"/>
        <w:kinsoku/>
        <w:wordWrap/>
        <w:overflowPunct/>
        <w:topLinePunct w:val="0"/>
        <w:bidi w:val="0"/>
        <w:adjustRightInd w:val="0"/>
        <w:spacing w:line="48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4.对不同文字文本投标文件的解释发生异议的，以中文文本为准。</w:t>
      </w:r>
    </w:p>
    <w:p w14:paraId="0AF2E0D9">
      <w:pPr>
        <w:keepNext w:val="0"/>
        <w:keepLines w:val="0"/>
        <w:pageBreakBefore w:val="0"/>
        <w:kinsoku/>
        <w:wordWrap/>
        <w:overflowPunct/>
        <w:topLinePunct w:val="0"/>
        <w:bidi w:val="0"/>
        <w:adjustRightInd w:val="0"/>
        <w:spacing w:line="48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按上述修正错误的原则及方法调整或修正投标文件的投标报价，投标人同意并签字确认后，调整后的投标报价对投标人具有约束作用。如果投标人不接受修正后的报价，则其投标将作为无效投标处理。</w:t>
      </w:r>
    </w:p>
    <w:p w14:paraId="133438CB">
      <w:pPr>
        <w:keepNext w:val="0"/>
        <w:keepLines w:val="0"/>
        <w:pageBreakBefore w:val="0"/>
        <w:kinsoku/>
        <w:wordWrap/>
        <w:overflowPunct/>
        <w:topLinePunct w:val="0"/>
        <w:bidi w:val="0"/>
        <w:adjustRightInd w:val="0"/>
        <w:spacing w:line="48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（六）评标原则和评标办法</w:t>
      </w:r>
    </w:p>
    <w:p w14:paraId="5875D583">
      <w:pPr>
        <w:keepNext w:val="0"/>
        <w:keepLines w:val="0"/>
        <w:pageBreakBefore w:val="0"/>
        <w:kinsoku/>
        <w:wordWrap/>
        <w:overflowPunct/>
        <w:topLinePunct w:val="0"/>
        <w:bidi w:val="0"/>
        <w:adjustRightInd w:val="0"/>
        <w:spacing w:line="48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1.评标原则。评标委员会必须公平、公正、客观，不带任何倾向性和启发性；不得向外界透露任何与评标有关的内容；任何单位和个人不得干扰、影响评标的正常进行；评标委员会及有关工作人员不得私下与投标人接触。</w:t>
      </w:r>
    </w:p>
    <w:p w14:paraId="320CC236">
      <w:pPr>
        <w:keepNext w:val="0"/>
        <w:keepLines w:val="0"/>
        <w:pageBreakBefore w:val="0"/>
        <w:kinsoku/>
        <w:wordWrap/>
        <w:overflowPunct/>
        <w:topLinePunct w:val="0"/>
        <w:bidi w:val="0"/>
        <w:adjustRightInd w:val="0"/>
        <w:spacing w:line="48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2.评标办法。具体评标内容及评分标准等详见《第四章：评标办法及评分标准》。</w:t>
      </w:r>
    </w:p>
    <w:p w14:paraId="3108B205">
      <w:pPr>
        <w:keepNext w:val="0"/>
        <w:keepLines w:val="0"/>
        <w:pageBreakBefore w:val="0"/>
        <w:kinsoku/>
        <w:wordWrap/>
        <w:overflowPunct/>
        <w:topLinePunct w:val="0"/>
        <w:bidi w:val="0"/>
        <w:adjustRightInd w:val="0"/>
        <w:spacing w:line="48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（七）评标过程的监控</w:t>
      </w:r>
    </w:p>
    <w:p w14:paraId="2431B760">
      <w:pPr>
        <w:keepNext w:val="0"/>
        <w:keepLines w:val="0"/>
        <w:pageBreakBefore w:val="0"/>
        <w:kinsoku/>
        <w:wordWrap/>
        <w:overflowPunct/>
        <w:topLinePunct w:val="0"/>
        <w:bidi w:val="0"/>
        <w:adjustRightInd w:val="0"/>
        <w:spacing w:line="480" w:lineRule="exact"/>
        <w:ind w:firstLine="420" w:firstLineChars="200"/>
        <w:textAlignment w:val="auto"/>
        <w:rPr>
          <w:rFonts w:hint="eastAsia" w:ascii="宋体" w:hAnsi="宋体" w:cs="宋体"/>
          <w:color w:val="auto"/>
          <w:szCs w:val="21"/>
          <w:highlight w:val="none"/>
        </w:rPr>
      </w:pPr>
      <w:r>
        <w:rPr>
          <w:rFonts w:hint="eastAsia" w:ascii="宋体" w:hAnsi="宋体" w:cs="宋体"/>
          <w:color w:val="auto"/>
          <w:szCs w:val="21"/>
          <w:highlight w:val="none"/>
        </w:rPr>
        <w:t>本项目评标过程实行全程录音、录像监控，投标人在评标过程中所进行的试图影响评标结果的不公正活动，可能导致其投标被拒绝。</w:t>
      </w:r>
    </w:p>
    <w:p w14:paraId="38414D90">
      <w:pPr>
        <w:keepNext w:val="0"/>
        <w:keepLines w:val="0"/>
        <w:pageBreakBefore w:val="0"/>
        <w:kinsoku/>
        <w:wordWrap/>
        <w:overflowPunct/>
        <w:topLinePunct w:val="0"/>
        <w:bidi w:val="0"/>
        <w:adjustRightInd w:val="0"/>
        <w:spacing w:line="480" w:lineRule="exact"/>
        <w:ind w:firstLine="420"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（八）中止电子交易活动的情形</w:t>
      </w:r>
    </w:p>
    <w:p w14:paraId="745B3C3F">
      <w:pPr>
        <w:keepNext w:val="0"/>
        <w:keepLines w:val="0"/>
        <w:pageBreakBefore w:val="0"/>
        <w:kinsoku/>
        <w:wordWrap/>
        <w:overflowPunct/>
        <w:topLinePunct w:val="0"/>
        <w:bidi w:val="0"/>
        <w:adjustRightInd w:val="0"/>
        <w:spacing w:line="480" w:lineRule="exact"/>
        <w:ind w:firstLine="420"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采购过程中出现以下情形，导致电子交易平台无法正常运行，或者无法保证电子交易的公平、公正和安全时，中止电子交易活动：</w:t>
      </w:r>
    </w:p>
    <w:p w14:paraId="184C3084">
      <w:pPr>
        <w:keepNext w:val="0"/>
        <w:keepLines w:val="0"/>
        <w:pageBreakBefore w:val="0"/>
        <w:kinsoku/>
        <w:wordWrap/>
        <w:overflowPunct/>
        <w:topLinePunct w:val="0"/>
        <w:bidi w:val="0"/>
        <w:adjustRightInd w:val="0"/>
        <w:spacing w:line="480" w:lineRule="exact"/>
        <w:ind w:firstLine="420"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1.电子交易平台发生故障而无法登录访问的；</w:t>
      </w:r>
    </w:p>
    <w:p w14:paraId="0DFBE80C">
      <w:pPr>
        <w:keepNext w:val="0"/>
        <w:keepLines w:val="0"/>
        <w:pageBreakBefore w:val="0"/>
        <w:kinsoku/>
        <w:wordWrap/>
        <w:overflowPunct/>
        <w:topLinePunct w:val="0"/>
        <w:bidi w:val="0"/>
        <w:adjustRightInd w:val="0"/>
        <w:spacing w:line="480" w:lineRule="exact"/>
        <w:ind w:firstLine="420"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2.电子交易平台应用或数据库出现错误，不能进行正常操作的；</w:t>
      </w:r>
    </w:p>
    <w:p w14:paraId="3676CA6F">
      <w:pPr>
        <w:keepNext w:val="0"/>
        <w:keepLines w:val="0"/>
        <w:pageBreakBefore w:val="0"/>
        <w:kinsoku/>
        <w:wordWrap/>
        <w:overflowPunct/>
        <w:topLinePunct w:val="0"/>
        <w:bidi w:val="0"/>
        <w:adjustRightInd w:val="0"/>
        <w:spacing w:line="480" w:lineRule="exact"/>
        <w:ind w:firstLine="420"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3.电子交易平台发现严重安全漏洞，有潜在泄密危险的；</w:t>
      </w:r>
    </w:p>
    <w:p w14:paraId="17F92A34">
      <w:pPr>
        <w:keepNext w:val="0"/>
        <w:keepLines w:val="0"/>
        <w:pageBreakBefore w:val="0"/>
        <w:kinsoku/>
        <w:wordWrap/>
        <w:overflowPunct/>
        <w:topLinePunct w:val="0"/>
        <w:bidi w:val="0"/>
        <w:adjustRightInd w:val="0"/>
        <w:spacing w:line="480" w:lineRule="exact"/>
        <w:ind w:firstLine="420"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4.病毒发作导致不能进行正常操作的；</w:t>
      </w:r>
    </w:p>
    <w:p w14:paraId="290FC539">
      <w:pPr>
        <w:keepNext w:val="0"/>
        <w:keepLines w:val="0"/>
        <w:pageBreakBefore w:val="0"/>
        <w:kinsoku/>
        <w:wordWrap/>
        <w:overflowPunct/>
        <w:topLinePunct w:val="0"/>
        <w:bidi w:val="0"/>
        <w:adjustRightInd w:val="0"/>
        <w:spacing w:line="480" w:lineRule="exact"/>
        <w:ind w:firstLine="420"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5.其他无法保证电子交易的公平、公正和安全的情况。</w:t>
      </w:r>
    </w:p>
    <w:p w14:paraId="796FD64E">
      <w:pPr>
        <w:keepNext w:val="0"/>
        <w:keepLines w:val="0"/>
        <w:pageBreakBefore w:val="0"/>
        <w:kinsoku/>
        <w:wordWrap/>
        <w:overflowPunct/>
        <w:topLinePunct w:val="0"/>
        <w:bidi w:val="0"/>
        <w:adjustRightInd w:val="0"/>
        <w:spacing w:line="480" w:lineRule="exact"/>
        <w:ind w:firstLine="420" w:firstLineChars="200"/>
        <w:textAlignment w:val="auto"/>
        <w:rPr>
          <w:color w:val="auto"/>
          <w:highlight w:val="none"/>
        </w:rPr>
      </w:pPr>
      <w:r>
        <w:rPr>
          <w:rFonts w:hint="eastAsia" w:ascii="宋体" w:hAnsi="宋体" w:eastAsia="宋体" w:cs="宋体"/>
          <w:color w:val="auto"/>
          <w:szCs w:val="21"/>
          <w:highlight w:val="none"/>
        </w:rPr>
        <w:t>出现前款规定情形，不影响采购公平、公正性的，采购组织机构可以待上述情形消除后继续组织电子交易活动，也可以决定某些环节以纸质形式进行评审；影响或可能影响采购公平、公正性的，应当重新采购。</w:t>
      </w:r>
    </w:p>
    <w:p w14:paraId="7022F0E7">
      <w:pPr>
        <w:keepNext w:val="0"/>
        <w:keepLines w:val="0"/>
        <w:pageBreakBefore w:val="0"/>
        <w:kinsoku/>
        <w:wordWrap/>
        <w:overflowPunct/>
        <w:topLinePunct w:val="0"/>
        <w:bidi w:val="0"/>
        <w:adjustRightInd w:val="0"/>
        <w:spacing w:line="480" w:lineRule="exact"/>
        <w:ind w:firstLine="422" w:firstLineChars="200"/>
        <w:textAlignment w:val="auto"/>
        <w:rPr>
          <w:rFonts w:ascii="宋体" w:hAnsi="宋体" w:cs="宋体"/>
          <w:b/>
          <w:color w:val="auto"/>
          <w:szCs w:val="21"/>
          <w:highlight w:val="none"/>
        </w:rPr>
      </w:pPr>
      <w:r>
        <w:rPr>
          <w:rFonts w:hint="eastAsia" w:ascii="宋体" w:hAnsi="宋体" w:cs="宋体"/>
          <w:b/>
          <w:color w:val="auto"/>
          <w:szCs w:val="21"/>
          <w:highlight w:val="none"/>
        </w:rPr>
        <w:t>六、定标</w:t>
      </w:r>
    </w:p>
    <w:p w14:paraId="7CB9B627">
      <w:pPr>
        <w:keepNext w:val="0"/>
        <w:keepLines w:val="0"/>
        <w:pageBreakBefore w:val="0"/>
        <w:kinsoku/>
        <w:wordWrap/>
        <w:overflowPunct/>
        <w:topLinePunct w:val="0"/>
        <w:bidi w:val="0"/>
        <w:adjustRightInd w:val="0"/>
        <w:spacing w:line="48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确定中标人。本项目由招标人（或招标人事先授权评标委员会）确定中标人。</w:t>
      </w:r>
    </w:p>
    <w:p w14:paraId="3545460C">
      <w:pPr>
        <w:keepNext w:val="0"/>
        <w:keepLines w:val="0"/>
        <w:pageBreakBefore w:val="0"/>
        <w:kinsoku/>
        <w:wordWrap/>
        <w:overflowPunct/>
        <w:topLinePunct w:val="0"/>
        <w:bidi w:val="0"/>
        <w:adjustRightInd w:val="0"/>
        <w:spacing w:line="48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1.采购代理机构在评标结束后2个工作日内将评标报告交招标人确认。</w:t>
      </w:r>
    </w:p>
    <w:p w14:paraId="7287D40C">
      <w:pPr>
        <w:keepNext w:val="0"/>
        <w:keepLines w:val="0"/>
        <w:pageBreakBefore w:val="0"/>
        <w:kinsoku/>
        <w:wordWrap/>
        <w:overflowPunct/>
        <w:topLinePunct w:val="0"/>
        <w:bidi w:val="0"/>
        <w:adjustRightInd w:val="0"/>
        <w:spacing w:line="48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2.投标人对评标结果无异议的，招标人应在收到评标报告后5个工作日内对评标结果进行确认。如有投标人对评标结果提出质疑的，招标人可在质疑处理完毕后确定中标人。</w:t>
      </w:r>
    </w:p>
    <w:p w14:paraId="6799B281">
      <w:pPr>
        <w:keepNext w:val="0"/>
        <w:keepLines w:val="0"/>
        <w:pageBreakBefore w:val="0"/>
        <w:kinsoku/>
        <w:wordWrap/>
        <w:overflowPunct/>
        <w:topLinePunct w:val="0"/>
        <w:bidi w:val="0"/>
        <w:adjustRightInd w:val="0"/>
        <w:spacing w:line="48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3.中标结果公示期：1个工作日。</w:t>
      </w:r>
    </w:p>
    <w:p w14:paraId="1D7F3413">
      <w:pPr>
        <w:keepNext w:val="0"/>
        <w:keepLines w:val="0"/>
        <w:pageBreakBefore w:val="0"/>
        <w:kinsoku/>
        <w:wordWrap/>
        <w:overflowPunct/>
        <w:topLinePunct w:val="0"/>
        <w:bidi w:val="0"/>
        <w:adjustRightInd w:val="0"/>
        <w:spacing w:line="480" w:lineRule="exact"/>
        <w:ind w:firstLine="420" w:firstLineChars="200"/>
        <w:textAlignment w:val="auto"/>
        <w:rPr>
          <w:rFonts w:ascii="宋体" w:hAnsi="宋体" w:cs="宋体"/>
          <w:b/>
          <w:color w:val="auto"/>
          <w:szCs w:val="21"/>
          <w:highlight w:val="none"/>
        </w:rPr>
      </w:pPr>
      <w:r>
        <w:rPr>
          <w:rFonts w:hint="eastAsia" w:ascii="宋体" w:hAnsi="宋体" w:cs="宋体"/>
          <w:color w:val="auto"/>
          <w:szCs w:val="21"/>
          <w:highlight w:val="none"/>
        </w:rPr>
        <w:t>4.中标结果公示的同时采购代理机构以书面形式发出《中标通知书》。</w:t>
      </w:r>
    </w:p>
    <w:p w14:paraId="2FCA1D5A">
      <w:pPr>
        <w:keepNext w:val="0"/>
        <w:keepLines w:val="0"/>
        <w:pageBreakBefore w:val="0"/>
        <w:kinsoku/>
        <w:wordWrap/>
        <w:overflowPunct/>
        <w:topLinePunct w:val="0"/>
        <w:bidi w:val="0"/>
        <w:adjustRightInd w:val="0"/>
        <w:spacing w:line="480" w:lineRule="exact"/>
        <w:ind w:firstLine="422" w:firstLineChars="200"/>
        <w:textAlignment w:val="auto"/>
        <w:rPr>
          <w:rFonts w:ascii="宋体" w:hAnsi="宋体" w:cs="宋体"/>
          <w:b/>
          <w:color w:val="auto"/>
          <w:szCs w:val="21"/>
          <w:highlight w:val="none"/>
        </w:rPr>
      </w:pPr>
      <w:r>
        <w:rPr>
          <w:rFonts w:hint="eastAsia" w:ascii="宋体" w:hAnsi="宋体" w:cs="宋体"/>
          <w:b/>
          <w:color w:val="auto"/>
          <w:szCs w:val="21"/>
          <w:highlight w:val="none"/>
        </w:rPr>
        <w:t>七、合同授予</w:t>
      </w:r>
    </w:p>
    <w:p w14:paraId="338D6192">
      <w:pPr>
        <w:keepNext w:val="0"/>
        <w:keepLines w:val="0"/>
        <w:pageBreakBefore w:val="0"/>
        <w:kinsoku/>
        <w:wordWrap/>
        <w:overflowPunct/>
        <w:topLinePunct w:val="0"/>
        <w:bidi w:val="0"/>
        <w:adjustRightInd w:val="0"/>
        <w:spacing w:line="48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1.招标人与中标人应当在《中标通知书》发出之日起</w:t>
      </w:r>
      <w:r>
        <w:rPr>
          <w:rFonts w:hint="eastAsia" w:ascii="宋体" w:hAnsi="宋体" w:cs="宋体"/>
          <w:color w:val="auto"/>
          <w:szCs w:val="21"/>
          <w:highlight w:val="none"/>
          <w:lang w:val="en-US" w:eastAsia="zh-CN"/>
        </w:rPr>
        <w:t>2</w:t>
      </w:r>
      <w:r>
        <w:rPr>
          <w:rFonts w:hint="eastAsia" w:ascii="宋体" w:hAnsi="宋体" w:cs="宋体"/>
          <w:color w:val="auto"/>
          <w:szCs w:val="21"/>
          <w:highlight w:val="none"/>
        </w:rPr>
        <w:t>0日内签订合同。同时，采购代理机构对合同内容进行审查，如发现与采购结果和投标承诺内容不一致的，应予以纠正。</w:t>
      </w:r>
    </w:p>
    <w:p w14:paraId="37A48684">
      <w:pPr>
        <w:keepNext w:val="0"/>
        <w:keepLines w:val="0"/>
        <w:pageBreakBefore w:val="0"/>
        <w:kinsoku/>
        <w:wordWrap/>
        <w:overflowPunct/>
        <w:topLinePunct w:val="0"/>
        <w:bidi w:val="0"/>
        <w:adjustRightInd w:val="0"/>
        <w:spacing w:line="48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2.招标文件、中标供应商的投标文件、招标过程中供应商作出的承诺及其澄清文件、中标通知书等，均为合同的组成部分。</w:t>
      </w:r>
    </w:p>
    <w:p w14:paraId="16B7F4B1">
      <w:pPr>
        <w:keepNext w:val="0"/>
        <w:keepLines w:val="0"/>
        <w:pageBreakBefore w:val="0"/>
        <w:kinsoku/>
        <w:wordWrap/>
        <w:overflowPunct/>
        <w:topLinePunct w:val="0"/>
        <w:bidi w:val="0"/>
        <w:adjustRightInd w:val="0"/>
        <w:spacing w:line="48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3.中标人拖延、拒签合同的,将取消中标资格。在此情况下，招标人和采购代理机构可将成交权授予招标小组提供的后一名候选人或重新招标，对受影响的供应商不承担任何责任。</w:t>
      </w:r>
    </w:p>
    <w:p w14:paraId="009CF49D">
      <w:pPr>
        <w:keepNext w:val="0"/>
        <w:keepLines w:val="0"/>
        <w:pageBreakBefore w:val="0"/>
        <w:kinsoku/>
        <w:wordWrap/>
        <w:overflowPunct/>
        <w:topLinePunct w:val="0"/>
        <w:autoSpaceDE/>
        <w:autoSpaceDN/>
        <w:bidi w:val="0"/>
        <w:adjustRightInd/>
        <w:spacing w:line="480" w:lineRule="exact"/>
        <w:ind w:firstLine="422" w:firstLineChars="200"/>
        <w:jc w:val="both"/>
        <w:textAlignment w:val="auto"/>
        <w:rPr>
          <w:rFonts w:hint="eastAsia" w:ascii="宋体" w:hAnsi="宋体" w:eastAsia="宋体" w:cs="宋体"/>
          <w:b/>
          <w:color w:val="auto"/>
          <w:sz w:val="21"/>
          <w:szCs w:val="21"/>
          <w:highlight w:val="none"/>
        </w:rPr>
      </w:pPr>
      <w:r>
        <w:rPr>
          <w:rFonts w:hint="eastAsia" w:ascii="宋体" w:hAnsi="宋体" w:cs="宋体"/>
          <w:b/>
          <w:color w:val="auto"/>
          <w:sz w:val="21"/>
          <w:szCs w:val="21"/>
          <w:highlight w:val="none"/>
          <w:lang w:val="en-US" w:eastAsia="zh-CN"/>
        </w:rPr>
        <w:t>八</w:t>
      </w:r>
      <w:r>
        <w:rPr>
          <w:rFonts w:hint="eastAsia" w:ascii="宋体" w:hAnsi="宋体" w:eastAsia="宋体" w:cs="宋体"/>
          <w:b/>
          <w:color w:val="auto"/>
          <w:sz w:val="21"/>
          <w:szCs w:val="21"/>
          <w:highlight w:val="none"/>
        </w:rPr>
        <w:t>、电子投标特别提醒</w:t>
      </w:r>
    </w:p>
    <w:p w14:paraId="7EFE6B6A">
      <w:pPr>
        <w:keepNext w:val="0"/>
        <w:keepLines w:val="0"/>
        <w:pageBreakBefore w:val="0"/>
        <w:kinsoku/>
        <w:wordWrap/>
        <w:overflowPunct/>
        <w:topLinePunct w:val="0"/>
        <w:bidi w:val="0"/>
        <w:snapToGrid w:val="0"/>
        <w:spacing w:line="480" w:lineRule="exact"/>
        <w:ind w:firstLine="420"/>
        <w:textAlignment w:val="auto"/>
        <w:rPr>
          <w:rFonts w:hint="eastAsia" w:ascii="宋体" w:hAnsi="宋体" w:eastAsia="宋体" w:cs="宋体"/>
          <w:color w:val="auto"/>
          <w:sz w:val="21"/>
          <w:highlight w:val="none"/>
        </w:rPr>
      </w:pPr>
      <w:r>
        <w:rPr>
          <w:rFonts w:hint="eastAsia" w:ascii="宋体" w:hAnsi="宋体" w:eastAsia="宋体" w:cs="宋体"/>
          <w:color w:val="auto"/>
          <w:sz w:val="21"/>
          <w:highlight w:val="none"/>
        </w:rPr>
        <w:t>1.请所有投标人在政采云系统准时参加线上开标活动,并且要求法定代表人或授权委托人全程在线。</w:t>
      </w:r>
    </w:p>
    <w:p w14:paraId="4A777EC1">
      <w:pPr>
        <w:keepNext w:val="0"/>
        <w:keepLines w:val="0"/>
        <w:pageBreakBefore w:val="0"/>
        <w:kinsoku/>
        <w:wordWrap/>
        <w:overflowPunct/>
        <w:topLinePunct w:val="0"/>
        <w:autoSpaceDE/>
        <w:autoSpaceDN/>
        <w:bidi w:val="0"/>
        <w:adjustRightInd/>
        <w:snapToGrid w:val="0"/>
        <w:spacing w:line="480" w:lineRule="exact"/>
        <w:ind w:firstLine="420"/>
        <w:textAlignment w:val="auto"/>
        <w:rPr>
          <w:rFonts w:hint="eastAsia" w:ascii="宋体" w:hAnsi="宋体" w:eastAsia="宋体" w:cs="宋体"/>
          <w:color w:val="auto"/>
          <w:sz w:val="21"/>
          <w:highlight w:val="none"/>
        </w:rPr>
      </w:pPr>
      <w:r>
        <w:rPr>
          <w:rFonts w:hint="eastAsia" w:ascii="宋体" w:hAnsi="宋体" w:eastAsia="宋体" w:cs="宋体"/>
          <w:color w:val="auto"/>
          <w:sz w:val="21"/>
          <w:highlight w:val="none"/>
        </w:rPr>
        <w:t>2.投标截止时间后，代理机构将线上开启解密，投标人需及时用CA锁在线解密，解密时间一般为半小时（</w:t>
      </w:r>
      <w:r>
        <w:rPr>
          <w:rFonts w:hint="eastAsia" w:ascii="宋体" w:hAnsi="宋体" w:eastAsia="宋体" w:cs="宋体"/>
          <w:color w:val="auto"/>
          <w:sz w:val="21"/>
          <w:szCs w:val="21"/>
          <w:highlight w:val="none"/>
        </w:rPr>
        <w:t>解密时限由财政部门设置</w:t>
      </w:r>
      <w:r>
        <w:rPr>
          <w:rFonts w:hint="eastAsia" w:ascii="宋体" w:hAnsi="宋体" w:eastAsia="宋体" w:cs="宋体"/>
          <w:color w:val="auto"/>
          <w:sz w:val="21"/>
          <w:highlight w:val="none"/>
        </w:rPr>
        <w:t>），逾期解密，投标人自行承担风险。</w:t>
      </w:r>
    </w:p>
    <w:p w14:paraId="2E215A17">
      <w:pPr>
        <w:keepNext w:val="0"/>
        <w:keepLines w:val="0"/>
        <w:pageBreakBefore w:val="0"/>
        <w:widowControl/>
        <w:kinsoku/>
        <w:wordWrap/>
        <w:overflowPunct/>
        <w:topLinePunct w:val="0"/>
        <w:autoSpaceDE/>
        <w:autoSpaceDN/>
        <w:bidi w:val="0"/>
        <w:adjustRightInd/>
        <w:snapToGrid w:val="0"/>
        <w:spacing w:line="480" w:lineRule="exact"/>
        <w:ind w:firstLine="420"/>
        <w:textAlignment w:val="auto"/>
        <w:rPr>
          <w:rFonts w:hint="eastAsia" w:ascii="宋体" w:hAnsi="宋体" w:eastAsia="宋体" w:cs="宋体"/>
          <w:color w:val="auto"/>
          <w:sz w:val="21"/>
          <w:highlight w:val="none"/>
        </w:rPr>
      </w:pPr>
      <w:r>
        <w:rPr>
          <w:rFonts w:hint="eastAsia" w:ascii="宋体" w:hAnsi="宋体" w:eastAsia="宋体" w:cs="宋体"/>
          <w:color w:val="auto"/>
          <w:sz w:val="21"/>
          <w:highlight w:val="none"/>
        </w:rPr>
        <w:t>3.解密响应文件的CA锁必须跟制作响应文件的CA锁为同一个，否则将导致解密失败。</w:t>
      </w:r>
    </w:p>
    <w:p w14:paraId="4CE6059D">
      <w:pPr>
        <w:keepNext w:val="0"/>
        <w:keepLines w:val="0"/>
        <w:pageBreakBefore w:val="0"/>
        <w:kinsoku/>
        <w:wordWrap/>
        <w:overflowPunct/>
        <w:topLinePunct w:val="0"/>
        <w:autoSpaceDE/>
        <w:autoSpaceDN/>
        <w:bidi w:val="0"/>
        <w:adjustRightInd/>
        <w:spacing w:line="480" w:lineRule="exact"/>
        <w:ind w:firstLine="420" w:firstLineChars="200"/>
        <w:textAlignment w:val="auto"/>
        <w:rPr>
          <w:rFonts w:ascii="宋体" w:hAnsi="宋体" w:cs="宋体"/>
          <w:color w:val="auto"/>
          <w:szCs w:val="21"/>
          <w:highlight w:val="none"/>
        </w:rPr>
      </w:pPr>
      <w:bookmarkStart w:id="9" w:name="_Toc7787"/>
      <w:r>
        <w:rPr>
          <w:rFonts w:hint="eastAsia" w:ascii="宋体" w:hAnsi="宋体" w:eastAsia="宋体" w:cs="宋体"/>
          <w:bCs/>
          <w:color w:val="auto"/>
          <w:sz w:val="21"/>
          <w:szCs w:val="22"/>
          <w:highlight w:val="none"/>
        </w:rPr>
        <w:t>4.请务必确保投标文件（投标文件）制作客户端为最新版本，旧版本可能导致投标文件（投标文件）解密失败。</w:t>
      </w:r>
      <w:bookmarkEnd w:id="9"/>
      <w:r>
        <w:rPr>
          <w:rFonts w:hint="eastAsia" w:ascii="宋体" w:hAnsi="宋体" w:cs="宋体"/>
          <w:color w:val="auto"/>
          <w:szCs w:val="21"/>
          <w:highlight w:val="none"/>
        </w:rPr>
        <w:br w:type="page"/>
      </w:r>
    </w:p>
    <w:p w14:paraId="4AD7C50A">
      <w:pPr>
        <w:pStyle w:val="2"/>
        <w:keepLines w:val="0"/>
        <w:autoSpaceDE w:val="0"/>
        <w:autoSpaceDN w:val="0"/>
        <w:adjustRightInd w:val="0"/>
        <w:spacing w:before="0" w:line="360" w:lineRule="auto"/>
        <w:textAlignment w:val="baseline"/>
        <w:rPr>
          <w:rFonts w:cs="宋体"/>
          <w:bCs w:val="0"/>
          <w:color w:val="auto"/>
          <w:kern w:val="0"/>
          <w:highlight w:val="none"/>
        </w:rPr>
      </w:pPr>
      <w:bookmarkStart w:id="10" w:name="_Toc502069658"/>
      <w:r>
        <w:rPr>
          <w:rFonts w:hint="eastAsia" w:cs="宋体"/>
          <w:bCs w:val="0"/>
          <w:color w:val="auto"/>
          <w:kern w:val="0"/>
          <w:highlight w:val="none"/>
        </w:rPr>
        <w:t>第四章 评标办法及评分标准</w:t>
      </w:r>
      <w:bookmarkEnd w:id="10"/>
    </w:p>
    <w:p w14:paraId="2F9E4837">
      <w:pPr>
        <w:spacing w:line="50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为公正、公平、科学地选择中标人，根据《中华人民共和国政府采购法》等有关法律法规的规定，并结合本项目的实际，制定本办法。</w:t>
      </w:r>
    </w:p>
    <w:p w14:paraId="235882BF">
      <w:pPr>
        <w:spacing w:line="50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本办法适用本项目的评标。</w:t>
      </w:r>
    </w:p>
    <w:p w14:paraId="7638E67E">
      <w:pPr>
        <w:spacing w:line="500" w:lineRule="exact"/>
        <w:ind w:firstLine="422" w:firstLineChars="200"/>
        <w:rPr>
          <w:rFonts w:ascii="宋体" w:hAnsi="宋体" w:cs="宋体"/>
          <w:b/>
          <w:bCs/>
          <w:color w:val="auto"/>
          <w:szCs w:val="21"/>
          <w:highlight w:val="none"/>
        </w:rPr>
      </w:pPr>
      <w:r>
        <w:rPr>
          <w:rFonts w:hint="eastAsia" w:ascii="宋体" w:hAnsi="宋体" w:cs="宋体"/>
          <w:b/>
          <w:bCs/>
          <w:color w:val="auto"/>
          <w:szCs w:val="21"/>
          <w:highlight w:val="none"/>
        </w:rPr>
        <w:t>一、总则</w:t>
      </w:r>
    </w:p>
    <w:p w14:paraId="180D255C">
      <w:pPr>
        <w:spacing w:line="50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本次评标采用综合评分法，总分为100分，由价格分20分、</w:t>
      </w:r>
      <w:r>
        <w:rPr>
          <w:rFonts w:hint="eastAsia" w:ascii="宋体" w:hAnsi="宋体" w:cs="宋体"/>
          <w:color w:val="auto"/>
          <w:szCs w:val="21"/>
          <w:highlight w:val="none"/>
          <w:lang w:val="en-US" w:eastAsia="zh-CN"/>
        </w:rPr>
        <w:t>资信技术</w:t>
      </w:r>
      <w:r>
        <w:rPr>
          <w:rFonts w:hint="eastAsia" w:ascii="宋体" w:hAnsi="宋体" w:cs="宋体"/>
          <w:color w:val="auto"/>
          <w:szCs w:val="21"/>
          <w:highlight w:val="none"/>
        </w:rPr>
        <w:t>分80分二部分组成。</w:t>
      </w:r>
      <w:r>
        <w:rPr>
          <w:rFonts w:hint="eastAsia" w:hAnsi="宋体" w:cs="宋体"/>
          <w:color w:val="auto"/>
          <w:szCs w:val="21"/>
          <w:highlight w:val="none"/>
        </w:rPr>
        <w:t>合格投标人的评标得分为各项目汇总得分，中标候选资格按评标综合得分由高到低顺序排列，总得分最高的单位为中标人；总得分相同的，按投标报价由低到高顺序排列；最终得分且投标报价相同的，按技术得分由高到低顺序排列。评分过程中采用四舍五入法，并保留小数2位。</w:t>
      </w:r>
    </w:p>
    <w:p w14:paraId="740A6A2A">
      <w:pPr>
        <w:spacing w:line="5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投标人评标综合得分=价格分+资信技术分</w:t>
      </w:r>
    </w:p>
    <w:p w14:paraId="016023D4">
      <w:pPr>
        <w:spacing w:line="500" w:lineRule="exact"/>
        <w:ind w:firstLine="422" w:firstLineChars="200"/>
        <w:rPr>
          <w:rFonts w:ascii="宋体" w:hAnsi="宋体" w:cs="宋体"/>
          <w:b/>
          <w:bCs/>
          <w:color w:val="auto"/>
          <w:szCs w:val="21"/>
          <w:highlight w:val="none"/>
        </w:rPr>
      </w:pPr>
      <w:r>
        <w:rPr>
          <w:rFonts w:hint="eastAsia" w:ascii="宋体" w:hAnsi="宋体" w:cs="宋体"/>
          <w:b/>
          <w:color w:val="auto"/>
          <w:szCs w:val="21"/>
          <w:highlight w:val="none"/>
        </w:rPr>
        <w:t>二、</w:t>
      </w:r>
      <w:r>
        <w:rPr>
          <w:rFonts w:hint="eastAsia" w:ascii="宋体" w:hAnsi="宋体" w:cs="宋体"/>
          <w:b/>
          <w:bCs/>
          <w:color w:val="auto"/>
          <w:szCs w:val="21"/>
          <w:highlight w:val="none"/>
        </w:rPr>
        <w:t>评标内容及标准</w:t>
      </w:r>
    </w:p>
    <w:p w14:paraId="7AC33286">
      <w:pPr>
        <w:spacing w:line="500" w:lineRule="exact"/>
        <w:ind w:firstLine="422" w:firstLineChars="200"/>
        <w:rPr>
          <w:rFonts w:ascii="宋体" w:hAnsi="宋体" w:cs="宋体"/>
          <w:b/>
          <w:color w:val="auto"/>
          <w:szCs w:val="21"/>
          <w:highlight w:val="none"/>
        </w:rPr>
      </w:pPr>
      <w:r>
        <w:rPr>
          <w:rFonts w:hint="eastAsia" w:ascii="宋体" w:hAnsi="宋体" w:cs="宋体"/>
          <w:b/>
          <w:color w:val="auto"/>
          <w:szCs w:val="21"/>
          <w:highlight w:val="none"/>
        </w:rPr>
        <w:t>（一）价格分（20分）</w:t>
      </w:r>
    </w:p>
    <w:p w14:paraId="3B8D8D42">
      <w:pPr>
        <w:pStyle w:val="45"/>
        <w:autoSpaceDE w:val="0"/>
        <w:autoSpaceDN w:val="0"/>
        <w:adjustRightInd w:val="0"/>
        <w:spacing w:after="0" w:line="440" w:lineRule="exact"/>
        <w:ind w:left="0" w:leftChars="0"/>
        <w:textAlignment w:val="baseline"/>
        <w:rPr>
          <w:rFonts w:hint="eastAsia" w:ascii="宋体" w:hAnsi="宋体"/>
          <w:color w:val="auto"/>
          <w:sz w:val="21"/>
          <w:szCs w:val="21"/>
          <w:highlight w:val="none"/>
        </w:rPr>
      </w:pPr>
      <w:r>
        <w:rPr>
          <w:rFonts w:hint="eastAsia" w:ascii="宋体" w:hAnsi="宋体"/>
          <w:color w:val="auto"/>
          <w:sz w:val="21"/>
          <w:szCs w:val="21"/>
          <w:highlight w:val="none"/>
        </w:rPr>
        <w:t>投标人报价满分为</w:t>
      </w:r>
      <w:r>
        <w:rPr>
          <w:rFonts w:hint="eastAsia" w:ascii="宋体" w:hAnsi="宋体"/>
          <w:color w:val="auto"/>
          <w:sz w:val="21"/>
          <w:szCs w:val="21"/>
          <w:highlight w:val="none"/>
          <w:lang w:val="en-US" w:eastAsia="zh-CN"/>
        </w:rPr>
        <w:t>2</w:t>
      </w:r>
      <w:r>
        <w:rPr>
          <w:rFonts w:hint="eastAsia" w:ascii="宋体" w:hAnsi="宋体"/>
          <w:color w:val="auto"/>
          <w:sz w:val="21"/>
          <w:szCs w:val="21"/>
          <w:highlight w:val="none"/>
        </w:rPr>
        <w:t>0分， 报价权重</w:t>
      </w:r>
      <w:r>
        <w:rPr>
          <w:rFonts w:hint="eastAsia" w:ascii="宋体" w:hAnsi="宋体"/>
          <w:color w:val="auto"/>
          <w:sz w:val="21"/>
          <w:szCs w:val="21"/>
          <w:highlight w:val="none"/>
          <w:lang w:val="en-US" w:eastAsia="zh-CN"/>
        </w:rPr>
        <w:t>2</w:t>
      </w:r>
      <w:r>
        <w:rPr>
          <w:rFonts w:hint="eastAsia" w:ascii="宋体" w:hAnsi="宋体"/>
          <w:color w:val="auto"/>
          <w:sz w:val="21"/>
          <w:szCs w:val="21"/>
          <w:highlight w:val="none"/>
        </w:rPr>
        <w:t>0%，由评标委员会根据以下内容统一计算打分：</w:t>
      </w:r>
    </w:p>
    <w:p w14:paraId="6F6ABD13">
      <w:pPr>
        <w:pStyle w:val="45"/>
        <w:autoSpaceDE w:val="0"/>
        <w:autoSpaceDN w:val="0"/>
        <w:adjustRightInd w:val="0"/>
        <w:spacing w:after="0" w:line="440" w:lineRule="exact"/>
        <w:ind w:left="0" w:leftChars="0"/>
        <w:textAlignment w:val="baseline"/>
        <w:rPr>
          <w:rFonts w:hint="eastAsia" w:ascii="宋体" w:hAnsi="宋体"/>
          <w:color w:val="auto"/>
          <w:sz w:val="21"/>
          <w:szCs w:val="21"/>
          <w:highlight w:val="none"/>
        </w:rPr>
      </w:pPr>
      <w:r>
        <w:rPr>
          <w:rFonts w:hint="eastAsia" w:ascii="宋体" w:hAnsi="宋体"/>
          <w:color w:val="auto"/>
          <w:sz w:val="21"/>
          <w:szCs w:val="21"/>
          <w:highlight w:val="none"/>
        </w:rPr>
        <w:t>（1）报价评分应在投标报价范围口径一致的评定价基础上进行。属招标文件不清楚引起的报价内容和口径不一致的，则按有关规定统一调整投标报价内容和口径，计算出投标人的最终评定价。属投标人失误造成的报价差错和遗漏，不得调整。</w:t>
      </w:r>
    </w:p>
    <w:p w14:paraId="2AAFF810">
      <w:pPr>
        <w:pStyle w:val="45"/>
        <w:autoSpaceDE w:val="0"/>
        <w:autoSpaceDN w:val="0"/>
        <w:adjustRightInd w:val="0"/>
        <w:spacing w:after="0" w:line="440" w:lineRule="exact"/>
        <w:ind w:left="0" w:leftChars="0"/>
        <w:textAlignment w:val="baseline"/>
        <w:rPr>
          <w:rFonts w:hint="eastAsia" w:ascii="宋体" w:hAnsi="宋体"/>
          <w:color w:val="auto"/>
          <w:sz w:val="21"/>
          <w:szCs w:val="21"/>
          <w:highlight w:val="none"/>
        </w:rPr>
      </w:pPr>
      <w:r>
        <w:rPr>
          <w:rFonts w:hint="eastAsia" w:ascii="宋体" w:hAnsi="宋体"/>
          <w:color w:val="auto"/>
          <w:sz w:val="21"/>
          <w:szCs w:val="21"/>
          <w:highlight w:val="none"/>
        </w:rPr>
        <w:t>（2）最终报价超过最高限价的投标人不进入报价评分。</w:t>
      </w:r>
    </w:p>
    <w:p w14:paraId="47C9A9F0">
      <w:pPr>
        <w:pStyle w:val="45"/>
        <w:autoSpaceDE w:val="0"/>
        <w:autoSpaceDN w:val="0"/>
        <w:adjustRightInd w:val="0"/>
        <w:spacing w:after="0" w:line="440" w:lineRule="exact"/>
        <w:ind w:left="0" w:leftChars="0"/>
        <w:textAlignment w:val="baseline"/>
        <w:rPr>
          <w:rFonts w:hint="eastAsia" w:ascii="宋体" w:hAnsi="宋体"/>
          <w:color w:val="auto"/>
          <w:sz w:val="21"/>
          <w:szCs w:val="21"/>
          <w:highlight w:val="none"/>
        </w:rPr>
      </w:pPr>
      <w:r>
        <w:rPr>
          <w:rFonts w:hint="eastAsia" w:ascii="宋体" w:hAnsi="宋体"/>
          <w:color w:val="auto"/>
          <w:sz w:val="21"/>
          <w:szCs w:val="21"/>
          <w:highlight w:val="none"/>
        </w:rPr>
        <w:t>（3）最终报价有漏项的或报价数量少于招标文件要求数量的，其报价无效，且报价得分为0分，并不得推荐为中标候选人。</w:t>
      </w:r>
    </w:p>
    <w:p w14:paraId="32A32E8F">
      <w:pPr>
        <w:pStyle w:val="45"/>
        <w:autoSpaceDE w:val="0"/>
        <w:autoSpaceDN w:val="0"/>
        <w:adjustRightInd w:val="0"/>
        <w:spacing w:after="0" w:line="440" w:lineRule="exact"/>
        <w:ind w:left="0" w:leftChars="0"/>
        <w:textAlignment w:val="baseline"/>
        <w:rPr>
          <w:rFonts w:hint="eastAsia" w:ascii="宋体" w:hAnsi="宋体"/>
          <w:color w:val="auto"/>
          <w:sz w:val="21"/>
          <w:szCs w:val="21"/>
          <w:highlight w:val="none"/>
        </w:rPr>
      </w:pPr>
      <w:r>
        <w:rPr>
          <w:rFonts w:hint="eastAsia" w:ascii="宋体" w:hAnsi="宋体"/>
          <w:color w:val="auto"/>
          <w:sz w:val="21"/>
          <w:szCs w:val="21"/>
          <w:highlight w:val="none"/>
        </w:rPr>
        <w:t>如最终报价有增项的或报价数量多于招标文件要求数量的，不对其投标价格进行修正。若该投标人中标的，将按其承诺的有利于采购人的增项和数量进行供货，风险由中标人自行承担。</w:t>
      </w:r>
    </w:p>
    <w:p w14:paraId="35656710">
      <w:pPr>
        <w:pStyle w:val="45"/>
        <w:autoSpaceDE w:val="0"/>
        <w:autoSpaceDN w:val="0"/>
        <w:adjustRightInd w:val="0"/>
        <w:spacing w:after="0" w:line="440" w:lineRule="exact"/>
        <w:ind w:left="0" w:leftChars="0"/>
        <w:textAlignment w:val="baseline"/>
        <w:rPr>
          <w:rFonts w:hint="eastAsia" w:ascii="宋体" w:hAnsi="宋体"/>
          <w:color w:val="auto"/>
          <w:sz w:val="21"/>
          <w:szCs w:val="21"/>
          <w:highlight w:val="none"/>
        </w:rPr>
      </w:pPr>
      <w:r>
        <w:rPr>
          <w:rFonts w:hint="eastAsia" w:ascii="宋体" w:hAnsi="宋体"/>
          <w:color w:val="auto"/>
          <w:sz w:val="21"/>
          <w:szCs w:val="21"/>
          <w:highlight w:val="none"/>
        </w:rPr>
        <w:t>（</w:t>
      </w:r>
      <w:r>
        <w:rPr>
          <w:rFonts w:hint="eastAsia" w:ascii="宋体" w:hAnsi="宋体"/>
          <w:color w:val="auto"/>
          <w:sz w:val="21"/>
          <w:szCs w:val="21"/>
          <w:highlight w:val="none"/>
          <w:lang w:val="en-US" w:eastAsia="zh-CN"/>
        </w:rPr>
        <w:t>4</w:t>
      </w:r>
      <w:r>
        <w:rPr>
          <w:rFonts w:hint="eastAsia" w:ascii="宋体" w:hAnsi="宋体"/>
          <w:color w:val="auto"/>
          <w:sz w:val="21"/>
          <w:szCs w:val="21"/>
          <w:highlight w:val="none"/>
        </w:rPr>
        <w:t>）评标基准价=各有效投标单位中的最低评标价；</w:t>
      </w:r>
    </w:p>
    <w:p w14:paraId="0304F7B4">
      <w:pPr>
        <w:pStyle w:val="45"/>
        <w:autoSpaceDE w:val="0"/>
        <w:autoSpaceDN w:val="0"/>
        <w:adjustRightInd w:val="0"/>
        <w:spacing w:after="0" w:line="440" w:lineRule="exact"/>
        <w:ind w:left="0" w:leftChars="0"/>
        <w:textAlignment w:val="baseline"/>
        <w:rPr>
          <w:rFonts w:hint="eastAsia" w:ascii="宋体" w:hAnsi="宋体"/>
          <w:color w:val="auto"/>
          <w:sz w:val="21"/>
          <w:szCs w:val="21"/>
          <w:highlight w:val="none"/>
        </w:rPr>
      </w:pPr>
      <w:r>
        <w:rPr>
          <w:rFonts w:hint="eastAsia" w:ascii="宋体" w:hAnsi="宋体"/>
          <w:color w:val="auto"/>
          <w:sz w:val="21"/>
          <w:szCs w:val="21"/>
          <w:highlight w:val="none"/>
        </w:rPr>
        <w:t>（</w:t>
      </w:r>
      <w:r>
        <w:rPr>
          <w:rFonts w:hint="eastAsia" w:ascii="宋体" w:hAnsi="宋体"/>
          <w:color w:val="auto"/>
          <w:sz w:val="21"/>
          <w:szCs w:val="21"/>
          <w:highlight w:val="none"/>
          <w:lang w:val="en-US" w:eastAsia="zh-CN"/>
        </w:rPr>
        <w:t>5</w:t>
      </w:r>
      <w:r>
        <w:rPr>
          <w:rFonts w:hint="eastAsia" w:ascii="宋体" w:hAnsi="宋体"/>
          <w:color w:val="auto"/>
          <w:sz w:val="21"/>
          <w:szCs w:val="21"/>
          <w:highlight w:val="none"/>
        </w:rPr>
        <w:t>）评标价等于评标基准价的得</w:t>
      </w:r>
      <w:r>
        <w:rPr>
          <w:rFonts w:hint="eastAsia" w:ascii="宋体" w:hAnsi="宋体"/>
          <w:color w:val="auto"/>
          <w:sz w:val="21"/>
          <w:szCs w:val="21"/>
          <w:highlight w:val="none"/>
          <w:lang w:val="en-US" w:eastAsia="zh-CN"/>
        </w:rPr>
        <w:t>2</w:t>
      </w:r>
      <w:r>
        <w:rPr>
          <w:rFonts w:hint="eastAsia" w:ascii="宋体" w:hAnsi="宋体"/>
          <w:color w:val="auto"/>
          <w:sz w:val="21"/>
          <w:szCs w:val="21"/>
          <w:highlight w:val="none"/>
        </w:rPr>
        <w:t>0分，其他投标人的报价得分按下列公式计算：</w:t>
      </w:r>
    </w:p>
    <w:p w14:paraId="3BEB315D">
      <w:pPr>
        <w:widowControl/>
        <w:shd w:val="clear" w:color="auto" w:fill="FFFFFF"/>
        <w:autoSpaceDE w:val="0"/>
        <w:autoSpaceDN w:val="0"/>
        <w:adjustRightInd w:val="0"/>
        <w:spacing w:line="440" w:lineRule="exact"/>
        <w:ind w:firstLine="482"/>
        <w:textAlignment w:val="baseline"/>
        <w:rPr>
          <w:rFonts w:ascii="宋体" w:hAnsi="宋体" w:cs="宋体"/>
          <w:color w:val="auto"/>
          <w:szCs w:val="21"/>
          <w:highlight w:val="none"/>
        </w:rPr>
      </w:pPr>
      <w:r>
        <w:rPr>
          <w:rFonts w:hint="eastAsia" w:hAnsi="宋体" w:cs="宋体"/>
          <w:color w:val="auto"/>
          <w:szCs w:val="21"/>
          <w:highlight w:val="none"/>
        </w:rPr>
        <w:t>投标报价得分=（评定基准价/评标价）</w:t>
      </w:r>
      <w:r>
        <w:rPr>
          <w:rFonts w:hint="eastAsia" w:ascii="宋体" w:hAnsi="宋体" w:cs="宋体"/>
          <w:color w:val="auto"/>
          <w:szCs w:val="21"/>
          <w:highlight w:val="none"/>
        </w:rPr>
        <w:t>×20%×100。</w:t>
      </w:r>
      <w:r>
        <w:rPr>
          <w:rFonts w:hint="eastAsia" w:ascii="宋体" w:hAnsi="宋体" w:cs="宋体"/>
          <w:color w:val="auto"/>
          <w:szCs w:val="21"/>
          <w:highlight w:val="none"/>
        </w:rPr>
        <w:br w:type="textWrapping"/>
      </w:r>
      <w:r>
        <w:rPr>
          <w:rFonts w:hint="eastAsia" w:ascii="宋体" w:hAnsi="宋体" w:cs="宋体"/>
          <w:color w:val="auto"/>
          <w:szCs w:val="21"/>
          <w:highlight w:val="none"/>
        </w:rPr>
        <w:t xml:space="preserve">    （</w:t>
      </w:r>
      <w:r>
        <w:rPr>
          <w:rFonts w:hint="eastAsia" w:ascii="宋体" w:hAnsi="宋体" w:cs="宋体"/>
          <w:color w:val="auto"/>
          <w:szCs w:val="21"/>
          <w:highlight w:val="none"/>
          <w:lang w:val="en-US" w:eastAsia="zh-CN"/>
        </w:rPr>
        <w:t>6</w:t>
      </w:r>
      <w:r>
        <w:rPr>
          <w:rFonts w:hint="eastAsia" w:ascii="宋体" w:hAnsi="宋体" w:cs="宋体"/>
          <w:color w:val="auto"/>
          <w:szCs w:val="21"/>
          <w:highlight w:val="none"/>
        </w:rPr>
        <w:t>）投标人的投标报价超过招标人设定的上限价(即</w:t>
      </w:r>
      <w:r>
        <w:rPr>
          <w:rFonts w:hint="eastAsia" w:ascii="宋体" w:hAnsi="宋体" w:cs="宋体"/>
          <w:color w:val="auto"/>
          <w:szCs w:val="21"/>
          <w:highlight w:val="none"/>
          <w:lang w:val="en-US" w:eastAsia="zh-CN"/>
        </w:rPr>
        <w:t>总价最高限价</w:t>
      </w:r>
      <w:r>
        <w:rPr>
          <w:rFonts w:hint="eastAsia" w:ascii="宋体" w:hAnsi="宋体" w:cs="宋体"/>
          <w:color w:val="auto"/>
          <w:szCs w:val="21"/>
          <w:highlight w:val="none"/>
        </w:rPr>
        <w:t>），其报价文件作无效标处理。</w:t>
      </w:r>
    </w:p>
    <w:p w14:paraId="322580AD">
      <w:pPr>
        <w:widowControl/>
        <w:snapToGrid w:val="0"/>
        <w:spacing w:line="44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w:t>
      </w:r>
      <w:r>
        <w:rPr>
          <w:rFonts w:hint="eastAsia" w:ascii="宋体" w:hAnsi="宋体" w:cs="宋体"/>
          <w:color w:val="auto"/>
          <w:szCs w:val="21"/>
          <w:highlight w:val="none"/>
          <w:lang w:val="en-US" w:eastAsia="zh-CN"/>
        </w:rPr>
        <w:t>7</w:t>
      </w:r>
      <w:r>
        <w:rPr>
          <w:rFonts w:hint="eastAsia" w:ascii="宋体" w:hAnsi="宋体" w:cs="宋体"/>
          <w:color w:val="auto"/>
          <w:szCs w:val="21"/>
          <w:highlight w:val="none"/>
        </w:rPr>
        <w:t>）评标委员会认为投标人的报价明显低于其他通过符合性审查投标人的报价，有可能影响产品质量或者不能诚信履约的，将要求其在评标现场合理的时间内提供书面说明，必要时提交相关证明材料；投标人不能证明其报价合理性的，评标委员会可将其作为无效投标处理。</w:t>
      </w:r>
    </w:p>
    <w:p w14:paraId="4BD3450C">
      <w:pPr>
        <w:rPr>
          <w:rFonts w:hint="eastAsia" w:ascii="宋体" w:hAnsi="宋体" w:cs="宋体"/>
          <w:b/>
          <w:color w:val="auto"/>
          <w:szCs w:val="21"/>
          <w:highlight w:val="none"/>
        </w:rPr>
      </w:pPr>
      <w:r>
        <w:rPr>
          <w:rFonts w:hint="eastAsia" w:ascii="宋体" w:hAnsi="宋体" w:cs="宋体"/>
          <w:b/>
          <w:color w:val="auto"/>
          <w:szCs w:val="21"/>
          <w:highlight w:val="none"/>
        </w:rPr>
        <w:br w:type="page"/>
      </w:r>
    </w:p>
    <w:p w14:paraId="4065AF51">
      <w:pPr>
        <w:widowControl/>
        <w:snapToGrid w:val="0"/>
        <w:spacing w:line="460" w:lineRule="exact"/>
        <w:ind w:firstLine="422" w:firstLineChars="200"/>
        <w:rPr>
          <w:rFonts w:ascii="宋体" w:hAnsi="宋体" w:cs="宋体"/>
          <w:b/>
          <w:color w:val="auto"/>
          <w:szCs w:val="21"/>
          <w:highlight w:val="none"/>
        </w:rPr>
      </w:pPr>
      <w:r>
        <w:rPr>
          <w:rFonts w:hint="eastAsia" w:ascii="宋体" w:hAnsi="宋体" w:cs="宋体"/>
          <w:b/>
          <w:color w:val="auto"/>
          <w:szCs w:val="21"/>
          <w:highlight w:val="none"/>
        </w:rPr>
        <w:t>（二）资信技术分（80分）</w:t>
      </w:r>
    </w:p>
    <w:tbl>
      <w:tblPr>
        <w:tblStyle w:val="46"/>
        <w:tblW w:w="102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5"/>
        <w:gridCol w:w="1312"/>
        <w:gridCol w:w="7330"/>
        <w:gridCol w:w="937"/>
      </w:tblGrid>
      <w:tr w14:paraId="7E8FC8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blHeader/>
          <w:jc w:val="center"/>
        </w:trPr>
        <w:tc>
          <w:tcPr>
            <w:tcW w:w="705" w:type="dxa"/>
            <w:noWrap w:val="0"/>
            <w:vAlign w:val="center"/>
          </w:tcPr>
          <w:p w14:paraId="3E3B279E">
            <w:pPr>
              <w:spacing w:line="300" w:lineRule="exact"/>
              <w:jc w:val="center"/>
              <w:rPr>
                <w:rFonts w:ascii="宋体" w:hAnsi="宋体" w:eastAsia="宋体" w:cs="宋体"/>
                <w:b/>
                <w:bCs/>
                <w:color w:val="auto"/>
                <w:kern w:val="0"/>
                <w:sz w:val="21"/>
                <w:szCs w:val="21"/>
                <w:highlight w:val="none"/>
              </w:rPr>
            </w:pPr>
            <w:r>
              <w:rPr>
                <w:rFonts w:hint="eastAsia" w:ascii="宋体" w:hAnsi="宋体" w:eastAsia="宋体" w:cs="宋体"/>
                <w:b/>
                <w:bCs/>
                <w:color w:val="auto"/>
                <w:sz w:val="21"/>
                <w:szCs w:val="21"/>
                <w:highlight w:val="none"/>
              </w:rPr>
              <w:t>序号</w:t>
            </w:r>
          </w:p>
        </w:tc>
        <w:tc>
          <w:tcPr>
            <w:tcW w:w="1312" w:type="dxa"/>
            <w:noWrap w:val="0"/>
            <w:vAlign w:val="center"/>
          </w:tcPr>
          <w:p w14:paraId="2545B149">
            <w:pPr>
              <w:spacing w:line="300" w:lineRule="exact"/>
              <w:jc w:val="center"/>
              <w:rPr>
                <w:rFonts w:ascii="宋体" w:hAnsi="宋体" w:eastAsia="宋体" w:cs="宋体"/>
                <w:b/>
                <w:bCs/>
                <w:color w:val="auto"/>
                <w:kern w:val="0"/>
                <w:sz w:val="21"/>
                <w:szCs w:val="21"/>
                <w:highlight w:val="none"/>
              </w:rPr>
            </w:pPr>
            <w:r>
              <w:rPr>
                <w:rFonts w:hint="eastAsia" w:ascii="宋体" w:hAnsi="宋体" w:eastAsia="宋体" w:cs="宋体"/>
                <w:b/>
                <w:bCs/>
                <w:color w:val="auto"/>
                <w:sz w:val="21"/>
                <w:szCs w:val="21"/>
                <w:highlight w:val="none"/>
              </w:rPr>
              <w:t>评审内容</w:t>
            </w:r>
          </w:p>
        </w:tc>
        <w:tc>
          <w:tcPr>
            <w:tcW w:w="7330" w:type="dxa"/>
            <w:noWrap w:val="0"/>
            <w:vAlign w:val="center"/>
          </w:tcPr>
          <w:p w14:paraId="56C7DFC9">
            <w:pPr>
              <w:spacing w:line="300" w:lineRule="exact"/>
              <w:jc w:val="center"/>
              <w:rPr>
                <w:rFonts w:ascii="宋体" w:hAnsi="宋体" w:eastAsia="宋体" w:cs="宋体"/>
                <w:b/>
                <w:bCs/>
                <w:color w:val="auto"/>
                <w:kern w:val="0"/>
                <w:sz w:val="21"/>
                <w:szCs w:val="21"/>
                <w:highlight w:val="none"/>
              </w:rPr>
            </w:pPr>
            <w:r>
              <w:rPr>
                <w:rFonts w:hint="eastAsia" w:ascii="宋体" w:hAnsi="宋体" w:eastAsia="宋体" w:cs="宋体"/>
                <w:b/>
                <w:bCs/>
                <w:color w:val="auto"/>
                <w:sz w:val="21"/>
                <w:szCs w:val="21"/>
                <w:highlight w:val="none"/>
              </w:rPr>
              <w:t>评分基本规则</w:t>
            </w:r>
          </w:p>
        </w:tc>
        <w:tc>
          <w:tcPr>
            <w:tcW w:w="937" w:type="dxa"/>
            <w:noWrap w:val="0"/>
            <w:vAlign w:val="center"/>
          </w:tcPr>
          <w:p w14:paraId="0860DA71">
            <w:pPr>
              <w:spacing w:line="300" w:lineRule="exact"/>
              <w:jc w:val="center"/>
              <w:rPr>
                <w:rFonts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分值</w:t>
            </w:r>
          </w:p>
        </w:tc>
      </w:tr>
      <w:tr w14:paraId="4A11D0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1" w:hRule="atLeast"/>
          <w:jc w:val="center"/>
        </w:trPr>
        <w:tc>
          <w:tcPr>
            <w:tcW w:w="705" w:type="dxa"/>
            <w:vMerge w:val="restart"/>
            <w:noWrap w:val="0"/>
            <w:vAlign w:val="center"/>
          </w:tcPr>
          <w:p w14:paraId="6D9E9C22">
            <w:pPr>
              <w:widowControl/>
              <w:spacing w:line="300" w:lineRule="exact"/>
              <w:jc w:val="center"/>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c>
          <w:tcPr>
            <w:tcW w:w="1312" w:type="dxa"/>
            <w:vMerge w:val="restart"/>
            <w:noWrap w:val="0"/>
            <w:vAlign w:val="center"/>
          </w:tcPr>
          <w:p w14:paraId="5B7D03C4">
            <w:pPr>
              <w:spacing w:line="300" w:lineRule="exact"/>
              <w:jc w:val="center"/>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综合实力</w:t>
            </w:r>
          </w:p>
          <w:p w14:paraId="2145F041">
            <w:pPr>
              <w:spacing w:line="300" w:lineRule="exact"/>
              <w:jc w:val="center"/>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6</w:t>
            </w:r>
            <w:r>
              <w:rPr>
                <w:rFonts w:hint="eastAsia" w:ascii="宋体" w:hAnsi="宋体" w:eastAsia="宋体" w:cs="宋体"/>
                <w:color w:val="auto"/>
                <w:sz w:val="21"/>
                <w:szCs w:val="21"/>
                <w:highlight w:val="none"/>
              </w:rPr>
              <w:t>分）</w:t>
            </w:r>
          </w:p>
        </w:tc>
        <w:tc>
          <w:tcPr>
            <w:tcW w:w="7330" w:type="dxa"/>
            <w:noWrap w:val="0"/>
            <w:vAlign w:val="center"/>
          </w:tcPr>
          <w:p w14:paraId="4EFCAC9C">
            <w:pPr>
              <w:widowControl/>
              <w:jc w:val="left"/>
              <w:rPr>
                <w:rFonts w:hint="default" w:ascii="宋体" w:hAnsi="宋体" w:eastAsia="宋体" w:cs="宋体"/>
                <w:color w:val="auto"/>
                <w:sz w:val="21"/>
                <w:szCs w:val="21"/>
                <w:highlight w:val="none"/>
                <w:lang w:val="en-US" w:eastAsia="zh-CN"/>
              </w:rPr>
            </w:pPr>
            <w:r>
              <w:rPr>
                <w:rFonts w:hint="eastAsia"/>
                <w:color w:val="auto"/>
                <w:sz w:val="21"/>
                <w:szCs w:val="21"/>
                <w:highlight w:val="none"/>
              </w:rPr>
              <w:t>投标人具有浙江省水利水电工程物业管理服务能力评价证书的</w:t>
            </w:r>
            <w:r>
              <w:rPr>
                <w:rFonts w:hint="eastAsia" w:ascii="宋体" w:hAnsi="宋体" w:eastAsia="宋体" w:cs="宋体"/>
                <w:color w:val="auto"/>
                <w:sz w:val="21"/>
                <w:szCs w:val="21"/>
                <w:highlight w:val="none"/>
                <w:lang w:eastAsia="zh-CN"/>
              </w:rPr>
              <w:t>，甲级证书</w:t>
            </w:r>
            <w:r>
              <w:rPr>
                <w:rFonts w:hint="eastAsia" w:ascii="宋体" w:hAnsi="宋体" w:eastAsia="宋体" w:cs="宋体"/>
                <w:color w:val="auto"/>
                <w:sz w:val="21"/>
                <w:szCs w:val="21"/>
                <w:highlight w:val="none"/>
              </w:rPr>
              <w:t>得</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eastAsia="zh-CN"/>
              </w:rPr>
              <w:t>，乙级得</w:t>
            </w:r>
            <w:r>
              <w:rPr>
                <w:rFonts w:hint="eastAsia" w:ascii="宋体" w:hAnsi="宋体" w:eastAsia="宋体" w:cs="宋体"/>
                <w:color w:val="auto"/>
                <w:sz w:val="21"/>
                <w:szCs w:val="21"/>
                <w:highlight w:val="none"/>
                <w:lang w:val="en-US" w:eastAsia="zh-CN"/>
              </w:rPr>
              <w:t>2分，丙级得1分</w:t>
            </w:r>
            <w:r>
              <w:rPr>
                <w:rFonts w:hint="eastAsia" w:ascii="宋体" w:hAnsi="宋体" w:eastAsia="宋体" w:cs="宋体"/>
                <w:color w:val="auto"/>
                <w:sz w:val="21"/>
                <w:szCs w:val="21"/>
                <w:highlight w:val="none"/>
              </w:rPr>
              <w:t>。</w:t>
            </w:r>
          </w:p>
        </w:tc>
        <w:tc>
          <w:tcPr>
            <w:tcW w:w="937" w:type="dxa"/>
            <w:noWrap w:val="0"/>
            <w:vAlign w:val="center"/>
          </w:tcPr>
          <w:p w14:paraId="553B78CF">
            <w:pPr>
              <w:spacing w:line="300" w:lineRule="exact"/>
              <w:jc w:val="center"/>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0-</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分</w:t>
            </w:r>
          </w:p>
        </w:tc>
      </w:tr>
      <w:tr w14:paraId="0E78B8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jc w:val="center"/>
        </w:trPr>
        <w:tc>
          <w:tcPr>
            <w:tcW w:w="705" w:type="dxa"/>
            <w:vMerge w:val="continue"/>
            <w:noWrap w:val="0"/>
            <w:vAlign w:val="center"/>
          </w:tcPr>
          <w:p w14:paraId="09D7E3B8">
            <w:pPr>
              <w:widowControl/>
              <w:spacing w:line="300" w:lineRule="exact"/>
              <w:jc w:val="center"/>
              <w:rPr>
                <w:rFonts w:ascii="宋体" w:hAnsi="宋体" w:eastAsia="宋体" w:cs="宋体"/>
                <w:color w:val="auto"/>
                <w:sz w:val="21"/>
                <w:szCs w:val="21"/>
                <w:highlight w:val="none"/>
              </w:rPr>
            </w:pPr>
          </w:p>
        </w:tc>
        <w:tc>
          <w:tcPr>
            <w:tcW w:w="1312" w:type="dxa"/>
            <w:vMerge w:val="continue"/>
            <w:noWrap w:val="0"/>
            <w:vAlign w:val="center"/>
          </w:tcPr>
          <w:p w14:paraId="1B1DDA68">
            <w:pPr>
              <w:spacing w:line="300" w:lineRule="exact"/>
              <w:jc w:val="center"/>
              <w:rPr>
                <w:rFonts w:ascii="宋体" w:hAnsi="宋体" w:eastAsia="宋体" w:cs="宋体"/>
                <w:color w:val="auto"/>
                <w:sz w:val="21"/>
                <w:szCs w:val="21"/>
                <w:highlight w:val="none"/>
              </w:rPr>
            </w:pPr>
          </w:p>
        </w:tc>
        <w:tc>
          <w:tcPr>
            <w:tcW w:w="7330" w:type="dxa"/>
            <w:noWrap w:val="0"/>
            <w:vAlign w:val="center"/>
          </w:tcPr>
          <w:p w14:paraId="2DE36840">
            <w:pPr>
              <w:widowControl/>
              <w:jc w:val="left"/>
              <w:rPr>
                <w:rFonts w:ascii="宋体" w:hAnsi="宋体" w:eastAsia="宋体" w:cs="宋体"/>
                <w:color w:val="auto"/>
                <w:sz w:val="21"/>
                <w:szCs w:val="21"/>
                <w:highlight w:val="none"/>
              </w:rPr>
            </w:pPr>
            <w:r>
              <w:rPr>
                <w:rFonts w:hint="eastAsia"/>
                <w:color w:val="auto"/>
                <w:sz w:val="21"/>
                <w:szCs w:val="21"/>
                <w:highlight w:val="none"/>
              </w:rPr>
              <w:t>投标人同时具有质量管理体系认证、职业健康安全管理体系认证、环境管理体系认证证书，且证书覆盖范围包含水利水电工程的物业服务的或水利类维修养护的，</w:t>
            </w:r>
            <w:r>
              <w:rPr>
                <w:rFonts w:hint="eastAsia" w:ascii="宋体" w:hAnsi="宋体" w:eastAsia="宋体" w:cs="宋体"/>
                <w:color w:val="auto"/>
                <w:sz w:val="21"/>
                <w:szCs w:val="21"/>
                <w:highlight w:val="none"/>
              </w:rPr>
              <w:t>每一个得</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分，本项最高得</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须</w:t>
            </w:r>
            <w:r>
              <w:rPr>
                <w:rFonts w:hint="eastAsia" w:ascii="宋体" w:hAnsi="宋体" w:eastAsia="宋体" w:cs="宋体"/>
                <w:color w:val="auto"/>
                <w:highlight w:val="none"/>
                <w:lang w:val="en-US" w:eastAsia="zh-CN"/>
              </w:rPr>
              <w:t>提供相关证书复印件，提供不齐全不得分或提供复印件看不清的不得分。</w:t>
            </w:r>
            <w:r>
              <w:rPr>
                <w:rFonts w:hint="eastAsia" w:ascii="宋体" w:hAnsi="宋体" w:eastAsia="宋体" w:cs="宋体"/>
                <w:color w:val="auto"/>
                <w:sz w:val="21"/>
                <w:szCs w:val="21"/>
                <w:highlight w:val="none"/>
                <w:lang w:eastAsia="zh-CN"/>
              </w:rPr>
              <w:t>）</w:t>
            </w:r>
          </w:p>
        </w:tc>
        <w:tc>
          <w:tcPr>
            <w:tcW w:w="937" w:type="dxa"/>
            <w:noWrap w:val="0"/>
            <w:vAlign w:val="center"/>
          </w:tcPr>
          <w:p w14:paraId="11DC1C8B">
            <w:pPr>
              <w:spacing w:line="300" w:lineRule="exact"/>
              <w:jc w:val="center"/>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0-</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分</w:t>
            </w:r>
          </w:p>
        </w:tc>
      </w:tr>
      <w:tr w14:paraId="64D57C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705" w:type="dxa"/>
            <w:noWrap w:val="0"/>
            <w:vAlign w:val="center"/>
          </w:tcPr>
          <w:p w14:paraId="024C5D3C">
            <w:pPr>
              <w:widowControl/>
              <w:spacing w:line="300" w:lineRule="exact"/>
              <w:jc w:val="center"/>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p>
        </w:tc>
        <w:tc>
          <w:tcPr>
            <w:tcW w:w="1312" w:type="dxa"/>
            <w:noWrap w:val="0"/>
            <w:vAlign w:val="center"/>
          </w:tcPr>
          <w:p w14:paraId="2F68E606">
            <w:pPr>
              <w:spacing w:line="300" w:lineRule="exact"/>
              <w:jc w:val="center"/>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业绩</w:t>
            </w:r>
          </w:p>
          <w:p w14:paraId="5DA22E78">
            <w:pPr>
              <w:spacing w:line="300" w:lineRule="exact"/>
              <w:jc w:val="center"/>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分）</w:t>
            </w:r>
          </w:p>
        </w:tc>
        <w:tc>
          <w:tcPr>
            <w:tcW w:w="7330" w:type="dxa"/>
            <w:noWrap w:val="0"/>
            <w:vAlign w:val="center"/>
          </w:tcPr>
          <w:p w14:paraId="2C1B6FED">
            <w:pPr>
              <w:widowControl/>
              <w:jc w:val="left"/>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投标</w:t>
            </w:r>
            <w:r>
              <w:rPr>
                <w:rFonts w:hint="eastAsia" w:ascii="宋体" w:hAnsi="宋体" w:eastAsia="宋体" w:cs="宋体"/>
                <w:color w:val="auto"/>
                <w:sz w:val="21"/>
                <w:szCs w:val="21"/>
                <w:highlight w:val="none"/>
                <w:lang w:val="en-US" w:eastAsia="zh-CN"/>
              </w:rPr>
              <w:t>人</w:t>
            </w:r>
            <w:r>
              <w:rPr>
                <w:rFonts w:hint="eastAsia" w:ascii="宋体" w:hAnsi="宋体" w:eastAsia="宋体" w:cs="宋体"/>
                <w:color w:val="auto"/>
                <w:sz w:val="21"/>
                <w:szCs w:val="21"/>
                <w:highlight w:val="none"/>
              </w:rPr>
              <w:t>自</w:t>
            </w:r>
            <w:r>
              <w:rPr>
                <w:rFonts w:hint="eastAsia" w:ascii="宋体" w:hAnsi="宋体" w:eastAsia="宋体" w:cs="宋体"/>
                <w:color w:val="auto"/>
                <w:sz w:val="21"/>
                <w:szCs w:val="21"/>
                <w:highlight w:val="none"/>
                <w:lang w:eastAsia="zh-CN"/>
              </w:rPr>
              <w:t>20</w:t>
            </w:r>
            <w:r>
              <w:rPr>
                <w:rFonts w:hint="eastAsia" w:ascii="宋体" w:hAnsi="宋体" w:eastAsia="宋体" w:cs="宋体"/>
                <w:color w:val="auto"/>
                <w:sz w:val="21"/>
                <w:szCs w:val="21"/>
                <w:highlight w:val="none"/>
                <w:lang w:val="en-US" w:eastAsia="zh-CN"/>
              </w:rPr>
              <w:t>22</w:t>
            </w:r>
            <w:r>
              <w:rPr>
                <w:rFonts w:hint="eastAsia" w:ascii="宋体" w:hAnsi="宋体" w:eastAsia="宋体" w:cs="宋体"/>
                <w:color w:val="auto"/>
                <w:sz w:val="21"/>
                <w:szCs w:val="21"/>
                <w:highlight w:val="none"/>
                <w:lang w:eastAsia="zh-CN"/>
              </w:rPr>
              <w:t>年1月1日（</w:t>
            </w:r>
            <w:r>
              <w:rPr>
                <w:rFonts w:hint="eastAsia" w:ascii="宋体" w:hAnsi="宋体" w:eastAsia="宋体" w:cs="宋体"/>
                <w:color w:val="auto"/>
                <w:sz w:val="21"/>
                <w:szCs w:val="21"/>
                <w:highlight w:val="none"/>
                <w:lang w:val="en-US" w:eastAsia="zh-CN"/>
              </w:rPr>
              <w:t>以合同签订时间为准</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以来</w:t>
            </w:r>
            <w:r>
              <w:rPr>
                <w:rFonts w:hint="eastAsia" w:ascii="宋体" w:hAnsi="宋体" w:eastAsia="宋体" w:cs="宋体"/>
                <w:color w:val="auto"/>
                <w:sz w:val="21"/>
                <w:szCs w:val="21"/>
                <w:highlight w:val="none"/>
              </w:rPr>
              <w:t>承担过与本项目同类项目业绩</w:t>
            </w:r>
            <w:r>
              <w:rPr>
                <w:rFonts w:hint="eastAsia" w:ascii="宋体" w:hAnsi="宋体" w:eastAsia="宋体" w:cs="宋体"/>
                <w:color w:val="auto"/>
                <w:sz w:val="21"/>
                <w:szCs w:val="21"/>
                <w:highlight w:val="none"/>
                <w:lang w:eastAsia="zh-CN"/>
              </w:rPr>
              <w:t>的，</w:t>
            </w:r>
            <w:r>
              <w:rPr>
                <w:rFonts w:hint="eastAsia" w:ascii="宋体" w:hAnsi="宋体" w:eastAsia="宋体" w:cs="宋体"/>
                <w:color w:val="auto"/>
                <w:sz w:val="21"/>
                <w:szCs w:val="21"/>
                <w:highlight w:val="none"/>
              </w:rPr>
              <w:t>每个</w:t>
            </w:r>
            <w:r>
              <w:rPr>
                <w:rFonts w:hint="eastAsia" w:ascii="宋体" w:hAnsi="宋体" w:eastAsia="宋体" w:cs="宋体"/>
                <w:color w:val="auto"/>
                <w:sz w:val="21"/>
                <w:szCs w:val="21"/>
                <w:highlight w:val="none"/>
                <w:lang w:eastAsia="zh-CN"/>
              </w:rPr>
              <w:t>业绩</w:t>
            </w:r>
            <w:r>
              <w:rPr>
                <w:rFonts w:hint="eastAsia" w:ascii="宋体" w:hAnsi="宋体" w:eastAsia="宋体" w:cs="宋体"/>
                <w:color w:val="auto"/>
                <w:sz w:val="21"/>
                <w:szCs w:val="21"/>
                <w:highlight w:val="none"/>
              </w:rPr>
              <w:t>得</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eastAsia="zh-CN"/>
              </w:rPr>
              <w:t>。</w:t>
            </w:r>
            <w:r>
              <w:rPr>
                <w:rFonts w:hint="eastAsia" w:ascii="宋体" w:hAnsi="宋体" w:eastAsia="宋体" w:cs="宋体"/>
                <w:strike w:val="0"/>
                <w:dstrike w:val="0"/>
                <w:color w:val="auto"/>
                <w:sz w:val="21"/>
                <w:szCs w:val="21"/>
                <w:highlight w:val="none"/>
                <w:lang w:val="en-US" w:eastAsia="zh-CN"/>
              </w:rPr>
              <w:t>注：</w:t>
            </w:r>
            <w:r>
              <w:rPr>
                <w:rFonts w:hint="eastAsia" w:ascii="宋体" w:hAnsi="宋体" w:eastAsia="宋体" w:cs="宋体"/>
                <w:strike w:val="0"/>
                <w:dstrike w:val="0"/>
                <w:color w:val="auto"/>
                <w:sz w:val="21"/>
                <w:szCs w:val="21"/>
                <w:highlight w:val="none"/>
                <w:lang w:eastAsia="zh-CN"/>
              </w:rPr>
              <w:t>业绩中</w:t>
            </w:r>
            <w:r>
              <w:rPr>
                <w:rFonts w:hint="eastAsia" w:ascii="宋体" w:hAnsi="宋体" w:eastAsia="宋体" w:cs="宋体"/>
                <w:strike w:val="0"/>
                <w:dstrike w:val="0"/>
                <w:color w:val="auto"/>
                <w:sz w:val="21"/>
                <w:szCs w:val="21"/>
                <w:highlight w:val="none"/>
                <w:lang w:val="en-US" w:eastAsia="zh-CN"/>
              </w:rPr>
              <w:t>须同时</w:t>
            </w:r>
            <w:r>
              <w:rPr>
                <w:rFonts w:hint="eastAsia" w:ascii="宋体" w:hAnsi="宋体" w:eastAsia="宋体" w:cs="宋体"/>
                <w:strike w:val="0"/>
                <w:dstrike w:val="0"/>
                <w:color w:val="auto"/>
                <w:sz w:val="21"/>
                <w:szCs w:val="21"/>
                <w:highlight w:val="none"/>
                <w:lang w:eastAsia="zh-CN"/>
              </w:rPr>
              <w:t>包含水平位移、垂直位移、测压管观测的内容的</w:t>
            </w:r>
            <w:r>
              <w:rPr>
                <w:rFonts w:hint="eastAsia" w:ascii="宋体" w:hAnsi="宋体" w:eastAsia="宋体" w:cs="宋体"/>
                <w:strike w:val="0"/>
                <w:dstrike w:val="0"/>
                <w:color w:val="auto"/>
                <w:sz w:val="21"/>
                <w:szCs w:val="21"/>
                <w:highlight w:val="none"/>
              </w:rPr>
              <w:t>，</w:t>
            </w:r>
            <w:r>
              <w:rPr>
                <w:rFonts w:hint="eastAsia" w:ascii="宋体" w:hAnsi="宋体" w:eastAsia="宋体" w:cs="宋体"/>
                <w:strike w:val="0"/>
                <w:dstrike w:val="0"/>
                <w:color w:val="auto"/>
                <w:sz w:val="21"/>
                <w:szCs w:val="21"/>
                <w:highlight w:val="none"/>
                <w:lang w:eastAsia="zh-CN"/>
              </w:rPr>
              <w:t>每个业绩得</w:t>
            </w:r>
            <w:r>
              <w:rPr>
                <w:rFonts w:hint="eastAsia" w:ascii="宋体" w:hAnsi="宋体" w:eastAsia="宋体" w:cs="宋体"/>
                <w:strike w:val="0"/>
                <w:dstrike w:val="0"/>
                <w:color w:val="auto"/>
                <w:sz w:val="21"/>
                <w:szCs w:val="21"/>
                <w:highlight w:val="none"/>
                <w:lang w:val="en-US" w:eastAsia="zh-CN"/>
              </w:rPr>
              <w:t>1分。</w:t>
            </w:r>
            <w:r>
              <w:rPr>
                <w:rFonts w:hint="eastAsia" w:ascii="宋体" w:hAnsi="宋体" w:eastAsia="宋体" w:cs="宋体"/>
                <w:color w:val="auto"/>
                <w:sz w:val="21"/>
                <w:szCs w:val="21"/>
                <w:highlight w:val="none"/>
              </w:rPr>
              <w:t>最高得</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分。</w:t>
            </w:r>
            <w:r>
              <w:rPr>
                <w:rFonts w:hint="eastAsia" w:ascii="宋体" w:hAnsi="宋体" w:eastAsia="宋体" w:cs="宋体"/>
                <w:b/>
                <w:bCs/>
                <w:color w:val="auto"/>
                <w:sz w:val="21"/>
                <w:szCs w:val="21"/>
                <w:highlight w:val="none"/>
                <w:lang w:val="zh-CN" w:bidi="zh-CN"/>
              </w:rPr>
              <w:t>（</w:t>
            </w:r>
            <w:r>
              <w:rPr>
                <w:rFonts w:hint="eastAsia" w:ascii="宋体" w:hAnsi="宋体" w:eastAsia="宋体" w:cs="宋体"/>
                <w:b/>
                <w:bCs/>
                <w:color w:val="auto"/>
                <w:sz w:val="21"/>
                <w:szCs w:val="21"/>
                <w:highlight w:val="none"/>
                <w:lang w:bidi="zh-CN"/>
              </w:rPr>
              <w:t>须</w:t>
            </w:r>
            <w:r>
              <w:rPr>
                <w:rFonts w:hint="eastAsia" w:ascii="宋体" w:hAnsi="宋体" w:eastAsia="宋体" w:cs="宋体"/>
                <w:b/>
                <w:bCs/>
                <w:color w:val="auto"/>
                <w:sz w:val="21"/>
                <w:szCs w:val="21"/>
                <w:highlight w:val="none"/>
                <w:lang w:val="zh-CN" w:bidi="zh-CN"/>
              </w:rPr>
              <w:t>提供合同复印件</w:t>
            </w:r>
            <w:r>
              <w:rPr>
                <w:rFonts w:hint="eastAsia" w:ascii="宋体" w:hAnsi="宋体" w:eastAsia="宋体" w:cs="宋体"/>
                <w:b/>
                <w:bCs/>
                <w:color w:val="auto"/>
                <w:sz w:val="21"/>
                <w:szCs w:val="21"/>
                <w:highlight w:val="none"/>
                <w:lang w:bidi="zh-CN"/>
              </w:rPr>
              <w:t>及中标通知书复印件</w:t>
            </w:r>
            <w:r>
              <w:rPr>
                <w:rFonts w:hint="eastAsia" w:ascii="宋体" w:hAnsi="宋体" w:eastAsia="宋体" w:cs="宋体"/>
                <w:b/>
                <w:bCs/>
                <w:color w:val="auto"/>
                <w:sz w:val="21"/>
                <w:szCs w:val="21"/>
                <w:highlight w:val="none"/>
                <w:lang w:val="zh-CN" w:bidi="zh-CN"/>
              </w:rPr>
              <w:t>，</w:t>
            </w:r>
            <w:r>
              <w:rPr>
                <w:rFonts w:hint="eastAsia" w:ascii="宋体" w:hAnsi="宋体" w:eastAsia="宋体" w:cs="宋体"/>
                <w:b/>
                <w:bCs/>
                <w:color w:val="auto"/>
                <w:kern w:val="0"/>
                <w:sz w:val="21"/>
                <w:szCs w:val="21"/>
                <w:highlight w:val="none"/>
              </w:rPr>
              <w:t>提供不齐全不得分或提供复印件看不清的不得分</w:t>
            </w:r>
            <w:r>
              <w:rPr>
                <w:rFonts w:hint="eastAsia" w:ascii="宋体" w:hAnsi="宋体" w:eastAsia="宋体" w:cs="宋体"/>
                <w:b/>
                <w:bCs/>
                <w:color w:val="auto"/>
                <w:sz w:val="21"/>
                <w:szCs w:val="21"/>
                <w:highlight w:val="none"/>
                <w:lang w:val="zh-CN" w:bidi="zh-CN"/>
              </w:rPr>
              <w:t>。是否为同类</w:t>
            </w:r>
            <w:r>
              <w:rPr>
                <w:rFonts w:hint="eastAsia" w:ascii="宋体" w:hAnsi="宋体" w:eastAsia="宋体" w:cs="宋体"/>
                <w:b/>
                <w:bCs/>
                <w:color w:val="auto"/>
                <w:sz w:val="21"/>
                <w:szCs w:val="21"/>
                <w:highlight w:val="none"/>
                <w:lang w:bidi="zh-CN"/>
              </w:rPr>
              <w:t>项目</w:t>
            </w:r>
            <w:r>
              <w:rPr>
                <w:rFonts w:hint="eastAsia" w:ascii="宋体" w:hAnsi="宋体" w:eastAsia="宋体" w:cs="宋体"/>
                <w:b/>
                <w:bCs/>
                <w:color w:val="auto"/>
                <w:sz w:val="21"/>
                <w:szCs w:val="21"/>
                <w:highlight w:val="none"/>
                <w:lang w:val="zh-CN" w:bidi="zh-CN"/>
              </w:rPr>
              <w:t>业绩由评标委员会判定，业绩材料中不能体现工程内容的须提供业主证明材料或其他能证明业绩内容的材料）</w:t>
            </w:r>
          </w:p>
        </w:tc>
        <w:tc>
          <w:tcPr>
            <w:tcW w:w="937" w:type="dxa"/>
            <w:noWrap w:val="0"/>
            <w:vAlign w:val="center"/>
          </w:tcPr>
          <w:p w14:paraId="3F63910F">
            <w:pPr>
              <w:spacing w:line="300" w:lineRule="exact"/>
              <w:jc w:val="center"/>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0-</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分</w:t>
            </w:r>
          </w:p>
        </w:tc>
      </w:tr>
      <w:tr w14:paraId="5F5621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705" w:type="dxa"/>
            <w:vMerge w:val="restart"/>
            <w:noWrap w:val="0"/>
            <w:vAlign w:val="center"/>
          </w:tcPr>
          <w:p w14:paraId="4F841EC4">
            <w:pPr>
              <w:widowControl/>
              <w:spacing w:line="300" w:lineRule="exact"/>
              <w:jc w:val="center"/>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p>
        </w:tc>
        <w:tc>
          <w:tcPr>
            <w:tcW w:w="1312" w:type="dxa"/>
            <w:vMerge w:val="restart"/>
            <w:noWrap w:val="0"/>
            <w:vAlign w:val="center"/>
          </w:tcPr>
          <w:p w14:paraId="0677620E">
            <w:pPr>
              <w:spacing w:line="300" w:lineRule="exact"/>
              <w:jc w:val="center"/>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项目人员配置</w:t>
            </w:r>
          </w:p>
          <w:p w14:paraId="0C628D28">
            <w:pPr>
              <w:spacing w:line="300" w:lineRule="exact"/>
              <w:jc w:val="center"/>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分）</w:t>
            </w:r>
          </w:p>
        </w:tc>
        <w:tc>
          <w:tcPr>
            <w:tcW w:w="7330" w:type="dxa"/>
            <w:noWrap w:val="0"/>
            <w:vAlign w:val="center"/>
          </w:tcPr>
          <w:p w14:paraId="2A4A96B3">
            <w:pPr>
              <w:widowControl/>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1、拟派项目负责人</w:t>
            </w:r>
            <w:r>
              <w:rPr>
                <w:rFonts w:hint="eastAsia" w:ascii="宋体" w:hAnsi="宋体" w:cs="宋体"/>
                <w:color w:val="auto"/>
                <w:sz w:val="21"/>
                <w:szCs w:val="21"/>
                <w:highlight w:val="none"/>
                <w:lang w:val="en-US" w:eastAsia="zh-CN"/>
              </w:rPr>
              <w:t>（1人）</w:t>
            </w:r>
            <w:r>
              <w:rPr>
                <w:rFonts w:hint="eastAsia" w:ascii="宋体" w:hAnsi="宋体" w:eastAsia="宋体" w:cs="宋体"/>
                <w:color w:val="auto"/>
                <w:sz w:val="21"/>
                <w:szCs w:val="21"/>
                <w:highlight w:val="none"/>
              </w:rPr>
              <w:t>具有水利类</w:t>
            </w:r>
            <w:r>
              <w:rPr>
                <w:rFonts w:hint="eastAsia" w:ascii="宋体" w:hAnsi="宋体" w:eastAsia="宋体" w:cs="宋体"/>
                <w:color w:val="auto"/>
                <w:sz w:val="21"/>
                <w:szCs w:val="21"/>
                <w:highlight w:val="none"/>
                <w:lang w:eastAsia="zh-CN"/>
              </w:rPr>
              <w:t>高级</w:t>
            </w:r>
            <w:r>
              <w:rPr>
                <w:rFonts w:hint="eastAsia" w:ascii="宋体" w:hAnsi="宋体" w:eastAsia="宋体" w:cs="宋体"/>
                <w:color w:val="auto"/>
                <w:sz w:val="21"/>
                <w:szCs w:val="21"/>
                <w:highlight w:val="none"/>
              </w:rPr>
              <w:t>工程师及以上职称的得3分，水利类</w:t>
            </w:r>
            <w:r>
              <w:rPr>
                <w:rFonts w:hint="eastAsia" w:ascii="宋体" w:hAnsi="宋体" w:eastAsia="宋体" w:cs="宋体"/>
                <w:color w:val="auto"/>
                <w:sz w:val="21"/>
                <w:szCs w:val="21"/>
                <w:highlight w:val="none"/>
                <w:lang w:eastAsia="zh-CN"/>
              </w:rPr>
              <w:t>工程师职称得</w:t>
            </w:r>
            <w:r>
              <w:rPr>
                <w:rFonts w:hint="eastAsia" w:ascii="宋体" w:hAnsi="宋体" w:eastAsia="宋体" w:cs="宋体"/>
                <w:color w:val="auto"/>
                <w:sz w:val="21"/>
                <w:szCs w:val="21"/>
                <w:highlight w:val="none"/>
                <w:lang w:val="en-US" w:eastAsia="zh-CN"/>
              </w:rPr>
              <w:t>2分</w:t>
            </w:r>
            <w:r>
              <w:rPr>
                <w:rFonts w:hint="eastAsia" w:ascii="宋体" w:hAnsi="宋体" w:eastAsia="宋体" w:cs="宋体"/>
                <w:color w:val="auto"/>
                <w:sz w:val="21"/>
                <w:szCs w:val="21"/>
                <w:highlight w:val="none"/>
              </w:rPr>
              <w:t>，本项最高得</w:t>
            </w: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rPr>
              <w:t>分。</w:t>
            </w:r>
          </w:p>
          <w:p w14:paraId="468E46F2">
            <w:pPr>
              <w:widowControl/>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2、拟派技术负责人</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lang w:val="en-US" w:eastAsia="zh-CN"/>
              </w:rPr>
              <w:t>1人</w:t>
            </w:r>
            <w:r>
              <w:rPr>
                <w:rFonts w:hint="eastAsia" w:ascii="宋体" w:hAnsi="宋体" w:cs="宋体"/>
                <w:color w:val="auto"/>
                <w:sz w:val="21"/>
                <w:szCs w:val="21"/>
                <w:highlight w:val="none"/>
                <w:lang w:eastAsia="zh-CN"/>
              </w:rPr>
              <w:t>）</w:t>
            </w:r>
            <w:r>
              <w:rPr>
                <w:rFonts w:hint="eastAsia" w:ascii="宋体" w:hAnsi="宋体" w:eastAsia="宋体" w:cs="宋体"/>
                <w:color w:val="auto"/>
                <w:sz w:val="21"/>
                <w:szCs w:val="21"/>
                <w:highlight w:val="none"/>
              </w:rPr>
              <w:t>具有水利类</w:t>
            </w:r>
            <w:r>
              <w:rPr>
                <w:rFonts w:hint="eastAsia" w:ascii="宋体" w:hAnsi="宋体" w:eastAsia="宋体" w:cs="宋体"/>
                <w:color w:val="auto"/>
                <w:sz w:val="21"/>
                <w:szCs w:val="21"/>
                <w:highlight w:val="none"/>
                <w:lang w:eastAsia="zh-CN"/>
              </w:rPr>
              <w:t>高级</w:t>
            </w:r>
            <w:r>
              <w:rPr>
                <w:rFonts w:hint="eastAsia" w:ascii="宋体" w:hAnsi="宋体" w:eastAsia="宋体" w:cs="宋体"/>
                <w:color w:val="auto"/>
                <w:sz w:val="21"/>
                <w:szCs w:val="21"/>
                <w:highlight w:val="none"/>
              </w:rPr>
              <w:t>工程师及以上职称的得3分</w:t>
            </w:r>
            <w:r>
              <w:rPr>
                <w:rFonts w:hint="eastAsia" w:ascii="宋体" w:hAnsi="宋体" w:eastAsia="宋体" w:cs="宋体"/>
                <w:color w:val="auto"/>
                <w:sz w:val="21"/>
                <w:szCs w:val="21"/>
                <w:highlight w:val="none"/>
                <w:lang w:eastAsia="zh-CN"/>
              </w:rPr>
              <w:t>，工程师职称得</w:t>
            </w:r>
            <w:r>
              <w:rPr>
                <w:rFonts w:hint="eastAsia" w:ascii="宋体" w:hAnsi="宋体" w:eastAsia="宋体" w:cs="宋体"/>
                <w:color w:val="auto"/>
                <w:sz w:val="21"/>
                <w:szCs w:val="21"/>
                <w:highlight w:val="none"/>
                <w:lang w:val="en-US" w:eastAsia="zh-CN"/>
              </w:rPr>
              <w:t>2分，</w:t>
            </w:r>
            <w:r>
              <w:rPr>
                <w:rFonts w:hint="eastAsia" w:ascii="宋体" w:hAnsi="宋体" w:eastAsia="宋体" w:cs="宋体"/>
                <w:color w:val="auto"/>
                <w:sz w:val="21"/>
                <w:szCs w:val="21"/>
                <w:highlight w:val="none"/>
              </w:rPr>
              <w:t>本项最高得</w:t>
            </w: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rPr>
              <w:t>分。</w:t>
            </w:r>
          </w:p>
          <w:p w14:paraId="3A67820A">
            <w:pPr>
              <w:widowControl/>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3、项目组的专业配备中有水文类、</w:t>
            </w:r>
            <w:r>
              <w:rPr>
                <w:rFonts w:hint="eastAsia" w:ascii="宋体" w:hAnsi="宋体" w:eastAsia="宋体" w:cs="宋体"/>
                <w:color w:val="auto"/>
                <w:sz w:val="21"/>
                <w:szCs w:val="21"/>
                <w:highlight w:val="none"/>
                <w:lang w:eastAsia="zh-CN"/>
              </w:rPr>
              <w:t>测量类、</w:t>
            </w:r>
            <w:r>
              <w:rPr>
                <w:rFonts w:hint="eastAsia" w:ascii="宋体" w:hAnsi="宋体" w:eastAsia="宋体" w:cs="宋体"/>
                <w:color w:val="auto"/>
                <w:sz w:val="21"/>
                <w:szCs w:val="21"/>
                <w:highlight w:val="none"/>
              </w:rPr>
              <w:t>电气（机电）类、档案管理类、计算机类、水工监测工职业证书，每个类别得1分，本项最高得</w:t>
            </w:r>
            <w:r>
              <w:rPr>
                <w:rFonts w:hint="eastAsia" w:ascii="宋体" w:hAnsi="宋体" w:cs="宋体"/>
                <w:color w:val="auto"/>
                <w:sz w:val="21"/>
                <w:szCs w:val="21"/>
                <w:highlight w:val="none"/>
                <w:lang w:val="en-US" w:eastAsia="zh-CN"/>
              </w:rPr>
              <w:t>6</w:t>
            </w:r>
            <w:r>
              <w:rPr>
                <w:rFonts w:hint="eastAsia" w:ascii="宋体" w:hAnsi="宋体" w:eastAsia="宋体" w:cs="宋体"/>
                <w:color w:val="auto"/>
                <w:sz w:val="21"/>
                <w:szCs w:val="21"/>
                <w:highlight w:val="none"/>
              </w:rPr>
              <w:t>分（人员不重复计分）。</w:t>
            </w:r>
          </w:p>
          <w:p w14:paraId="1B9C787B">
            <w:pPr>
              <w:widowControl/>
              <w:jc w:val="left"/>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注：</w:t>
            </w:r>
            <w:r>
              <w:rPr>
                <w:rFonts w:hint="eastAsia" w:ascii="宋体" w:hAnsi="宋体" w:eastAsia="宋体" w:cs="宋体"/>
                <w:color w:val="auto"/>
                <w:sz w:val="21"/>
                <w:szCs w:val="21"/>
                <w:highlight w:val="none"/>
                <w:lang w:val="en-US" w:eastAsia="zh-CN"/>
              </w:rPr>
              <w:t>项目人员</w:t>
            </w:r>
            <w:r>
              <w:rPr>
                <w:rFonts w:hint="eastAsia" w:ascii="宋体" w:hAnsi="宋体" w:eastAsia="宋体" w:cs="宋体"/>
                <w:color w:val="auto"/>
                <w:sz w:val="21"/>
                <w:szCs w:val="21"/>
                <w:highlight w:val="none"/>
              </w:rPr>
              <w:t>须提供相关证书及</w:t>
            </w:r>
            <w:r>
              <w:rPr>
                <w:rFonts w:hint="eastAsia" w:ascii="宋体" w:hAnsi="宋体" w:eastAsia="宋体" w:cs="宋体"/>
                <w:color w:val="auto"/>
                <w:sz w:val="21"/>
                <w:szCs w:val="21"/>
                <w:highlight w:val="none"/>
                <w:lang w:val="en-US" w:eastAsia="zh-CN"/>
              </w:rPr>
              <w:t>最</w:t>
            </w:r>
            <w:r>
              <w:rPr>
                <w:rFonts w:hint="eastAsia" w:ascii="宋体" w:hAnsi="宋体" w:eastAsia="宋体" w:cs="宋体"/>
                <w:color w:val="auto"/>
                <w:sz w:val="21"/>
                <w:szCs w:val="21"/>
                <w:highlight w:val="none"/>
              </w:rPr>
              <w:t>近3个月</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2024年11月、12月和2025年1月</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社保缴纳证明，</w:t>
            </w:r>
            <w:r>
              <w:rPr>
                <w:rFonts w:hint="eastAsia" w:hAnsi="宋体" w:cs="宋体"/>
                <w:color w:val="auto"/>
                <w:szCs w:val="21"/>
                <w:highlight w:val="none"/>
                <w:lang w:val="en-US" w:eastAsia="zh-CN"/>
              </w:rPr>
              <w:t>且</w:t>
            </w:r>
            <w:r>
              <w:rPr>
                <w:rFonts w:hint="eastAsia" w:hAnsi="宋体" w:cs="宋体"/>
                <w:color w:val="auto"/>
                <w:szCs w:val="21"/>
                <w:highlight w:val="none"/>
              </w:rPr>
              <w:t>参保单位名称与投标人名称一致，</w:t>
            </w:r>
            <w:r>
              <w:rPr>
                <w:rFonts w:hint="eastAsia" w:ascii="宋体" w:hAnsi="宋体" w:eastAsia="宋体" w:cs="宋体"/>
                <w:color w:val="auto"/>
                <w:sz w:val="21"/>
                <w:szCs w:val="21"/>
                <w:highlight w:val="none"/>
              </w:rPr>
              <w:t>否则不得分。</w:t>
            </w:r>
          </w:p>
        </w:tc>
        <w:tc>
          <w:tcPr>
            <w:tcW w:w="937" w:type="dxa"/>
            <w:noWrap w:val="0"/>
            <w:vAlign w:val="center"/>
          </w:tcPr>
          <w:p w14:paraId="13C6DA05">
            <w:pPr>
              <w:spacing w:line="300" w:lineRule="exact"/>
              <w:jc w:val="center"/>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0-1</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分</w:t>
            </w:r>
          </w:p>
        </w:tc>
      </w:tr>
      <w:tr w14:paraId="4EC3F7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705" w:type="dxa"/>
            <w:vMerge w:val="restart"/>
            <w:noWrap w:val="0"/>
            <w:vAlign w:val="center"/>
          </w:tcPr>
          <w:p w14:paraId="7AD6ADA8">
            <w:pPr>
              <w:spacing w:line="300" w:lineRule="exact"/>
              <w:jc w:val="center"/>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4</w:t>
            </w:r>
          </w:p>
        </w:tc>
        <w:tc>
          <w:tcPr>
            <w:tcW w:w="1312" w:type="dxa"/>
            <w:vMerge w:val="restart"/>
            <w:noWrap w:val="0"/>
            <w:vAlign w:val="center"/>
          </w:tcPr>
          <w:p w14:paraId="28AA4398">
            <w:pPr>
              <w:widowControl/>
              <w:jc w:val="left"/>
              <w:rPr>
                <w:rFonts w:hint="eastAsia"/>
                <w:color w:val="auto"/>
                <w:sz w:val="21"/>
                <w:szCs w:val="21"/>
                <w:highlight w:val="none"/>
              </w:rPr>
            </w:pPr>
            <w:r>
              <w:rPr>
                <w:rFonts w:hint="eastAsia"/>
                <w:color w:val="auto"/>
                <w:sz w:val="21"/>
                <w:szCs w:val="21"/>
                <w:highlight w:val="none"/>
              </w:rPr>
              <w:t>对工程物业管理工作的现状调查与问题剖析</w:t>
            </w:r>
          </w:p>
          <w:p w14:paraId="3D52D8E3">
            <w:pPr>
              <w:widowControl/>
              <w:jc w:val="left"/>
              <w:rPr>
                <w:rFonts w:hint="eastAsia"/>
                <w:color w:val="auto"/>
                <w:sz w:val="21"/>
                <w:szCs w:val="21"/>
                <w:highlight w:val="none"/>
              </w:rPr>
            </w:pPr>
            <w:r>
              <w:rPr>
                <w:rFonts w:hint="eastAsia"/>
                <w:color w:val="auto"/>
                <w:sz w:val="21"/>
                <w:szCs w:val="21"/>
                <w:highlight w:val="none"/>
              </w:rPr>
              <w:t>（</w:t>
            </w: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rPr>
              <w:t>分</w:t>
            </w:r>
            <w:r>
              <w:rPr>
                <w:rFonts w:hint="eastAsia"/>
                <w:color w:val="auto"/>
                <w:sz w:val="21"/>
                <w:szCs w:val="21"/>
                <w:highlight w:val="none"/>
              </w:rPr>
              <w:t>）</w:t>
            </w:r>
          </w:p>
        </w:tc>
        <w:tc>
          <w:tcPr>
            <w:tcW w:w="7330" w:type="dxa"/>
            <w:noWrap w:val="0"/>
            <w:vAlign w:val="center"/>
          </w:tcPr>
          <w:p w14:paraId="7A25F20D">
            <w:pPr>
              <w:widowControl/>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投标供应商对项目范围内物业管理的现状了解程度</w:t>
            </w:r>
            <w:r>
              <w:rPr>
                <w:rFonts w:hint="eastAsia" w:ascii="宋体" w:hAnsi="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2分</w:t>
            </w:r>
            <w:r>
              <w:rPr>
                <w:rFonts w:hint="eastAsia" w:ascii="宋体" w:hAnsi="宋体" w:cs="宋体"/>
                <w:color w:val="auto"/>
                <w:sz w:val="21"/>
                <w:szCs w:val="21"/>
                <w:highlight w:val="none"/>
                <w:lang w:eastAsia="zh-CN"/>
              </w:rPr>
              <w:t>）</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对本项目的重大意义阐述</w:t>
            </w:r>
            <w:r>
              <w:rPr>
                <w:rFonts w:hint="eastAsia" w:ascii="宋体" w:hAnsi="宋体" w:eastAsia="宋体" w:cs="宋体"/>
                <w:color w:val="auto"/>
                <w:sz w:val="21"/>
                <w:szCs w:val="21"/>
                <w:highlight w:val="none"/>
                <w:lang w:val="en-US" w:eastAsia="zh-CN"/>
              </w:rPr>
              <w:t>的合理性</w:t>
            </w:r>
            <w:r>
              <w:rPr>
                <w:rFonts w:hint="eastAsia" w:ascii="宋体" w:hAnsi="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2分</w:t>
            </w:r>
            <w:r>
              <w:rPr>
                <w:rFonts w:hint="eastAsia" w:ascii="宋体" w:hAnsi="宋体" w:cs="宋体"/>
                <w:color w:val="auto"/>
                <w:sz w:val="21"/>
                <w:szCs w:val="21"/>
                <w:highlight w:val="none"/>
                <w:lang w:eastAsia="zh-CN"/>
              </w:rPr>
              <w:t>）</w:t>
            </w:r>
            <w:r>
              <w:rPr>
                <w:rFonts w:hint="eastAsia" w:ascii="宋体" w:hAnsi="宋体" w:eastAsia="宋体" w:cs="宋体"/>
                <w:color w:val="auto"/>
                <w:sz w:val="21"/>
                <w:szCs w:val="21"/>
                <w:highlight w:val="none"/>
                <w:lang w:eastAsia="zh-CN"/>
              </w:rPr>
              <w:t>；</w:t>
            </w:r>
            <w:r>
              <w:rPr>
                <w:rFonts w:hint="eastAsia" w:ascii="宋体" w:hAnsi="宋体" w:cs="宋体"/>
                <w:color w:val="auto"/>
                <w:sz w:val="21"/>
                <w:szCs w:val="21"/>
                <w:highlight w:val="none"/>
                <w:lang w:val="en-US" w:eastAsia="zh-CN"/>
              </w:rPr>
              <w:t>对本项目</w:t>
            </w:r>
            <w:r>
              <w:rPr>
                <w:rFonts w:hint="eastAsia" w:ascii="宋体" w:hAnsi="宋体" w:eastAsia="宋体" w:cs="宋体"/>
                <w:color w:val="auto"/>
                <w:sz w:val="21"/>
                <w:szCs w:val="21"/>
                <w:highlight w:val="none"/>
              </w:rPr>
              <w:t>难点</w:t>
            </w:r>
            <w:r>
              <w:rPr>
                <w:rFonts w:hint="eastAsia" w:ascii="宋体" w:hAnsi="宋体" w:eastAsia="宋体" w:cs="宋体"/>
                <w:color w:val="auto"/>
                <w:sz w:val="21"/>
                <w:szCs w:val="21"/>
                <w:highlight w:val="none"/>
                <w:lang w:eastAsia="zh-CN"/>
              </w:rPr>
              <w:t>分析</w:t>
            </w:r>
            <w:r>
              <w:rPr>
                <w:rFonts w:hint="eastAsia" w:ascii="宋体" w:hAnsi="宋体" w:eastAsia="宋体" w:cs="宋体"/>
                <w:color w:val="auto"/>
                <w:sz w:val="21"/>
                <w:szCs w:val="21"/>
                <w:highlight w:val="none"/>
                <w:lang w:val="en-US" w:eastAsia="zh-CN"/>
              </w:rPr>
              <w:t>的合理性</w:t>
            </w:r>
            <w:r>
              <w:rPr>
                <w:rFonts w:hint="eastAsia" w:ascii="宋体" w:hAnsi="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2分</w:t>
            </w:r>
            <w:r>
              <w:rPr>
                <w:rFonts w:hint="eastAsia" w:ascii="宋体" w:hAnsi="宋体" w:cs="宋体"/>
                <w:color w:val="auto"/>
                <w:sz w:val="21"/>
                <w:szCs w:val="21"/>
                <w:highlight w:val="none"/>
                <w:lang w:eastAsia="zh-CN"/>
              </w:rPr>
              <w:t>）</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对本项目重点难点的</w:t>
            </w:r>
            <w:r>
              <w:rPr>
                <w:rFonts w:hint="eastAsia" w:ascii="宋体" w:hAnsi="宋体" w:eastAsia="宋体" w:cs="宋体"/>
                <w:color w:val="auto"/>
                <w:sz w:val="21"/>
                <w:szCs w:val="21"/>
                <w:highlight w:val="none"/>
              </w:rPr>
              <w:t>应对措施</w:t>
            </w:r>
            <w:r>
              <w:rPr>
                <w:rFonts w:hint="eastAsia" w:ascii="宋体" w:hAnsi="宋体" w:eastAsia="宋体" w:cs="宋体"/>
                <w:color w:val="auto"/>
                <w:sz w:val="21"/>
                <w:szCs w:val="21"/>
                <w:highlight w:val="none"/>
                <w:lang w:eastAsia="zh-CN"/>
              </w:rPr>
              <w:t>分析</w:t>
            </w:r>
            <w:r>
              <w:rPr>
                <w:rFonts w:hint="eastAsia" w:ascii="宋体" w:hAnsi="宋体" w:eastAsia="宋体" w:cs="宋体"/>
                <w:color w:val="auto"/>
                <w:sz w:val="21"/>
                <w:szCs w:val="21"/>
                <w:highlight w:val="none"/>
                <w:lang w:val="en-US" w:eastAsia="zh-CN"/>
              </w:rPr>
              <w:t>的合理性</w:t>
            </w:r>
            <w:r>
              <w:rPr>
                <w:rFonts w:hint="eastAsia" w:ascii="宋体" w:hAnsi="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2分</w:t>
            </w:r>
            <w:r>
              <w:rPr>
                <w:rFonts w:hint="eastAsia" w:ascii="宋体" w:hAnsi="宋体" w:cs="宋体"/>
                <w:color w:val="auto"/>
                <w:sz w:val="21"/>
                <w:szCs w:val="21"/>
                <w:highlight w:val="none"/>
                <w:lang w:eastAsia="zh-CN"/>
              </w:rPr>
              <w:t>）</w:t>
            </w:r>
            <w:r>
              <w:rPr>
                <w:rFonts w:hint="eastAsia" w:ascii="宋体" w:hAnsi="宋体" w:eastAsia="宋体" w:cs="宋体"/>
                <w:color w:val="auto"/>
                <w:sz w:val="21"/>
                <w:szCs w:val="21"/>
                <w:highlight w:val="none"/>
              </w:rPr>
              <w:t>。本项最高得</w:t>
            </w:r>
            <w:r>
              <w:rPr>
                <w:rFonts w:hint="eastAsia" w:ascii="宋体" w:hAnsi="宋体" w:cs="宋体"/>
                <w:color w:val="auto"/>
                <w:sz w:val="21"/>
                <w:szCs w:val="21"/>
                <w:highlight w:val="none"/>
                <w:lang w:val="en-US" w:eastAsia="zh-CN"/>
              </w:rPr>
              <w:t>8</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val="en-US" w:eastAsia="zh-CN"/>
              </w:rPr>
              <w:t>每个分项</w:t>
            </w:r>
            <w:r>
              <w:rPr>
                <w:rFonts w:hint="eastAsia" w:ascii="宋体" w:hAnsi="宋体" w:eastAsia="宋体" w:cs="宋体"/>
                <w:color w:val="auto"/>
                <w:sz w:val="21"/>
                <w:szCs w:val="21"/>
                <w:highlight w:val="none"/>
              </w:rPr>
              <w:t>有所欠缺</w:t>
            </w:r>
            <w:r>
              <w:rPr>
                <w:rFonts w:hint="eastAsia" w:ascii="宋体" w:hAnsi="宋体" w:eastAsia="宋体" w:cs="宋体"/>
                <w:color w:val="auto"/>
                <w:sz w:val="21"/>
                <w:szCs w:val="21"/>
                <w:highlight w:val="none"/>
                <w:lang w:val="en-US" w:eastAsia="zh-CN"/>
              </w:rPr>
              <w:t>的</w:t>
            </w:r>
            <w:r>
              <w:rPr>
                <w:rFonts w:hint="eastAsia" w:ascii="宋体" w:hAnsi="宋体" w:eastAsia="宋体" w:cs="宋体"/>
                <w:color w:val="auto"/>
                <w:sz w:val="21"/>
                <w:szCs w:val="21"/>
                <w:highlight w:val="none"/>
              </w:rPr>
              <w:t>每处扣</w:t>
            </w:r>
            <w:r>
              <w:rPr>
                <w:rFonts w:hint="eastAsia" w:ascii="宋体" w:hAnsi="宋体" w:eastAsia="宋体" w:cs="宋体"/>
                <w:color w:val="auto"/>
                <w:sz w:val="21"/>
                <w:szCs w:val="21"/>
                <w:highlight w:val="none"/>
                <w:lang w:val="en-US" w:eastAsia="zh-CN"/>
              </w:rPr>
              <w:t>0.5</w:t>
            </w:r>
            <w:r>
              <w:rPr>
                <w:rFonts w:hint="eastAsia" w:ascii="宋体" w:hAnsi="宋体" w:eastAsia="宋体" w:cs="宋体"/>
                <w:color w:val="auto"/>
                <w:sz w:val="21"/>
                <w:szCs w:val="21"/>
                <w:highlight w:val="none"/>
              </w:rPr>
              <w:t>分。</w:t>
            </w:r>
          </w:p>
        </w:tc>
        <w:tc>
          <w:tcPr>
            <w:tcW w:w="937" w:type="dxa"/>
            <w:noWrap w:val="0"/>
            <w:vAlign w:val="center"/>
          </w:tcPr>
          <w:p w14:paraId="568D215A">
            <w:pPr>
              <w:spacing w:line="300" w:lineRule="exact"/>
              <w:jc w:val="center"/>
              <w:rPr>
                <w:rFonts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0-</w:t>
            </w:r>
            <w:r>
              <w:rPr>
                <w:rFonts w:hint="eastAsia" w:ascii="宋体" w:hAnsi="宋体" w:cs="宋体"/>
                <w:color w:val="auto"/>
                <w:kern w:val="0"/>
                <w:sz w:val="21"/>
                <w:szCs w:val="21"/>
                <w:highlight w:val="none"/>
                <w:lang w:val="en-US" w:eastAsia="zh-CN"/>
              </w:rPr>
              <w:t>8</w:t>
            </w:r>
            <w:r>
              <w:rPr>
                <w:rFonts w:hint="eastAsia" w:ascii="宋体" w:hAnsi="宋体" w:eastAsia="宋体" w:cs="宋体"/>
                <w:color w:val="auto"/>
                <w:kern w:val="0"/>
                <w:sz w:val="21"/>
                <w:szCs w:val="21"/>
                <w:highlight w:val="none"/>
              </w:rPr>
              <w:t>分</w:t>
            </w:r>
          </w:p>
        </w:tc>
      </w:tr>
      <w:tr w14:paraId="758C23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705" w:type="dxa"/>
            <w:vMerge w:val="continue"/>
            <w:noWrap w:val="0"/>
            <w:vAlign w:val="center"/>
          </w:tcPr>
          <w:p w14:paraId="7D2989D4">
            <w:pPr>
              <w:spacing w:line="300" w:lineRule="exact"/>
              <w:jc w:val="center"/>
              <w:rPr>
                <w:rFonts w:ascii="宋体" w:hAnsi="宋体" w:eastAsia="宋体" w:cs="宋体"/>
                <w:color w:val="auto"/>
                <w:sz w:val="21"/>
                <w:szCs w:val="21"/>
                <w:highlight w:val="none"/>
              </w:rPr>
            </w:pPr>
          </w:p>
        </w:tc>
        <w:tc>
          <w:tcPr>
            <w:tcW w:w="1312" w:type="dxa"/>
            <w:vMerge w:val="continue"/>
            <w:noWrap w:val="0"/>
            <w:vAlign w:val="center"/>
          </w:tcPr>
          <w:p w14:paraId="3791F559">
            <w:pPr>
              <w:widowControl/>
              <w:jc w:val="left"/>
              <w:rPr>
                <w:rFonts w:hint="eastAsia"/>
                <w:color w:val="auto"/>
                <w:sz w:val="21"/>
                <w:szCs w:val="21"/>
                <w:highlight w:val="none"/>
              </w:rPr>
            </w:pPr>
          </w:p>
        </w:tc>
        <w:tc>
          <w:tcPr>
            <w:tcW w:w="7330" w:type="dxa"/>
            <w:noWrap w:val="0"/>
            <w:vAlign w:val="center"/>
          </w:tcPr>
          <w:p w14:paraId="1831B9A1">
            <w:pPr>
              <w:widowControl/>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对</w:t>
            </w:r>
            <w:r>
              <w:rPr>
                <w:rFonts w:hint="eastAsia" w:ascii="宋体" w:hAnsi="宋体" w:eastAsia="宋体" w:cs="宋体"/>
                <w:color w:val="auto"/>
                <w:sz w:val="21"/>
                <w:szCs w:val="21"/>
                <w:highlight w:val="none"/>
              </w:rPr>
              <w:t>存在的问题</w:t>
            </w:r>
            <w:r>
              <w:rPr>
                <w:rFonts w:hint="eastAsia" w:ascii="宋体" w:hAnsi="宋体" w:eastAsia="宋体" w:cs="宋体"/>
                <w:color w:val="auto"/>
                <w:sz w:val="21"/>
                <w:szCs w:val="21"/>
                <w:highlight w:val="none"/>
                <w:lang w:val="en-US" w:eastAsia="zh-CN"/>
              </w:rPr>
              <w:t>分析</w:t>
            </w:r>
            <w:r>
              <w:rPr>
                <w:rFonts w:hint="eastAsia" w:ascii="宋体" w:hAnsi="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2分</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rPr>
              <w:t>针对问题的提出合理化的看法</w:t>
            </w:r>
            <w:r>
              <w:rPr>
                <w:rFonts w:hint="eastAsia" w:ascii="宋体" w:hAnsi="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2分</w:t>
            </w:r>
            <w:r>
              <w:rPr>
                <w:rFonts w:hint="eastAsia" w:ascii="宋体" w:hAnsi="宋体" w:cs="宋体"/>
                <w:color w:val="auto"/>
                <w:sz w:val="21"/>
                <w:szCs w:val="21"/>
                <w:highlight w:val="none"/>
                <w:lang w:eastAsia="zh-CN"/>
              </w:rPr>
              <w:t>）</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对问题的</w:t>
            </w:r>
            <w:r>
              <w:rPr>
                <w:rFonts w:hint="eastAsia" w:ascii="宋体" w:hAnsi="宋体" w:eastAsia="宋体" w:cs="宋体"/>
                <w:color w:val="auto"/>
                <w:sz w:val="21"/>
                <w:szCs w:val="21"/>
                <w:highlight w:val="none"/>
              </w:rPr>
              <w:t>建议</w:t>
            </w:r>
            <w:r>
              <w:rPr>
                <w:rFonts w:hint="eastAsia" w:ascii="宋体" w:hAnsi="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2分</w:t>
            </w:r>
            <w:r>
              <w:rPr>
                <w:rFonts w:hint="eastAsia" w:ascii="宋体" w:hAnsi="宋体" w:cs="宋体"/>
                <w:color w:val="auto"/>
                <w:sz w:val="21"/>
                <w:szCs w:val="21"/>
                <w:highlight w:val="none"/>
                <w:lang w:eastAsia="zh-CN"/>
              </w:rPr>
              <w:t>）。</w:t>
            </w:r>
            <w:r>
              <w:rPr>
                <w:rFonts w:hint="eastAsia" w:ascii="宋体" w:hAnsi="宋体" w:eastAsia="宋体" w:cs="宋体"/>
                <w:color w:val="auto"/>
                <w:sz w:val="21"/>
                <w:szCs w:val="21"/>
                <w:highlight w:val="none"/>
              </w:rPr>
              <w:t>本项最高得</w:t>
            </w:r>
            <w:r>
              <w:rPr>
                <w:rFonts w:hint="eastAsia" w:ascii="宋体" w:hAnsi="宋体" w:cs="宋体"/>
                <w:color w:val="auto"/>
                <w:sz w:val="21"/>
                <w:szCs w:val="21"/>
                <w:highlight w:val="none"/>
                <w:lang w:val="en-US" w:eastAsia="zh-CN"/>
              </w:rPr>
              <w:t>6</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val="en-US" w:eastAsia="zh-CN"/>
              </w:rPr>
              <w:t>每个分项</w:t>
            </w:r>
            <w:r>
              <w:rPr>
                <w:rFonts w:hint="eastAsia" w:ascii="宋体" w:hAnsi="宋体" w:eastAsia="宋体" w:cs="宋体"/>
                <w:color w:val="auto"/>
                <w:sz w:val="21"/>
                <w:szCs w:val="21"/>
                <w:highlight w:val="none"/>
              </w:rPr>
              <w:t>有所欠缺</w:t>
            </w:r>
            <w:r>
              <w:rPr>
                <w:rFonts w:hint="eastAsia" w:ascii="宋体" w:hAnsi="宋体" w:eastAsia="宋体" w:cs="宋体"/>
                <w:color w:val="auto"/>
                <w:sz w:val="21"/>
                <w:szCs w:val="21"/>
                <w:highlight w:val="none"/>
                <w:lang w:val="en-US" w:eastAsia="zh-CN"/>
              </w:rPr>
              <w:t>的</w:t>
            </w:r>
            <w:r>
              <w:rPr>
                <w:rFonts w:hint="eastAsia" w:ascii="宋体" w:hAnsi="宋体" w:eastAsia="宋体" w:cs="宋体"/>
                <w:color w:val="auto"/>
                <w:sz w:val="21"/>
                <w:szCs w:val="21"/>
                <w:highlight w:val="none"/>
              </w:rPr>
              <w:t>每处扣</w:t>
            </w:r>
            <w:r>
              <w:rPr>
                <w:rFonts w:hint="eastAsia" w:ascii="宋体" w:hAnsi="宋体" w:eastAsia="宋体" w:cs="宋体"/>
                <w:color w:val="auto"/>
                <w:sz w:val="21"/>
                <w:szCs w:val="21"/>
                <w:highlight w:val="none"/>
                <w:lang w:val="en-US" w:eastAsia="zh-CN"/>
              </w:rPr>
              <w:t>0.5</w:t>
            </w:r>
            <w:r>
              <w:rPr>
                <w:rFonts w:hint="eastAsia" w:ascii="宋体" w:hAnsi="宋体" w:eastAsia="宋体" w:cs="宋体"/>
                <w:color w:val="auto"/>
                <w:sz w:val="21"/>
                <w:szCs w:val="21"/>
                <w:highlight w:val="none"/>
              </w:rPr>
              <w:t>分。</w:t>
            </w:r>
          </w:p>
        </w:tc>
        <w:tc>
          <w:tcPr>
            <w:tcW w:w="937" w:type="dxa"/>
            <w:noWrap w:val="0"/>
            <w:vAlign w:val="center"/>
          </w:tcPr>
          <w:p w14:paraId="614F9A03">
            <w:pPr>
              <w:spacing w:line="300" w:lineRule="exact"/>
              <w:jc w:val="center"/>
              <w:rPr>
                <w:rFonts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0-</w:t>
            </w:r>
            <w:r>
              <w:rPr>
                <w:rFonts w:hint="eastAsia" w:ascii="宋体" w:hAnsi="宋体" w:cs="宋体"/>
                <w:color w:val="auto"/>
                <w:kern w:val="0"/>
                <w:sz w:val="21"/>
                <w:szCs w:val="21"/>
                <w:highlight w:val="none"/>
                <w:lang w:val="en-US" w:eastAsia="zh-CN"/>
              </w:rPr>
              <w:t>6</w:t>
            </w:r>
            <w:r>
              <w:rPr>
                <w:rFonts w:hint="eastAsia" w:ascii="宋体" w:hAnsi="宋体" w:eastAsia="宋体" w:cs="宋体"/>
                <w:color w:val="auto"/>
                <w:kern w:val="0"/>
                <w:sz w:val="21"/>
                <w:szCs w:val="21"/>
                <w:highlight w:val="none"/>
              </w:rPr>
              <w:t>分</w:t>
            </w:r>
          </w:p>
        </w:tc>
      </w:tr>
      <w:tr w14:paraId="262099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705" w:type="dxa"/>
            <w:vMerge w:val="restart"/>
            <w:noWrap w:val="0"/>
            <w:vAlign w:val="center"/>
          </w:tcPr>
          <w:p w14:paraId="4DAD6A39">
            <w:pPr>
              <w:spacing w:line="300" w:lineRule="exact"/>
              <w:jc w:val="center"/>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5</w:t>
            </w:r>
          </w:p>
        </w:tc>
        <w:tc>
          <w:tcPr>
            <w:tcW w:w="1312" w:type="dxa"/>
            <w:vMerge w:val="restart"/>
            <w:noWrap w:val="0"/>
            <w:vAlign w:val="center"/>
          </w:tcPr>
          <w:p w14:paraId="04691EA5">
            <w:pPr>
              <w:spacing w:line="300" w:lineRule="exact"/>
              <w:jc w:val="center"/>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物业化实施方案</w:t>
            </w:r>
          </w:p>
          <w:p w14:paraId="7ACB0321">
            <w:pPr>
              <w:spacing w:line="300" w:lineRule="exact"/>
              <w:jc w:val="center"/>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w:t>
            </w:r>
            <w:r>
              <w:rPr>
                <w:rFonts w:hint="eastAsia" w:ascii="宋体" w:hAnsi="宋体" w:cs="宋体"/>
                <w:color w:val="auto"/>
                <w:sz w:val="21"/>
                <w:szCs w:val="21"/>
                <w:highlight w:val="none"/>
                <w:lang w:val="en-US" w:eastAsia="zh-CN"/>
              </w:rPr>
              <w:t>31</w:t>
            </w:r>
            <w:r>
              <w:rPr>
                <w:rFonts w:hint="eastAsia" w:ascii="宋体" w:hAnsi="宋体" w:eastAsia="宋体" w:cs="宋体"/>
                <w:color w:val="auto"/>
                <w:sz w:val="21"/>
                <w:szCs w:val="21"/>
                <w:highlight w:val="none"/>
              </w:rPr>
              <w:t>分）</w:t>
            </w:r>
          </w:p>
        </w:tc>
        <w:tc>
          <w:tcPr>
            <w:tcW w:w="7330" w:type="dxa"/>
            <w:noWrap w:val="0"/>
            <w:vAlign w:val="center"/>
          </w:tcPr>
          <w:p w14:paraId="3EFA7454">
            <w:pPr>
              <w:spacing w:line="3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物业化实施计划：检查观测合理且具备可操作性</w:t>
            </w:r>
            <w:r>
              <w:rPr>
                <w:rFonts w:hint="eastAsia" w:ascii="宋体" w:hAnsi="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2分</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rPr>
              <w:t>维修养护及保洁合理且具备可操作性</w:t>
            </w:r>
            <w:r>
              <w:rPr>
                <w:rFonts w:hint="eastAsia" w:ascii="宋体" w:hAnsi="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2分</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rPr>
              <w:t>安全生产制度的完善及落实程度合理且具备可操作性</w:t>
            </w:r>
            <w:r>
              <w:rPr>
                <w:rFonts w:hint="eastAsia" w:ascii="宋体" w:hAnsi="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2分</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rPr>
              <w:t>运行管理制度合理且具备可操作性</w:t>
            </w:r>
            <w:r>
              <w:rPr>
                <w:rFonts w:hint="eastAsia" w:ascii="宋体" w:hAnsi="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2分</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rPr>
              <w:t>本项最高得</w:t>
            </w:r>
            <w:r>
              <w:rPr>
                <w:rFonts w:hint="eastAsia" w:ascii="宋体" w:hAnsi="宋体" w:cs="宋体"/>
                <w:color w:val="auto"/>
                <w:sz w:val="21"/>
                <w:szCs w:val="21"/>
                <w:highlight w:val="none"/>
                <w:lang w:val="en-US" w:eastAsia="zh-CN"/>
              </w:rPr>
              <w:t>8</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val="en-US" w:eastAsia="zh-CN"/>
              </w:rPr>
              <w:t>每个分项</w:t>
            </w:r>
            <w:r>
              <w:rPr>
                <w:rFonts w:hint="eastAsia" w:ascii="宋体" w:hAnsi="宋体" w:eastAsia="宋体" w:cs="宋体"/>
                <w:color w:val="auto"/>
                <w:sz w:val="21"/>
                <w:szCs w:val="21"/>
                <w:highlight w:val="none"/>
              </w:rPr>
              <w:t>有所欠缺</w:t>
            </w:r>
            <w:r>
              <w:rPr>
                <w:rFonts w:hint="eastAsia" w:ascii="宋体" w:hAnsi="宋体" w:eastAsia="宋体" w:cs="宋体"/>
                <w:color w:val="auto"/>
                <w:sz w:val="21"/>
                <w:szCs w:val="21"/>
                <w:highlight w:val="none"/>
                <w:lang w:val="en-US" w:eastAsia="zh-CN"/>
              </w:rPr>
              <w:t>的</w:t>
            </w:r>
            <w:r>
              <w:rPr>
                <w:rFonts w:hint="eastAsia" w:ascii="宋体" w:hAnsi="宋体" w:eastAsia="宋体" w:cs="宋体"/>
                <w:color w:val="auto"/>
                <w:sz w:val="21"/>
                <w:szCs w:val="21"/>
                <w:highlight w:val="none"/>
              </w:rPr>
              <w:t>每处扣</w:t>
            </w:r>
            <w:r>
              <w:rPr>
                <w:rFonts w:hint="eastAsia" w:ascii="宋体" w:hAnsi="宋体" w:eastAsia="宋体" w:cs="宋体"/>
                <w:color w:val="auto"/>
                <w:sz w:val="21"/>
                <w:szCs w:val="21"/>
                <w:highlight w:val="none"/>
                <w:lang w:val="en-US" w:eastAsia="zh-CN"/>
              </w:rPr>
              <w:t>0.5</w:t>
            </w:r>
            <w:r>
              <w:rPr>
                <w:rFonts w:hint="eastAsia" w:ascii="宋体" w:hAnsi="宋体" w:eastAsia="宋体" w:cs="宋体"/>
                <w:color w:val="auto"/>
                <w:sz w:val="21"/>
                <w:szCs w:val="21"/>
                <w:highlight w:val="none"/>
              </w:rPr>
              <w:t>分。</w:t>
            </w:r>
          </w:p>
        </w:tc>
        <w:tc>
          <w:tcPr>
            <w:tcW w:w="937" w:type="dxa"/>
            <w:noWrap w:val="0"/>
            <w:vAlign w:val="center"/>
          </w:tcPr>
          <w:p w14:paraId="56ACBC7B">
            <w:pPr>
              <w:spacing w:line="300" w:lineRule="exact"/>
              <w:jc w:val="center"/>
              <w:rPr>
                <w:rFonts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0-</w:t>
            </w:r>
            <w:r>
              <w:rPr>
                <w:rFonts w:hint="eastAsia" w:ascii="宋体" w:hAnsi="宋体" w:cs="宋体"/>
                <w:color w:val="auto"/>
                <w:kern w:val="0"/>
                <w:sz w:val="21"/>
                <w:szCs w:val="21"/>
                <w:highlight w:val="none"/>
                <w:lang w:val="en-US" w:eastAsia="zh-CN"/>
              </w:rPr>
              <w:t>8</w:t>
            </w:r>
            <w:r>
              <w:rPr>
                <w:rFonts w:hint="eastAsia" w:ascii="宋体" w:hAnsi="宋体" w:eastAsia="宋体" w:cs="宋体"/>
                <w:color w:val="auto"/>
                <w:kern w:val="0"/>
                <w:sz w:val="21"/>
                <w:szCs w:val="21"/>
                <w:highlight w:val="none"/>
              </w:rPr>
              <w:t>分</w:t>
            </w:r>
          </w:p>
        </w:tc>
      </w:tr>
      <w:tr w14:paraId="2ED51F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705" w:type="dxa"/>
            <w:vMerge w:val="continue"/>
            <w:noWrap w:val="0"/>
            <w:vAlign w:val="center"/>
          </w:tcPr>
          <w:p w14:paraId="3535DCC3">
            <w:pPr>
              <w:spacing w:line="300" w:lineRule="exact"/>
              <w:jc w:val="center"/>
              <w:rPr>
                <w:rFonts w:ascii="宋体" w:hAnsi="宋体" w:eastAsia="宋体" w:cs="宋体"/>
                <w:color w:val="auto"/>
                <w:sz w:val="21"/>
                <w:szCs w:val="21"/>
                <w:highlight w:val="none"/>
              </w:rPr>
            </w:pPr>
          </w:p>
        </w:tc>
        <w:tc>
          <w:tcPr>
            <w:tcW w:w="1312" w:type="dxa"/>
            <w:vMerge w:val="continue"/>
            <w:noWrap w:val="0"/>
            <w:vAlign w:val="center"/>
          </w:tcPr>
          <w:p w14:paraId="5F2ABB68">
            <w:pPr>
              <w:spacing w:line="300" w:lineRule="exact"/>
              <w:jc w:val="center"/>
              <w:rPr>
                <w:rFonts w:ascii="宋体" w:hAnsi="宋体" w:eastAsia="宋体" w:cs="宋体"/>
                <w:color w:val="auto"/>
                <w:sz w:val="21"/>
                <w:szCs w:val="21"/>
                <w:highlight w:val="none"/>
              </w:rPr>
            </w:pPr>
          </w:p>
        </w:tc>
        <w:tc>
          <w:tcPr>
            <w:tcW w:w="7330" w:type="dxa"/>
            <w:noWrap w:val="0"/>
            <w:vAlign w:val="center"/>
          </w:tcPr>
          <w:p w14:paraId="6DCBB68F">
            <w:pPr>
              <w:spacing w:line="3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岗位人员：人员分工及岗位人员职责合理且具备可操作性</w:t>
            </w:r>
            <w:r>
              <w:rPr>
                <w:rFonts w:hint="eastAsia" w:ascii="宋体" w:hAnsi="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2分</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rPr>
              <w:t>人员考核制度及方案合理且具备可操作性</w:t>
            </w:r>
            <w:r>
              <w:rPr>
                <w:rFonts w:hint="eastAsia" w:ascii="宋体" w:hAnsi="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2分</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rPr>
              <w:t>各岗位目标与承诺合理且具备可操作性</w:t>
            </w:r>
            <w:r>
              <w:rPr>
                <w:rFonts w:hint="eastAsia" w:ascii="宋体" w:hAnsi="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2分</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rPr>
              <w:t>本项最高得</w:t>
            </w:r>
            <w:r>
              <w:rPr>
                <w:rFonts w:hint="eastAsia" w:ascii="宋体" w:hAnsi="宋体" w:cs="宋体"/>
                <w:color w:val="auto"/>
                <w:sz w:val="21"/>
                <w:szCs w:val="21"/>
                <w:highlight w:val="none"/>
                <w:lang w:val="en-US" w:eastAsia="zh-CN"/>
              </w:rPr>
              <w:t>6</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val="en-US" w:eastAsia="zh-CN"/>
              </w:rPr>
              <w:t>每个分项</w:t>
            </w:r>
            <w:r>
              <w:rPr>
                <w:rFonts w:hint="eastAsia" w:ascii="宋体" w:hAnsi="宋体" w:eastAsia="宋体" w:cs="宋体"/>
                <w:color w:val="auto"/>
                <w:sz w:val="21"/>
                <w:szCs w:val="21"/>
                <w:highlight w:val="none"/>
              </w:rPr>
              <w:t>有所欠缺</w:t>
            </w:r>
            <w:r>
              <w:rPr>
                <w:rFonts w:hint="eastAsia" w:ascii="宋体" w:hAnsi="宋体" w:eastAsia="宋体" w:cs="宋体"/>
                <w:color w:val="auto"/>
                <w:sz w:val="21"/>
                <w:szCs w:val="21"/>
                <w:highlight w:val="none"/>
                <w:lang w:val="en-US" w:eastAsia="zh-CN"/>
              </w:rPr>
              <w:t>的</w:t>
            </w:r>
            <w:r>
              <w:rPr>
                <w:rFonts w:hint="eastAsia" w:ascii="宋体" w:hAnsi="宋体" w:eastAsia="宋体" w:cs="宋体"/>
                <w:color w:val="auto"/>
                <w:sz w:val="21"/>
                <w:szCs w:val="21"/>
                <w:highlight w:val="none"/>
              </w:rPr>
              <w:t>每处扣</w:t>
            </w:r>
            <w:r>
              <w:rPr>
                <w:rFonts w:hint="eastAsia" w:ascii="宋体" w:hAnsi="宋体" w:eastAsia="宋体" w:cs="宋体"/>
                <w:color w:val="auto"/>
                <w:sz w:val="21"/>
                <w:szCs w:val="21"/>
                <w:highlight w:val="none"/>
                <w:lang w:val="en-US" w:eastAsia="zh-CN"/>
              </w:rPr>
              <w:t>0.5</w:t>
            </w:r>
            <w:r>
              <w:rPr>
                <w:rFonts w:hint="eastAsia" w:ascii="宋体" w:hAnsi="宋体" w:eastAsia="宋体" w:cs="宋体"/>
                <w:color w:val="auto"/>
                <w:sz w:val="21"/>
                <w:szCs w:val="21"/>
                <w:highlight w:val="none"/>
              </w:rPr>
              <w:t>分。</w:t>
            </w:r>
          </w:p>
        </w:tc>
        <w:tc>
          <w:tcPr>
            <w:tcW w:w="937" w:type="dxa"/>
            <w:noWrap w:val="0"/>
            <w:vAlign w:val="center"/>
          </w:tcPr>
          <w:p w14:paraId="69C9BA6D">
            <w:pPr>
              <w:spacing w:line="300" w:lineRule="exact"/>
              <w:jc w:val="center"/>
              <w:rPr>
                <w:rFonts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0-</w:t>
            </w:r>
            <w:r>
              <w:rPr>
                <w:rFonts w:hint="eastAsia" w:ascii="宋体" w:hAnsi="宋体" w:cs="宋体"/>
                <w:color w:val="auto"/>
                <w:kern w:val="0"/>
                <w:sz w:val="21"/>
                <w:szCs w:val="21"/>
                <w:highlight w:val="none"/>
                <w:lang w:val="en-US" w:eastAsia="zh-CN"/>
              </w:rPr>
              <w:t>6</w:t>
            </w:r>
            <w:r>
              <w:rPr>
                <w:rFonts w:hint="eastAsia" w:ascii="宋体" w:hAnsi="宋体" w:eastAsia="宋体" w:cs="宋体"/>
                <w:color w:val="auto"/>
                <w:kern w:val="0"/>
                <w:sz w:val="21"/>
                <w:szCs w:val="21"/>
                <w:highlight w:val="none"/>
              </w:rPr>
              <w:t>分</w:t>
            </w:r>
          </w:p>
        </w:tc>
      </w:tr>
      <w:tr w14:paraId="4BBD0F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705" w:type="dxa"/>
            <w:vMerge w:val="continue"/>
            <w:noWrap w:val="0"/>
            <w:vAlign w:val="center"/>
          </w:tcPr>
          <w:p w14:paraId="5BE85F2A">
            <w:pPr>
              <w:spacing w:line="300" w:lineRule="exact"/>
              <w:jc w:val="center"/>
              <w:rPr>
                <w:rFonts w:ascii="宋体" w:hAnsi="宋体" w:eastAsia="宋体" w:cs="宋体"/>
                <w:color w:val="auto"/>
                <w:sz w:val="21"/>
                <w:szCs w:val="21"/>
                <w:highlight w:val="none"/>
              </w:rPr>
            </w:pPr>
          </w:p>
        </w:tc>
        <w:tc>
          <w:tcPr>
            <w:tcW w:w="1312" w:type="dxa"/>
            <w:vMerge w:val="continue"/>
            <w:noWrap w:val="0"/>
            <w:vAlign w:val="center"/>
          </w:tcPr>
          <w:p w14:paraId="1C8313B9">
            <w:pPr>
              <w:spacing w:line="300" w:lineRule="exact"/>
              <w:jc w:val="center"/>
              <w:rPr>
                <w:rFonts w:ascii="宋体" w:hAnsi="宋体" w:eastAsia="宋体" w:cs="宋体"/>
                <w:color w:val="auto"/>
                <w:sz w:val="21"/>
                <w:szCs w:val="21"/>
                <w:highlight w:val="none"/>
              </w:rPr>
            </w:pPr>
          </w:p>
        </w:tc>
        <w:tc>
          <w:tcPr>
            <w:tcW w:w="7330" w:type="dxa"/>
            <w:noWrap w:val="0"/>
            <w:vAlign w:val="center"/>
          </w:tcPr>
          <w:p w14:paraId="6C2CA6D7">
            <w:pPr>
              <w:spacing w:line="3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各项工作操作流程编制</w:t>
            </w:r>
            <w:r>
              <w:rPr>
                <w:rFonts w:hint="eastAsia" w:ascii="宋体" w:hAnsi="宋体" w:eastAsia="宋体" w:cs="宋体"/>
                <w:color w:val="auto"/>
                <w:sz w:val="21"/>
                <w:szCs w:val="21"/>
                <w:highlight w:val="none"/>
                <w:lang w:val="en-US" w:eastAsia="zh-CN"/>
              </w:rPr>
              <w:t>的合理性</w:t>
            </w:r>
            <w:r>
              <w:rPr>
                <w:rFonts w:hint="eastAsia" w:ascii="宋体" w:hAnsi="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2分</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rPr>
              <w:t>工作流程环节清晰</w:t>
            </w:r>
            <w:r>
              <w:rPr>
                <w:rFonts w:hint="eastAsia" w:ascii="宋体" w:hAnsi="宋体" w:cs="宋体"/>
                <w:color w:val="auto"/>
                <w:sz w:val="21"/>
                <w:szCs w:val="21"/>
                <w:highlight w:val="none"/>
                <w:lang w:val="en-US" w:eastAsia="zh-CN"/>
              </w:rPr>
              <w:t>性</w:t>
            </w:r>
            <w:r>
              <w:rPr>
                <w:rFonts w:hint="eastAsia" w:ascii="宋体" w:hAnsi="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2分</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lang w:val="en-US" w:eastAsia="zh-CN"/>
              </w:rPr>
              <w:t>；进度控制是否科学准确，合理的</w:t>
            </w:r>
            <w:r>
              <w:rPr>
                <w:rFonts w:hint="eastAsia" w:ascii="宋体" w:hAnsi="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2分</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lang w:val="en-US" w:eastAsia="zh-CN"/>
              </w:rPr>
              <w:t>；关键时间节点把握是否科学准确，合理的</w:t>
            </w:r>
            <w:r>
              <w:rPr>
                <w:rFonts w:hint="eastAsia" w:ascii="宋体" w:hAnsi="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2分</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rPr>
              <w:t>本项最高得</w:t>
            </w:r>
            <w:r>
              <w:rPr>
                <w:rFonts w:hint="eastAsia" w:ascii="宋体" w:hAnsi="宋体" w:cs="宋体"/>
                <w:color w:val="auto"/>
                <w:sz w:val="21"/>
                <w:szCs w:val="21"/>
                <w:highlight w:val="none"/>
                <w:lang w:val="en-US" w:eastAsia="zh-CN"/>
              </w:rPr>
              <w:t>8</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val="en-US" w:eastAsia="zh-CN"/>
              </w:rPr>
              <w:t>每个分项</w:t>
            </w:r>
            <w:r>
              <w:rPr>
                <w:rFonts w:hint="eastAsia" w:ascii="宋体" w:hAnsi="宋体" w:eastAsia="宋体" w:cs="宋体"/>
                <w:color w:val="auto"/>
                <w:sz w:val="21"/>
                <w:szCs w:val="21"/>
                <w:highlight w:val="none"/>
              </w:rPr>
              <w:t>有所欠缺</w:t>
            </w:r>
            <w:r>
              <w:rPr>
                <w:rFonts w:hint="eastAsia" w:ascii="宋体" w:hAnsi="宋体" w:eastAsia="宋体" w:cs="宋体"/>
                <w:color w:val="auto"/>
                <w:sz w:val="21"/>
                <w:szCs w:val="21"/>
                <w:highlight w:val="none"/>
                <w:lang w:val="en-US" w:eastAsia="zh-CN"/>
              </w:rPr>
              <w:t>的</w:t>
            </w:r>
            <w:r>
              <w:rPr>
                <w:rFonts w:hint="eastAsia" w:ascii="宋体" w:hAnsi="宋体" w:eastAsia="宋体" w:cs="宋体"/>
                <w:color w:val="auto"/>
                <w:sz w:val="21"/>
                <w:szCs w:val="21"/>
                <w:highlight w:val="none"/>
              </w:rPr>
              <w:t>每处扣</w:t>
            </w:r>
            <w:r>
              <w:rPr>
                <w:rFonts w:hint="eastAsia" w:ascii="宋体" w:hAnsi="宋体" w:eastAsia="宋体" w:cs="宋体"/>
                <w:color w:val="auto"/>
                <w:sz w:val="21"/>
                <w:szCs w:val="21"/>
                <w:highlight w:val="none"/>
                <w:lang w:val="en-US" w:eastAsia="zh-CN"/>
              </w:rPr>
              <w:t>0.5</w:t>
            </w:r>
            <w:r>
              <w:rPr>
                <w:rFonts w:hint="eastAsia" w:ascii="宋体" w:hAnsi="宋体" w:eastAsia="宋体" w:cs="宋体"/>
                <w:color w:val="auto"/>
                <w:sz w:val="21"/>
                <w:szCs w:val="21"/>
                <w:highlight w:val="none"/>
              </w:rPr>
              <w:t>分。</w:t>
            </w:r>
          </w:p>
        </w:tc>
        <w:tc>
          <w:tcPr>
            <w:tcW w:w="937" w:type="dxa"/>
            <w:noWrap w:val="0"/>
            <w:vAlign w:val="center"/>
          </w:tcPr>
          <w:p w14:paraId="199EAEAE">
            <w:pPr>
              <w:spacing w:line="300" w:lineRule="exact"/>
              <w:jc w:val="center"/>
              <w:rPr>
                <w:rFonts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0-</w:t>
            </w:r>
            <w:r>
              <w:rPr>
                <w:rFonts w:hint="eastAsia" w:ascii="宋体" w:hAnsi="宋体" w:cs="宋体"/>
                <w:color w:val="auto"/>
                <w:kern w:val="0"/>
                <w:sz w:val="21"/>
                <w:szCs w:val="21"/>
                <w:highlight w:val="none"/>
                <w:lang w:val="en-US" w:eastAsia="zh-CN"/>
              </w:rPr>
              <w:t>8</w:t>
            </w:r>
            <w:r>
              <w:rPr>
                <w:rFonts w:hint="eastAsia" w:ascii="宋体" w:hAnsi="宋体" w:eastAsia="宋体" w:cs="宋体"/>
                <w:color w:val="auto"/>
                <w:kern w:val="0"/>
                <w:sz w:val="21"/>
                <w:szCs w:val="21"/>
                <w:highlight w:val="none"/>
              </w:rPr>
              <w:t xml:space="preserve">分 </w:t>
            </w:r>
          </w:p>
        </w:tc>
      </w:tr>
      <w:tr w14:paraId="2F62FC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705" w:type="dxa"/>
            <w:vMerge w:val="continue"/>
            <w:noWrap w:val="0"/>
            <w:vAlign w:val="center"/>
          </w:tcPr>
          <w:p w14:paraId="637CDD05">
            <w:pPr>
              <w:spacing w:line="300" w:lineRule="exact"/>
              <w:jc w:val="center"/>
              <w:rPr>
                <w:rFonts w:ascii="宋体" w:hAnsi="宋体" w:eastAsia="宋体" w:cs="宋体"/>
                <w:color w:val="auto"/>
                <w:sz w:val="21"/>
                <w:szCs w:val="21"/>
                <w:highlight w:val="none"/>
              </w:rPr>
            </w:pPr>
          </w:p>
        </w:tc>
        <w:tc>
          <w:tcPr>
            <w:tcW w:w="1312" w:type="dxa"/>
            <w:vMerge w:val="continue"/>
            <w:noWrap w:val="0"/>
            <w:vAlign w:val="center"/>
          </w:tcPr>
          <w:p w14:paraId="6FFB5A42">
            <w:pPr>
              <w:spacing w:line="300" w:lineRule="exact"/>
              <w:jc w:val="center"/>
              <w:rPr>
                <w:rFonts w:ascii="宋体" w:hAnsi="宋体" w:eastAsia="宋体" w:cs="宋体"/>
                <w:color w:val="auto"/>
                <w:sz w:val="21"/>
                <w:szCs w:val="21"/>
                <w:highlight w:val="none"/>
              </w:rPr>
            </w:pPr>
          </w:p>
        </w:tc>
        <w:tc>
          <w:tcPr>
            <w:tcW w:w="7330" w:type="dxa"/>
            <w:noWrap w:val="0"/>
            <w:vAlign w:val="center"/>
          </w:tcPr>
          <w:p w14:paraId="12C4D647">
            <w:pPr>
              <w:spacing w:line="3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针对本项目提出相应的档案管理方案合理且具备可操作性的</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lang w:val="en-US" w:eastAsia="zh-CN"/>
              </w:rPr>
              <w:t>分</w:t>
            </w:r>
            <w:r>
              <w:rPr>
                <w:rFonts w:hint="eastAsia" w:ascii="宋体" w:hAnsi="宋体" w:cs="宋体"/>
                <w:color w:val="auto"/>
                <w:sz w:val="21"/>
                <w:szCs w:val="21"/>
                <w:highlight w:val="none"/>
                <w:lang w:eastAsia="zh-CN"/>
              </w:rPr>
              <w:t>）</w:t>
            </w:r>
            <w:r>
              <w:rPr>
                <w:rFonts w:hint="eastAsia" w:ascii="宋体" w:hAnsi="宋体" w:eastAsia="宋体" w:cs="宋体"/>
                <w:color w:val="auto"/>
                <w:sz w:val="21"/>
                <w:szCs w:val="21"/>
                <w:highlight w:val="none"/>
              </w:rPr>
              <w:t>。本项最高得</w:t>
            </w: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val="en-US" w:eastAsia="zh-CN"/>
              </w:rPr>
              <w:t>每个分项</w:t>
            </w:r>
            <w:r>
              <w:rPr>
                <w:rFonts w:hint="eastAsia" w:ascii="宋体" w:hAnsi="宋体" w:eastAsia="宋体" w:cs="宋体"/>
                <w:color w:val="auto"/>
                <w:sz w:val="21"/>
                <w:szCs w:val="21"/>
                <w:highlight w:val="none"/>
              </w:rPr>
              <w:t>有所欠缺</w:t>
            </w:r>
            <w:r>
              <w:rPr>
                <w:rFonts w:hint="eastAsia" w:ascii="宋体" w:hAnsi="宋体" w:eastAsia="宋体" w:cs="宋体"/>
                <w:color w:val="auto"/>
                <w:sz w:val="21"/>
                <w:szCs w:val="21"/>
                <w:highlight w:val="none"/>
                <w:lang w:val="en-US" w:eastAsia="zh-CN"/>
              </w:rPr>
              <w:t>的</w:t>
            </w:r>
            <w:r>
              <w:rPr>
                <w:rFonts w:hint="eastAsia" w:ascii="宋体" w:hAnsi="宋体" w:eastAsia="宋体" w:cs="宋体"/>
                <w:color w:val="auto"/>
                <w:sz w:val="21"/>
                <w:szCs w:val="21"/>
                <w:highlight w:val="none"/>
              </w:rPr>
              <w:t>每处扣</w:t>
            </w:r>
            <w:r>
              <w:rPr>
                <w:rFonts w:hint="eastAsia" w:ascii="宋体" w:hAnsi="宋体" w:eastAsia="宋体" w:cs="宋体"/>
                <w:color w:val="auto"/>
                <w:sz w:val="21"/>
                <w:szCs w:val="21"/>
                <w:highlight w:val="none"/>
                <w:lang w:val="en-US" w:eastAsia="zh-CN"/>
              </w:rPr>
              <w:t>0.5</w:t>
            </w:r>
            <w:r>
              <w:rPr>
                <w:rFonts w:hint="eastAsia" w:ascii="宋体" w:hAnsi="宋体" w:eastAsia="宋体" w:cs="宋体"/>
                <w:color w:val="auto"/>
                <w:sz w:val="21"/>
                <w:szCs w:val="21"/>
                <w:highlight w:val="none"/>
              </w:rPr>
              <w:t>分。</w:t>
            </w:r>
          </w:p>
        </w:tc>
        <w:tc>
          <w:tcPr>
            <w:tcW w:w="937" w:type="dxa"/>
            <w:noWrap w:val="0"/>
            <w:vAlign w:val="center"/>
          </w:tcPr>
          <w:p w14:paraId="1F9D081F">
            <w:pPr>
              <w:spacing w:line="300" w:lineRule="exact"/>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0-</w:t>
            </w:r>
            <w:r>
              <w:rPr>
                <w:rFonts w:hint="eastAsia" w:ascii="宋体" w:hAnsi="宋体" w:cs="宋体"/>
                <w:color w:val="auto"/>
                <w:kern w:val="0"/>
                <w:sz w:val="21"/>
                <w:szCs w:val="21"/>
                <w:highlight w:val="none"/>
                <w:lang w:val="en-US" w:eastAsia="zh-CN"/>
              </w:rPr>
              <w:t>3</w:t>
            </w:r>
            <w:r>
              <w:rPr>
                <w:rFonts w:hint="eastAsia" w:ascii="宋体" w:hAnsi="宋体" w:eastAsia="宋体" w:cs="宋体"/>
                <w:color w:val="auto"/>
                <w:kern w:val="0"/>
                <w:sz w:val="21"/>
                <w:szCs w:val="21"/>
                <w:highlight w:val="none"/>
              </w:rPr>
              <w:t>分</w:t>
            </w:r>
          </w:p>
        </w:tc>
      </w:tr>
      <w:tr w14:paraId="57DB65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705" w:type="dxa"/>
            <w:vMerge w:val="continue"/>
            <w:noWrap w:val="0"/>
            <w:vAlign w:val="center"/>
          </w:tcPr>
          <w:p w14:paraId="64378992">
            <w:pPr>
              <w:spacing w:line="300" w:lineRule="exact"/>
              <w:jc w:val="center"/>
              <w:rPr>
                <w:rFonts w:ascii="宋体" w:hAnsi="宋体" w:eastAsia="宋体" w:cs="宋体"/>
                <w:color w:val="auto"/>
                <w:sz w:val="21"/>
                <w:szCs w:val="21"/>
                <w:highlight w:val="none"/>
              </w:rPr>
            </w:pPr>
          </w:p>
        </w:tc>
        <w:tc>
          <w:tcPr>
            <w:tcW w:w="1312" w:type="dxa"/>
            <w:vMerge w:val="continue"/>
            <w:noWrap w:val="0"/>
            <w:vAlign w:val="center"/>
          </w:tcPr>
          <w:p w14:paraId="1863D713">
            <w:pPr>
              <w:spacing w:line="300" w:lineRule="exact"/>
              <w:jc w:val="center"/>
              <w:rPr>
                <w:rFonts w:ascii="宋体" w:hAnsi="宋体" w:eastAsia="宋体" w:cs="宋体"/>
                <w:color w:val="auto"/>
                <w:sz w:val="21"/>
                <w:szCs w:val="21"/>
                <w:highlight w:val="none"/>
              </w:rPr>
            </w:pPr>
          </w:p>
        </w:tc>
        <w:tc>
          <w:tcPr>
            <w:tcW w:w="7330" w:type="dxa"/>
            <w:noWrap w:val="0"/>
            <w:vAlign w:val="center"/>
          </w:tcPr>
          <w:p w14:paraId="68F6EA5C">
            <w:pPr>
              <w:spacing w:line="300" w:lineRule="exact"/>
              <w:rPr>
                <w:rFonts w:hint="eastAsia" w:ascii="宋体" w:hAnsi="宋体" w:eastAsia="宋体" w:cs="宋体"/>
                <w:color w:val="auto"/>
                <w:sz w:val="21"/>
                <w:szCs w:val="21"/>
                <w:highlight w:val="none"/>
                <w:lang w:val="en-US"/>
              </w:rPr>
            </w:pPr>
            <w:r>
              <w:rPr>
                <w:rFonts w:hint="eastAsia" w:ascii="宋体" w:hAnsi="宋体" w:eastAsia="宋体" w:cs="宋体"/>
                <w:color w:val="auto"/>
                <w:sz w:val="21"/>
                <w:szCs w:val="21"/>
                <w:highlight w:val="none"/>
                <w:lang w:eastAsia="zh-CN"/>
              </w:rPr>
              <w:t>安全监测：水平位移</w:t>
            </w:r>
            <w:r>
              <w:rPr>
                <w:rFonts w:hint="eastAsia" w:ascii="宋体" w:hAnsi="宋体" w:eastAsia="宋体" w:cs="宋体"/>
                <w:color w:val="auto"/>
                <w:kern w:val="0"/>
                <w:sz w:val="21"/>
                <w:szCs w:val="21"/>
                <w:highlight w:val="none"/>
                <w:lang w:eastAsia="zh-CN"/>
              </w:rPr>
              <w:t>安全监测工作的</w:t>
            </w:r>
            <w:r>
              <w:rPr>
                <w:rFonts w:hint="eastAsia" w:ascii="宋体" w:hAnsi="宋体" w:eastAsia="宋体" w:cs="宋体"/>
                <w:color w:val="auto"/>
                <w:kern w:val="0"/>
                <w:sz w:val="21"/>
                <w:szCs w:val="21"/>
                <w:highlight w:val="none"/>
                <w:lang w:val="en-US" w:eastAsia="zh-CN"/>
              </w:rPr>
              <w:t>工作流程合理性</w:t>
            </w:r>
            <w:r>
              <w:rPr>
                <w:rFonts w:hint="eastAsia" w:ascii="宋体" w:hAnsi="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2分</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lang w:eastAsia="zh-CN"/>
              </w:rPr>
              <w:t>垂直位移</w:t>
            </w:r>
            <w:r>
              <w:rPr>
                <w:rFonts w:hint="eastAsia" w:ascii="宋体" w:hAnsi="宋体" w:eastAsia="宋体" w:cs="宋体"/>
                <w:color w:val="auto"/>
                <w:kern w:val="0"/>
                <w:sz w:val="21"/>
                <w:szCs w:val="21"/>
                <w:highlight w:val="none"/>
                <w:lang w:eastAsia="zh-CN"/>
              </w:rPr>
              <w:t>安全监测工作的</w:t>
            </w:r>
            <w:r>
              <w:rPr>
                <w:rFonts w:hint="eastAsia" w:ascii="宋体" w:hAnsi="宋体" w:eastAsia="宋体" w:cs="宋体"/>
                <w:color w:val="auto"/>
                <w:kern w:val="0"/>
                <w:sz w:val="21"/>
                <w:szCs w:val="21"/>
                <w:highlight w:val="none"/>
                <w:lang w:val="en-US" w:eastAsia="zh-CN"/>
              </w:rPr>
              <w:t>工作流程合理性</w:t>
            </w:r>
            <w:r>
              <w:rPr>
                <w:rFonts w:hint="eastAsia" w:ascii="宋体" w:hAnsi="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2分</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lang w:val="en-US" w:eastAsia="zh-CN"/>
              </w:rPr>
              <w:t>；</w:t>
            </w:r>
            <w:r>
              <w:rPr>
                <w:rFonts w:hint="eastAsia" w:ascii="宋体" w:hAnsi="宋体" w:eastAsia="宋体" w:cs="宋体"/>
                <w:color w:val="auto"/>
                <w:kern w:val="0"/>
                <w:sz w:val="21"/>
                <w:szCs w:val="21"/>
                <w:highlight w:val="none"/>
                <w:lang w:eastAsia="zh-CN"/>
              </w:rPr>
              <w:t>测压管观测安全监测工作的</w:t>
            </w:r>
            <w:r>
              <w:rPr>
                <w:rFonts w:hint="eastAsia" w:ascii="宋体" w:hAnsi="宋体" w:eastAsia="宋体" w:cs="宋体"/>
                <w:color w:val="auto"/>
                <w:kern w:val="0"/>
                <w:sz w:val="21"/>
                <w:szCs w:val="21"/>
                <w:highlight w:val="none"/>
                <w:lang w:val="en-US" w:eastAsia="zh-CN"/>
              </w:rPr>
              <w:t>工作流程合理性</w:t>
            </w:r>
            <w:r>
              <w:rPr>
                <w:rFonts w:hint="eastAsia" w:ascii="宋体" w:hAnsi="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2分</w:t>
            </w:r>
            <w:r>
              <w:rPr>
                <w:rFonts w:hint="eastAsia" w:ascii="宋体" w:hAnsi="宋体" w:cs="宋体"/>
                <w:color w:val="auto"/>
                <w:sz w:val="21"/>
                <w:szCs w:val="21"/>
                <w:highlight w:val="none"/>
                <w:lang w:eastAsia="zh-CN"/>
              </w:rPr>
              <w:t>）</w:t>
            </w:r>
            <w:r>
              <w:rPr>
                <w:rFonts w:hint="eastAsia" w:ascii="宋体" w:hAnsi="宋体" w:eastAsia="宋体" w:cs="宋体"/>
                <w:color w:val="auto"/>
                <w:kern w:val="0"/>
                <w:sz w:val="21"/>
                <w:szCs w:val="21"/>
                <w:highlight w:val="none"/>
                <w:lang w:val="en-US" w:eastAsia="zh-CN"/>
              </w:rPr>
              <w:t>。</w:t>
            </w:r>
            <w:r>
              <w:rPr>
                <w:rFonts w:hint="eastAsia" w:ascii="宋体" w:hAnsi="宋体" w:eastAsia="宋体" w:cs="宋体"/>
                <w:color w:val="auto"/>
                <w:sz w:val="21"/>
                <w:szCs w:val="21"/>
                <w:highlight w:val="none"/>
              </w:rPr>
              <w:t>本项最高得</w:t>
            </w:r>
            <w:r>
              <w:rPr>
                <w:rFonts w:hint="eastAsia" w:ascii="宋体" w:hAnsi="宋体" w:cs="宋体"/>
                <w:color w:val="auto"/>
                <w:sz w:val="21"/>
                <w:szCs w:val="21"/>
                <w:highlight w:val="none"/>
                <w:lang w:val="en-US" w:eastAsia="zh-CN"/>
              </w:rPr>
              <w:t>6</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val="en-US" w:eastAsia="zh-CN"/>
              </w:rPr>
              <w:t>每个分项</w:t>
            </w:r>
            <w:r>
              <w:rPr>
                <w:rFonts w:hint="eastAsia" w:ascii="宋体" w:hAnsi="宋体" w:eastAsia="宋体" w:cs="宋体"/>
                <w:color w:val="auto"/>
                <w:sz w:val="21"/>
                <w:szCs w:val="21"/>
                <w:highlight w:val="none"/>
              </w:rPr>
              <w:t>有所欠缺</w:t>
            </w:r>
            <w:r>
              <w:rPr>
                <w:rFonts w:hint="eastAsia" w:ascii="宋体" w:hAnsi="宋体" w:eastAsia="宋体" w:cs="宋体"/>
                <w:color w:val="auto"/>
                <w:sz w:val="21"/>
                <w:szCs w:val="21"/>
                <w:highlight w:val="none"/>
                <w:lang w:val="en-US" w:eastAsia="zh-CN"/>
              </w:rPr>
              <w:t>的</w:t>
            </w:r>
            <w:r>
              <w:rPr>
                <w:rFonts w:hint="eastAsia" w:ascii="宋体" w:hAnsi="宋体" w:eastAsia="宋体" w:cs="宋体"/>
                <w:color w:val="auto"/>
                <w:sz w:val="21"/>
                <w:szCs w:val="21"/>
                <w:highlight w:val="none"/>
              </w:rPr>
              <w:t>每处扣</w:t>
            </w:r>
            <w:r>
              <w:rPr>
                <w:rFonts w:hint="eastAsia" w:ascii="宋体" w:hAnsi="宋体" w:eastAsia="宋体" w:cs="宋体"/>
                <w:color w:val="auto"/>
                <w:sz w:val="21"/>
                <w:szCs w:val="21"/>
                <w:highlight w:val="none"/>
                <w:lang w:val="en-US" w:eastAsia="zh-CN"/>
              </w:rPr>
              <w:t>0.5</w:t>
            </w:r>
            <w:r>
              <w:rPr>
                <w:rFonts w:hint="eastAsia" w:ascii="宋体" w:hAnsi="宋体" w:eastAsia="宋体" w:cs="宋体"/>
                <w:color w:val="auto"/>
                <w:sz w:val="21"/>
                <w:szCs w:val="21"/>
                <w:highlight w:val="none"/>
              </w:rPr>
              <w:t>分。</w:t>
            </w:r>
          </w:p>
        </w:tc>
        <w:tc>
          <w:tcPr>
            <w:tcW w:w="937" w:type="dxa"/>
            <w:noWrap w:val="0"/>
            <w:vAlign w:val="center"/>
          </w:tcPr>
          <w:p w14:paraId="05978124">
            <w:pPr>
              <w:spacing w:line="300" w:lineRule="exact"/>
              <w:jc w:val="center"/>
              <w:rPr>
                <w:rFonts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0-</w:t>
            </w:r>
            <w:r>
              <w:rPr>
                <w:rFonts w:hint="eastAsia" w:ascii="宋体" w:hAnsi="宋体" w:eastAsia="宋体" w:cs="宋体"/>
                <w:color w:val="auto"/>
                <w:kern w:val="0"/>
                <w:sz w:val="21"/>
                <w:szCs w:val="21"/>
                <w:highlight w:val="none"/>
                <w:lang w:val="en-US" w:eastAsia="zh-CN"/>
              </w:rPr>
              <w:t>6</w:t>
            </w:r>
            <w:r>
              <w:rPr>
                <w:rFonts w:hint="eastAsia" w:ascii="宋体" w:hAnsi="宋体" w:eastAsia="宋体" w:cs="宋体"/>
                <w:color w:val="auto"/>
                <w:kern w:val="0"/>
                <w:sz w:val="21"/>
                <w:szCs w:val="21"/>
                <w:highlight w:val="none"/>
              </w:rPr>
              <w:t>分</w:t>
            </w:r>
          </w:p>
        </w:tc>
      </w:tr>
      <w:tr w14:paraId="4A8C0C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705" w:type="dxa"/>
            <w:noWrap w:val="0"/>
            <w:vAlign w:val="center"/>
          </w:tcPr>
          <w:p w14:paraId="0367B83C">
            <w:pPr>
              <w:spacing w:line="300" w:lineRule="exact"/>
              <w:jc w:val="center"/>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6</w:t>
            </w:r>
          </w:p>
        </w:tc>
        <w:tc>
          <w:tcPr>
            <w:tcW w:w="1312" w:type="dxa"/>
            <w:noWrap w:val="0"/>
            <w:vAlign w:val="center"/>
          </w:tcPr>
          <w:p w14:paraId="7614B6C4">
            <w:pPr>
              <w:spacing w:line="300" w:lineRule="exact"/>
              <w:jc w:val="center"/>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项目安全、文明作业管理（</w:t>
            </w: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rPr>
              <w:t>分）</w:t>
            </w:r>
          </w:p>
        </w:tc>
        <w:tc>
          <w:tcPr>
            <w:tcW w:w="7330" w:type="dxa"/>
            <w:noWrap w:val="0"/>
            <w:vAlign w:val="center"/>
          </w:tcPr>
          <w:p w14:paraId="5FEA2057">
            <w:pPr>
              <w:spacing w:line="3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根据投标人针对本项目提供的项目安全、文明作业管理方案、内容完整度、针对性、科学合理可操作性等进行打分。本项最高得</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分，有所欠缺</w:t>
            </w:r>
            <w:r>
              <w:rPr>
                <w:rFonts w:hint="eastAsia" w:ascii="宋体" w:hAnsi="宋体" w:eastAsia="宋体" w:cs="宋体"/>
                <w:color w:val="auto"/>
                <w:sz w:val="21"/>
                <w:szCs w:val="21"/>
                <w:highlight w:val="none"/>
                <w:lang w:val="en-US" w:eastAsia="zh-CN"/>
              </w:rPr>
              <w:t>的</w:t>
            </w:r>
            <w:r>
              <w:rPr>
                <w:rFonts w:hint="eastAsia" w:ascii="宋体" w:hAnsi="宋体" w:eastAsia="宋体" w:cs="宋体"/>
                <w:color w:val="auto"/>
                <w:sz w:val="21"/>
                <w:szCs w:val="21"/>
                <w:highlight w:val="none"/>
              </w:rPr>
              <w:t>每处扣</w:t>
            </w:r>
            <w:r>
              <w:rPr>
                <w:rFonts w:hint="eastAsia" w:ascii="宋体" w:hAnsi="宋体" w:eastAsia="宋体" w:cs="宋体"/>
                <w:color w:val="auto"/>
                <w:sz w:val="21"/>
                <w:szCs w:val="21"/>
                <w:highlight w:val="none"/>
                <w:lang w:val="en-US" w:eastAsia="zh-CN"/>
              </w:rPr>
              <w:t>0.5</w:t>
            </w:r>
            <w:r>
              <w:rPr>
                <w:rFonts w:hint="eastAsia" w:ascii="宋体" w:hAnsi="宋体" w:eastAsia="宋体" w:cs="宋体"/>
                <w:color w:val="auto"/>
                <w:sz w:val="21"/>
                <w:szCs w:val="21"/>
                <w:highlight w:val="none"/>
              </w:rPr>
              <w:t>分。</w:t>
            </w:r>
          </w:p>
        </w:tc>
        <w:tc>
          <w:tcPr>
            <w:tcW w:w="937" w:type="dxa"/>
            <w:noWrap w:val="0"/>
            <w:vAlign w:val="center"/>
          </w:tcPr>
          <w:p w14:paraId="788E12F9">
            <w:pPr>
              <w:spacing w:line="300" w:lineRule="exact"/>
              <w:jc w:val="center"/>
              <w:rPr>
                <w:rFonts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0-</w:t>
            </w:r>
            <w:r>
              <w:rPr>
                <w:rFonts w:hint="eastAsia" w:ascii="宋体" w:hAnsi="宋体" w:cs="宋体"/>
                <w:color w:val="auto"/>
                <w:kern w:val="0"/>
                <w:sz w:val="21"/>
                <w:szCs w:val="21"/>
                <w:highlight w:val="none"/>
                <w:lang w:val="en-US" w:eastAsia="zh-CN"/>
              </w:rPr>
              <w:t>3</w:t>
            </w:r>
            <w:r>
              <w:rPr>
                <w:rFonts w:hint="eastAsia" w:ascii="宋体" w:hAnsi="宋体" w:eastAsia="宋体" w:cs="宋体"/>
                <w:color w:val="auto"/>
                <w:kern w:val="0"/>
                <w:sz w:val="21"/>
                <w:szCs w:val="21"/>
                <w:highlight w:val="none"/>
              </w:rPr>
              <w:t>分</w:t>
            </w:r>
          </w:p>
        </w:tc>
      </w:tr>
      <w:tr w14:paraId="394A93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705" w:type="dxa"/>
            <w:noWrap w:val="0"/>
            <w:vAlign w:val="center"/>
          </w:tcPr>
          <w:p w14:paraId="0F203C35">
            <w:pPr>
              <w:spacing w:line="300" w:lineRule="exact"/>
              <w:jc w:val="center"/>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7</w:t>
            </w:r>
          </w:p>
        </w:tc>
        <w:tc>
          <w:tcPr>
            <w:tcW w:w="1312" w:type="dxa"/>
            <w:noWrap w:val="0"/>
            <w:vAlign w:val="center"/>
          </w:tcPr>
          <w:p w14:paraId="3A2DAA4A">
            <w:pPr>
              <w:spacing w:line="3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落实防汛预案方案、应急突发方案</w:t>
            </w:r>
          </w:p>
          <w:p w14:paraId="5C776827">
            <w:pPr>
              <w:spacing w:line="3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r>
              <w:rPr>
                <w:rFonts w:hint="eastAsia" w:ascii="宋体" w:hAnsi="宋体" w:cs="宋体"/>
                <w:color w:val="auto"/>
                <w:sz w:val="21"/>
                <w:szCs w:val="21"/>
                <w:highlight w:val="none"/>
                <w:lang w:val="en-US" w:eastAsia="zh-CN"/>
              </w:rPr>
              <w:t>6</w:t>
            </w:r>
            <w:r>
              <w:rPr>
                <w:rFonts w:hint="eastAsia" w:ascii="宋体" w:hAnsi="宋体" w:eastAsia="宋体" w:cs="宋体"/>
                <w:color w:val="auto"/>
                <w:sz w:val="21"/>
                <w:szCs w:val="21"/>
                <w:highlight w:val="none"/>
              </w:rPr>
              <w:t>分）</w:t>
            </w:r>
          </w:p>
        </w:tc>
        <w:tc>
          <w:tcPr>
            <w:tcW w:w="7330" w:type="dxa"/>
            <w:noWrap w:val="0"/>
            <w:vAlign w:val="center"/>
          </w:tcPr>
          <w:p w14:paraId="00D9BED8">
            <w:pPr>
              <w:spacing w:line="3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对防汛预案的处理方案的理解</w:t>
            </w:r>
            <w:r>
              <w:rPr>
                <w:rFonts w:hint="eastAsia" w:ascii="宋体" w:hAnsi="宋体" w:eastAsia="宋体" w:cs="宋体"/>
                <w:color w:val="auto"/>
                <w:sz w:val="21"/>
                <w:szCs w:val="21"/>
                <w:highlight w:val="none"/>
                <w:lang w:val="en-US" w:eastAsia="zh-CN"/>
              </w:rPr>
              <w:t>情况</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lang w:val="en-US" w:eastAsia="zh-CN"/>
              </w:rPr>
              <w:t>分</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rPr>
              <w:t>对应急突发事情的响应及处理方案</w:t>
            </w:r>
            <w:r>
              <w:rPr>
                <w:rFonts w:hint="eastAsia" w:ascii="宋体" w:hAnsi="宋体" w:eastAsia="宋体" w:cs="宋体"/>
                <w:color w:val="auto"/>
                <w:sz w:val="21"/>
                <w:szCs w:val="21"/>
                <w:highlight w:val="none"/>
                <w:lang w:val="en-US" w:eastAsia="zh-CN"/>
              </w:rPr>
              <w:t>合理性</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lang w:val="en-US" w:eastAsia="zh-CN"/>
              </w:rPr>
              <w:t>分</w:t>
            </w:r>
            <w:r>
              <w:rPr>
                <w:rFonts w:hint="eastAsia" w:ascii="宋体" w:hAnsi="宋体" w:cs="宋体"/>
                <w:color w:val="auto"/>
                <w:sz w:val="21"/>
                <w:szCs w:val="21"/>
                <w:highlight w:val="none"/>
                <w:lang w:eastAsia="zh-CN"/>
              </w:rPr>
              <w:t>）</w:t>
            </w:r>
            <w:r>
              <w:rPr>
                <w:rFonts w:hint="eastAsia" w:ascii="宋体" w:hAnsi="宋体" w:eastAsia="宋体" w:cs="宋体"/>
                <w:color w:val="auto"/>
                <w:sz w:val="21"/>
                <w:szCs w:val="21"/>
                <w:highlight w:val="none"/>
              </w:rPr>
              <w:t>。本项最高得</w:t>
            </w:r>
            <w:r>
              <w:rPr>
                <w:rFonts w:hint="eastAsia" w:ascii="宋体" w:hAnsi="宋体" w:cs="宋体"/>
                <w:color w:val="auto"/>
                <w:sz w:val="21"/>
                <w:szCs w:val="21"/>
                <w:highlight w:val="none"/>
                <w:lang w:val="en-US" w:eastAsia="zh-CN"/>
              </w:rPr>
              <w:t>6</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val="en-US" w:eastAsia="zh-CN"/>
              </w:rPr>
              <w:t>每个分项</w:t>
            </w:r>
            <w:r>
              <w:rPr>
                <w:rFonts w:hint="eastAsia" w:ascii="宋体" w:hAnsi="宋体" w:eastAsia="宋体" w:cs="宋体"/>
                <w:color w:val="auto"/>
                <w:sz w:val="21"/>
                <w:szCs w:val="21"/>
                <w:highlight w:val="none"/>
              </w:rPr>
              <w:t>有所欠缺</w:t>
            </w:r>
            <w:r>
              <w:rPr>
                <w:rFonts w:hint="eastAsia" w:ascii="宋体" w:hAnsi="宋体" w:eastAsia="宋体" w:cs="宋体"/>
                <w:color w:val="auto"/>
                <w:sz w:val="21"/>
                <w:szCs w:val="21"/>
                <w:highlight w:val="none"/>
                <w:lang w:val="en-US" w:eastAsia="zh-CN"/>
              </w:rPr>
              <w:t>的</w:t>
            </w:r>
            <w:r>
              <w:rPr>
                <w:rFonts w:hint="eastAsia" w:ascii="宋体" w:hAnsi="宋体" w:eastAsia="宋体" w:cs="宋体"/>
                <w:color w:val="auto"/>
                <w:sz w:val="21"/>
                <w:szCs w:val="21"/>
                <w:highlight w:val="none"/>
              </w:rPr>
              <w:t>每处扣</w:t>
            </w:r>
            <w:r>
              <w:rPr>
                <w:rFonts w:hint="eastAsia" w:ascii="宋体" w:hAnsi="宋体" w:eastAsia="宋体" w:cs="宋体"/>
                <w:color w:val="auto"/>
                <w:sz w:val="21"/>
                <w:szCs w:val="21"/>
                <w:highlight w:val="none"/>
                <w:lang w:val="en-US" w:eastAsia="zh-CN"/>
              </w:rPr>
              <w:t>0.5</w:t>
            </w:r>
            <w:r>
              <w:rPr>
                <w:rFonts w:hint="eastAsia" w:ascii="宋体" w:hAnsi="宋体" w:eastAsia="宋体" w:cs="宋体"/>
                <w:color w:val="auto"/>
                <w:sz w:val="21"/>
                <w:szCs w:val="21"/>
                <w:highlight w:val="none"/>
              </w:rPr>
              <w:t>分。</w:t>
            </w:r>
          </w:p>
        </w:tc>
        <w:tc>
          <w:tcPr>
            <w:tcW w:w="937" w:type="dxa"/>
            <w:noWrap w:val="0"/>
            <w:vAlign w:val="center"/>
          </w:tcPr>
          <w:p w14:paraId="36168D63">
            <w:pPr>
              <w:spacing w:line="300" w:lineRule="exact"/>
              <w:jc w:val="center"/>
              <w:rPr>
                <w:rFonts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0-</w:t>
            </w:r>
            <w:r>
              <w:rPr>
                <w:rFonts w:hint="eastAsia" w:ascii="宋体" w:hAnsi="宋体" w:cs="宋体"/>
                <w:color w:val="auto"/>
                <w:kern w:val="0"/>
                <w:sz w:val="21"/>
                <w:szCs w:val="21"/>
                <w:highlight w:val="none"/>
                <w:lang w:val="en-US" w:eastAsia="zh-CN"/>
              </w:rPr>
              <w:t>6</w:t>
            </w:r>
            <w:r>
              <w:rPr>
                <w:rFonts w:hint="eastAsia" w:ascii="宋体" w:hAnsi="宋体" w:eastAsia="宋体" w:cs="宋体"/>
                <w:color w:val="auto"/>
                <w:kern w:val="0"/>
                <w:sz w:val="21"/>
                <w:szCs w:val="21"/>
                <w:highlight w:val="none"/>
              </w:rPr>
              <w:t>分</w:t>
            </w:r>
          </w:p>
        </w:tc>
      </w:tr>
      <w:tr w14:paraId="15F664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705" w:type="dxa"/>
            <w:noWrap w:val="0"/>
            <w:vAlign w:val="center"/>
          </w:tcPr>
          <w:p w14:paraId="5B4E82B6">
            <w:pPr>
              <w:spacing w:line="300" w:lineRule="exact"/>
              <w:jc w:val="center"/>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8</w:t>
            </w:r>
          </w:p>
        </w:tc>
        <w:tc>
          <w:tcPr>
            <w:tcW w:w="1312" w:type="dxa"/>
            <w:noWrap w:val="0"/>
            <w:vAlign w:val="center"/>
          </w:tcPr>
          <w:p w14:paraId="67CA3A4B">
            <w:pPr>
              <w:spacing w:line="3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其他服务措施（4分）</w:t>
            </w:r>
          </w:p>
        </w:tc>
        <w:tc>
          <w:tcPr>
            <w:tcW w:w="7330" w:type="dxa"/>
            <w:noWrap w:val="0"/>
            <w:vAlign w:val="center"/>
          </w:tcPr>
          <w:p w14:paraId="7D0A596D">
            <w:pPr>
              <w:spacing w:line="300" w:lineRule="exact"/>
              <w:rPr>
                <w:rFonts w:hint="eastAsia" w:ascii="宋体" w:hAnsi="宋体" w:eastAsia="宋体" w:cs="宋体"/>
                <w:color w:val="auto"/>
                <w:sz w:val="21"/>
                <w:szCs w:val="21"/>
                <w:highlight w:val="none"/>
              </w:rPr>
            </w:pPr>
            <w:r>
              <w:rPr>
                <w:rFonts w:hint="eastAsia" w:hAnsi="宋体" w:cs="宋体"/>
                <w:color w:val="auto"/>
                <w:sz w:val="21"/>
                <w:szCs w:val="21"/>
                <w:highlight w:val="none"/>
              </w:rPr>
              <w:t>有助提高</w:t>
            </w:r>
            <w:r>
              <w:rPr>
                <w:rFonts w:hint="eastAsia" w:hAnsi="宋体" w:cs="宋体"/>
                <w:color w:val="auto"/>
                <w:sz w:val="21"/>
                <w:szCs w:val="21"/>
                <w:highlight w:val="none"/>
                <w:lang w:val="en-US" w:eastAsia="zh-CN"/>
              </w:rPr>
              <w:t>物业化管理</w:t>
            </w:r>
            <w:r>
              <w:rPr>
                <w:rFonts w:hint="eastAsia" w:hAnsi="宋体" w:cs="宋体"/>
                <w:color w:val="auto"/>
                <w:sz w:val="21"/>
                <w:szCs w:val="21"/>
                <w:highlight w:val="none"/>
              </w:rPr>
              <w:t>服务，</w:t>
            </w:r>
            <w:r>
              <w:rPr>
                <w:rFonts w:hint="eastAsia" w:ascii="宋体" w:hAnsi="宋体" w:eastAsia="宋体" w:cs="宋体"/>
                <w:color w:val="auto"/>
                <w:sz w:val="21"/>
                <w:szCs w:val="21"/>
                <w:highlight w:val="none"/>
                <w:lang w:val="en-US" w:eastAsia="zh-CN"/>
              </w:rPr>
              <w:t>具备一定创新性的</w:t>
            </w:r>
            <w:r>
              <w:rPr>
                <w:rFonts w:hint="eastAsia" w:ascii="宋体" w:hAnsi="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2分</w:t>
            </w:r>
            <w:r>
              <w:rPr>
                <w:rFonts w:hint="eastAsia" w:ascii="宋体" w:hAnsi="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；其它有助于提高物业化管理服务的内容的</w:t>
            </w:r>
            <w:r>
              <w:rPr>
                <w:rFonts w:hint="eastAsia" w:ascii="宋体" w:hAnsi="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2分</w:t>
            </w:r>
            <w:r>
              <w:rPr>
                <w:rFonts w:hint="eastAsia" w:ascii="宋体" w:hAnsi="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本项最高得</w:t>
            </w: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val="en-US" w:eastAsia="zh-CN"/>
              </w:rPr>
              <w:t>每个分项</w:t>
            </w:r>
            <w:r>
              <w:rPr>
                <w:rFonts w:hint="eastAsia" w:ascii="宋体" w:hAnsi="宋体" w:eastAsia="宋体" w:cs="宋体"/>
                <w:color w:val="auto"/>
                <w:sz w:val="21"/>
                <w:szCs w:val="21"/>
                <w:highlight w:val="none"/>
              </w:rPr>
              <w:t>有所欠缺</w:t>
            </w:r>
            <w:r>
              <w:rPr>
                <w:rFonts w:hint="eastAsia" w:ascii="宋体" w:hAnsi="宋体" w:eastAsia="宋体" w:cs="宋体"/>
                <w:color w:val="auto"/>
                <w:sz w:val="21"/>
                <w:szCs w:val="21"/>
                <w:highlight w:val="none"/>
                <w:lang w:val="en-US" w:eastAsia="zh-CN"/>
              </w:rPr>
              <w:t>的</w:t>
            </w:r>
            <w:r>
              <w:rPr>
                <w:rFonts w:hint="eastAsia" w:ascii="宋体" w:hAnsi="宋体" w:eastAsia="宋体" w:cs="宋体"/>
                <w:color w:val="auto"/>
                <w:sz w:val="21"/>
                <w:szCs w:val="21"/>
                <w:highlight w:val="none"/>
              </w:rPr>
              <w:t>每处扣</w:t>
            </w:r>
            <w:r>
              <w:rPr>
                <w:rFonts w:hint="eastAsia" w:ascii="宋体" w:hAnsi="宋体" w:eastAsia="宋体" w:cs="宋体"/>
                <w:color w:val="auto"/>
                <w:sz w:val="21"/>
                <w:szCs w:val="21"/>
                <w:highlight w:val="none"/>
                <w:lang w:val="en-US" w:eastAsia="zh-CN"/>
              </w:rPr>
              <w:t>0.5</w:t>
            </w:r>
            <w:r>
              <w:rPr>
                <w:rFonts w:hint="eastAsia" w:ascii="宋体" w:hAnsi="宋体" w:eastAsia="宋体" w:cs="宋体"/>
                <w:color w:val="auto"/>
                <w:sz w:val="21"/>
                <w:szCs w:val="21"/>
                <w:highlight w:val="none"/>
              </w:rPr>
              <w:t>分。</w:t>
            </w:r>
          </w:p>
        </w:tc>
        <w:tc>
          <w:tcPr>
            <w:tcW w:w="937" w:type="dxa"/>
            <w:noWrap w:val="0"/>
            <w:vAlign w:val="center"/>
          </w:tcPr>
          <w:p w14:paraId="60F1BC65">
            <w:pPr>
              <w:spacing w:line="300" w:lineRule="exact"/>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0-</w:t>
            </w:r>
            <w:r>
              <w:rPr>
                <w:rFonts w:hint="eastAsia" w:ascii="宋体" w:hAnsi="宋体" w:cs="宋体"/>
                <w:color w:val="auto"/>
                <w:kern w:val="0"/>
                <w:sz w:val="21"/>
                <w:szCs w:val="21"/>
                <w:highlight w:val="none"/>
                <w:lang w:val="en-US" w:eastAsia="zh-CN"/>
              </w:rPr>
              <w:t>4</w:t>
            </w:r>
            <w:r>
              <w:rPr>
                <w:rFonts w:hint="eastAsia" w:ascii="宋体" w:hAnsi="宋体" w:eastAsia="宋体" w:cs="宋体"/>
                <w:color w:val="auto"/>
                <w:kern w:val="0"/>
                <w:sz w:val="21"/>
                <w:szCs w:val="21"/>
                <w:highlight w:val="none"/>
              </w:rPr>
              <w:t>分</w:t>
            </w:r>
          </w:p>
        </w:tc>
      </w:tr>
      <w:tr w14:paraId="62543F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705" w:type="dxa"/>
            <w:noWrap w:val="0"/>
            <w:vAlign w:val="center"/>
          </w:tcPr>
          <w:p w14:paraId="65383FD8">
            <w:pPr>
              <w:spacing w:line="300" w:lineRule="exact"/>
              <w:jc w:val="center"/>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9</w:t>
            </w:r>
          </w:p>
        </w:tc>
        <w:tc>
          <w:tcPr>
            <w:tcW w:w="1312" w:type="dxa"/>
            <w:noWrap w:val="0"/>
            <w:vAlign w:val="center"/>
          </w:tcPr>
          <w:p w14:paraId="5B8D6AA0">
            <w:pPr>
              <w:spacing w:line="300" w:lineRule="exact"/>
              <w:jc w:val="center"/>
              <w:rPr>
                <w:rFonts w:hint="eastAsia"/>
                <w:color w:val="auto"/>
                <w:highlight w:val="none"/>
                <w:lang w:eastAsia="zh-CN"/>
              </w:rPr>
            </w:pPr>
            <w:r>
              <w:rPr>
                <w:rFonts w:hint="eastAsia"/>
                <w:color w:val="auto"/>
                <w:highlight w:val="none"/>
                <w:lang w:eastAsia="zh-CN"/>
              </w:rPr>
              <w:t>政策分</w:t>
            </w:r>
          </w:p>
          <w:p w14:paraId="20C572EC">
            <w:pPr>
              <w:pStyle w:val="60"/>
              <w:ind w:left="0" w:leftChars="0" w:firstLine="0" w:firstLineChars="0"/>
              <w:jc w:val="center"/>
              <w:rPr>
                <w:rFonts w:hint="eastAsia"/>
                <w:color w:val="auto"/>
                <w:highlight w:val="none"/>
                <w:lang w:eastAsia="zh-CN"/>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分）</w:t>
            </w:r>
          </w:p>
        </w:tc>
        <w:tc>
          <w:tcPr>
            <w:tcW w:w="7330" w:type="dxa"/>
            <w:noWrap w:val="0"/>
            <w:vAlign w:val="center"/>
          </w:tcPr>
          <w:p w14:paraId="4FF659BB">
            <w:pPr>
              <w:spacing w:line="300" w:lineRule="exact"/>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投标人符合《政府采购货物和服务招标投标管理办法》第五条规定，属“节约能源、保护环境、扶持不发达地区和少数民族地区等”政府采购政策扶持对象的（注：本项目专门面向中小企业采购，不再执行价格评审优惠的扶持政策和其它政策性加分），提供相关证明材料和政策依据，每符合一项得0.5分，最高可得2分；未提供相关证明材料的不得分。（提供相关证明材料和政策依据）</w:t>
            </w:r>
            <w:r>
              <w:rPr>
                <w:rFonts w:hint="eastAsia" w:ascii="宋体" w:hAnsi="宋体" w:eastAsia="宋体" w:cs="宋体"/>
                <w:color w:val="auto"/>
                <w:sz w:val="21"/>
                <w:szCs w:val="21"/>
                <w:highlight w:val="none"/>
                <w:lang w:eastAsia="zh-CN"/>
              </w:rPr>
              <w:t>。</w:t>
            </w:r>
          </w:p>
        </w:tc>
        <w:tc>
          <w:tcPr>
            <w:tcW w:w="937" w:type="dxa"/>
            <w:noWrap w:val="0"/>
            <w:vAlign w:val="center"/>
          </w:tcPr>
          <w:p w14:paraId="1079C7E9">
            <w:pPr>
              <w:spacing w:line="300" w:lineRule="exact"/>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0-</w:t>
            </w:r>
            <w:r>
              <w:rPr>
                <w:rFonts w:hint="eastAsia" w:ascii="宋体" w:hAnsi="宋体" w:eastAsia="宋体" w:cs="宋体"/>
                <w:color w:val="auto"/>
                <w:kern w:val="0"/>
                <w:sz w:val="21"/>
                <w:szCs w:val="21"/>
                <w:highlight w:val="none"/>
                <w:lang w:val="en-US" w:eastAsia="zh-CN"/>
              </w:rPr>
              <w:t>2</w:t>
            </w:r>
            <w:r>
              <w:rPr>
                <w:rFonts w:hint="eastAsia" w:ascii="宋体" w:hAnsi="宋体" w:eastAsia="宋体" w:cs="宋体"/>
                <w:color w:val="auto"/>
                <w:kern w:val="0"/>
                <w:sz w:val="21"/>
                <w:szCs w:val="21"/>
                <w:highlight w:val="none"/>
              </w:rPr>
              <w:t>分</w:t>
            </w:r>
          </w:p>
        </w:tc>
      </w:tr>
    </w:tbl>
    <w:p w14:paraId="105742A0">
      <w:pPr>
        <w:spacing w:line="460" w:lineRule="exact"/>
        <w:ind w:firstLine="422" w:firstLineChars="200"/>
        <w:rPr>
          <w:rFonts w:ascii="宋体" w:hAnsi="宋体" w:cs="宋体"/>
          <w:b/>
          <w:color w:val="auto"/>
          <w:szCs w:val="21"/>
          <w:highlight w:val="none"/>
        </w:rPr>
      </w:pPr>
      <w:r>
        <w:rPr>
          <w:rFonts w:hint="eastAsia" w:ascii="宋体" w:hAnsi="宋体" w:cs="宋体"/>
          <w:b/>
          <w:color w:val="auto"/>
          <w:szCs w:val="21"/>
          <w:highlight w:val="none"/>
        </w:rPr>
        <w:t>（三）</w:t>
      </w:r>
      <w:r>
        <w:rPr>
          <w:rFonts w:hint="eastAsia" w:ascii="宋体" w:hAnsi="宋体" w:cs="宋体"/>
          <w:b/>
          <w:color w:val="auto"/>
          <w:szCs w:val="21"/>
          <w:highlight w:val="none"/>
          <w:lang w:val="en-US" w:eastAsia="zh-CN"/>
        </w:rPr>
        <w:t>资信技术</w:t>
      </w:r>
      <w:r>
        <w:rPr>
          <w:rFonts w:hint="eastAsia" w:ascii="宋体" w:hAnsi="宋体" w:cs="宋体"/>
          <w:b/>
          <w:color w:val="auto"/>
          <w:szCs w:val="21"/>
          <w:highlight w:val="none"/>
        </w:rPr>
        <w:t>分的计算</w:t>
      </w:r>
    </w:p>
    <w:p w14:paraId="7D3DA52B">
      <w:pPr>
        <w:spacing w:line="440" w:lineRule="exact"/>
        <w:ind w:firstLine="420" w:firstLineChars="200"/>
        <w:rPr>
          <w:rFonts w:ascii="宋体" w:hAnsi="宋体" w:cs="宋体"/>
          <w:color w:val="auto"/>
          <w:szCs w:val="21"/>
          <w:highlight w:val="none"/>
        </w:rPr>
      </w:pPr>
      <w:r>
        <w:rPr>
          <w:rFonts w:hint="eastAsia" w:ascii="宋体" w:hAnsi="宋体" w:cs="宋体"/>
          <w:color w:val="auto"/>
          <w:szCs w:val="21"/>
          <w:highlight w:val="none"/>
          <w:lang w:val="en-US" w:eastAsia="zh-CN"/>
        </w:rPr>
        <w:t>资信技术</w:t>
      </w:r>
      <w:r>
        <w:rPr>
          <w:rFonts w:hint="eastAsia" w:ascii="宋体" w:hAnsi="宋体" w:cs="宋体"/>
          <w:color w:val="auto"/>
          <w:szCs w:val="21"/>
          <w:highlight w:val="none"/>
        </w:rPr>
        <w:t>分按照评标委员会成员的独立评分结果汇总数后的算术平均分计算，计算公式为：</w:t>
      </w:r>
    </w:p>
    <w:p w14:paraId="6E5A1C51">
      <w:pPr>
        <w:spacing w:line="440" w:lineRule="exact"/>
        <w:ind w:firstLine="420" w:firstLineChars="200"/>
        <w:rPr>
          <w:rFonts w:ascii="宋体" w:hAnsi="宋体" w:cs="宋体"/>
          <w:color w:val="auto"/>
          <w:szCs w:val="21"/>
          <w:highlight w:val="none"/>
        </w:rPr>
      </w:pPr>
      <w:r>
        <w:rPr>
          <w:rFonts w:hint="eastAsia" w:ascii="宋体" w:hAnsi="宋体" w:cs="宋体"/>
          <w:color w:val="auto"/>
          <w:szCs w:val="21"/>
          <w:highlight w:val="none"/>
          <w:lang w:val="en-US" w:eastAsia="zh-CN"/>
        </w:rPr>
        <w:t>资信技术</w:t>
      </w:r>
      <w:r>
        <w:rPr>
          <w:rFonts w:hint="eastAsia" w:ascii="宋体" w:hAnsi="宋体" w:cs="宋体"/>
          <w:color w:val="auto"/>
          <w:szCs w:val="21"/>
          <w:highlight w:val="none"/>
        </w:rPr>
        <w:t>分=（评标委员会所有成员评分合计数）/（评标委员会组成人员数）</w:t>
      </w:r>
    </w:p>
    <w:p w14:paraId="649397EB">
      <w:pPr>
        <w:spacing w:line="500" w:lineRule="exact"/>
        <w:ind w:firstLine="422" w:firstLineChars="200"/>
        <w:rPr>
          <w:rFonts w:ascii="宋体" w:hAnsi="宋体" w:cs="宋体"/>
          <w:b/>
          <w:color w:val="auto"/>
          <w:szCs w:val="21"/>
          <w:highlight w:val="none"/>
        </w:rPr>
      </w:pPr>
      <w:r>
        <w:rPr>
          <w:rFonts w:hint="eastAsia" w:ascii="宋体" w:hAnsi="宋体" w:cs="宋体"/>
          <w:b/>
          <w:color w:val="auto"/>
          <w:szCs w:val="21"/>
          <w:highlight w:val="none"/>
        </w:rPr>
        <w:t>（四）定标原则</w:t>
      </w:r>
    </w:p>
    <w:p w14:paraId="7E7BB0A6">
      <w:pPr>
        <w:spacing w:line="440" w:lineRule="exact"/>
        <w:ind w:firstLine="420" w:firstLineChars="200"/>
        <w:rPr>
          <w:rFonts w:ascii="宋体" w:hAnsi="宋体" w:cs="宋体"/>
          <w:b/>
          <w:color w:val="auto"/>
          <w:szCs w:val="21"/>
          <w:highlight w:val="none"/>
        </w:rPr>
      </w:pPr>
      <w:r>
        <w:rPr>
          <w:rFonts w:hint="eastAsia" w:ascii="宋体" w:hAnsi="宋体" w:cs="宋体"/>
          <w:color w:val="auto"/>
          <w:szCs w:val="21"/>
          <w:highlight w:val="none"/>
        </w:rPr>
        <w:t>1.</w:t>
      </w:r>
      <w:r>
        <w:rPr>
          <w:rFonts w:hint="eastAsia" w:ascii="宋体" w:hAnsi="宋体" w:cs="宋体"/>
          <w:bCs/>
          <w:color w:val="auto"/>
          <w:szCs w:val="21"/>
          <w:highlight w:val="none"/>
        </w:rPr>
        <w:t xml:space="preserve"> 按照招标文件规定“综合评分法，得分最高者中标”的原则定标，法律法规和国家政策另有规定的从其规定</w:t>
      </w:r>
      <w:r>
        <w:rPr>
          <w:rFonts w:hint="eastAsia" w:ascii="宋体" w:hAnsi="宋体" w:cs="宋体"/>
          <w:color w:val="auto"/>
          <w:szCs w:val="21"/>
          <w:highlight w:val="none"/>
        </w:rPr>
        <w:t>。</w:t>
      </w:r>
    </w:p>
    <w:p w14:paraId="325F5C05">
      <w:pPr>
        <w:tabs>
          <w:tab w:val="left" w:pos="0"/>
        </w:tabs>
        <w:snapToGrid w:val="0"/>
        <w:spacing w:line="440" w:lineRule="exact"/>
        <w:ind w:firstLine="420" w:firstLineChars="200"/>
        <w:rPr>
          <w:rFonts w:ascii="宋体" w:hAnsi="宋体" w:cs="宋体"/>
          <w:bCs/>
          <w:color w:val="auto"/>
          <w:szCs w:val="21"/>
          <w:highlight w:val="none"/>
        </w:rPr>
      </w:pPr>
      <w:r>
        <w:rPr>
          <w:rFonts w:hint="eastAsia" w:ascii="宋体" w:hAnsi="宋体" w:cs="宋体"/>
          <w:bCs/>
          <w:color w:val="auto"/>
          <w:szCs w:val="21"/>
          <w:highlight w:val="none"/>
        </w:rPr>
        <w:t>2.经预中标结果公示期满无异议，中标候选人即成为中标人。</w:t>
      </w:r>
    </w:p>
    <w:p w14:paraId="748A8BF7">
      <w:pPr>
        <w:spacing w:line="500" w:lineRule="exact"/>
        <w:ind w:firstLine="422" w:firstLineChars="200"/>
        <w:rPr>
          <w:rFonts w:ascii="宋体" w:hAnsi="宋体" w:cs="宋体"/>
          <w:b/>
          <w:color w:val="auto"/>
          <w:szCs w:val="21"/>
          <w:highlight w:val="none"/>
        </w:rPr>
      </w:pPr>
      <w:r>
        <w:rPr>
          <w:rFonts w:hint="eastAsia" w:ascii="宋体" w:hAnsi="宋体" w:cs="宋体"/>
          <w:b/>
          <w:color w:val="auto"/>
          <w:szCs w:val="21"/>
          <w:highlight w:val="none"/>
        </w:rPr>
        <w:t>（五）保密及其它注意事项</w:t>
      </w:r>
    </w:p>
    <w:p w14:paraId="0DA70702">
      <w:pPr>
        <w:spacing w:line="440" w:lineRule="exact"/>
        <w:ind w:firstLine="420" w:firstLineChars="200"/>
        <w:rPr>
          <w:rFonts w:ascii="宋体" w:hAnsi="宋体" w:cs="宋体"/>
          <w:b/>
          <w:color w:val="auto"/>
          <w:szCs w:val="21"/>
          <w:highlight w:val="none"/>
        </w:rPr>
      </w:pPr>
      <w:r>
        <w:rPr>
          <w:rFonts w:hint="eastAsia" w:ascii="宋体" w:hAnsi="宋体" w:cs="宋体"/>
          <w:bCs/>
          <w:color w:val="auto"/>
          <w:szCs w:val="21"/>
          <w:highlight w:val="none"/>
        </w:rPr>
        <w:t>1.评标是招标过程中的重要环节，评标工作在评委会成员内独立进行。评标委员会将遵照评标原则，公正、公平、客观地对待所有投标人。</w:t>
      </w:r>
    </w:p>
    <w:p w14:paraId="05147C2B">
      <w:pPr>
        <w:tabs>
          <w:tab w:val="left" w:pos="0"/>
        </w:tabs>
        <w:snapToGrid w:val="0"/>
        <w:spacing w:line="440" w:lineRule="exact"/>
        <w:ind w:firstLine="420" w:firstLineChars="200"/>
        <w:rPr>
          <w:rFonts w:ascii="宋体" w:hAnsi="宋体" w:cs="宋体"/>
          <w:bCs/>
          <w:color w:val="auto"/>
          <w:szCs w:val="21"/>
          <w:highlight w:val="none"/>
        </w:rPr>
      </w:pPr>
      <w:r>
        <w:rPr>
          <w:rFonts w:hint="eastAsia" w:ascii="宋体" w:hAnsi="宋体" w:cs="宋体"/>
          <w:bCs/>
          <w:color w:val="auto"/>
          <w:szCs w:val="21"/>
          <w:highlight w:val="none"/>
        </w:rPr>
        <w:t>2.在开标、评标期间，投标人不得向评委询问评标情况，不得进行旨在影响评标结果的活动。</w:t>
      </w:r>
    </w:p>
    <w:p w14:paraId="4405540D">
      <w:pPr>
        <w:tabs>
          <w:tab w:val="left" w:pos="0"/>
        </w:tabs>
        <w:snapToGrid w:val="0"/>
        <w:spacing w:line="440" w:lineRule="exact"/>
        <w:ind w:firstLine="420" w:firstLineChars="200"/>
        <w:rPr>
          <w:rFonts w:ascii="宋体" w:hAnsi="宋体" w:cs="宋体"/>
          <w:bCs/>
          <w:color w:val="auto"/>
          <w:szCs w:val="21"/>
          <w:highlight w:val="none"/>
        </w:rPr>
      </w:pPr>
      <w:r>
        <w:rPr>
          <w:rFonts w:hint="eastAsia" w:ascii="宋体" w:hAnsi="宋体" w:cs="宋体"/>
          <w:bCs/>
          <w:color w:val="auto"/>
          <w:szCs w:val="21"/>
          <w:highlight w:val="none"/>
        </w:rPr>
        <w:t>3.为保证定标的公正性，在评标过程中，评委不得与投标人私下交换意见。在招标工作结束后与评标工作有接触的任何人，不得将评标情况外泄。</w:t>
      </w:r>
    </w:p>
    <w:p w14:paraId="107D16F0">
      <w:pPr>
        <w:tabs>
          <w:tab w:val="left" w:pos="0"/>
        </w:tabs>
        <w:snapToGrid w:val="0"/>
        <w:spacing w:line="440" w:lineRule="exact"/>
        <w:ind w:firstLine="420" w:firstLineChars="200"/>
        <w:rPr>
          <w:rFonts w:ascii="宋体" w:hAnsi="宋体" w:cs="宋体"/>
          <w:bCs/>
          <w:color w:val="auto"/>
          <w:szCs w:val="21"/>
          <w:highlight w:val="none"/>
        </w:rPr>
      </w:pPr>
      <w:r>
        <w:rPr>
          <w:rFonts w:hint="eastAsia" w:ascii="宋体" w:hAnsi="宋体" w:cs="宋体"/>
          <w:bCs/>
          <w:color w:val="auto"/>
          <w:szCs w:val="21"/>
          <w:highlight w:val="none"/>
        </w:rPr>
        <w:t>4.招标单位、代理机构及评标委员会不向落标方解释落标原因，不退还投标书。</w:t>
      </w:r>
    </w:p>
    <w:p w14:paraId="1E60D02C">
      <w:pPr>
        <w:spacing w:line="46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br w:type="page"/>
      </w:r>
    </w:p>
    <w:p w14:paraId="2FB9766F">
      <w:pPr>
        <w:pStyle w:val="2"/>
        <w:keepLines w:val="0"/>
        <w:autoSpaceDE w:val="0"/>
        <w:autoSpaceDN w:val="0"/>
        <w:adjustRightInd w:val="0"/>
        <w:spacing w:before="0" w:line="360" w:lineRule="auto"/>
        <w:textAlignment w:val="baseline"/>
        <w:rPr>
          <w:rFonts w:cs="宋体"/>
          <w:bCs w:val="0"/>
          <w:color w:val="auto"/>
          <w:kern w:val="0"/>
          <w:highlight w:val="none"/>
        </w:rPr>
      </w:pPr>
      <w:bookmarkStart w:id="11" w:name="_Toc237189785"/>
      <w:bookmarkStart w:id="12" w:name="_Toc296074345"/>
      <w:bookmarkStart w:id="13" w:name="_Toc265065988"/>
      <w:bookmarkStart w:id="14" w:name="_Toc237414013"/>
      <w:bookmarkStart w:id="15" w:name="_Toc237413918"/>
      <w:bookmarkStart w:id="16" w:name="_Toc264211076"/>
      <w:bookmarkStart w:id="17" w:name="_Toc237340112"/>
      <w:bookmarkStart w:id="18" w:name="_Toc295737634"/>
      <w:bookmarkStart w:id="19" w:name="_Toc295910882"/>
      <w:bookmarkStart w:id="20" w:name="_Toc256977544"/>
      <w:bookmarkStart w:id="21" w:name="_Toc502069659"/>
      <w:bookmarkStart w:id="22" w:name="_Toc296075056"/>
      <w:bookmarkStart w:id="23" w:name="_Toc237193456"/>
      <w:r>
        <w:rPr>
          <w:rFonts w:hint="eastAsia" w:cs="宋体"/>
          <w:bCs w:val="0"/>
          <w:color w:val="auto"/>
          <w:kern w:val="0"/>
          <w:highlight w:val="none"/>
        </w:rPr>
        <w:t>第五章  合同</w:t>
      </w:r>
      <w:bookmarkEnd w:id="11"/>
      <w:bookmarkEnd w:id="12"/>
      <w:bookmarkEnd w:id="13"/>
      <w:bookmarkEnd w:id="14"/>
      <w:bookmarkEnd w:id="15"/>
      <w:bookmarkEnd w:id="16"/>
      <w:bookmarkEnd w:id="17"/>
      <w:bookmarkEnd w:id="18"/>
      <w:bookmarkEnd w:id="19"/>
      <w:bookmarkEnd w:id="20"/>
      <w:bookmarkEnd w:id="21"/>
      <w:bookmarkEnd w:id="22"/>
      <w:bookmarkEnd w:id="23"/>
      <w:r>
        <w:rPr>
          <w:rFonts w:hint="eastAsia" w:cs="宋体"/>
          <w:bCs w:val="0"/>
          <w:color w:val="auto"/>
          <w:kern w:val="0"/>
          <w:highlight w:val="none"/>
        </w:rPr>
        <w:t>文本</w:t>
      </w:r>
    </w:p>
    <w:p w14:paraId="6CCD078F">
      <w:pPr>
        <w:pStyle w:val="71"/>
        <w:keepNext w:val="0"/>
        <w:keepLines w:val="0"/>
        <w:pageBreakBefore w:val="0"/>
        <w:kinsoku/>
        <w:wordWrap/>
        <w:overflowPunct/>
        <w:topLinePunct w:val="0"/>
        <w:autoSpaceDE/>
        <w:autoSpaceDN/>
        <w:bidi w:val="0"/>
        <w:snapToGrid w:val="0"/>
        <w:spacing w:line="440" w:lineRule="exact"/>
        <w:ind w:firstLine="420" w:firstLineChars="200"/>
        <w:textAlignment w:val="auto"/>
        <w:rPr>
          <w:rFonts w:hint="eastAsia" w:hAnsi="宋体" w:cs="宋体"/>
          <w:color w:val="auto"/>
          <w:szCs w:val="21"/>
          <w:highlight w:val="none"/>
        </w:rPr>
      </w:pPr>
      <w:bookmarkStart w:id="24" w:name="_Toc502069660"/>
      <w:r>
        <w:rPr>
          <w:rFonts w:hint="eastAsia" w:ascii="宋体" w:hAnsi="宋体" w:cs="宋体"/>
          <w:color w:val="auto"/>
          <w:szCs w:val="21"/>
          <w:highlight w:val="none"/>
        </w:rPr>
        <w:t>项目名称：</w:t>
      </w:r>
      <w:r>
        <w:rPr>
          <w:rFonts w:hint="eastAsia" w:hAnsi="宋体" w:cs="宋体"/>
          <w:color w:val="auto"/>
          <w:szCs w:val="21"/>
          <w:highlight w:val="none"/>
        </w:rPr>
        <w:t xml:space="preserve">                        </w:t>
      </w:r>
    </w:p>
    <w:p w14:paraId="5AF35237">
      <w:pPr>
        <w:pStyle w:val="71"/>
        <w:keepNext w:val="0"/>
        <w:keepLines w:val="0"/>
        <w:pageBreakBefore w:val="0"/>
        <w:kinsoku/>
        <w:wordWrap/>
        <w:overflowPunct/>
        <w:topLinePunct w:val="0"/>
        <w:autoSpaceDE/>
        <w:autoSpaceDN/>
        <w:bidi w:val="0"/>
        <w:snapToGrid w:val="0"/>
        <w:spacing w:line="44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 xml:space="preserve">项目编号：                     </w:t>
      </w:r>
    </w:p>
    <w:p w14:paraId="42BA0F11">
      <w:pPr>
        <w:pStyle w:val="71"/>
        <w:keepNext w:val="0"/>
        <w:keepLines w:val="0"/>
        <w:pageBreakBefore w:val="0"/>
        <w:kinsoku/>
        <w:wordWrap/>
        <w:overflowPunct/>
        <w:topLinePunct w:val="0"/>
        <w:autoSpaceDE/>
        <w:autoSpaceDN/>
        <w:bidi w:val="0"/>
        <w:snapToGrid w:val="0"/>
        <w:spacing w:line="440" w:lineRule="exact"/>
        <w:ind w:firstLine="420" w:firstLineChars="200"/>
        <w:textAlignment w:val="auto"/>
        <w:rPr>
          <w:rFonts w:ascii="宋体" w:hAnsi="宋体" w:cs="宋体"/>
          <w:color w:val="auto"/>
          <w:szCs w:val="21"/>
          <w:highlight w:val="none"/>
          <w:u w:val="single"/>
        </w:rPr>
      </w:pPr>
      <w:r>
        <w:rPr>
          <w:rFonts w:hint="eastAsia" w:ascii="宋体" w:hAnsi="宋体" w:cs="宋体"/>
          <w:color w:val="auto"/>
          <w:szCs w:val="21"/>
          <w:highlight w:val="none"/>
        </w:rPr>
        <w:t>采购方（甲方）：</w:t>
      </w:r>
    </w:p>
    <w:p w14:paraId="63C29A24">
      <w:pPr>
        <w:keepNext w:val="0"/>
        <w:keepLines w:val="0"/>
        <w:pageBreakBefore w:val="0"/>
        <w:kinsoku/>
        <w:wordWrap/>
        <w:overflowPunct/>
        <w:topLinePunct w:val="0"/>
        <w:autoSpaceDE/>
        <w:autoSpaceDN/>
        <w:bidi w:val="0"/>
        <w:snapToGrid w:val="0"/>
        <w:spacing w:line="44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服务方（乙方）：</w:t>
      </w:r>
    </w:p>
    <w:p w14:paraId="047142C5">
      <w:pPr>
        <w:keepNext w:val="0"/>
        <w:keepLines w:val="0"/>
        <w:pageBreakBefore w:val="0"/>
        <w:kinsoku/>
        <w:wordWrap/>
        <w:overflowPunct/>
        <w:topLinePunct w:val="0"/>
        <w:autoSpaceDE/>
        <w:autoSpaceDN/>
        <w:bidi w:val="0"/>
        <w:snapToGrid w:val="0"/>
        <w:spacing w:line="440" w:lineRule="exact"/>
        <w:ind w:firstLine="420" w:firstLineChars="200"/>
        <w:textAlignment w:val="auto"/>
        <w:rPr>
          <w:rFonts w:ascii="宋体" w:hAnsi="宋体" w:cs="宋体"/>
          <w:color w:val="auto"/>
          <w:szCs w:val="21"/>
          <w:highlight w:val="none"/>
          <w:u w:val="single"/>
        </w:rPr>
      </w:pPr>
      <w:r>
        <w:rPr>
          <w:rFonts w:hint="eastAsia" w:ascii="宋体" w:hAnsi="宋体" w:cs="宋体"/>
          <w:color w:val="auto"/>
          <w:szCs w:val="21"/>
          <w:highlight w:val="none"/>
        </w:rPr>
        <w:t>甲乙双方根据</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年</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月</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日关于</w:t>
      </w:r>
      <w:r>
        <w:rPr>
          <w:rFonts w:hint="eastAsia" w:hAnsi="宋体" w:cs="宋体"/>
          <w:color w:val="auto"/>
          <w:szCs w:val="21"/>
          <w:highlight w:val="none"/>
          <w:u w:val="single"/>
        </w:rPr>
        <w:t xml:space="preserve">                         （项目名称）</w:t>
      </w:r>
      <w:r>
        <w:rPr>
          <w:rFonts w:hint="eastAsia" w:ascii="宋体" w:hAnsi="宋体" w:cs="宋体"/>
          <w:color w:val="auto"/>
          <w:szCs w:val="21"/>
          <w:highlight w:val="none"/>
        </w:rPr>
        <w:t>公开招标的结果，签署本合同。</w:t>
      </w:r>
    </w:p>
    <w:p w14:paraId="11328A29">
      <w:pPr>
        <w:keepNext w:val="0"/>
        <w:keepLines w:val="0"/>
        <w:pageBreakBefore w:val="0"/>
        <w:kinsoku/>
        <w:wordWrap/>
        <w:overflowPunct/>
        <w:topLinePunct w:val="0"/>
        <w:autoSpaceDE/>
        <w:autoSpaceDN/>
        <w:bidi w:val="0"/>
        <w:snapToGrid w:val="0"/>
        <w:spacing w:line="440" w:lineRule="exact"/>
        <w:ind w:firstLine="422" w:firstLineChars="200"/>
        <w:textAlignment w:val="auto"/>
        <w:rPr>
          <w:rFonts w:ascii="宋体" w:hAnsi="宋体" w:cs="宋体"/>
          <w:b/>
          <w:color w:val="auto"/>
          <w:szCs w:val="21"/>
          <w:highlight w:val="none"/>
        </w:rPr>
      </w:pPr>
      <w:r>
        <w:rPr>
          <w:rFonts w:hint="eastAsia" w:ascii="宋体" w:hAnsi="宋体" w:cs="宋体"/>
          <w:b/>
          <w:color w:val="auto"/>
          <w:szCs w:val="21"/>
          <w:highlight w:val="none"/>
        </w:rPr>
        <w:t>一、服务内容：</w:t>
      </w:r>
    </w:p>
    <w:p w14:paraId="40E7756F">
      <w:pPr>
        <w:keepNext w:val="0"/>
        <w:keepLines w:val="0"/>
        <w:pageBreakBefore w:val="0"/>
        <w:kinsoku/>
        <w:wordWrap/>
        <w:overflowPunct/>
        <w:topLinePunct w:val="0"/>
        <w:autoSpaceDE/>
        <w:autoSpaceDN/>
        <w:bidi w:val="0"/>
        <w:snapToGrid w:val="0"/>
        <w:spacing w:line="440" w:lineRule="exact"/>
        <w:ind w:firstLine="420" w:firstLineChars="200"/>
        <w:textAlignment w:val="auto"/>
        <w:rPr>
          <w:rFonts w:hint="eastAsia" w:ascii="宋体" w:hAnsi="宋体" w:cs="宋体"/>
          <w:bCs/>
          <w:color w:val="auto"/>
          <w:szCs w:val="21"/>
          <w:highlight w:val="none"/>
        </w:rPr>
      </w:pPr>
      <w:r>
        <w:rPr>
          <w:rFonts w:hint="eastAsia" w:ascii="宋体" w:hAnsi="宋体" w:cs="宋体"/>
          <w:bCs/>
          <w:color w:val="auto"/>
          <w:szCs w:val="21"/>
          <w:highlight w:val="none"/>
        </w:rPr>
        <w:t>甲方委托乙方建设</w:t>
      </w:r>
      <w:r>
        <w:rPr>
          <w:rFonts w:hint="eastAsia" w:hAnsi="宋体" w:cs="宋体"/>
          <w:bCs/>
          <w:color w:val="auto"/>
          <w:szCs w:val="21"/>
          <w:highlight w:val="none"/>
          <w:u w:val="single"/>
        </w:rPr>
        <w:t xml:space="preserve">                       </w:t>
      </w:r>
      <w:r>
        <w:rPr>
          <w:rFonts w:hint="eastAsia" w:ascii="宋体" w:hAnsi="宋体" w:cs="宋体"/>
          <w:bCs/>
          <w:color w:val="auto"/>
          <w:szCs w:val="21"/>
          <w:highlight w:val="none"/>
          <w:u w:val="single"/>
        </w:rPr>
        <w:t>项目</w:t>
      </w:r>
      <w:r>
        <w:rPr>
          <w:rFonts w:hint="eastAsia" w:ascii="宋体" w:hAnsi="宋体" w:cs="宋体"/>
          <w:bCs/>
          <w:color w:val="auto"/>
          <w:szCs w:val="21"/>
          <w:highlight w:val="none"/>
        </w:rPr>
        <w:t>，具体内容包括</w:t>
      </w:r>
      <w:r>
        <w:rPr>
          <w:rFonts w:hint="eastAsia" w:hAnsi="宋体" w:cs="宋体"/>
          <w:bCs/>
          <w:color w:val="auto"/>
          <w:szCs w:val="21"/>
          <w:highlight w:val="none"/>
        </w:rPr>
        <w:t xml:space="preserve"> </w:t>
      </w:r>
      <w:r>
        <w:rPr>
          <w:rFonts w:hint="eastAsia" w:hAnsi="宋体" w:cs="宋体"/>
          <w:bCs/>
          <w:color w:val="auto"/>
          <w:szCs w:val="21"/>
          <w:highlight w:val="none"/>
          <w:u w:val="single"/>
        </w:rPr>
        <w:t xml:space="preserve">             </w:t>
      </w:r>
      <w:r>
        <w:rPr>
          <w:rFonts w:hint="eastAsia" w:hAnsi="宋体" w:cs="宋体"/>
          <w:bCs/>
          <w:color w:val="auto"/>
          <w:szCs w:val="21"/>
          <w:highlight w:val="none"/>
        </w:rPr>
        <w:t>等内容，详见公开招标采购文件</w:t>
      </w:r>
      <w:r>
        <w:rPr>
          <w:rFonts w:hint="eastAsia" w:ascii="宋体" w:hAnsi="宋体" w:cs="宋体"/>
          <w:bCs/>
          <w:color w:val="auto"/>
          <w:szCs w:val="21"/>
          <w:highlight w:val="none"/>
        </w:rPr>
        <w:t>。</w:t>
      </w:r>
    </w:p>
    <w:p w14:paraId="24362B31">
      <w:pPr>
        <w:keepNext w:val="0"/>
        <w:keepLines w:val="0"/>
        <w:pageBreakBefore w:val="0"/>
        <w:kinsoku/>
        <w:wordWrap/>
        <w:overflowPunct/>
        <w:topLinePunct w:val="0"/>
        <w:autoSpaceDE/>
        <w:autoSpaceDN/>
        <w:bidi w:val="0"/>
        <w:snapToGrid w:val="0"/>
        <w:spacing w:line="440" w:lineRule="exact"/>
        <w:ind w:firstLine="422" w:firstLineChars="200"/>
        <w:textAlignment w:val="auto"/>
        <w:rPr>
          <w:rFonts w:ascii="宋体" w:hAnsi="宋体" w:cs="宋体"/>
          <w:b/>
          <w:color w:val="auto"/>
          <w:szCs w:val="21"/>
          <w:highlight w:val="none"/>
        </w:rPr>
      </w:pPr>
      <w:r>
        <w:rPr>
          <w:rFonts w:hint="eastAsia" w:ascii="宋体" w:hAnsi="宋体" w:cs="宋体"/>
          <w:b/>
          <w:color w:val="auto"/>
          <w:szCs w:val="21"/>
          <w:highlight w:val="none"/>
        </w:rPr>
        <w:t>二、合同金额及付款方式：</w:t>
      </w:r>
    </w:p>
    <w:p w14:paraId="10BDC932">
      <w:pPr>
        <w:keepNext w:val="0"/>
        <w:keepLines w:val="0"/>
        <w:pageBreakBefore w:val="0"/>
        <w:kinsoku/>
        <w:wordWrap/>
        <w:overflowPunct/>
        <w:topLinePunct w:val="0"/>
        <w:autoSpaceDE/>
        <w:autoSpaceDN/>
        <w:bidi w:val="0"/>
        <w:snapToGrid w:val="0"/>
        <w:spacing w:line="44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1.本合同金额为（大写）：人民币</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w:t>
      </w:r>
      <w:r>
        <w:rPr>
          <w:rFonts w:ascii="Arial" w:hAnsi="Arial" w:cs="Arial"/>
          <w:color w:val="auto"/>
          <w:szCs w:val="21"/>
          <w:highlight w:val="none"/>
        </w:rPr>
        <w:t>¥</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w:t>
      </w:r>
    </w:p>
    <w:p w14:paraId="37CC3F7D">
      <w:pPr>
        <w:keepNext w:val="0"/>
        <w:keepLines w:val="0"/>
        <w:pageBreakBefore w:val="0"/>
        <w:kinsoku/>
        <w:wordWrap/>
        <w:overflowPunct/>
        <w:topLinePunct w:val="0"/>
        <w:autoSpaceDE/>
        <w:autoSpaceDN/>
        <w:bidi w:val="0"/>
        <w:spacing w:line="440" w:lineRule="exact"/>
        <w:ind w:firstLine="420" w:firstLineChars="200"/>
        <w:textAlignment w:val="auto"/>
        <w:rPr>
          <w:rFonts w:hint="eastAsia" w:ascii="宋体" w:hAnsi="宋体" w:cs="宋体"/>
          <w:color w:val="auto"/>
          <w:szCs w:val="21"/>
          <w:highlight w:val="none"/>
        </w:rPr>
      </w:pPr>
      <w:r>
        <w:rPr>
          <w:rFonts w:hint="eastAsia" w:ascii="宋体" w:hAnsi="宋体" w:cs="宋体"/>
          <w:color w:val="auto"/>
          <w:szCs w:val="21"/>
          <w:highlight w:val="none"/>
        </w:rPr>
        <w:t>2.付款方式：</w:t>
      </w:r>
    </w:p>
    <w:p w14:paraId="0E1F7191">
      <w:pPr>
        <w:keepNext w:val="0"/>
        <w:keepLines w:val="0"/>
        <w:pageBreakBefore w:val="0"/>
        <w:kinsoku/>
        <w:wordWrap/>
        <w:overflowPunct/>
        <w:topLinePunct w:val="0"/>
        <w:autoSpaceDE/>
        <w:autoSpaceDN/>
        <w:bidi w:val="0"/>
        <w:spacing w:line="440" w:lineRule="exact"/>
        <w:ind w:firstLine="420" w:firstLineChars="200"/>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结算价为</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rPr>
        <w:t>水库</w:t>
      </w:r>
      <w:r>
        <w:rPr>
          <w:rFonts w:hint="eastAsia" w:ascii="宋体" w:hAnsi="宋体" w:cs="宋体"/>
          <w:color w:val="auto"/>
          <w:sz w:val="21"/>
          <w:szCs w:val="21"/>
          <w:highlight w:val="none"/>
          <w:lang w:eastAsia="zh-CN"/>
        </w:rPr>
        <w:t>（山塘）</w:t>
      </w:r>
      <w:r>
        <w:rPr>
          <w:rFonts w:hint="eastAsia" w:ascii="宋体" w:hAnsi="宋体" w:cs="宋体"/>
          <w:color w:val="auto"/>
          <w:sz w:val="21"/>
          <w:szCs w:val="21"/>
          <w:highlight w:val="none"/>
        </w:rPr>
        <w:t>的相应服务数量</w:t>
      </w:r>
      <w:r>
        <w:rPr>
          <w:rFonts w:hint="default" w:ascii="Arial" w:hAnsi="Arial" w:cs="Arial"/>
          <w:color w:val="auto"/>
          <w:sz w:val="21"/>
          <w:szCs w:val="21"/>
          <w:highlight w:val="none"/>
          <w:lang w:eastAsia="zh-CN"/>
        </w:rPr>
        <w:t>×</w:t>
      </w:r>
      <w:r>
        <w:rPr>
          <w:rFonts w:hint="eastAsia" w:ascii="宋体" w:hAnsi="宋体" w:cs="宋体"/>
          <w:color w:val="auto"/>
          <w:sz w:val="21"/>
          <w:szCs w:val="21"/>
          <w:highlight w:val="none"/>
          <w:lang w:eastAsia="zh-CN"/>
        </w:rPr>
        <w:t>服务时间</w:t>
      </w:r>
      <w:r>
        <w:rPr>
          <w:rFonts w:hint="default" w:ascii="Arial" w:hAnsi="Arial" w:cs="Arial"/>
          <w:color w:val="auto"/>
          <w:sz w:val="21"/>
          <w:szCs w:val="21"/>
          <w:highlight w:val="none"/>
        </w:rPr>
        <w:t>×</w:t>
      </w:r>
      <w:r>
        <w:rPr>
          <w:rFonts w:hint="eastAsia" w:ascii="宋体" w:hAnsi="宋体" w:cs="宋体"/>
          <w:color w:val="auto"/>
          <w:sz w:val="21"/>
          <w:szCs w:val="21"/>
          <w:highlight w:val="none"/>
          <w:lang w:val="en-US" w:eastAsia="zh-CN"/>
        </w:rPr>
        <w:t>中标</w:t>
      </w:r>
      <w:r>
        <w:rPr>
          <w:rFonts w:hint="eastAsia" w:ascii="宋体" w:hAnsi="宋体" w:cs="宋体"/>
          <w:color w:val="auto"/>
          <w:sz w:val="21"/>
          <w:szCs w:val="21"/>
          <w:highlight w:val="none"/>
        </w:rPr>
        <w:t>单价。</w:t>
      </w:r>
    </w:p>
    <w:p w14:paraId="50FEF85C">
      <w:pPr>
        <w:keepNext w:val="0"/>
        <w:keepLines w:val="0"/>
        <w:pageBreakBefore w:val="0"/>
        <w:shd w:val="clear" w:color="auto" w:fill="FFFFFF"/>
        <w:kinsoku/>
        <w:wordWrap/>
        <w:overflowPunct/>
        <w:topLinePunct w:val="0"/>
        <w:autoSpaceDE/>
        <w:autoSpaceDN/>
        <w:bidi w:val="0"/>
        <w:spacing w:line="440" w:lineRule="exact"/>
        <w:ind w:firstLine="420" w:firstLineChars="200"/>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每</w:t>
      </w:r>
      <w:r>
        <w:rPr>
          <w:rFonts w:hint="eastAsia" w:ascii="宋体" w:hAnsi="宋体" w:cs="宋体"/>
          <w:color w:val="auto"/>
          <w:sz w:val="21"/>
          <w:szCs w:val="21"/>
          <w:highlight w:val="none"/>
          <w:lang w:eastAsia="zh-CN"/>
        </w:rPr>
        <w:t>半年</w:t>
      </w:r>
      <w:r>
        <w:rPr>
          <w:rFonts w:hint="eastAsia" w:ascii="宋体" w:hAnsi="宋体" w:cs="宋体"/>
          <w:color w:val="auto"/>
          <w:sz w:val="21"/>
          <w:szCs w:val="21"/>
          <w:highlight w:val="none"/>
        </w:rPr>
        <w:t>由管理单位（管理责任主体）组织对中标人进行考核评分</w:t>
      </w:r>
      <w:r>
        <w:rPr>
          <w:rFonts w:hint="eastAsia" w:ascii="宋体" w:hAnsi="宋体" w:cs="宋体"/>
          <w:color w:val="auto"/>
          <w:sz w:val="21"/>
          <w:szCs w:val="21"/>
          <w:highlight w:val="none"/>
          <w:lang w:eastAsia="zh-CN"/>
        </w:rPr>
        <w:t>报金华市婺城区水务局备案审核</w:t>
      </w:r>
      <w:r>
        <w:rPr>
          <w:rFonts w:hint="eastAsia" w:ascii="宋体" w:hAnsi="宋体" w:cs="宋体"/>
          <w:color w:val="auto"/>
          <w:sz w:val="21"/>
          <w:szCs w:val="21"/>
          <w:highlight w:val="none"/>
        </w:rPr>
        <w:t>，按照实际考核结果支付该</w:t>
      </w:r>
      <w:r>
        <w:rPr>
          <w:rFonts w:hint="eastAsia" w:ascii="宋体" w:hAnsi="宋体" w:cs="宋体"/>
          <w:color w:val="auto"/>
          <w:sz w:val="21"/>
          <w:szCs w:val="21"/>
          <w:highlight w:val="none"/>
          <w:lang w:eastAsia="zh-CN"/>
        </w:rPr>
        <w:t>半年度</w:t>
      </w:r>
      <w:r>
        <w:rPr>
          <w:rFonts w:hint="eastAsia" w:ascii="宋体" w:hAnsi="宋体" w:cs="宋体"/>
          <w:color w:val="auto"/>
          <w:sz w:val="21"/>
          <w:szCs w:val="21"/>
          <w:highlight w:val="none"/>
        </w:rPr>
        <w:t>的物业费(按以下考核规定)，支付时扣除相应的扣款，余款在</w:t>
      </w:r>
      <w:r>
        <w:rPr>
          <w:rFonts w:hint="eastAsia" w:ascii="宋体" w:hAnsi="宋体" w:cs="宋体"/>
          <w:color w:val="auto"/>
          <w:sz w:val="21"/>
          <w:szCs w:val="21"/>
          <w:highlight w:val="none"/>
          <w:lang w:eastAsia="zh-CN"/>
        </w:rPr>
        <w:t>年度考核</w:t>
      </w:r>
      <w:r>
        <w:rPr>
          <w:rFonts w:hint="eastAsia" w:ascii="宋体" w:hAnsi="宋体" w:cs="宋体"/>
          <w:color w:val="auto"/>
          <w:sz w:val="21"/>
          <w:szCs w:val="21"/>
          <w:highlight w:val="none"/>
        </w:rPr>
        <w:t>并档案资料提交后付清，考核办法详见合同规定，具体以招标人支付时间为准。</w:t>
      </w:r>
    </w:p>
    <w:p w14:paraId="4BE860A1">
      <w:pPr>
        <w:keepNext w:val="0"/>
        <w:keepLines w:val="0"/>
        <w:pageBreakBefore w:val="0"/>
        <w:shd w:val="clear" w:color="auto" w:fill="FFFFFF"/>
        <w:kinsoku/>
        <w:wordWrap/>
        <w:overflowPunct/>
        <w:topLinePunct w:val="0"/>
        <w:autoSpaceDE/>
        <w:autoSpaceDN/>
        <w:bidi w:val="0"/>
        <w:spacing w:line="440" w:lineRule="exact"/>
        <w:ind w:firstLine="420" w:firstLineChars="200"/>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（1）分数在90分（含）以上为优秀，核拨本</w:t>
      </w:r>
      <w:r>
        <w:rPr>
          <w:rFonts w:hint="eastAsia" w:ascii="宋体" w:hAnsi="宋体" w:cs="宋体"/>
          <w:color w:val="auto"/>
          <w:sz w:val="21"/>
          <w:szCs w:val="21"/>
          <w:highlight w:val="none"/>
          <w:lang w:eastAsia="zh-CN"/>
        </w:rPr>
        <w:t>半年度</w:t>
      </w:r>
      <w:r>
        <w:rPr>
          <w:rFonts w:hint="eastAsia" w:ascii="宋体" w:hAnsi="宋体" w:cs="宋体"/>
          <w:color w:val="auto"/>
          <w:sz w:val="21"/>
          <w:szCs w:val="21"/>
          <w:highlight w:val="none"/>
        </w:rPr>
        <w:t>拨付经费的85%。</w:t>
      </w:r>
    </w:p>
    <w:p w14:paraId="204014DC">
      <w:pPr>
        <w:keepNext w:val="0"/>
        <w:keepLines w:val="0"/>
        <w:pageBreakBefore w:val="0"/>
        <w:shd w:val="clear" w:color="auto" w:fill="FFFFFF"/>
        <w:kinsoku/>
        <w:wordWrap/>
        <w:overflowPunct/>
        <w:topLinePunct w:val="0"/>
        <w:autoSpaceDE/>
        <w:autoSpaceDN/>
        <w:bidi w:val="0"/>
        <w:spacing w:line="440" w:lineRule="exact"/>
        <w:ind w:firstLine="420" w:firstLineChars="200"/>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（2）分数在80分（含）以上至90分以下的为合格，核拨本</w:t>
      </w:r>
      <w:r>
        <w:rPr>
          <w:rFonts w:hint="eastAsia" w:ascii="宋体" w:hAnsi="宋体" w:cs="宋体"/>
          <w:color w:val="auto"/>
          <w:sz w:val="21"/>
          <w:szCs w:val="21"/>
          <w:highlight w:val="none"/>
          <w:lang w:eastAsia="zh-CN"/>
        </w:rPr>
        <w:t>半年度</w:t>
      </w:r>
      <w:r>
        <w:rPr>
          <w:rFonts w:hint="eastAsia" w:ascii="宋体" w:hAnsi="宋体" w:cs="宋体"/>
          <w:color w:val="auto"/>
          <w:sz w:val="21"/>
          <w:szCs w:val="21"/>
          <w:highlight w:val="none"/>
        </w:rPr>
        <w:t>拨付经费的80%。</w:t>
      </w:r>
    </w:p>
    <w:p w14:paraId="3ED58D7F">
      <w:pPr>
        <w:keepNext w:val="0"/>
        <w:keepLines w:val="0"/>
        <w:pageBreakBefore w:val="0"/>
        <w:shd w:val="clear" w:color="auto" w:fill="FFFFFF"/>
        <w:kinsoku/>
        <w:wordWrap/>
        <w:overflowPunct/>
        <w:topLinePunct w:val="0"/>
        <w:autoSpaceDE/>
        <w:autoSpaceDN/>
        <w:bidi w:val="0"/>
        <w:spacing w:line="440" w:lineRule="exact"/>
        <w:ind w:firstLine="420" w:firstLineChars="200"/>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（3）分数在70分（含）以上至80分以下的为基本合格，本</w:t>
      </w:r>
      <w:r>
        <w:rPr>
          <w:rFonts w:hint="eastAsia" w:ascii="宋体" w:hAnsi="宋体" w:cs="宋体"/>
          <w:color w:val="auto"/>
          <w:sz w:val="21"/>
          <w:szCs w:val="21"/>
          <w:highlight w:val="none"/>
          <w:lang w:eastAsia="zh-CN"/>
        </w:rPr>
        <w:t>半年度</w:t>
      </w:r>
      <w:r>
        <w:rPr>
          <w:rFonts w:hint="eastAsia" w:ascii="宋体" w:hAnsi="宋体" w:cs="宋体"/>
          <w:color w:val="auto"/>
          <w:sz w:val="21"/>
          <w:szCs w:val="21"/>
          <w:highlight w:val="none"/>
        </w:rPr>
        <w:t>拨付经费的80%为基准，在此基础上每少一分扣1%，以此类推 。</w:t>
      </w:r>
    </w:p>
    <w:p w14:paraId="78EA3E5C">
      <w:pPr>
        <w:keepNext w:val="0"/>
        <w:keepLines w:val="0"/>
        <w:pageBreakBefore w:val="0"/>
        <w:shd w:val="clear" w:color="auto" w:fill="FFFFFF"/>
        <w:kinsoku/>
        <w:wordWrap/>
        <w:overflowPunct/>
        <w:topLinePunct w:val="0"/>
        <w:autoSpaceDE/>
        <w:autoSpaceDN/>
        <w:bidi w:val="0"/>
        <w:spacing w:line="440" w:lineRule="exact"/>
        <w:ind w:firstLine="420" w:firstLineChars="200"/>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（4）分数在70分（不含）以下为不合格，招标人将终止合同，核拨本</w:t>
      </w:r>
      <w:r>
        <w:rPr>
          <w:rFonts w:hint="eastAsia" w:ascii="宋体" w:hAnsi="宋体" w:cs="宋体"/>
          <w:color w:val="auto"/>
          <w:sz w:val="21"/>
          <w:szCs w:val="21"/>
          <w:highlight w:val="none"/>
          <w:lang w:eastAsia="zh-CN"/>
        </w:rPr>
        <w:t>半年度</w:t>
      </w:r>
      <w:r>
        <w:rPr>
          <w:rFonts w:hint="eastAsia" w:ascii="宋体" w:hAnsi="宋体" w:cs="宋体"/>
          <w:color w:val="auto"/>
          <w:sz w:val="21"/>
          <w:szCs w:val="21"/>
          <w:highlight w:val="none"/>
        </w:rPr>
        <w:t>拨付经费的70%。</w:t>
      </w:r>
    </w:p>
    <w:p w14:paraId="2CD3E5D9">
      <w:pPr>
        <w:keepNext w:val="0"/>
        <w:keepLines w:val="0"/>
        <w:pageBreakBefore w:val="0"/>
        <w:shd w:val="clear" w:color="auto" w:fill="FFFFFF"/>
        <w:kinsoku/>
        <w:wordWrap/>
        <w:overflowPunct/>
        <w:topLinePunct w:val="0"/>
        <w:autoSpaceDE/>
        <w:autoSpaceDN/>
        <w:bidi w:val="0"/>
        <w:spacing w:line="440" w:lineRule="exact"/>
        <w:ind w:firstLine="420" w:firstLineChars="200"/>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（5）年度考核为</w:t>
      </w:r>
      <w:r>
        <w:rPr>
          <w:rFonts w:hint="eastAsia" w:ascii="宋体" w:hAnsi="宋体" w:cs="宋体"/>
          <w:color w:val="auto"/>
          <w:sz w:val="21"/>
          <w:szCs w:val="21"/>
          <w:highlight w:val="none"/>
          <w:lang w:eastAsia="zh-CN"/>
        </w:rPr>
        <w:t>两个半年度</w:t>
      </w:r>
      <w:r>
        <w:rPr>
          <w:rFonts w:hint="eastAsia" w:ascii="宋体" w:hAnsi="宋体" w:cs="宋体"/>
          <w:color w:val="auto"/>
          <w:sz w:val="21"/>
          <w:szCs w:val="21"/>
          <w:highlight w:val="none"/>
        </w:rPr>
        <w:t>考核的平均分。年度考核在合格及以上的，支付全款。年度考核为基本合格的支付全款的80%。</w:t>
      </w:r>
    </w:p>
    <w:p w14:paraId="40F0E1F2">
      <w:pPr>
        <w:keepNext w:val="0"/>
        <w:keepLines w:val="0"/>
        <w:pageBreakBefore w:val="0"/>
        <w:shd w:val="clear" w:color="auto" w:fill="FFFFFF"/>
        <w:kinsoku/>
        <w:wordWrap/>
        <w:overflowPunct/>
        <w:topLinePunct w:val="0"/>
        <w:autoSpaceDE/>
        <w:autoSpaceDN/>
        <w:bidi w:val="0"/>
        <w:spacing w:line="440" w:lineRule="exact"/>
        <w:ind w:firstLine="420" w:firstLineChars="200"/>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（6）</w:t>
      </w:r>
      <w:r>
        <w:rPr>
          <w:rFonts w:hint="eastAsia" w:ascii="宋体" w:hAnsi="宋体" w:cs="宋体"/>
          <w:color w:val="auto"/>
          <w:sz w:val="21"/>
          <w:szCs w:val="21"/>
          <w:highlight w:val="none"/>
          <w:lang w:eastAsia="zh-CN"/>
        </w:rPr>
        <w:t>半年度</w:t>
      </w:r>
      <w:r>
        <w:rPr>
          <w:rFonts w:hint="eastAsia" w:ascii="宋体" w:hAnsi="宋体" w:cs="宋体"/>
          <w:color w:val="auto"/>
          <w:sz w:val="21"/>
          <w:szCs w:val="21"/>
          <w:highlight w:val="none"/>
        </w:rPr>
        <w:t>考核实行安全事故一票否决，发生安全责任事故的，招标人将单方面终止合同的履行，扣除中标人的全部履约保证金，本</w:t>
      </w:r>
      <w:r>
        <w:rPr>
          <w:rFonts w:hint="eastAsia" w:ascii="宋体" w:hAnsi="宋体" w:cs="宋体"/>
          <w:color w:val="auto"/>
          <w:sz w:val="21"/>
          <w:szCs w:val="21"/>
          <w:highlight w:val="none"/>
          <w:lang w:eastAsia="zh-CN"/>
        </w:rPr>
        <w:t>半年度</w:t>
      </w:r>
      <w:r>
        <w:rPr>
          <w:rFonts w:hint="eastAsia" w:ascii="宋体" w:hAnsi="宋体" w:cs="宋体"/>
          <w:color w:val="auto"/>
          <w:sz w:val="21"/>
          <w:szCs w:val="21"/>
          <w:highlight w:val="none"/>
        </w:rPr>
        <w:t>养护经费将不予以支付，并对相关责任人进行相应的处罚。</w:t>
      </w:r>
    </w:p>
    <w:p w14:paraId="3C402F5E">
      <w:pPr>
        <w:keepNext w:val="0"/>
        <w:keepLines w:val="0"/>
        <w:pageBreakBefore w:val="0"/>
        <w:kinsoku/>
        <w:wordWrap/>
        <w:overflowPunct/>
        <w:topLinePunct w:val="0"/>
        <w:autoSpaceDE/>
        <w:autoSpaceDN/>
        <w:bidi w:val="0"/>
        <w:snapToGrid w:val="0"/>
        <w:spacing w:line="440" w:lineRule="exact"/>
        <w:ind w:firstLine="420" w:firstLineChars="200"/>
        <w:textAlignment w:val="auto"/>
        <w:rPr>
          <w:rFonts w:ascii="宋体" w:hAnsi="宋体" w:cs="宋体"/>
          <w:color w:val="auto"/>
          <w:szCs w:val="21"/>
          <w:highlight w:val="none"/>
        </w:rPr>
      </w:pPr>
      <w:r>
        <w:rPr>
          <w:rFonts w:hint="eastAsia" w:ascii="宋体" w:hAnsi="宋体" w:cs="宋体"/>
          <w:color w:val="auto"/>
          <w:sz w:val="21"/>
          <w:szCs w:val="21"/>
          <w:highlight w:val="none"/>
        </w:rPr>
        <w:t>（7）中标人因涉及招标需求“五、考核管理”规定而发生的扣款，在支付时另行扣除。</w:t>
      </w:r>
    </w:p>
    <w:p w14:paraId="42B8872F">
      <w:pPr>
        <w:keepNext w:val="0"/>
        <w:keepLines w:val="0"/>
        <w:pageBreakBefore w:val="0"/>
        <w:kinsoku/>
        <w:wordWrap/>
        <w:overflowPunct/>
        <w:topLinePunct w:val="0"/>
        <w:autoSpaceDE/>
        <w:autoSpaceDN/>
        <w:bidi w:val="0"/>
        <w:snapToGrid w:val="0"/>
        <w:spacing w:line="440" w:lineRule="exact"/>
        <w:ind w:firstLine="422" w:firstLineChars="200"/>
        <w:textAlignment w:val="auto"/>
        <w:rPr>
          <w:rFonts w:hint="eastAsia" w:ascii="宋体" w:hAnsi="宋体" w:eastAsia="宋体" w:cs="宋体"/>
          <w:b/>
          <w:color w:val="auto"/>
          <w:szCs w:val="21"/>
          <w:highlight w:val="none"/>
          <w:lang w:eastAsia="zh-CN"/>
        </w:rPr>
      </w:pPr>
      <w:r>
        <w:rPr>
          <w:rFonts w:hint="eastAsia" w:ascii="宋体" w:hAnsi="宋体" w:eastAsia="宋体" w:cs="宋体"/>
          <w:b/>
          <w:color w:val="auto"/>
          <w:szCs w:val="21"/>
          <w:highlight w:val="none"/>
          <w:lang w:eastAsia="zh-CN"/>
        </w:rPr>
        <w:t>三</w:t>
      </w:r>
      <w:r>
        <w:rPr>
          <w:rFonts w:hint="eastAsia" w:ascii="宋体" w:hAnsi="宋体" w:eastAsia="宋体" w:cs="宋体"/>
          <w:b/>
          <w:color w:val="auto"/>
          <w:szCs w:val="21"/>
          <w:highlight w:val="none"/>
        </w:rPr>
        <w:t>、</w:t>
      </w:r>
      <w:r>
        <w:rPr>
          <w:rFonts w:hint="eastAsia" w:ascii="宋体" w:hAnsi="宋体" w:eastAsia="宋体" w:cs="宋体"/>
          <w:b/>
          <w:color w:val="auto"/>
          <w:szCs w:val="21"/>
          <w:highlight w:val="none"/>
          <w:lang w:eastAsia="zh-CN"/>
        </w:rPr>
        <w:t>服务期限</w:t>
      </w:r>
    </w:p>
    <w:p w14:paraId="5B0C97B9">
      <w:pPr>
        <w:keepNext w:val="0"/>
        <w:keepLines w:val="0"/>
        <w:pageBreakBefore w:val="0"/>
        <w:kinsoku/>
        <w:wordWrap/>
        <w:overflowPunct/>
        <w:topLinePunct w:val="0"/>
        <w:autoSpaceDE/>
        <w:autoSpaceDN/>
        <w:bidi w:val="0"/>
        <w:snapToGrid w:val="0"/>
        <w:spacing w:line="440" w:lineRule="exact"/>
        <w:ind w:firstLine="420"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自</w:t>
      </w:r>
      <w:r>
        <w:rPr>
          <w:rFonts w:hint="eastAsia" w:ascii="宋体" w:hAnsi="宋体" w:eastAsia="宋体" w:cs="宋体"/>
          <w:color w:val="auto"/>
          <w:szCs w:val="21"/>
          <w:highlight w:val="none"/>
        </w:rPr>
        <w:t>合同签订之日起2年。</w:t>
      </w:r>
    </w:p>
    <w:p w14:paraId="2955B0A9">
      <w:pPr>
        <w:keepNext w:val="0"/>
        <w:keepLines w:val="0"/>
        <w:pageBreakBefore w:val="0"/>
        <w:kinsoku/>
        <w:wordWrap/>
        <w:overflowPunct/>
        <w:topLinePunct w:val="0"/>
        <w:autoSpaceDE/>
        <w:autoSpaceDN/>
        <w:bidi w:val="0"/>
        <w:snapToGrid w:val="0"/>
        <w:spacing w:line="440" w:lineRule="exact"/>
        <w:ind w:firstLine="422" w:firstLineChars="200"/>
        <w:textAlignment w:val="auto"/>
        <w:rPr>
          <w:rFonts w:hint="eastAsia" w:ascii="宋体" w:hAnsi="宋体" w:eastAsia="宋体" w:cs="宋体"/>
          <w:b/>
          <w:color w:val="auto"/>
          <w:szCs w:val="21"/>
          <w:highlight w:val="none"/>
          <w:lang w:eastAsia="zh-CN"/>
        </w:rPr>
      </w:pPr>
      <w:r>
        <w:rPr>
          <w:rFonts w:hint="eastAsia" w:ascii="宋体" w:hAnsi="宋体" w:eastAsia="宋体" w:cs="宋体"/>
          <w:b/>
          <w:color w:val="auto"/>
          <w:szCs w:val="21"/>
          <w:highlight w:val="none"/>
          <w:lang w:eastAsia="zh-CN"/>
        </w:rPr>
        <w:t>四、考核管理（参照考核标准）</w:t>
      </w:r>
    </w:p>
    <w:p w14:paraId="4D5045AF">
      <w:pPr>
        <w:keepNext w:val="0"/>
        <w:keepLines w:val="0"/>
        <w:pageBreakBefore w:val="0"/>
        <w:widowControl/>
        <w:kinsoku/>
        <w:wordWrap/>
        <w:overflowPunct/>
        <w:topLinePunct w:val="0"/>
        <w:autoSpaceDE/>
        <w:autoSpaceDN/>
        <w:bidi w:val="0"/>
        <w:spacing w:line="440" w:lineRule="exact"/>
        <w:ind w:firstLine="420" w:firstLineChars="200"/>
        <w:jc w:val="left"/>
        <w:textAlignment w:val="auto"/>
        <w:rPr>
          <w:rFonts w:hint="eastAsia" w:ascii="宋体" w:hAnsi="宋体" w:cs="微软雅黑"/>
          <w:color w:val="auto"/>
          <w:highlight w:val="none"/>
        </w:rPr>
      </w:pPr>
      <w:r>
        <w:rPr>
          <w:rFonts w:hint="eastAsia" w:ascii="宋体" w:hAnsi="宋体" w:cs="微软雅黑"/>
          <w:color w:val="auto"/>
          <w:highlight w:val="none"/>
        </w:rPr>
        <w:t>1、巡查管护：根据水利工程标准化和其他规定要求，及时携带手机利用巡查软件对水利工程进行规范巡查。并根据巡查情况做好电子巡查记录，巡查记录情况：详细记录巡查、养护中的工作情况，记录不完整、漏记的每次扣200元。及时上传至信息化管理平台。未按规定频次巡查或信息化管理平台无巡查记录的，每发现一次扣200元（如遇信号不好，以照片时间为依据）。</w:t>
      </w:r>
    </w:p>
    <w:p w14:paraId="30D85FE3">
      <w:pPr>
        <w:keepNext w:val="0"/>
        <w:keepLines w:val="0"/>
        <w:pageBreakBefore w:val="0"/>
        <w:widowControl/>
        <w:kinsoku/>
        <w:wordWrap/>
        <w:overflowPunct/>
        <w:topLinePunct w:val="0"/>
        <w:autoSpaceDE/>
        <w:autoSpaceDN/>
        <w:bidi w:val="0"/>
        <w:spacing w:line="440" w:lineRule="exact"/>
        <w:ind w:firstLine="420" w:firstLineChars="200"/>
        <w:jc w:val="left"/>
        <w:textAlignment w:val="auto"/>
        <w:rPr>
          <w:rFonts w:hint="eastAsia" w:ascii="宋体" w:hAnsi="宋体" w:cs="微软雅黑"/>
          <w:color w:val="auto"/>
          <w:highlight w:val="none"/>
        </w:rPr>
      </w:pPr>
      <w:r>
        <w:rPr>
          <w:rFonts w:hint="eastAsia" w:ascii="宋体" w:hAnsi="宋体" w:cs="微软雅黑"/>
          <w:color w:val="auto"/>
          <w:highlight w:val="none"/>
        </w:rPr>
        <w:t>2、工程外貌整洁美观：水利工程保护范围内存在特别明显的杂草（杂草不能超过30cm）、杂物、垃圾影响工程美观整洁和溢洪道进口处有异物，有拦鱼网栅等阻水作物影响溢洪道安全泄洪的，未及时汇报、处理的每次扣1000元，发现杂草杂物垃圾堆积未及时清理的每次扣1000元。</w:t>
      </w:r>
    </w:p>
    <w:p w14:paraId="5BCA5DF1">
      <w:pPr>
        <w:keepNext w:val="0"/>
        <w:keepLines w:val="0"/>
        <w:pageBreakBefore w:val="0"/>
        <w:widowControl/>
        <w:kinsoku/>
        <w:wordWrap/>
        <w:overflowPunct/>
        <w:topLinePunct w:val="0"/>
        <w:autoSpaceDE/>
        <w:autoSpaceDN/>
        <w:bidi w:val="0"/>
        <w:spacing w:line="440" w:lineRule="exact"/>
        <w:ind w:firstLine="420" w:firstLineChars="200"/>
        <w:jc w:val="left"/>
        <w:textAlignment w:val="auto"/>
        <w:rPr>
          <w:rFonts w:hint="eastAsia" w:ascii="宋体" w:hAnsi="宋体" w:cs="微软雅黑"/>
          <w:color w:val="auto"/>
          <w:highlight w:val="none"/>
        </w:rPr>
      </w:pPr>
      <w:r>
        <w:rPr>
          <w:rFonts w:hint="eastAsia" w:ascii="宋体" w:hAnsi="宋体" w:cs="微软雅黑"/>
          <w:color w:val="auto"/>
          <w:highlight w:val="none"/>
        </w:rPr>
        <w:t>3、危险源、安全隐患和异常事件按规定上报（或系统填报）：水利工程出现明显裂缝、塌坑、隆起、渗流等现象和水利工程管理和保护范围内有任意堆放影响工程安全及违章建筑的现象，发现上述活动未及时制止处理的、及时汇报，根据事态大小，每发现一次扣1000元至2000元。</w:t>
      </w:r>
    </w:p>
    <w:p w14:paraId="2EF7D30B">
      <w:pPr>
        <w:keepNext w:val="0"/>
        <w:keepLines w:val="0"/>
        <w:pageBreakBefore w:val="0"/>
        <w:widowControl/>
        <w:kinsoku/>
        <w:wordWrap/>
        <w:overflowPunct/>
        <w:topLinePunct w:val="0"/>
        <w:autoSpaceDE/>
        <w:autoSpaceDN/>
        <w:bidi w:val="0"/>
        <w:spacing w:line="440" w:lineRule="exact"/>
        <w:ind w:firstLine="420" w:firstLineChars="200"/>
        <w:jc w:val="left"/>
        <w:textAlignment w:val="auto"/>
        <w:rPr>
          <w:rFonts w:hint="eastAsia" w:ascii="宋体" w:hAnsi="宋体" w:cs="微软雅黑"/>
          <w:color w:val="auto"/>
          <w:highlight w:val="none"/>
        </w:rPr>
      </w:pPr>
      <w:r>
        <w:rPr>
          <w:rFonts w:hint="eastAsia" w:ascii="宋体" w:hAnsi="宋体" w:cs="微软雅黑"/>
          <w:color w:val="auto"/>
          <w:highlight w:val="none"/>
        </w:rPr>
        <w:t>4、 设备维护：如发现设备没按要求每季度一次进行维护，每次扣2000元。</w:t>
      </w:r>
    </w:p>
    <w:p w14:paraId="76FDBF13">
      <w:pPr>
        <w:keepNext w:val="0"/>
        <w:keepLines w:val="0"/>
        <w:pageBreakBefore w:val="0"/>
        <w:widowControl/>
        <w:kinsoku/>
        <w:wordWrap/>
        <w:overflowPunct/>
        <w:topLinePunct w:val="0"/>
        <w:autoSpaceDE/>
        <w:autoSpaceDN/>
        <w:bidi w:val="0"/>
        <w:spacing w:line="440" w:lineRule="exact"/>
        <w:ind w:firstLine="420" w:firstLineChars="200"/>
        <w:jc w:val="left"/>
        <w:textAlignment w:val="auto"/>
        <w:rPr>
          <w:rFonts w:hint="eastAsia" w:ascii="宋体" w:hAnsi="宋体" w:cs="微软雅黑"/>
          <w:color w:val="auto"/>
          <w:highlight w:val="none"/>
        </w:rPr>
      </w:pPr>
      <w:r>
        <w:rPr>
          <w:rFonts w:hint="eastAsia" w:ascii="宋体" w:hAnsi="宋体" w:cs="微软雅黑"/>
          <w:color w:val="auto"/>
          <w:highlight w:val="none"/>
        </w:rPr>
        <w:t>5、台账记录：每季度前10日前上报上季度巡查管护考核台帐，台帐内容包括人员和培训情况，管理养护机械设备、材料等使用情况，闸阀巡查管护和防锈处理等维修养护情况，巡查管护巡查记录依标管理台帐等。台账记录不齐全或未及时上传到信息化平台的，每发现一次扣200元。</w:t>
      </w:r>
    </w:p>
    <w:p w14:paraId="7AA2DE69">
      <w:pPr>
        <w:keepNext w:val="0"/>
        <w:keepLines w:val="0"/>
        <w:pageBreakBefore w:val="0"/>
        <w:widowControl/>
        <w:kinsoku/>
        <w:wordWrap/>
        <w:overflowPunct/>
        <w:topLinePunct w:val="0"/>
        <w:autoSpaceDE/>
        <w:autoSpaceDN/>
        <w:bidi w:val="0"/>
        <w:spacing w:line="440" w:lineRule="exact"/>
        <w:ind w:firstLine="420" w:firstLineChars="200"/>
        <w:jc w:val="left"/>
        <w:textAlignment w:val="auto"/>
        <w:rPr>
          <w:rFonts w:hint="eastAsia" w:ascii="宋体" w:hAnsi="宋体" w:cs="微软雅黑"/>
          <w:color w:val="auto"/>
          <w:highlight w:val="none"/>
        </w:rPr>
      </w:pPr>
      <w:r>
        <w:rPr>
          <w:rFonts w:hint="eastAsia" w:ascii="宋体" w:hAnsi="宋体" w:cs="微软雅黑"/>
          <w:color w:val="auto"/>
          <w:highlight w:val="none"/>
        </w:rPr>
        <w:t>6、汛期期间物业公司由负责人带队4人（不含项目负责人）值班（按照《浙江省小型水库运行管理规程》具体实施），并做好考勤工作。发现无值班安排或值班人员玩忽职守，不遵守值班制度的，将按情节轻重，每发现一次扣500元至1000元。</w:t>
      </w:r>
    </w:p>
    <w:p w14:paraId="74622AF2">
      <w:pPr>
        <w:keepNext w:val="0"/>
        <w:keepLines w:val="0"/>
        <w:pageBreakBefore w:val="0"/>
        <w:widowControl/>
        <w:kinsoku/>
        <w:wordWrap/>
        <w:overflowPunct/>
        <w:topLinePunct w:val="0"/>
        <w:autoSpaceDE/>
        <w:autoSpaceDN/>
        <w:bidi w:val="0"/>
        <w:spacing w:line="440" w:lineRule="exact"/>
        <w:ind w:firstLine="420" w:firstLineChars="200"/>
        <w:jc w:val="left"/>
        <w:textAlignment w:val="auto"/>
        <w:rPr>
          <w:rFonts w:hint="eastAsia" w:ascii="宋体" w:hAnsi="宋体" w:cs="微软雅黑"/>
          <w:color w:val="auto"/>
          <w:highlight w:val="none"/>
        </w:rPr>
      </w:pPr>
      <w:r>
        <w:rPr>
          <w:rFonts w:hint="eastAsia" w:ascii="宋体" w:hAnsi="宋体" w:cs="微软雅黑"/>
          <w:color w:val="auto"/>
          <w:highlight w:val="none"/>
        </w:rPr>
        <w:t>7、其他交办的任务：不服从区防汛指挥机构、水行政主管部门和婺城区各乡、镇、街道办事处、水管单位交办的其他任务，按情节轻重，每发现一次扣1000元至2000元。情节特别严重的解除合同，履约保证金不予退还。</w:t>
      </w:r>
    </w:p>
    <w:p w14:paraId="46B6B140">
      <w:pPr>
        <w:keepNext w:val="0"/>
        <w:keepLines w:val="0"/>
        <w:pageBreakBefore w:val="0"/>
        <w:widowControl/>
        <w:kinsoku/>
        <w:wordWrap/>
        <w:overflowPunct/>
        <w:topLinePunct w:val="0"/>
        <w:autoSpaceDE/>
        <w:autoSpaceDN/>
        <w:bidi w:val="0"/>
        <w:spacing w:line="440" w:lineRule="exact"/>
        <w:ind w:firstLine="420" w:firstLineChars="200"/>
        <w:jc w:val="left"/>
        <w:textAlignment w:val="auto"/>
        <w:rPr>
          <w:rFonts w:hint="eastAsia" w:ascii="宋体" w:hAnsi="宋体" w:cs="微软雅黑"/>
          <w:color w:val="auto"/>
          <w:highlight w:val="none"/>
        </w:rPr>
      </w:pPr>
      <w:r>
        <w:rPr>
          <w:rFonts w:hint="eastAsia" w:ascii="宋体" w:hAnsi="宋体" w:cs="微软雅黑"/>
          <w:color w:val="auto"/>
          <w:highlight w:val="none"/>
        </w:rPr>
        <w:t>8、其他情况依据《浙江省小型水库运行管理规程（实行）》、《土石坝安全监测技术规范》（SL551-2012）及浙江省水利厅的相关文件执行。</w:t>
      </w:r>
    </w:p>
    <w:p w14:paraId="3F1BBE0E">
      <w:pPr>
        <w:keepNext w:val="0"/>
        <w:keepLines w:val="0"/>
        <w:pageBreakBefore w:val="0"/>
        <w:widowControl/>
        <w:kinsoku/>
        <w:wordWrap/>
        <w:overflowPunct/>
        <w:topLinePunct w:val="0"/>
        <w:autoSpaceDE/>
        <w:autoSpaceDN/>
        <w:bidi w:val="0"/>
        <w:spacing w:line="440" w:lineRule="exact"/>
        <w:ind w:firstLine="420" w:firstLineChars="200"/>
        <w:jc w:val="left"/>
        <w:textAlignment w:val="auto"/>
        <w:rPr>
          <w:rFonts w:hint="eastAsia" w:ascii="宋体" w:hAnsi="宋体" w:cs="微软雅黑"/>
          <w:color w:val="auto"/>
          <w:highlight w:val="none"/>
        </w:rPr>
      </w:pPr>
      <w:r>
        <w:rPr>
          <w:rFonts w:hint="eastAsia" w:ascii="宋体" w:hAnsi="宋体" w:cs="微软雅黑"/>
          <w:color w:val="auto"/>
          <w:highlight w:val="none"/>
        </w:rPr>
        <w:t>9、签订本合同的同时即认定为中标人同意并实施《婺城区小型水利工程物业化管理考核办法》。</w:t>
      </w:r>
    </w:p>
    <w:p w14:paraId="7062FDA3">
      <w:pPr>
        <w:keepNext w:val="0"/>
        <w:keepLines w:val="0"/>
        <w:pageBreakBefore w:val="0"/>
        <w:widowControl/>
        <w:kinsoku/>
        <w:wordWrap/>
        <w:overflowPunct/>
        <w:topLinePunct w:val="0"/>
        <w:autoSpaceDE/>
        <w:autoSpaceDN/>
        <w:bidi w:val="0"/>
        <w:spacing w:line="440" w:lineRule="exact"/>
        <w:ind w:firstLine="420" w:firstLineChars="200"/>
        <w:jc w:val="left"/>
        <w:textAlignment w:val="auto"/>
        <w:rPr>
          <w:rFonts w:hint="eastAsia" w:ascii="宋体" w:hAnsi="宋体" w:cs="微软雅黑"/>
          <w:color w:val="auto"/>
          <w:highlight w:val="none"/>
        </w:rPr>
      </w:pPr>
      <w:r>
        <w:rPr>
          <w:rFonts w:hint="eastAsia" w:ascii="宋体" w:hAnsi="宋体" w:cs="微软雅黑"/>
          <w:color w:val="auto"/>
          <w:highlight w:val="none"/>
        </w:rPr>
        <w:t>10、对单个工程考核低于70分（不含）的，招标人有权单方面解除合同。</w:t>
      </w:r>
    </w:p>
    <w:p w14:paraId="58AD88EB">
      <w:pPr>
        <w:keepNext w:val="0"/>
        <w:keepLines w:val="0"/>
        <w:pageBreakBefore w:val="0"/>
        <w:widowControl/>
        <w:kinsoku/>
        <w:wordWrap/>
        <w:overflowPunct/>
        <w:topLinePunct w:val="0"/>
        <w:autoSpaceDE/>
        <w:autoSpaceDN/>
        <w:bidi w:val="0"/>
        <w:spacing w:line="440" w:lineRule="exact"/>
        <w:ind w:firstLine="420" w:firstLineChars="200"/>
        <w:jc w:val="left"/>
        <w:textAlignment w:val="auto"/>
        <w:rPr>
          <w:rFonts w:ascii="宋体" w:hAnsi="宋体" w:cs="微软雅黑"/>
          <w:color w:val="auto"/>
          <w:highlight w:val="none"/>
        </w:rPr>
      </w:pPr>
      <w:r>
        <w:rPr>
          <w:rFonts w:hint="eastAsia" w:ascii="宋体" w:hAnsi="宋体" w:cs="微软雅黑"/>
          <w:color w:val="auto"/>
          <w:highlight w:val="none"/>
        </w:rPr>
        <w:t>11、除上述考核外，如有一次乡镇街道或水务局通报批评的，招标人有权扣除一定比例的该</w:t>
      </w:r>
      <w:r>
        <w:rPr>
          <w:rFonts w:hint="eastAsia" w:ascii="宋体" w:hAnsi="宋体" w:cs="微软雅黑"/>
          <w:color w:val="auto"/>
          <w:highlight w:val="none"/>
          <w:lang w:eastAsia="zh-CN"/>
        </w:rPr>
        <w:t>半年</w:t>
      </w:r>
      <w:r>
        <w:rPr>
          <w:rFonts w:hint="eastAsia" w:ascii="宋体" w:hAnsi="宋体" w:cs="微软雅黑"/>
          <w:color w:val="auto"/>
          <w:highlight w:val="none"/>
        </w:rPr>
        <w:t>度物业费，二次书面通报批评的，招标人有权终止合同。</w:t>
      </w:r>
    </w:p>
    <w:p w14:paraId="2A232E3B">
      <w:pPr>
        <w:keepNext w:val="0"/>
        <w:keepLines w:val="0"/>
        <w:pageBreakBefore w:val="0"/>
        <w:kinsoku/>
        <w:wordWrap/>
        <w:overflowPunct/>
        <w:topLinePunct w:val="0"/>
        <w:autoSpaceDE/>
        <w:autoSpaceDN/>
        <w:bidi w:val="0"/>
        <w:snapToGrid w:val="0"/>
        <w:spacing w:line="440" w:lineRule="exact"/>
        <w:ind w:firstLine="422" w:firstLineChars="200"/>
        <w:textAlignment w:val="auto"/>
        <w:rPr>
          <w:rFonts w:hint="eastAsia" w:hAnsi="宋体" w:cs="宋体"/>
          <w:b/>
          <w:color w:val="auto"/>
          <w:szCs w:val="21"/>
          <w:highlight w:val="none"/>
          <w:lang w:eastAsia="zh-CN"/>
        </w:rPr>
      </w:pPr>
      <w:r>
        <w:rPr>
          <w:rFonts w:hint="eastAsia" w:hAnsi="宋体" w:cs="宋体"/>
          <w:b/>
          <w:color w:val="auto"/>
          <w:szCs w:val="21"/>
          <w:highlight w:val="none"/>
          <w:lang w:eastAsia="zh-CN"/>
        </w:rPr>
        <w:t>五、履约保证金及履约担保：按中标价的</w:t>
      </w:r>
      <w:r>
        <w:rPr>
          <w:rFonts w:hint="eastAsia" w:hAnsi="宋体" w:cs="宋体"/>
          <w:b/>
          <w:color w:val="auto"/>
          <w:szCs w:val="21"/>
          <w:highlight w:val="none"/>
          <w:lang w:val="en-US" w:eastAsia="zh-CN"/>
        </w:rPr>
        <w:t>1</w:t>
      </w:r>
      <w:r>
        <w:rPr>
          <w:rFonts w:hint="eastAsia" w:hAnsi="宋体" w:cs="宋体"/>
          <w:b/>
          <w:color w:val="auto"/>
          <w:szCs w:val="21"/>
          <w:highlight w:val="none"/>
          <w:lang w:eastAsia="zh-CN"/>
        </w:rPr>
        <w:t>%。</w:t>
      </w:r>
    </w:p>
    <w:p w14:paraId="3DE2C5EF">
      <w:pPr>
        <w:keepNext w:val="0"/>
        <w:keepLines w:val="0"/>
        <w:pageBreakBefore w:val="0"/>
        <w:kinsoku/>
        <w:wordWrap/>
        <w:overflowPunct/>
        <w:topLinePunct w:val="0"/>
        <w:autoSpaceDE/>
        <w:autoSpaceDN/>
        <w:bidi w:val="0"/>
        <w:snapToGrid w:val="0"/>
        <w:spacing w:line="440" w:lineRule="exact"/>
        <w:ind w:firstLine="422" w:firstLineChars="200"/>
        <w:textAlignment w:val="auto"/>
        <w:rPr>
          <w:rFonts w:ascii="宋体" w:hAnsi="宋体" w:cs="宋体"/>
          <w:b/>
          <w:color w:val="auto"/>
          <w:szCs w:val="21"/>
          <w:highlight w:val="none"/>
        </w:rPr>
      </w:pPr>
      <w:r>
        <w:rPr>
          <w:rFonts w:hint="eastAsia" w:hAnsi="宋体" w:cs="宋体"/>
          <w:b/>
          <w:color w:val="auto"/>
          <w:szCs w:val="21"/>
          <w:highlight w:val="none"/>
          <w:lang w:eastAsia="zh-CN"/>
        </w:rPr>
        <w:t>六</w:t>
      </w:r>
      <w:r>
        <w:rPr>
          <w:rFonts w:hint="eastAsia" w:ascii="宋体" w:hAnsi="宋体" w:cs="宋体"/>
          <w:b/>
          <w:color w:val="auto"/>
          <w:szCs w:val="21"/>
          <w:highlight w:val="none"/>
        </w:rPr>
        <w:t>、违约责任：</w:t>
      </w:r>
    </w:p>
    <w:p w14:paraId="2DF8B3D2">
      <w:pPr>
        <w:keepNext w:val="0"/>
        <w:keepLines w:val="0"/>
        <w:pageBreakBefore w:val="0"/>
        <w:kinsoku/>
        <w:wordWrap/>
        <w:overflowPunct/>
        <w:topLinePunct w:val="0"/>
        <w:autoSpaceDE/>
        <w:autoSpaceDN/>
        <w:bidi w:val="0"/>
        <w:snapToGrid w:val="0"/>
        <w:spacing w:line="440" w:lineRule="exact"/>
        <w:ind w:firstLine="420" w:firstLineChars="200"/>
        <w:textAlignment w:val="auto"/>
        <w:rPr>
          <w:rFonts w:hint="eastAsia" w:ascii="宋体" w:hAnsi="宋体" w:cs="宋体"/>
          <w:color w:val="auto"/>
          <w:szCs w:val="21"/>
          <w:highlight w:val="none"/>
        </w:rPr>
      </w:pPr>
      <w:r>
        <w:rPr>
          <w:rFonts w:hint="eastAsia" w:ascii="宋体" w:hAnsi="宋体" w:cs="宋体"/>
          <w:color w:val="auto"/>
          <w:szCs w:val="21"/>
          <w:highlight w:val="none"/>
        </w:rPr>
        <w:t>1、违反本合同约定，造成本合同不能履行或不能完全履行，由违约方承担违约责任，违约方应按合同法赔偿对方经济损失。</w:t>
      </w:r>
    </w:p>
    <w:p w14:paraId="6E1EEBF0">
      <w:pPr>
        <w:keepNext w:val="0"/>
        <w:keepLines w:val="0"/>
        <w:pageBreakBefore w:val="0"/>
        <w:kinsoku/>
        <w:wordWrap/>
        <w:overflowPunct/>
        <w:topLinePunct w:val="0"/>
        <w:autoSpaceDE/>
        <w:autoSpaceDN/>
        <w:bidi w:val="0"/>
        <w:snapToGrid w:val="0"/>
        <w:spacing w:line="440" w:lineRule="exact"/>
        <w:ind w:firstLine="420" w:firstLineChars="200"/>
        <w:textAlignment w:val="auto"/>
        <w:rPr>
          <w:rFonts w:hint="eastAsia" w:ascii="宋体" w:hAnsi="宋体" w:cs="宋体"/>
          <w:color w:val="auto"/>
          <w:szCs w:val="21"/>
          <w:highlight w:val="none"/>
        </w:rPr>
      </w:pPr>
      <w:r>
        <w:rPr>
          <w:rFonts w:hint="eastAsia" w:ascii="宋体" w:hAnsi="宋体" w:cs="宋体"/>
          <w:color w:val="auto"/>
          <w:szCs w:val="21"/>
          <w:highlight w:val="none"/>
        </w:rPr>
        <w:t>2、乙方因逾期履行服务或因其他违约行为导致甲方解除合同的，乙方应向甲方支付合同总值5%的违约金，如造成甲方损失超过违约金的，超出部分由乙方继续承担赔偿责任。</w:t>
      </w:r>
    </w:p>
    <w:p w14:paraId="611F549D">
      <w:pPr>
        <w:keepNext w:val="0"/>
        <w:keepLines w:val="0"/>
        <w:pageBreakBefore w:val="0"/>
        <w:kinsoku/>
        <w:wordWrap/>
        <w:overflowPunct/>
        <w:topLinePunct w:val="0"/>
        <w:autoSpaceDE/>
        <w:autoSpaceDN/>
        <w:bidi w:val="0"/>
        <w:snapToGrid w:val="0"/>
        <w:spacing w:line="44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3、乙方达不到项目要求，乙方应负责根据合同及甲方的要求采取相应的处理措施，并承担由此发生的一切损失和费用。</w:t>
      </w:r>
    </w:p>
    <w:p w14:paraId="3F19F073">
      <w:pPr>
        <w:keepNext w:val="0"/>
        <w:keepLines w:val="0"/>
        <w:pageBreakBefore w:val="0"/>
        <w:kinsoku/>
        <w:wordWrap/>
        <w:overflowPunct/>
        <w:topLinePunct w:val="0"/>
        <w:autoSpaceDE/>
        <w:autoSpaceDN/>
        <w:bidi w:val="0"/>
        <w:snapToGrid w:val="0"/>
        <w:spacing w:line="440" w:lineRule="exact"/>
        <w:ind w:firstLine="422" w:firstLineChars="200"/>
        <w:textAlignment w:val="auto"/>
        <w:rPr>
          <w:rFonts w:ascii="宋体" w:hAnsi="宋体" w:cs="宋体"/>
          <w:b/>
          <w:color w:val="auto"/>
          <w:szCs w:val="21"/>
          <w:highlight w:val="none"/>
        </w:rPr>
      </w:pPr>
      <w:r>
        <w:rPr>
          <w:rFonts w:hint="eastAsia" w:hAnsi="宋体" w:cs="宋体"/>
          <w:b/>
          <w:color w:val="auto"/>
          <w:szCs w:val="21"/>
          <w:highlight w:val="none"/>
          <w:lang w:eastAsia="zh-CN"/>
        </w:rPr>
        <w:t>七</w:t>
      </w:r>
      <w:r>
        <w:rPr>
          <w:rFonts w:hint="eastAsia" w:ascii="宋体" w:hAnsi="宋体" w:cs="宋体"/>
          <w:b/>
          <w:color w:val="auto"/>
          <w:szCs w:val="21"/>
          <w:highlight w:val="none"/>
        </w:rPr>
        <w:t>、不可抗力事件处理：</w:t>
      </w:r>
    </w:p>
    <w:p w14:paraId="2A9ACB71">
      <w:pPr>
        <w:keepNext w:val="0"/>
        <w:keepLines w:val="0"/>
        <w:pageBreakBefore w:val="0"/>
        <w:kinsoku/>
        <w:wordWrap/>
        <w:overflowPunct/>
        <w:topLinePunct w:val="0"/>
        <w:autoSpaceDE/>
        <w:autoSpaceDN/>
        <w:bidi w:val="0"/>
        <w:snapToGrid w:val="0"/>
        <w:spacing w:line="440" w:lineRule="exact"/>
        <w:ind w:firstLine="420" w:firstLineChars="200"/>
        <w:textAlignment w:val="auto"/>
        <w:rPr>
          <w:rFonts w:hint="eastAsia" w:ascii="宋体" w:hAnsi="宋体" w:cs="宋体"/>
          <w:color w:val="auto"/>
          <w:szCs w:val="21"/>
          <w:highlight w:val="none"/>
        </w:rPr>
      </w:pPr>
      <w:r>
        <w:rPr>
          <w:rFonts w:hint="eastAsia" w:ascii="宋体" w:hAnsi="宋体" w:cs="宋体"/>
          <w:color w:val="auto"/>
          <w:szCs w:val="21"/>
          <w:highlight w:val="none"/>
        </w:rPr>
        <w:t>1、不可抗力，是指本合同双方不能合理控制、不可预见或即使预见亦无法避免的事件，该事件妨碍、影响或延误任何一方根据本合同履行其全部或部分义务。该事件包括但不限于：自然原因，例如：地震、火灾、严重的传染性疾病等；国家机关政府行为之原因，例如：法律、政策、行政指令。</w:t>
      </w:r>
    </w:p>
    <w:p w14:paraId="52F5E9BF">
      <w:pPr>
        <w:keepNext w:val="0"/>
        <w:keepLines w:val="0"/>
        <w:pageBreakBefore w:val="0"/>
        <w:kinsoku/>
        <w:wordWrap/>
        <w:overflowPunct/>
        <w:topLinePunct w:val="0"/>
        <w:autoSpaceDE/>
        <w:autoSpaceDN/>
        <w:bidi w:val="0"/>
        <w:snapToGrid w:val="0"/>
        <w:spacing w:line="440" w:lineRule="exact"/>
        <w:ind w:firstLine="420" w:firstLineChars="200"/>
        <w:textAlignment w:val="auto"/>
        <w:rPr>
          <w:rFonts w:hint="eastAsia" w:ascii="宋体" w:hAnsi="宋体" w:cs="宋体"/>
          <w:color w:val="auto"/>
          <w:szCs w:val="21"/>
          <w:highlight w:val="none"/>
        </w:rPr>
      </w:pPr>
      <w:r>
        <w:rPr>
          <w:rFonts w:hint="eastAsia" w:ascii="宋体" w:hAnsi="宋体" w:cs="宋体"/>
          <w:color w:val="auto"/>
          <w:szCs w:val="21"/>
          <w:highlight w:val="none"/>
        </w:rPr>
        <w:t>2、遭受不可抗力事件的一方可暂行中止履行本合同项下的义务直至不可抗力事件的影响消除为止，并且无需为此而承担违约责任；但应尽最大努力克服该事件，减轻其负面影响。</w:t>
      </w:r>
    </w:p>
    <w:p w14:paraId="2421EFD2">
      <w:pPr>
        <w:keepNext w:val="0"/>
        <w:keepLines w:val="0"/>
        <w:pageBreakBefore w:val="0"/>
        <w:kinsoku/>
        <w:wordWrap/>
        <w:overflowPunct/>
        <w:topLinePunct w:val="0"/>
        <w:autoSpaceDE/>
        <w:autoSpaceDN/>
        <w:bidi w:val="0"/>
        <w:snapToGrid w:val="0"/>
        <w:spacing w:line="44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3、在本合同履行中，一旦本合同一方或双方遭受不可抗力，则不可抗力发生方须在尽可能短的时间内通知对方。如果不可抗力的发生，不会造成不可抗力发生方对本合同的根本违约，则另一方应该在履约时间上给与对方适当的宽限。如果不可抗力的发生，造成了不可抗力发生方无法履行本合同，则本合同终止。</w:t>
      </w:r>
    </w:p>
    <w:p w14:paraId="44C2DD15">
      <w:pPr>
        <w:pStyle w:val="26"/>
        <w:keepNext w:val="0"/>
        <w:keepLines w:val="0"/>
        <w:pageBreakBefore w:val="0"/>
        <w:tabs>
          <w:tab w:val="left" w:pos="1200"/>
        </w:tabs>
        <w:kinsoku/>
        <w:wordWrap/>
        <w:overflowPunct/>
        <w:topLinePunct w:val="0"/>
        <w:autoSpaceDE/>
        <w:autoSpaceDN/>
        <w:bidi w:val="0"/>
        <w:snapToGrid w:val="0"/>
        <w:spacing w:line="440" w:lineRule="exact"/>
        <w:ind w:firstLine="422" w:firstLineChars="200"/>
        <w:textAlignment w:val="auto"/>
        <w:rPr>
          <w:rFonts w:hint="default" w:hAnsi="宋体" w:cs="宋体"/>
          <w:b/>
          <w:color w:val="auto"/>
          <w:highlight w:val="none"/>
        </w:rPr>
      </w:pPr>
      <w:r>
        <w:rPr>
          <w:rFonts w:hint="eastAsia" w:hAnsi="宋体" w:cs="宋体"/>
          <w:b/>
          <w:color w:val="auto"/>
          <w:highlight w:val="none"/>
          <w:lang w:eastAsia="zh-CN"/>
        </w:rPr>
        <w:t>八</w:t>
      </w:r>
      <w:r>
        <w:rPr>
          <w:rFonts w:hAnsi="宋体" w:cs="宋体"/>
          <w:b/>
          <w:color w:val="auto"/>
          <w:highlight w:val="none"/>
        </w:rPr>
        <w:t>、 诉讼:</w:t>
      </w:r>
    </w:p>
    <w:p w14:paraId="53ACAA7F">
      <w:pPr>
        <w:pStyle w:val="26"/>
        <w:keepNext w:val="0"/>
        <w:keepLines w:val="0"/>
        <w:pageBreakBefore w:val="0"/>
        <w:tabs>
          <w:tab w:val="left" w:pos="1200"/>
        </w:tabs>
        <w:kinsoku/>
        <w:wordWrap/>
        <w:overflowPunct/>
        <w:topLinePunct w:val="0"/>
        <w:autoSpaceDE/>
        <w:autoSpaceDN/>
        <w:bidi w:val="0"/>
        <w:snapToGrid w:val="0"/>
        <w:spacing w:line="440" w:lineRule="exact"/>
        <w:ind w:firstLine="420" w:firstLineChars="200"/>
        <w:textAlignment w:val="auto"/>
        <w:rPr>
          <w:rFonts w:hint="default" w:hAnsi="宋体" w:cs="宋体"/>
          <w:bCs/>
          <w:color w:val="auto"/>
          <w:highlight w:val="none"/>
        </w:rPr>
      </w:pPr>
      <w:r>
        <w:rPr>
          <w:rFonts w:hAnsi="宋体" w:cs="宋体"/>
          <w:color w:val="auto"/>
          <w:highlight w:val="none"/>
        </w:rPr>
        <w:t>双方在执行合同中所发生的一切争议，应通过协商解决。如协商不成，可向甲方所在地法院起诉。</w:t>
      </w:r>
    </w:p>
    <w:p w14:paraId="350B936B">
      <w:pPr>
        <w:keepNext w:val="0"/>
        <w:keepLines w:val="0"/>
        <w:pageBreakBefore w:val="0"/>
        <w:kinsoku/>
        <w:wordWrap/>
        <w:overflowPunct/>
        <w:topLinePunct w:val="0"/>
        <w:autoSpaceDE/>
        <w:autoSpaceDN/>
        <w:bidi w:val="0"/>
        <w:adjustRightInd w:val="0"/>
        <w:snapToGrid w:val="0"/>
        <w:spacing w:line="440" w:lineRule="exact"/>
        <w:ind w:firstLine="422" w:firstLineChars="200"/>
        <w:textAlignment w:val="auto"/>
        <w:rPr>
          <w:rFonts w:ascii="宋体" w:hAnsi="宋体" w:cs="宋体"/>
          <w:b/>
          <w:bCs/>
          <w:color w:val="auto"/>
          <w:szCs w:val="21"/>
          <w:highlight w:val="none"/>
        </w:rPr>
      </w:pPr>
      <w:r>
        <w:rPr>
          <w:rFonts w:hint="eastAsia" w:ascii="宋体" w:hAnsi="宋体" w:cs="宋体"/>
          <w:b/>
          <w:bCs/>
          <w:color w:val="auto"/>
          <w:szCs w:val="21"/>
          <w:highlight w:val="none"/>
          <w:lang w:eastAsia="zh-CN"/>
        </w:rPr>
        <w:t>九</w:t>
      </w:r>
      <w:r>
        <w:rPr>
          <w:rFonts w:hint="eastAsia" w:ascii="宋体" w:hAnsi="宋体" w:cs="宋体"/>
          <w:b/>
          <w:bCs/>
          <w:color w:val="auto"/>
          <w:szCs w:val="21"/>
          <w:highlight w:val="none"/>
        </w:rPr>
        <w:t>、下列文件为本合同不可分割部分：</w:t>
      </w:r>
    </w:p>
    <w:p w14:paraId="61C4DD45">
      <w:pPr>
        <w:keepNext w:val="0"/>
        <w:keepLines w:val="0"/>
        <w:pageBreakBefore w:val="0"/>
        <w:kinsoku/>
        <w:wordWrap/>
        <w:overflowPunct/>
        <w:topLinePunct w:val="0"/>
        <w:autoSpaceDE/>
        <w:autoSpaceDN/>
        <w:bidi w:val="0"/>
        <w:adjustRightInd w:val="0"/>
        <w:snapToGrid w:val="0"/>
        <w:spacing w:line="44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1.中标通知书</w:t>
      </w:r>
    </w:p>
    <w:p w14:paraId="7FF99B2E">
      <w:pPr>
        <w:keepNext w:val="0"/>
        <w:keepLines w:val="0"/>
        <w:pageBreakBefore w:val="0"/>
        <w:kinsoku/>
        <w:wordWrap/>
        <w:overflowPunct/>
        <w:topLinePunct w:val="0"/>
        <w:autoSpaceDE/>
        <w:autoSpaceDN/>
        <w:bidi w:val="0"/>
        <w:adjustRightInd w:val="0"/>
        <w:snapToGrid w:val="0"/>
        <w:spacing w:line="44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2.乙方中标的投标文件</w:t>
      </w:r>
    </w:p>
    <w:p w14:paraId="747C7976">
      <w:pPr>
        <w:keepNext w:val="0"/>
        <w:keepLines w:val="0"/>
        <w:pageBreakBefore w:val="0"/>
        <w:kinsoku/>
        <w:wordWrap/>
        <w:overflowPunct/>
        <w:topLinePunct w:val="0"/>
        <w:autoSpaceDE/>
        <w:autoSpaceDN/>
        <w:bidi w:val="0"/>
        <w:adjustRightInd w:val="0"/>
        <w:snapToGrid w:val="0"/>
        <w:spacing w:line="44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3.招标文件</w:t>
      </w:r>
    </w:p>
    <w:p w14:paraId="22859FF9">
      <w:pPr>
        <w:keepNext w:val="0"/>
        <w:keepLines w:val="0"/>
        <w:pageBreakBefore w:val="0"/>
        <w:kinsoku/>
        <w:wordWrap/>
        <w:overflowPunct/>
        <w:topLinePunct w:val="0"/>
        <w:autoSpaceDE/>
        <w:autoSpaceDN/>
        <w:bidi w:val="0"/>
        <w:adjustRightInd w:val="0"/>
        <w:snapToGrid w:val="0"/>
        <w:spacing w:line="44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4.乙方在招投标过程中所作的其它承诺、声明、书面澄清等。</w:t>
      </w:r>
    </w:p>
    <w:p w14:paraId="52C4BB13">
      <w:pPr>
        <w:keepNext w:val="0"/>
        <w:keepLines w:val="0"/>
        <w:pageBreakBefore w:val="0"/>
        <w:kinsoku/>
        <w:wordWrap/>
        <w:overflowPunct/>
        <w:topLinePunct w:val="0"/>
        <w:autoSpaceDE/>
        <w:autoSpaceDN/>
        <w:bidi w:val="0"/>
        <w:adjustRightInd w:val="0"/>
        <w:snapToGrid w:val="0"/>
        <w:spacing w:line="440" w:lineRule="exact"/>
        <w:ind w:firstLine="422" w:firstLineChars="200"/>
        <w:textAlignment w:val="auto"/>
        <w:rPr>
          <w:rFonts w:ascii="宋体" w:hAnsi="宋体" w:cs="宋体"/>
          <w:b/>
          <w:color w:val="auto"/>
          <w:szCs w:val="21"/>
          <w:highlight w:val="none"/>
        </w:rPr>
      </w:pPr>
      <w:r>
        <w:rPr>
          <w:rFonts w:hint="eastAsia" w:ascii="宋体" w:hAnsi="宋体" w:cs="宋体"/>
          <w:b/>
          <w:color w:val="auto"/>
          <w:szCs w:val="21"/>
          <w:highlight w:val="none"/>
          <w:lang w:eastAsia="zh-CN"/>
        </w:rPr>
        <w:t>十</w:t>
      </w:r>
      <w:r>
        <w:rPr>
          <w:rFonts w:hint="eastAsia" w:ascii="宋体" w:hAnsi="宋体" w:cs="宋体"/>
          <w:b/>
          <w:color w:val="auto"/>
          <w:szCs w:val="21"/>
          <w:highlight w:val="none"/>
        </w:rPr>
        <w:t>、合同生效及其它:</w:t>
      </w:r>
    </w:p>
    <w:p w14:paraId="114B69FE">
      <w:pPr>
        <w:pStyle w:val="26"/>
        <w:keepNext w:val="0"/>
        <w:keepLines w:val="0"/>
        <w:pageBreakBefore w:val="0"/>
        <w:tabs>
          <w:tab w:val="left" w:pos="1200"/>
        </w:tabs>
        <w:kinsoku/>
        <w:wordWrap/>
        <w:overflowPunct/>
        <w:topLinePunct w:val="0"/>
        <w:autoSpaceDE/>
        <w:autoSpaceDN/>
        <w:bidi w:val="0"/>
        <w:snapToGrid w:val="0"/>
        <w:spacing w:line="440" w:lineRule="exact"/>
        <w:ind w:firstLine="420" w:firstLineChars="200"/>
        <w:textAlignment w:val="auto"/>
        <w:rPr>
          <w:rFonts w:hint="default" w:hAnsi="宋体" w:cs="宋体"/>
          <w:color w:val="auto"/>
          <w:highlight w:val="none"/>
        </w:rPr>
      </w:pPr>
      <w:r>
        <w:rPr>
          <w:rFonts w:hAnsi="宋体" w:cs="宋体"/>
          <w:color w:val="auto"/>
          <w:highlight w:val="none"/>
        </w:rPr>
        <w:t>1.合同经双方法定代表人或授权代表签字并加盖单位公章后生效。</w:t>
      </w:r>
    </w:p>
    <w:p w14:paraId="21961F2D">
      <w:pPr>
        <w:pStyle w:val="26"/>
        <w:keepNext w:val="0"/>
        <w:keepLines w:val="0"/>
        <w:pageBreakBefore w:val="0"/>
        <w:tabs>
          <w:tab w:val="left" w:pos="1200"/>
        </w:tabs>
        <w:kinsoku/>
        <w:wordWrap/>
        <w:overflowPunct/>
        <w:topLinePunct w:val="0"/>
        <w:autoSpaceDE/>
        <w:autoSpaceDN/>
        <w:bidi w:val="0"/>
        <w:snapToGrid w:val="0"/>
        <w:spacing w:line="440" w:lineRule="exact"/>
        <w:ind w:firstLine="420" w:firstLineChars="200"/>
        <w:textAlignment w:val="auto"/>
        <w:rPr>
          <w:rFonts w:hint="default" w:hAnsi="宋体" w:cs="宋体"/>
          <w:color w:val="auto"/>
          <w:highlight w:val="none"/>
        </w:rPr>
      </w:pPr>
      <w:r>
        <w:rPr>
          <w:rFonts w:hAnsi="宋体" w:cs="宋体"/>
          <w:color w:val="auto"/>
          <w:highlight w:val="none"/>
        </w:rPr>
        <w:t>2.由于政策变动、机构变动甲方上级部门统一部署造成甲方无法继续履行协议的，双方同意通过签订书面协议终止该合同。</w:t>
      </w:r>
    </w:p>
    <w:p w14:paraId="509968CF">
      <w:pPr>
        <w:pStyle w:val="26"/>
        <w:keepNext w:val="0"/>
        <w:keepLines w:val="0"/>
        <w:pageBreakBefore w:val="0"/>
        <w:tabs>
          <w:tab w:val="left" w:pos="1200"/>
        </w:tabs>
        <w:kinsoku/>
        <w:wordWrap/>
        <w:overflowPunct/>
        <w:topLinePunct w:val="0"/>
        <w:autoSpaceDE/>
        <w:autoSpaceDN/>
        <w:bidi w:val="0"/>
        <w:snapToGrid w:val="0"/>
        <w:spacing w:line="440" w:lineRule="exact"/>
        <w:ind w:firstLine="420" w:firstLineChars="200"/>
        <w:textAlignment w:val="auto"/>
        <w:rPr>
          <w:rFonts w:hint="default" w:hAnsi="宋体" w:cs="宋体"/>
          <w:color w:val="auto"/>
          <w:highlight w:val="none"/>
        </w:rPr>
      </w:pPr>
      <w:r>
        <w:rPr>
          <w:rFonts w:hAnsi="宋体" w:cs="宋体"/>
          <w:color w:val="auto"/>
          <w:highlight w:val="none"/>
        </w:rPr>
        <w:t>3．本合同保密条款之时效将不受本合同有效期的影响，双方不得以合同期满为由违反保密约定。无论主动泄密或者被动泄密，泄密一方都应当承担责任。</w:t>
      </w:r>
    </w:p>
    <w:p w14:paraId="3711CCEA">
      <w:pPr>
        <w:pStyle w:val="26"/>
        <w:keepNext w:val="0"/>
        <w:keepLines w:val="0"/>
        <w:pageBreakBefore w:val="0"/>
        <w:tabs>
          <w:tab w:val="left" w:pos="1200"/>
        </w:tabs>
        <w:kinsoku/>
        <w:wordWrap/>
        <w:overflowPunct/>
        <w:topLinePunct w:val="0"/>
        <w:autoSpaceDE/>
        <w:autoSpaceDN/>
        <w:bidi w:val="0"/>
        <w:snapToGrid w:val="0"/>
        <w:spacing w:line="440" w:lineRule="exact"/>
        <w:ind w:firstLine="420" w:firstLineChars="200"/>
        <w:textAlignment w:val="auto"/>
        <w:rPr>
          <w:rFonts w:hint="default" w:hAnsi="宋体" w:cs="宋体"/>
          <w:color w:val="auto"/>
          <w:highlight w:val="none"/>
        </w:rPr>
      </w:pPr>
      <w:r>
        <w:rPr>
          <w:rFonts w:hAnsi="宋体" w:cs="宋体"/>
          <w:color w:val="auto"/>
          <w:highlight w:val="none"/>
        </w:rPr>
        <w:t>4.本合同未尽事宜，遵照《</w:t>
      </w:r>
      <w:r>
        <w:rPr>
          <w:rFonts w:hint="eastAsia" w:hAnsi="宋体" w:cs="宋体"/>
          <w:color w:val="auto"/>
          <w:highlight w:val="none"/>
          <w:lang w:val="en-US" w:eastAsia="zh-CN"/>
        </w:rPr>
        <w:t>民法典</w:t>
      </w:r>
      <w:r>
        <w:rPr>
          <w:rFonts w:hAnsi="宋体" w:cs="宋体"/>
          <w:color w:val="auto"/>
          <w:highlight w:val="none"/>
        </w:rPr>
        <w:t>》有关条文执行。</w:t>
      </w:r>
    </w:p>
    <w:p w14:paraId="06E4A426">
      <w:pPr>
        <w:pStyle w:val="26"/>
        <w:keepNext w:val="0"/>
        <w:keepLines w:val="0"/>
        <w:pageBreakBefore w:val="0"/>
        <w:tabs>
          <w:tab w:val="left" w:pos="1200"/>
        </w:tabs>
        <w:kinsoku/>
        <w:wordWrap/>
        <w:overflowPunct/>
        <w:topLinePunct w:val="0"/>
        <w:autoSpaceDE/>
        <w:autoSpaceDN/>
        <w:bidi w:val="0"/>
        <w:adjustRightInd w:val="0"/>
        <w:snapToGrid w:val="0"/>
        <w:spacing w:line="440" w:lineRule="exact"/>
        <w:ind w:firstLine="420" w:firstLineChars="200"/>
        <w:textAlignment w:val="auto"/>
        <w:rPr>
          <w:rFonts w:hAnsi="宋体" w:cs="宋体"/>
          <w:color w:val="auto"/>
          <w:highlight w:val="none"/>
        </w:rPr>
      </w:pPr>
      <w:r>
        <w:rPr>
          <w:rFonts w:hAnsi="宋体" w:cs="宋体"/>
          <w:color w:val="auto"/>
          <w:highlight w:val="none"/>
        </w:rPr>
        <w:t>5.本合同一式四份，甲、乙双方各执二份。</w:t>
      </w:r>
    </w:p>
    <w:p w14:paraId="42D10889">
      <w:pPr>
        <w:pStyle w:val="26"/>
        <w:keepNext w:val="0"/>
        <w:keepLines w:val="0"/>
        <w:pageBreakBefore w:val="0"/>
        <w:tabs>
          <w:tab w:val="left" w:pos="1200"/>
        </w:tabs>
        <w:kinsoku/>
        <w:wordWrap/>
        <w:overflowPunct/>
        <w:topLinePunct w:val="0"/>
        <w:autoSpaceDE/>
        <w:autoSpaceDN/>
        <w:bidi w:val="0"/>
        <w:adjustRightInd w:val="0"/>
        <w:snapToGrid w:val="0"/>
        <w:spacing w:line="440" w:lineRule="exact"/>
        <w:ind w:firstLine="420" w:firstLineChars="200"/>
        <w:textAlignment w:val="auto"/>
        <w:rPr>
          <w:rFonts w:hAnsi="宋体" w:cs="宋体"/>
          <w:color w:val="auto"/>
          <w:highlight w:val="none"/>
        </w:rPr>
      </w:pPr>
    </w:p>
    <w:p w14:paraId="102384DA">
      <w:pPr>
        <w:pStyle w:val="26"/>
        <w:keepNext w:val="0"/>
        <w:keepLines w:val="0"/>
        <w:pageBreakBefore w:val="0"/>
        <w:tabs>
          <w:tab w:val="left" w:pos="1200"/>
        </w:tabs>
        <w:kinsoku/>
        <w:wordWrap/>
        <w:overflowPunct/>
        <w:topLinePunct w:val="0"/>
        <w:autoSpaceDE/>
        <w:autoSpaceDN/>
        <w:bidi w:val="0"/>
        <w:adjustRightInd w:val="0"/>
        <w:snapToGrid w:val="0"/>
        <w:spacing w:line="440" w:lineRule="exact"/>
        <w:ind w:firstLine="420" w:firstLineChars="200"/>
        <w:textAlignment w:val="auto"/>
        <w:rPr>
          <w:rFonts w:hint="eastAsia" w:hAnsi="宋体" w:eastAsia="宋体" w:cs="宋体"/>
          <w:color w:val="auto"/>
          <w:highlight w:val="none"/>
          <w:lang w:eastAsia="zh-CN"/>
        </w:rPr>
      </w:pPr>
      <w:r>
        <w:rPr>
          <w:rFonts w:hint="eastAsia" w:hAnsi="宋体" w:cs="宋体"/>
          <w:color w:val="auto"/>
          <w:highlight w:val="none"/>
          <w:lang w:eastAsia="zh-CN"/>
        </w:rPr>
        <w:t>（</w:t>
      </w:r>
      <w:r>
        <w:rPr>
          <w:rFonts w:hint="eastAsia" w:hAnsi="宋体" w:cs="宋体"/>
          <w:color w:val="auto"/>
          <w:highlight w:val="none"/>
          <w:lang w:val="en-US" w:eastAsia="zh-CN"/>
        </w:rPr>
        <w:t>本页无正文</w:t>
      </w:r>
      <w:r>
        <w:rPr>
          <w:rFonts w:hint="eastAsia" w:hAnsi="宋体" w:cs="宋体"/>
          <w:color w:val="auto"/>
          <w:highlight w:val="none"/>
          <w:lang w:eastAsia="zh-CN"/>
        </w:rPr>
        <w:t>）</w:t>
      </w:r>
    </w:p>
    <w:p w14:paraId="5AED6FF9">
      <w:pPr>
        <w:keepNext w:val="0"/>
        <w:keepLines w:val="0"/>
        <w:pageBreakBefore w:val="0"/>
        <w:kinsoku/>
        <w:wordWrap/>
        <w:overflowPunct/>
        <w:topLinePunct w:val="0"/>
        <w:autoSpaceDE/>
        <w:autoSpaceDN/>
        <w:bidi w:val="0"/>
        <w:adjustRightInd w:val="0"/>
        <w:snapToGrid w:val="0"/>
        <w:spacing w:line="44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甲方签章：                                    乙方签章：</w:t>
      </w:r>
    </w:p>
    <w:p w14:paraId="56D4974E">
      <w:pPr>
        <w:keepNext w:val="0"/>
        <w:keepLines w:val="0"/>
        <w:pageBreakBefore w:val="0"/>
        <w:kinsoku/>
        <w:wordWrap/>
        <w:overflowPunct/>
        <w:topLinePunct w:val="0"/>
        <w:autoSpaceDE/>
        <w:autoSpaceDN/>
        <w:bidi w:val="0"/>
        <w:adjustRightInd w:val="0"/>
        <w:snapToGrid w:val="0"/>
        <w:spacing w:line="44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法人代表：                                   法人代表：</w:t>
      </w:r>
    </w:p>
    <w:p w14:paraId="5455A413">
      <w:pPr>
        <w:keepNext w:val="0"/>
        <w:keepLines w:val="0"/>
        <w:pageBreakBefore w:val="0"/>
        <w:kinsoku/>
        <w:wordWrap/>
        <w:overflowPunct/>
        <w:topLinePunct w:val="0"/>
        <w:autoSpaceDE/>
        <w:autoSpaceDN/>
        <w:bidi w:val="0"/>
        <w:adjustRightInd w:val="0"/>
        <w:snapToGrid w:val="0"/>
        <w:spacing w:line="44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法人授权代表：                               法人授权代表：</w:t>
      </w:r>
    </w:p>
    <w:p w14:paraId="0D40756A">
      <w:pPr>
        <w:keepNext w:val="0"/>
        <w:keepLines w:val="0"/>
        <w:pageBreakBefore w:val="0"/>
        <w:kinsoku/>
        <w:wordWrap/>
        <w:overflowPunct/>
        <w:topLinePunct w:val="0"/>
        <w:autoSpaceDE/>
        <w:autoSpaceDN/>
        <w:bidi w:val="0"/>
        <w:adjustRightInd w:val="0"/>
        <w:snapToGrid w:val="0"/>
        <w:spacing w:line="44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联系电话：                                   联系电话：</w:t>
      </w:r>
    </w:p>
    <w:p w14:paraId="31127CF1">
      <w:pPr>
        <w:keepNext w:val="0"/>
        <w:keepLines w:val="0"/>
        <w:pageBreakBefore w:val="0"/>
        <w:kinsoku/>
        <w:wordWrap/>
        <w:overflowPunct/>
        <w:topLinePunct w:val="0"/>
        <w:autoSpaceDE/>
        <w:autoSpaceDN/>
        <w:bidi w:val="0"/>
        <w:adjustRightInd w:val="0"/>
        <w:snapToGrid w:val="0"/>
        <w:spacing w:line="44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开户银行：                                   开户银行：</w:t>
      </w:r>
    </w:p>
    <w:p w14:paraId="328A35E5">
      <w:pPr>
        <w:keepNext w:val="0"/>
        <w:keepLines w:val="0"/>
        <w:pageBreakBefore w:val="0"/>
        <w:kinsoku/>
        <w:wordWrap/>
        <w:overflowPunct/>
        <w:topLinePunct w:val="0"/>
        <w:autoSpaceDE/>
        <w:autoSpaceDN/>
        <w:bidi w:val="0"/>
        <w:adjustRightInd w:val="0"/>
        <w:snapToGrid w:val="0"/>
        <w:spacing w:line="44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rPr>
        <w:t>银行账号：                                   银行账号：</w:t>
      </w:r>
    </w:p>
    <w:p w14:paraId="36DAE1B6">
      <w:pPr>
        <w:keepNext w:val="0"/>
        <w:keepLines w:val="0"/>
        <w:pageBreakBefore w:val="0"/>
        <w:kinsoku/>
        <w:wordWrap/>
        <w:overflowPunct/>
        <w:topLinePunct w:val="0"/>
        <w:autoSpaceDE/>
        <w:autoSpaceDN/>
        <w:bidi w:val="0"/>
        <w:adjustRightInd w:val="0"/>
        <w:snapToGrid w:val="0"/>
        <w:spacing w:line="440" w:lineRule="exact"/>
        <w:ind w:firstLine="420" w:firstLineChars="200"/>
        <w:jc w:val="left"/>
        <w:textAlignment w:val="auto"/>
        <w:rPr>
          <w:rFonts w:hint="eastAsia" w:ascii="宋体" w:hAnsi="宋体" w:cs="宋体"/>
          <w:color w:val="auto"/>
          <w:szCs w:val="21"/>
          <w:highlight w:val="none"/>
        </w:rPr>
      </w:pPr>
      <w:r>
        <w:rPr>
          <w:rFonts w:hint="eastAsia" w:ascii="宋体" w:hAnsi="宋体" w:cs="宋体"/>
          <w:color w:val="auto"/>
          <w:szCs w:val="21"/>
          <w:highlight w:val="none"/>
        </w:rPr>
        <w:t xml:space="preserve">签订地点：金华                               签订时间：  年   月 </w:t>
      </w:r>
    </w:p>
    <w:p w14:paraId="40E10ADD">
      <w:pPr>
        <w:keepNext w:val="0"/>
        <w:keepLines w:val="0"/>
        <w:pageBreakBefore w:val="0"/>
        <w:kinsoku/>
        <w:wordWrap/>
        <w:overflowPunct/>
        <w:topLinePunct w:val="0"/>
        <w:autoSpaceDE/>
        <w:autoSpaceDN/>
        <w:bidi w:val="0"/>
        <w:adjustRightInd w:val="0"/>
        <w:snapToGrid w:val="0"/>
        <w:spacing w:line="440" w:lineRule="exact"/>
        <w:ind w:firstLine="422" w:firstLineChars="200"/>
        <w:jc w:val="left"/>
        <w:textAlignment w:val="auto"/>
        <w:rPr>
          <w:rFonts w:ascii="宋体" w:hAnsi="宋体" w:cs="宋体"/>
          <w:b/>
          <w:bCs/>
          <w:color w:val="auto"/>
          <w:szCs w:val="21"/>
          <w:highlight w:val="none"/>
        </w:rPr>
      </w:pPr>
      <w:r>
        <w:rPr>
          <w:rFonts w:hint="eastAsia" w:ascii="宋体" w:hAnsi="宋体" w:cs="宋体"/>
          <w:b/>
          <w:color w:val="auto"/>
          <w:sz w:val="21"/>
          <w:highlight w:val="none"/>
        </w:rPr>
        <w:t>注：此合同样本仅作参考，采购人、供应商可根据采购项目的实际情况进行修改。</w:t>
      </w:r>
      <w:r>
        <w:rPr>
          <w:rFonts w:hint="eastAsia" w:ascii="宋体" w:hAnsi="宋体" w:cs="宋体"/>
          <w:color w:val="auto"/>
          <w:szCs w:val="21"/>
          <w:highlight w:val="none"/>
        </w:rPr>
        <w:t xml:space="preserve">   </w:t>
      </w:r>
    </w:p>
    <w:p w14:paraId="6CD28871">
      <w:pPr>
        <w:bidi w:val="0"/>
        <w:rPr>
          <w:color w:val="auto"/>
          <w:highlight w:val="none"/>
        </w:rPr>
      </w:pPr>
    </w:p>
    <w:p w14:paraId="7935B14F">
      <w:pPr>
        <w:adjustRightInd w:val="0"/>
        <w:snapToGrid w:val="0"/>
        <w:spacing w:line="460" w:lineRule="exact"/>
        <w:ind w:firstLine="420" w:firstLineChars="200"/>
        <w:rPr>
          <w:rFonts w:ascii="宋体" w:hAnsi="宋体" w:cs="宋体"/>
          <w:color w:val="auto"/>
          <w:szCs w:val="21"/>
          <w:highlight w:val="none"/>
        </w:rPr>
      </w:pPr>
    </w:p>
    <w:p w14:paraId="41B082ED">
      <w:pPr>
        <w:pStyle w:val="2"/>
        <w:spacing w:line="360" w:lineRule="auto"/>
        <w:rPr>
          <w:rFonts w:cs="宋体"/>
          <w:color w:val="auto"/>
          <w:sz w:val="21"/>
          <w:szCs w:val="21"/>
          <w:highlight w:val="none"/>
        </w:rPr>
      </w:pPr>
      <w:r>
        <w:rPr>
          <w:rFonts w:hint="eastAsia" w:cs="宋体"/>
          <w:bCs w:val="0"/>
          <w:color w:val="auto"/>
          <w:kern w:val="0"/>
          <w:highlight w:val="none"/>
        </w:rPr>
        <w:br w:type="page"/>
      </w:r>
      <w:r>
        <w:rPr>
          <w:rFonts w:hint="eastAsia" w:cs="宋体"/>
          <w:bCs w:val="0"/>
          <w:color w:val="auto"/>
          <w:kern w:val="0"/>
          <w:highlight w:val="none"/>
        </w:rPr>
        <w:t>第六章　投标文件格式</w:t>
      </w:r>
      <w:bookmarkEnd w:id="24"/>
    </w:p>
    <w:p w14:paraId="54A48001">
      <w:pPr>
        <w:snapToGrid w:val="0"/>
        <w:spacing w:before="120" w:beforeLines="50" w:after="50"/>
        <w:jc w:val="center"/>
        <w:rPr>
          <w:rFonts w:ascii="宋体" w:hAnsi="宋体" w:cs="宋体"/>
          <w:color w:val="auto"/>
          <w:sz w:val="24"/>
          <w:highlight w:val="none"/>
        </w:rPr>
      </w:pPr>
      <w:bookmarkStart w:id="25" w:name="_Toc354841323"/>
      <w:bookmarkStart w:id="26" w:name="_Toc351559947"/>
      <w:r>
        <w:rPr>
          <w:rFonts w:hint="eastAsia" w:ascii="宋体" w:hAnsi="宋体" w:cs="宋体"/>
          <w:color w:val="auto"/>
          <w:sz w:val="24"/>
          <w:highlight w:val="none"/>
        </w:rPr>
        <w:t>一、投标文件外层</w:t>
      </w:r>
      <w:r>
        <w:rPr>
          <w:rFonts w:hint="eastAsia" w:ascii="宋体" w:hAnsi="宋体"/>
          <w:color w:val="auto"/>
          <w:sz w:val="24"/>
          <w:highlight w:val="none"/>
        </w:rPr>
        <w:t>包装封面格式</w:t>
      </w:r>
    </w:p>
    <w:p w14:paraId="57ADE3C7">
      <w:pPr>
        <w:snapToGrid w:val="0"/>
        <w:spacing w:before="120" w:beforeLines="50" w:after="50"/>
        <w:rPr>
          <w:rFonts w:ascii="宋体" w:hAnsi="宋体" w:cs="宋体"/>
          <w:color w:val="auto"/>
          <w:sz w:val="24"/>
          <w:highlight w:val="none"/>
        </w:rPr>
      </w:pPr>
    </w:p>
    <w:p w14:paraId="0BAB8638">
      <w:pPr>
        <w:snapToGrid w:val="0"/>
        <w:spacing w:before="120" w:beforeLines="50" w:after="50"/>
        <w:ind w:firstLine="600" w:firstLineChars="250"/>
        <w:rPr>
          <w:rFonts w:ascii="宋体" w:hAnsi="宋体" w:cs="宋体"/>
          <w:color w:val="auto"/>
          <w:sz w:val="24"/>
          <w:highlight w:val="none"/>
        </w:rPr>
      </w:pPr>
    </w:p>
    <w:p w14:paraId="7DFCA86E">
      <w:pPr>
        <w:snapToGrid w:val="0"/>
        <w:spacing w:before="120" w:beforeLines="50" w:after="50"/>
        <w:rPr>
          <w:rFonts w:ascii="宋体" w:hAnsi="宋体" w:cs="宋体"/>
          <w:color w:val="auto"/>
          <w:szCs w:val="21"/>
          <w:highlight w:val="none"/>
        </w:rPr>
      </w:pPr>
    </w:p>
    <w:p w14:paraId="46CA144C">
      <w:pPr>
        <w:snapToGrid w:val="0"/>
        <w:spacing w:before="120" w:beforeLines="50" w:after="50"/>
        <w:jc w:val="center"/>
        <w:rPr>
          <w:rFonts w:ascii="宋体" w:hAnsi="宋体" w:cs="宋体"/>
          <w:color w:val="auto"/>
          <w:szCs w:val="21"/>
          <w:highlight w:val="none"/>
        </w:rPr>
      </w:pPr>
    </w:p>
    <w:p w14:paraId="28A5A607">
      <w:pPr>
        <w:spacing w:line="480" w:lineRule="auto"/>
        <w:ind w:left="630" w:leftChars="300"/>
        <w:rPr>
          <w:rFonts w:hint="eastAsia" w:ascii="宋体"/>
          <w:color w:val="auto"/>
          <w:sz w:val="24"/>
          <w:highlight w:val="none"/>
        </w:rPr>
      </w:pPr>
      <w:bookmarkStart w:id="27" w:name="_Toc2465_WPSOffice_Level1"/>
      <w:r>
        <w:rPr>
          <w:rFonts w:hint="eastAsia" w:ascii="宋体" w:hAnsi="宋体"/>
          <w:color w:val="auto"/>
          <w:sz w:val="24"/>
          <w:highlight w:val="none"/>
        </w:rPr>
        <w:t>项目名称：</w:t>
      </w:r>
      <w:bookmarkEnd w:id="27"/>
      <w:r>
        <w:rPr>
          <w:rFonts w:hint="eastAsia" w:ascii="宋体"/>
          <w:color w:val="auto"/>
          <w:sz w:val="24"/>
          <w:highlight w:val="none"/>
        </w:rPr>
        <w:t xml:space="preserve"> </w:t>
      </w:r>
    </w:p>
    <w:p w14:paraId="2EDD84E1">
      <w:pPr>
        <w:spacing w:line="480" w:lineRule="auto"/>
        <w:ind w:left="630" w:leftChars="300"/>
        <w:rPr>
          <w:rFonts w:hint="eastAsia" w:ascii="宋体" w:hAnsi="宋体"/>
          <w:color w:val="auto"/>
          <w:sz w:val="24"/>
          <w:highlight w:val="none"/>
        </w:rPr>
      </w:pPr>
      <w:bookmarkStart w:id="28" w:name="_Toc23443_WPSOffice_Level1"/>
      <w:r>
        <w:rPr>
          <w:rFonts w:hint="eastAsia" w:ascii="宋体" w:hAnsi="宋体"/>
          <w:color w:val="auto"/>
          <w:sz w:val="24"/>
          <w:highlight w:val="none"/>
        </w:rPr>
        <w:t>项目编号：</w:t>
      </w:r>
      <w:bookmarkEnd w:id="28"/>
      <w:r>
        <w:rPr>
          <w:rFonts w:hint="eastAsia" w:ascii="宋体" w:hAnsi="宋体"/>
          <w:color w:val="auto"/>
          <w:sz w:val="24"/>
          <w:highlight w:val="none"/>
        </w:rPr>
        <w:t xml:space="preserve"> </w:t>
      </w:r>
    </w:p>
    <w:p w14:paraId="0D61F928">
      <w:pPr>
        <w:spacing w:line="480" w:lineRule="auto"/>
        <w:ind w:left="630" w:leftChars="300"/>
        <w:rPr>
          <w:rFonts w:hint="eastAsia" w:ascii="宋体"/>
          <w:color w:val="auto"/>
          <w:sz w:val="24"/>
          <w:highlight w:val="none"/>
        </w:rPr>
      </w:pPr>
      <w:bookmarkStart w:id="29" w:name="_Toc30015_WPSOffice_Level1"/>
      <w:r>
        <w:rPr>
          <w:rFonts w:hint="eastAsia" w:ascii="宋体" w:hAnsi="宋体"/>
          <w:color w:val="auto"/>
          <w:sz w:val="24"/>
          <w:highlight w:val="none"/>
        </w:rPr>
        <w:t>响应性文件名称：资信技术文件/报价文件</w:t>
      </w:r>
      <w:bookmarkEnd w:id="29"/>
    </w:p>
    <w:p w14:paraId="16907673">
      <w:pPr>
        <w:spacing w:line="480" w:lineRule="auto"/>
        <w:ind w:left="630" w:leftChars="300"/>
        <w:rPr>
          <w:rFonts w:hint="eastAsia" w:ascii="宋体"/>
          <w:color w:val="auto"/>
          <w:sz w:val="24"/>
          <w:highlight w:val="none"/>
        </w:rPr>
      </w:pPr>
      <w:bookmarkStart w:id="30" w:name="_Toc23202_WPSOffice_Level1"/>
      <w:r>
        <w:rPr>
          <w:rFonts w:hint="eastAsia" w:ascii="宋体" w:hAnsi="宋体"/>
          <w:color w:val="auto"/>
          <w:sz w:val="24"/>
          <w:highlight w:val="none"/>
        </w:rPr>
        <w:t>供应商名称：</w:t>
      </w:r>
      <w:bookmarkEnd w:id="30"/>
    </w:p>
    <w:p w14:paraId="6539A11D">
      <w:pPr>
        <w:spacing w:line="480" w:lineRule="auto"/>
        <w:ind w:left="630" w:leftChars="300"/>
        <w:rPr>
          <w:rFonts w:hint="eastAsia" w:ascii="宋体"/>
          <w:color w:val="auto"/>
          <w:sz w:val="24"/>
          <w:highlight w:val="none"/>
        </w:rPr>
      </w:pPr>
      <w:bookmarkStart w:id="31" w:name="_Toc12407_WPSOffice_Level1"/>
      <w:r>
        <w:rPr>
          <w:rFonts w:hint="eastAsia" w:ascii="宋体" w:hAnsi="宋体"/>
          <w:color w:val="auto"/>
          <w:sz w:val="24"/>
          <w:highlight w:val="none"/>
        </w:rPr>
        <w:t>供应商地址：</w:t>
      </w:r>
      <w:bookmarkEnd w:id="31"/>
    </w:p>
    <w:p w14:paraId="190DD936">
      <w:pPr>
        <w:spacing w:line="480" w:lineRule="auto"/>
        <w:ind w:left="630" w:leftChars="300"/>
        <w:rPr>
          <w:rFonts w:hint="eastAsia" w:ascii="宋体"/>
          <w:color w:val="auto"/>
          <w:sz w:val="24"/>
          <w:highlight w:val="none"/>
        </w:rPr>
      </w:pPr>
    </w:p>
    <w:p w14:paraId="4A5C48EB">
      <w:pPr>
        <w:tabs>
          <w:tab w:val="left" w:pos="1100"/>
          <w:tab w:val="left" w:pos="1580"/>
          <w:tab w:val="left" w:pos="2060"/>
          <w:tab w:val="left" w:pos="2540"/>
          <w:tab w:val="left" w:pos="3020"/>
        </w:tabs>
        <w:spacing w:line="480" w:lineRule="auto"/>
        <w:ind w:left="630" w:leftChars="300"/>
        <w:rPr>
          <w:rFonts w:hint="eastAsia" w:ascii="宋体"/>
          <w:color w:val="auto"/>
          <w:sz w:val="24"/>
          <w:highlight w:val="none"/>
        </w:rPr>
      </w:pPr>
      <w:bookmarkStart w:id="32" w:name="_Toc1385_WPSOffice_Level1"/>
      <w:r>
        <w:rPr>
          <w:rFonts w:hint="eastAsia" w:ascii="宋体" w:hAnsi="宋体"/>
          <w:color w:val="auto"/>
          <w:sz w:val="24"/>
          <w:highlight w:val="none"/>
        </w:rPr>
        <w:t xml:space="preserve">在   </w:t>
      </w:r>
      <w:r>
        <w:rPr>
          <w:rFonts w:hint="eastAsia" w:ascii="宋体"/>
          <w:color w:val="auto"/>
          <w:sz w:val="24"/>
          <w:highlight w:val="none"/>
        </w:rPr>
        <w:tab/>
      </w:r>
      <w:r>
        <w:rPr>
          <w:rFonts w:hint="eastAsia" w:ascii="宋体" w:hAnsi="宋体"/>
          <w:color w:val="auto"/>
          <w:sz w:val="24"/>
          <w:highlight w:val="none"/>
        </w:rPr>
        <w:t>年</w:t>
      </w:r>
      <w:r>
        <w:rPr>
          <w:rFonts w:hint="eastAsia" w:ascii="宋体"/>
          <w:color w:val="auto"/>
          <w:sz w:val="24"/>
          <w:highlight w:val="none"/>
        </w:rPr>
        <w:tab/>
      </w:r>
      <w:r>
        <w:rPr>
          <w:rFonts w:hint="eastAsia" w:ascii="宋体"/>
          <w:color w:val="auto"/>
          <w:sz w:val="24"/>
          <w:highlight w:val="none"/>
        </w:rPr>
        <w:t xml:space="preserve"> </w:t>
      </w:r>
      <w:r>
        <w:rPr>
          <w:rFonts w:hint="eastAsia" w:ascii="宋体" w:hAnsi="宋体"/>
          <w:color w:val="auto"/>
          <w:sz w:val="24"/>
          <w:highlight w:val="none"/>
        </w:rPr>
        <w:t>月</w:t>
      </w:r>
      <w:r>
        <w:rPr>
          <w:rFonts w:hint="eastAsia" w:ascii="宋体"/>
          <w:color w:val="auto"/>
          <w:sz w:val="24"/>
          <w:highlight w:val="none"/>
        </w:rPr>
        <w:tab/>
      </w:r>
      <w:r>
        <w:rPr>
          <w:rFonts w:hint="eastAsia" w:ascii="宋体"/>
          <w:color w:val="auto"/>
          <w:sz w:val="24"/>
          <w:highlight w:val="none"/>
        </w:rPr>
        <w:t xml:space="preserve">  </w:t>
      </w:r>
      <w:r>
        <w:rPr>
          <w:rFonts w:hint="eastAsia" w:ascii="宋体" w:hAnsi="宋体"/>
          <w:color w:val="auto"/>
          <w:sz w:val="24"/>
          <w:highlight w:val="none"/>
        </w:rPr>
        <w:t>日</w:t>
      </w:r>
      <w:r>
        <w:rPr>
          <w:rFonts w:hint="eastAsia" w:ascii="宋体"/>
          <w:color w:val="auto"/>
          <w:sz w:val="24"/>
          <w:highlight w:val="none"/>
        </w:rPr>
        <w:tab/>
      </w:r>
      <w:r>
        <w:rPr>
          <w:rFonts w:hint="eastAsia" w:ascii="宋体" w:hAnsi="宋体"/>
          <w:color w:val="auto"/>
          <w:sz w:val="24"/>
          <w:highlight w:val="none"/>
        </w:rPr>
        <w:t>时</w:t>
      </w:r>
      <w:r>
        <w:rPr>
          <w:rFonts w:hint="eastAsia" w:ascii="宋体"/>
          <w:color w:val="auto"/>
          <w:sz w:val="24"/>
          <w:highlight w:val="none"/>
        </w:rPr>
        <w:tab/>
      </w:r>
      <w:r>
        <w:rPr>
          <w:rFonts w:hint="eastAsia" w:ascii="宋体" w:hAnsi="宋体"/>
          <w:color w:val="auto"/>
          <w:sz w:val="24"/>
          <w:highlight w:val="none"/>
        </w:rPr>
        <w:t>分之前不得启封</w:t>
      </w:r>
      <w:bookmarkEnd w:id="32"/>
    </w:p>
    <w:p w14:paraId="28737E7C">
      <w:pPr>
        <w:spacing w:line="480" w:lineRule="auto"/>
        <w:ind w:left="630" w:leftChars="300"/>
        <w:rPr>
          <w:rFonts w:hint="eastAsia" w:ascii="宋体"/>
          <w:color w:val="auto"/>
          <w:sz w:val="24"/>
          <w:highlight w:val="none"/>
        </w:rPr>
      </w:pPr>
    </w:p>
    <w:p w14:paraId="10232466">
      <w:pPr>
        <w:spacing w:line="480" w:lineRule="auto"/>
        <w:ind w:left="630" w:leftChars="300"/>
        <w:rPr>
          <w:rFonts w:hint="eastAsia" w:ascii="宋体"/>
          <w:color w:val="auto"/>
          <w:sz w:val="24"/>
          <w:highlight w:val="none"/>
        </w:rPr>
      </w:pPr>
    </w:p>
    <w:p w14:paraId="6E46AA44">
      <w:pPr>
        <w:spacing w:line="200" w:lineRule="exact"/>
        <w:ind w:left="630" w:leftChars="300"/>
        <w:rPr>
          <w:rFonts w:hint="eastAsia" w:ascii="宋体"/>
          <w:color w:val="auto"/>
          <w:sz w:val="24"/>
          <w:highlight w:val="none"/>
        </w:rPr>
      </w:pPr>
    </w:p>
    <w:p w14:paraId="2D17360E">
      <w:pPr>
        <w:tabs>
          <w:tab w:val="left" w:pos="6525"/>
          <w:tab w:val="left" w:pos="7720"/>
        </w:tabs>
        <w:ind w:left="630" w:leftChars="300" w:firstLine="4560" w:firstLineChars="1900"/>
        <w:rPr>
          <w:rFonts w:hint="eastAsia" w:ascii="宋体"/>
          <w:color w:val="auto"/>
          <w:sz w:val="24"/>
          <w:highlight w:val="none"/>
        </w:rPr>
      </w:pPr>
      <w:bookmarkStart w:id="33" w:name="_Toc2541_WPSOffice_Level1"/>
      <w:r>
        <w:rPr>
          <w:rFonts w:hint="eastAsia" w:ascii="宋体" w:hAnsi="宋体"/>
          <w:color w:val="auto"/>
          <w:sz w:val="24"/>
          <w:highlight w:val="none"/>
        </w:rPr>
        <w:t>年</w:t>
      </w:r>
      <w:r>
        <w:rPr>
          <w:rFonts w:hint="eastAsia" w:ascii="宋体"/>
          <w:color w:val="auto"/>
          <w:sz w:val="24"/>
          <w:highlight w:val="none"/>
        </w:rPr>
        <w:t xml:space="preserve">       </w:t>
      </w:r>
      <w:r>
        <w:rPr>
          <w:rFonts w:hint="eastAsia" w:ascii="宋体" w:hAnsi="宋体"/>
          <w:color w:val="auto"/>
          <w:sz w:val="24"/>
          <w:highlight w:val="none"/>
        </w:rPr>
        <w:t>月      日</w:t>
      </w:r>
      <w:bookmarkEnd w:id="33"/>
    </w:p>
    <w:p w14:paraId="405C92F7">
      <w:pPr>
        <w:shd w:val="clear" w:color="auto" w:fill="FFFFFF"/>
        <w:snapToGrid w:val="0"/>
        <w:spacing w:after="50"/>
        <w:rPr>
          <w:rFonts w:hint="eastAsia" w:hAnsi="宋体"/>
          <w:b/>
          <w:bCs/>
          <w:color w:val="auto"/>
          <w:sz w:val="24"/>
          <w:highlight w:val="none"/>
        </w:rPr>
      </w:pPr>
      <w:r>
        <w:rPr>
          <w:rFonts w:hint="eastAsia" w:ascii="宋体" w:hAnsi="宋体" w:cs="宋体"/>
          <w:color w:val="auto"/>
          <w:sz w:val="30"/>
          <w:szCs w:val="30"/>
          <w:highlight w:val="none"/>
        </w:rPr>
        <w:br w:type="page"/>
      </w:r>
      <w:bookmarkEnd w:id="25"/>
      <w:bookmarkEnd w:id="26"/>
      <w:bookmarkStart w:id="34" w:name="_Toc15005_WPSOffice_Level1"/>
      <w:r>
        <w:rPr>
          <w:rFonts w:hint="eastAsia" w:hAnsi="宋体"/>
          <w:b/>
          <w:bCs/>
          <w:color w:val="auto"/>
          <w:sz w:val="24"/>
          <w:highlight w:val="none"/>
        </w:rPr>
        <w:t>1.资信技术文件外包装封面格式：</w:t>
      </w:r>
      <w:bookmarkEnd w:id="34"/>
    </w:p>
    <w:p w14:paraId="29BF1D15">
      <w:pPr>
        <w:shd w:val="clear" w:color="auto" w:fill="FFFFFF"/>
        <w:snapToGrid w:val="0"/>
        <w:spacing w:after="50"/>
        <w:jc w:val="right"/>
        <w:rPr>
          <w:rFonts w:hint="eastAsia" w:hAnsi="宋体"/>
          <w:b/>
          <w:bCs/>
          <w:color w:val="auto"/>
          <w:sz w:val="24"/>
          <w:highlight w:val="none"/>
        </w:rPr>
      </w:pPr>
    </w:p>
    <w:p w14:paraId="504B108F">
      <w:pPr>
        <w:shd w:val="clear" w:color="auto" w:fill="FFFFFF"/>
        <w:snapToGrid w:val="0"/>
        <w:spacing w:after="50"/>
        <w:jc w:val="right"/>
        <w:rPr>
          <w:rFonts w:hint="eastAsia" w:hAnsi="宋体"/>
          <w:b/>
          <w:bCs/>
          <w:color w:val="auto"/>
          <w:sz w:val="24"/>
          <w:highlight w:val="none"/>
        </w:rPr>
      </w:pPr>
    </w:p>
    <w:p w14:paraId="434B4CB7">
      <w:pPr>
        <w:shd w:val="clear" w:color="auto" w:fill="FFFFFF"/>
        <w:snapToGrid w:val="0"/>
        <w:spacing w:after="50"/>
        <w:jc w:val="right"/>
        <w:rPr>
          <w:rFonts w:hAnsi="宋体"/>
          <w:b/>
          <w:bCs/>
          <w:color w:val="auto"/>
          <w:sz w:val="24"/>
          <w:highlight w:val="none"/>
        </w:rPr>
      </w:pPr>
      <w:bookmarkStart w:id="35" w:name="_Toc10399_WPSOffice_Level1"/>
      <w:bookmarkStart w:id="36" w:name="_Toc32104_WPSOffice_Level1"/>
      <w:bookmarkStart w:id="37" w:name="_Toc25029_WPSOffice_Level1"/>
      <w:bookmarkStart w:id="38" w:name="_Toc29435_WPSOffice_Level1"/>
      <w:bookmarkStart w:id="39" w:name="_Toc13959_WPSOffice_Level1"/>
      <w:r>
        <w:rPr>
          <w:rFonts w:hint="eastAsia" w:hAnsi="宋体"/>
          <w:b/>
          <w:bCs/>
          <w:color w:val="auto"/>
          <w:sz w:val="24"/>
          <w:highlight w:val="none"/>
        </w:rPr>
        <w:t>正本/或副本</w:t>
      </w:r>
      <w:bookmarkEnd w:id="35"/>
      <w:bookmarkEnd w:id="36"/>
      <w:bookmarkEnd w:id="37"/>
      <w:bookmarkEnd w:id="38"/>
      <w:bookmarkEnd w:id="39"/>
    </w:p>
    <w:p w14:paraId="6031CE2D">
      <w:pPr>
        <w:spacing w:line="180" w:lineRule="exact"/>
        <w:ind w:left="630" w:leftChars="300"/>
        <w:rPr>
          <w:rFonts w:hint="eastAsia"/>
          <w:color w:val="auto"/>
          <w:sz w:val="24"/>
          <w:highlight w:val="none"/>
        </w:rPr>
      </w:pPr>
    </w:p>
    <w:p w14:paraId="3F236B43">
      <w:pPr>
        <w:spacing w:line="200" w:lineRule="exact"/>
        <w:rPr>
          <w:rFonts w:hint="eastAsia"/>
          <w:color w:val="auto"/>
          <w:sz w:val="20"/>
          <w:highlight w:val="none"/>
        </w:rPr>
      </w:pPr>
    </w:p>
    <w:p w14:paraId="6567625D">
      <w:pPr>
        <w:spacing w:line="440" w:lineRule="exact"/>
        <w:rPr>
          <w:rFonts w:hint="eastAsia" w:eastAsia="黑体"/>
          <w:color w:val="auto"/>
          <w:sz w:val="36"/>
          <w:szCs w:val="36"/>
          <w:highlight w:val="none"/>
        </w:rPr>
      </w:pPr>
    </w:p>
    <w:p w14:paraId="152DE9F2">
      <w:pPr>
        <w:jc w:val="center"/>
        <w:rPr>
          <w:rFonts w:eastAsia="黑体"/>
          <w:color w:val="auto"/>
          <w:sz w:val="36"/>
          <w:szCs w:val="36"/>
          <w:highlight w:val="none"/>
        </w:rPr>
      </w:pPr>
      <w:r>
        <w:rPr>
          <w:rFonts w:eastAsia="黑体"/>
          <w:color w:val="auto"/>
          <w:sz w:val="36"/>
          <w:szCs w:val="36"/>
          <w:highlight w:val="none"/>
          <w:u w:val="single"/>
        </w:rPr>
        <w:t xml:space="preserve">                 </w:t>
      </w:r>
      <w:bookmarkStart w:id="40" w:name="_Toc14564_WPSOffice_Level2"/>
      <w:bookmarkStart w:id="41" w:name="_Toc12356_WPSOffice_Level2"/>
      <w:bookmarkStart w:id="42" w:name="_Toc1628_WPSOffice_Level2"/>
      <w:bookmarkStart w:id="43" w:name="_Toc9294_WPSOffice_Level2"/>
      <w:r>
        <w:rPr>
          <w:rFonts w:hint="eastAsia" w:eastAsia="黑体" w:cs="黑体"/>
          <w:color w:val="auto"/>
          <w:sz w:val="36"/>
          <w:szCs w:val="36"/>
          <w:highlight w:val="none"/>
        </w:rPr>
        <w:t>（项目名称）项目</w:t>
      </w:r>
      <w:bookmarkEnd w:id="40"/>
      <w:bookmarkEnd w:id="41"/>
      <w:bookmarkEnd w:id="42"/>
      <w:bookmarkEnd w:id="43"/>
    </w:p>
    <w:p w14:paraId="4EEFE004">
      <w:pPr>
        <w:spacing w:line="480" w:lineRule="auto"/>
        <w:ind w:left="630" w:leftChars="300"/>
        <w:rPr>
          <w:color w:val="auto"/>
          <w:sz w:val="24"/>
          <w:highlight w:val="none"/>
        </w:rPr>
      </w:pPr>
    </w:p>
    <w:p w14:paraId="46D30EF2">
      <w:pPr>
        <w:spacing w:line="480" w:lineRule="auto"/>
        <w:ind w:left="630" w:leftChars="300"/>
        <w:rPr>
          <w:color w:val="auto"/>
          <w:sz w:val="24"/>
          <w:highlight w:val="none"/>
        </w:rPr>
      </w:pPr>
    </w:p>
    <w:p w14:paraId="1C9D93BB">
      <w:pPr>
        <w:spacing w:line="480" w:lineRule="auto"/>
        <w:ind w:left="630" w:leftChars="300"/>
        <w:rPr>
          <w:color w:val="auto"/>
          <w:sz w:val="24"/>
          <w:highlight w:val="none"/>
        </w:rPr>
      </w:pPr>
    </w:p>
    <w:p w14:paraId="768917A1">
      <w:pPr>
        <w:spacing w:line="480" w:lineRule="auto"/>
        <w:ind w:left="630" w:leftChars="300"/>
        <w:rPr>
          <w:color w:val="auto"/>
          <w:sz w:val="24"/>
          <w:highlight w:val="none"/>
        </w:rPr>
      </w:pPr>
    </w:p>
    <w:p w14:paraId="4F23D861">
      <w:pPr>
        <w:jc w:val="center"/>
        <w:rPr>
          <w:rFonts w:eastAsia="黑体"/>
          <w:color w:val="auto"/>
          <w:sz w:val="72"/>
          <w:szCs w:val="72"/>
          <w:highlight w:val="none"/>
        </w:rPr>
      </w:pPr>
      <w:r>
        <w:rPr>
          <w:rFonts w:hint="eastAsia" w:eastAsia="黑体" w:cs="黑体"/>
          <w:color w:val="auto"/>
          <w:sz w:val="72"/>
          <w:szCs w:val="72"/>
          <w:highlight w:val="none"/>
        </w:rPr>
        <w:t>投</w:t>
      </w:r>
      <w:r>
        <w:rPr>
          <w:rFonts w:eastAsia="黑体"/>
          <w:color w:val="auto"/>
          <w:sz w:val="72"/>
          <w:szCs w:val="72"/>
          <w:highlight w:val="none"/>
        </w:rPr>
        <w:t xml:space="preserve"> </w:t>
      </w:r>
      <w:r>
        <w:rPr>
          <w:rFonts w:hint="eastAsia" w:eastAsia="黑体" w:cs="黑体"/>
          <w:color w:val="auto"/>
          <w:sz w:val="72"/>
          <w:szCs w:val="72"/>
          <w:highlight w:val="none"/>
        </w:rPr>
        <w:t>标</w:t>
      </w:r>
      <w:r>
        <w:rPr>
          <w:rFonts w:eastAsia="黑体"/>
          <w:color w:val="auto"/>
          <w:sz w:val="72"/>
          <w:szCs w:val="72"/>
          <w:highlight w:val="none"/>
        </w:rPr>
        <w:t xml:space="preserve"> </w:t>
      </w:r>
      <w:r>
        <w:rPr>
          <w:rFonts w:hint="eastAsia" w:eastAsia="黑体" w:cs="黑体"/>
          <w:color w:val="auto"/>
          <w:sz w:val="72"/>
          <w:szCs w:val="72"/>
          <w:highlight w:val="none"/>
        </w:rPr>
        <w:t>文</w:t>
      </w:r>
      <w:r>
        <w:rPr>
          <w:rFonts w:eastAsia="黑体"/>
          <w:color w:val="auto"/>
          <w:sz w:val="72"/>
          <w:szCs w:val="72"/>
          <w:highlight w:val="none"/>
        </w:rPr>
        <w:t xml:space="preserve"> </w:t>
      </w:r>
      <w:r>
        <w:rPr>
          <w:rFonts w:hint="eastAsia" w:eastAsia="黑体" w:cs="黑体"/>
          <w:color w:val="auto"/>
          <w:sz w:val="72"/>
          <w:szCs w:val="72"/>
          <w:highlight w:val="none"/>
        </w:rPr>
        <w:t>件</w:t>
      </w:r>
    </w:p>
    <w:p w14:paraId="45192DD3">
      <w:pPr>
        <w:rPr>
          <w:rFonts w:eastAsia="黑体"/>
          <w:color w:val="auto"/>
          <w:sz w:val="28"/>
          <w:szCs w:val="28"/>
          <w:highlight w:val="none"/>
        </w:rPr>
      </w:pPr>
    </w:p>
    <w:p w14:paraId="543229F7">
      <w:pPr>
        <w:keepNext/>
        <w:keepLines/>
        <w:spacing w:before="100" w:line="400" w:lineRule="exact"/>
        <w:jc w:val="center"/>
        <w:outlineLvl w:val="1"/>
        <w:rPr>
          <w:rFonts w:hint="eastAsia" w:eastAsia="黑体"/>
          <w:color w:val="auto"/>
          <w:sz w:val="52"/>
          <w:szCs w:val="52"/>
          <w:highlight w:val="none"/>
        </w:rPr>
      </w:pPr>
      <w:r>
        <w:rPr>
          <w:rFonts w:hint="eastAsia" w:eastAsia="黑体" w:cs="黑体"/>
          <w:color w:val="auto"/>
          <w:sz w:val="52"/>
          <w:szCs w:val="52"/>
          <w:highlight w:val="none"/>
        </w:rPr>
        <w:t>资信技术文件</w:t>
      </w:r>
    </w:p>
    <w:p w14:paraId="319E8540">
      <w:pPr>
        <w:spacing w:line="480" w:lineRule="auto"/>
        <w:ind w:left="630" w:leftChars="300"/>
        <w:rPr>
          <w:color w:val="auto"/>
          <w:sz w:val="24"/>
          <w:highlight w:val="none"/>
        </w:rPr>
      </w:pPr>
    </w:p>
    <w:p w14:paraId="2F161896">
      <w:pPr>
        <w:spacing w:line="480" w:lineRule="auto"/>
        <w:ind w:left="630" w:leftChars="300"/>
        <w:rPr>
          <w:color w:val="auto"/>
          <w:sz w:val="24"/>
          <w:highlight w:val="none"/>
        </w:rPr>
      </w:pPr>
    </w:p>
    <w:p w14:paraId="444D08A4">
      <w:pPr>
        <w:spacing w:line="480" w:lineRule="auto"/>
        <w:ind w:left="630" w:leftChars="300"/>
        <w:rPr>
          <w:color w:val="auto"/>
          <w:sz w:val="24"/>
          <w:highlight w:val="none"/>
        </w:rPr>
      </w:pPr>
    </w:p>
    <w:p w14:paraId="37C1C2E0">
      <w:pPr>
        <w:spacing w:line="480" w:lineRule="auto"/>
        <w:ind w:left="630" w:leftChars="300"/>
        <w:rPr>
          <w:color w:val="auto"/>
          <w:sz w:val="24"/>
          <w:highlight w:val="none"/>
        </w:rPr>
      </w:pPr>
    </w:p>
    <w:p w14:paraId="7837D8B4">
      <w:pPr>
        <w:spacing w:line="480" w:lineRule="auto"/>
        <w:ind w:left="630" w:leftChars="300"/>
        <w:rPr>
          <w:color w:val="auto"/>
          <w:sz w:val="24"/>
          <w:highlight w:val="none"/>
        </w:rPr>
      </w:pPr>
    </w:p>
    <w:p w14:paraId="36508FE9">
      <w:pPr>
        <w:spacing w:line="480" w:lineRule="auto"/>
        <w:rPr>
          <w:color w:val="auto"/>
          <w:sz w:val="24"/>
          <w:highlight w:val="none"/>
        </w:rPr>
      </w:pPr>
    </w:p>
    <w:p w14:paraId="145B3976">
      <w:pPr>
        <w:spacing w:line="480" w:lineRule="auto"/>
        <w:ind w:left="630" w:leftChars="300"/>
        <w:rPr>
          <w:color w:val="auto"/>
          <w:sz w:val="24"/>
          <w:highlight w:val="none"/>
        </w:rPr>
      </w:pPr>
    </w:p>
    <w:p w14:paraId="49C6DC42">
      <w:pPr>
        <w:spacing w:line="480" w:lineRule="auto"/>
        <w:ind w:left="630" w:leftChars="300"/>
        <w:rPr>
          <w:color w:val="auto"/>
          <w:sz w:val="24"/>
          <w:highlight w:val="none"/>
        </w:rPr>
      </w:pPr>
    </w:p>
    <w:p w14:paraId="2015F293">
      <w:pPr>
        <w:spacing w:line="480" w:lineRule="auto"/>
        <w:jc w:val="center"/>
        <w:rPr>
          <w:rFonts w:eastAsia="黑体"/>
          <w:color w:val="auto"/>
          <w:sz w:val="28"/>
          <w:szCs w:val="28"/>
          <w:highlight w:val="none"/>
          <w:u w:val="single"/>
        </w:rPr>
      </w:pPr>
      <w:r>
        <w:rPr>
          <w:rFonts w:hint="eastAsia" w:eastAsia="黑体" w:cs="黑体"/>
          <w:color w:val="auto"/>
          <w:sz w:val="28"/>
          <w:szCs w:val="28"/>
          <w:highlight w:val="none"/>
        </w:rPr>
        <w:t>投标人：</w:t>
      </w:r>
      <w:r>
        <w:rPr>
          <w:rFonts w:eastAsia="黑体"/>
          <w:color w:val="auto"/>
          <w:sz w:val="28"/>
          <w:szCs w:val="28"/>
          <w:highlight w:val="none"/>
          <w:u w:val="single"/>
        </w:rPr>
        <w:t xml:space="preserve">                              </w:t>
      </w:r>
      <w:r>
        <w:rPr>
          <w:rFonts w:hint="eastAsia" w:eastAsia="黑体" w:cs="黑体"/>
          <w:color w:val="auto"/>
          <w:sz w:val="28"/>
          <w:szCs w:val="28"/>
          <w:highlight w:val="none"/>
        </w:rPr>
        <w:t>（盖单位章）</w:t>
      </w:r>
    </w:p>
    <w:p w14:paraId="41739ABC">
      <w:pPr>
        <w:spacing w:line="480" w:lineRule="auto"/>
        <w:jc w:val="center"/>
        <w:rPr>
          <w:rFonts w:eastAsia="黑体"/>
          <w:color w:val="auto"/>
          <w:sz w:val="28"/>
          <w:szCs w:val="28"/>
          <w:highlight w:val="none"/>
        </w:rPr>
      </w:pPr>
      <w:r>
        <w:rPr>
          <w:rFonts w:eastAsia="黑体"/>
          <w:color w:val="auto"/>
          <w:sz w:val="28"/>
          <w:szCs w:val="28"/>
          <w:highlight w:val="none"/>
          <w:u w:val="single"/>
        </w:rPr>
        <w:t xml:space="preserve">        </w:t>
      </w:r>
      <w:r>
        <w:rPr>
          <w:rFonts w:hint="eastAsia" w:eastAsia="黑体" w:cs="黑体"/>
          <w:color w:val="auto"/>
          <w:sz w:val="28"/>
          <w:szCs w:val="28"/>
          <w:highlight w:val="none"/>
        </w:rPr>
        <w:t>年</w:t>
      </w:r>
      <w:r>
        <w:rPr>
          <w:rFonts w:eastAsia="黑体"/>
          <w:color w:val="auto"/>
          <w:sz w:val="28"/>
          <w:szCs w:val="28"/>
          <w:highlight w:val="none"/>
          <w:u w:val="single"/>
        </w:rPr>
        <w:t xml:space="preserve">        </w:t>
      </w:r>
      <w:r>
        <w:rPr>
          <w:rFonts w:hint="eastAsia" w:eastAsia="黑体" w:cs="黑体"/>
          <w:color w:val="auto"/>
          <w:sz w:val="28"/>
          <w:szCs w:val="28"/>
          <w:highlight w:val="none"/>
        </w:rPr>
        <w:t>月</w:t>
      </w:r>
      <w:r>
        <w:rPr>
          <w:rFonts w:eastAsia="黑体"/>
          <w:color w:val="auto"/>
          <w:sz w:val="28"/>
          <w:szCs w:val="28"/>
          <w:highlight w:val="none"/>
          <w:u w:val="single"/>
        </w:rPr>
        <w:t xml:space="preserve">        </w:t>
      </w:r>
      <w:r>
        <w:rPr>
          <w:rFonts w:hint="eastAsia" w:eastAsia="黑体" w:cs="黑体"/>
          <w:color w:val="auto"/>
          <w:sz w:val="28"/>
          <w:szCs w:val="28"/>
          <w:highlight w:val="none"/>
        </w:rPr>
        <w:t>日</w:t>
      </w:r>
    </w:p>
    <w:p w14:paraId="1B4E7D52">
      <w:pPr>
        <w:snapToGrid w:val="0"/>
        <w:spacing w:line="480" w:lineRule="exact"/>
        <w:jc w:val="center"/>
        <w:rPr>
          <w:rFonts w:hint="eastAsia" w:hAnsi="宋体"/>
          <w:b/>
          <w:snapToGrid w:val="0"/>
          <w:color w:val="auto"/>
          <w:spacing w:val="8"/>
          <w:sz w:val="30"/>
          <w:szCs w:val="30"/>
          <w:highlight w:val="none"/>
        </w:rPr>
      </w:pPr>
    </w:p>
    <w:p w14:paraId="5AE7A3C8">
      <w:pPr>
        <w:pStyle w:val="45"/>
        <w:ind w:firstLine="634"/>
        <w:rPr>
          <w:rFonts w:hint="eastAsia" w:hAnsi="宋体"/>
          <w:b/>
          <w:snapToGrid w:val="0"/>
          <w:color w:val="auto"/>
          <w:spacing w:val="8"/>
          <w:sz w:val="30"/>
          <w:szCs w:val="30"/>
          <w:highlight w:val="none"/>
        </w:rPr>
      </w:pPr>
    </w:p>
    <w:p w14:paraId="1B1ED6D1">
      <w:pPr>
        <w:pStyle w:val="45"/>
        <w:ind w:firstLine="634"/>
        <w:rPr>
          <w:rFonts w:hint="eastAsia" w:hAnsi="宋体"/>
          <w:b/>
          <w:snapToGrid w:val="0"/>
          <w:color w:val="auto"/>
          <w:spacing w:val="8"/>
          <w:sz w:val="30"/>
          <w:szCs w:val="30"/>
          <w:highlight w:val="none"/>
        </w:rPr>
      </w:pPr>
    </w:p>
    <w:p w14:paraId="0DFF2ABF">
      <w:pPr>
        <w:snapToGrid w:val="0"/>
        <w:spacing w:line="480" w:lineRule="exact"/>
        <w:jc w:val="center"/>
        <w:rPr>
          <w:rFonts w:hint="eastAsia" w:hAnsi="宋体"/>
          <w:b/>
          <w:bCs/>
          <w:color w:val="auto"/>
          <w:sz w:val="32"/>
          <w:szCs w:val="32"/>
          <w:highlight w:val="none"/>
        </w:rPr>
      </w:pPr>
      <w:r>
        <w:rPr>
          <w:rFonts w:hint="eastAsia" w:hAnsi="宋体"/>
          <w:b/>
          <w:bCs/>
          <w:color w:val="auto"/>
          <w:sz w:val="32"/>
          <w:szCs w:val="32"/>
          <w:highlight w:val="none"/>
        </w:rPr>
        <w:t>目录</w:t>
      </w:r>
    </w:p>
    <w:p w14:paraId="1258C78B">
      <w:pPr>
        <w:pStyle w:val="45"/>
        <w:numPr>
          <w:ilvl w:val="0"/>
          <w:numId w:val="4"/>
        </w:numPr>
        <w:ind w:left="0" w:leftChars="0" w:firstLine="0" w:firstLineChars="0"/>
        <w:rPr>
          <w:rFonts w:hint="eastAsia" w:ascii="宋体" w:hAnsi="宋体"/>
          <w:b/>
          <w:bCs/>
          <w:color w:val="auto"/>
          <w:sz w:val="21"/>
          <w:szCs w:val="21"/>
          <w:highlight w:val="none"/>
        </w:rPr>
      </w:pPr>
      <w:r>
        <w:rPr>
          <w:rFonts w:hint="eastAsia" w:ascii="宋体" w:hAnsi="宋体"/>
          <w:b/>
          <w:bCs/>
          <w:color w:val="auto"/>
          <w:sz w:val="21"/>
          <w:szCs w:val="21"/>
          <w:highlight w:val="none"/>
        </w:rPr>
        <w:t>资信技术文件部分</w:t>
      </w:r>
    </w:p>
    <w:p w14:paraId="23180AE0">
      <w:pPr>
        <w:spacing w:line="460" w:lineRule="exact"/>
        <w:ind w:firstLine="420" w:firstLineChars="200"/>
        <w:rPr>
          <w:rFonts w:hint="eastAsia"/>
          <w:color w:val="auto"/>
          <w:highlight w:val="none"/>
        </w:rPr>
      </w:pPr>
      <w:r>
        <w:rPr>
          <w:rFonts w:hint="eastAsia" w:ascii="宋体" w:hAnsi="宋体" w:cs="宋体"/>
          <w:color w:val="auto"/>
          <w:szCs w:val="21"/>
          <w:highlight w:val="none"/>
        </w:rPr>
        <w:t>（</w:t>
      </w:r>
      <w:r>
        <w:rPr>
          <w:rFonts w:hint="eastAsia" w:ascii="宋体" w:hAnsi="宋体" w:cs="宋体"/>
          <w:color w:val="auto"/>
          <w:szCs w:val="21"/>
          <w:highlight w:val="none"/>
          <w:lang w:val="en-US" w:eastAsia="zh-CN"/>
        </w:rPr>
        <w:t>1</w:t>
      </w:r>
      <w:r>
        <w:rPr>
          <w:rFonts w:hint="eastAsia" w:ascii="宋体" w:hAnsi="宋体" w:cs="宋体"/>
          <w:color w:val="auto"/>
          <w:szCs w:val="21"/>
          <w:highlight w:val="none"/>
        </w:rPr>
        <w:t>）投标人评分索引表。</w:t>
      </w:r>
    </w:p>
    <w:p w14:paraId="2D5353C4">
      <w:pPr>
        <w:spacing w:line="46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w:t>
      </w:r>
      <w:r>
        <w:rPr>
          <w:rFonts w:hint="eastAsia" w:ascii="宋体" w:hAnsi="宋体" w:cs="宋体"/>
          <w:color w:val="auto"/>
          <w:szCs w:val="21"/>
          <w:highlight w:val="none"/>
          <w:lang w:val="en-US" w:eastAsia="zh-CN"/>
        </w:rPr>
        <w:t>2</w:t>
      </w:r>
      <w:r>
        <w:rPr>
          <w:rFonts w:hint="eastAsia" w:ascii="宋体" w:hAnsi="宋体" w:cs="宋体"/>
          <w:color w:val="auto"/>
          <w:szCs w:val="21"/>
          <w:highlight w:val="none"/>
        </w:rPr>
        <w:t>）投标声明书；</w:t>
      </w:r>
    </w:p>
    <w:p w14:paraId="4CCE9D8B">
      <w:pPr>
        <w:spacing w:line="46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w:t>
      </w:r>
      <w:r>
        <w:rPr>
          <w:rFonts w:hint="eastAsia" w:ascii="宋体" w:hAnsi="宋体" w:cs="宋体"/>
          <w:color w:val="auto"/>
          <w:szCs w:val="21"/>
          <w:highlight w:val="none"/>
          <w:lang w:val="en-US" w:eastAsia="zh-CN"/>
        </w:rPr>
        <w:t>3</w:t>
      </w:r>
      <w:r>
        <w:rPr>
          <w:rFonts w:hint="eastAsia" w:ascii="宋体" w:hAnsi="宋体" w:cs="宋体"/>
          <w:color w:val="auto"/>
          <w:szCs w:val="21"/>
          <w:highlight w:val="none"/>
        </w:rPr>
        <w:t>）资格、证明文件（须提供复印件并加盖单位公章）；</w:t>
      </w:r>
    </w:p>
    <w:p w14:paraId="56A7F0BD">
      <w:pPr>
        <w:spacing w:line="46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①有效期内的法人证书或营业执照复印件；</w:t>
      </w:r>
    </w:p>
    <w:p w14:paraId="5EFEDDD3">
      <w:pPr>
        <w:spacing w:line="460" w:lineRule="exact"/>
        <w:ind w:firstLine="420" w:firstLineChars="200"/>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rPr>
        <w:t>②</w:t>
      </w:r>
      <w:r>
        <w:rPr>
          <w:rFonts w:hint="eastAsia" w:ascii="宋体" w:hAnsi="宋体" w:cs="宋体"/>
          <w:color w:val="auto"/>
          <w:szCs w:val="21"/>
          <w:highlight w:val="none"/>
          <w:lang w:val="en-US" w:eastAsia="zh-CN"/>
        </w:rPr>
        <w:t>资质证书复印件；</w:t>
      </w:r>
    </w:p>
    <w:p w14:paraId="4DD3F610">
      <w:pPr>
        <w:spacing w:line="46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③法定代表人身份证复印件、投标人授权委托书及其代表身份证；</w:t>
      </w:r>
    </w:p>
    <w:p w14:paraId="1CFE8A61">
      <w:pPr>
        <w:spacing w:line="460" w:lineRule="exact"/>
        <w:ind w:firstLine="420" w:firstLineChars="200"/>
        <w:rPr>
          <w:rFonts w:hint="eastAsia" w:ascii="宋体" w:hAnsi="宋体" w:cs="宋体"/>
          <w:color w:val="auto"/>
          <w:szCs w:val="21"/>
          <w:highlight w:val="none"/>
        </w:rPr>
      </w:pPr>
      <w:r>
        <w:rPr>
          <w:rFonts w:hint="eastAsia" w:ascii="宋体" w:hAnsi="宋体" w:eastAsia="宋体" w:cs="宋体"/>
          <w:color w:val="auto"/>
          <w:szCs w:val="21"/>
          <w:highlight w:val="none"/>
        </w:rPr>
        <w:t>④</w:t>
      </w:r>
      <w:r>
        <w:rPr>
          <w:rFonts w:hint="eastAsia" w:ascii="宋体" w:hAnsi="宋体" w:cs="宋体"/>
          <w:color w:val="auto"/>
          <w:szCs w:val="21"/>
          <w:highlight w:val="none"/>
        </w:rPr>
        <w:t>投标人单位情况表；</w:t>
      </w:r>
    </w:p>
    <w:p w14:paraId="46D0BE65">
      <w:pPr>
        <w:spacing w:line="46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4</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中小企业声明函；</w:t>
      </w:r>
    </w:p>
    <w:p w14:paraId="544219D0">
      <w:pPr>
        <w:spacing w:line="460" w:lineRule="exact"/>
        <w:ind w:firstLine="420" w:firstLineChars="200"/>
        <w:rPr>
          <w:rFonts w:hint="eastAsia"/>
          <w:color w:val="auto"/>
          <w:highlight w:val="none"/>
        </w:rPr>
      </w:pPr>
      <w:r>
        <w:rPr>
          <w:rFonts w:hint="eastAsia" w:ascii="宋体" w:hAnsi="宋体" w:cs="宋体"/>
          <w:color w:val="auto"/>
          <w:szCs w:val="21"/>
          <w:highlight w:val="none"/>
        </w:rPr>
        <w:t>（</w:t>
      </w:r>
      <w:r>
        <w:rPr>
          <w:rFonts w:hint="eastAsia" w:ascii="宋体" w:hAnsi="宋体" w:cs="宋体"/>
          <w:color w:val="auto"/>
          <w:szCs w:val="21"/>
          <w:highlight w:val="none"/>
          <w:lang w:val="en-US" w:eastAsia="zh-CN"/>
        </w:rPr>
        <w:t>5</w:t>
      </w:r>
      <w:r>
        <w:rPr>
          <w:rFonts w:hint="eastAsia" w:ascii="宋体" w:hAnsi="宋体" w:cs="宋体"/>
          <w:color w:val="auto"/>
          <w:szCs w:val="21"/>
          <w:highlight w:val="none"/>
        </w:rPr>
        <w:t>）202</w:t>
      </w:r>
      <w:r>
        <w:rPr>
          <w:rFonts w:hint="eastAsia" w:ascii="宋体" w:hAnsi="宋体" w:cs="宋体"/>
          <w:color w:val="auto"/>
          <w:szCs w:val="21"/>
          <w:highlight w:val="none"/>
          <w:lang w:val="en-US" w:eastAsia="zh-CN"/>
        </w:rPr>
        <w:t>2</w:t>
      </w:r>
      <w:r>
        <w:rPr>
          <w:rFonts w:hint="eastAsia" w:ascii="宋体" w:hAnsi="宋体" w:cs="宋体"/>
          <w:color w:val="auto"/>
          <w:szCs w:val="21"/>
          <w:highlight w:val="none"/>
        </w:rPr>
        <w:t>年1月1日以来完成的</w:t>
      </w:r>
      <w:r>
        <w:rPr>
          <w:rFonts w:hint="eastAsia" w:ascii="宋体" w:hAnsi="宋体" w:cs="宋体"/>
          <w:color w:val="auto"/>
          <w:szCs w:val="21"/>
          <w:highlight w:val="none"/>
          <w:lang w:val="en-US" w:eastAsia="zh-CN"/>
        </w:rPr>
        <w:t>同类业绩</w:t>
      </w:r>
      <w:r>
        <w:rPr>
          <w:rFonts w:hint="eastAsia" w:ascii="宋体" w:hAnsi="宋体" w:cs="宋体"/>
          <w:color w:val="auto"/>
          <w:szCs w:val="21"/>
          <w:highlight w:val="none"/>
        </w:rPr>
        <w:t>；</w:t>
      </w:r>
    </w:p>
    <w:p w14:paraId="0B4112BD">
      <w:pPr>
        <w:numPr>
          <w:ilvl w:val="0"/>
          <w:numId w:val="0"/>
        </w:numPr>
        <w:spacing w:line="460" w:lineRule="exact"/>
        <w:ind w:firstLine="420" w:firstLineChars="200"/>
        <w:rPr>
          <w:rFonts w:hint="eastAsia" w:ascii="宋体" w:hAnsi="宋体" w:eastAsia="宋体" w:cs="宋体"/>
          <w:color w:val="auto"/>
          <w:szCs w:val="21"/>
          <w:highlight w:val="none"/>
          <w:lang w:eastAsia="zh-CN"/>
        </w:rPr>
      </w:pPr>
      <w:r>
        <w:rPr>
          <w:rFonts w:hint="eastAsia" w:ascii="宋体" w:hAnsi="宋体" w:cs="宋体"/>
          <w:color w:val="auto"/>
          <w:szCs w:val="21"/>
          <w:highlight w:val="none"/>
          <w:lang w:eastAsia="zh-CN"/>
        </w:rPr>
        <w:t>（</w:t>
      </w:r>
      <w:r>
        <w:rPr>
          <w:rFonts w:hint="eastAsia" w:ascii="宋体" w:hAnsi="宋体" w:cs="宋体"/>
          <w:color w:val="auto"/>
          <w:szCs w:val="21"/>
          <w:highlight w:val="none"/>
          <w:lang w:val="en-US" w:eastAsia="zh-CN"/>
        </w:rPr>
        <w:t>6</w:t>
      </w:r>
      <w:r>
        <w:rPr>
          <w:rFonts w:hint="eastAsia" w:ascii="宋体" w:hAnsi="宋体" w:cs="宋体"/>
          <w:color w:val="auto"/>
          <w:szCs w:val="21"/>
          <w:highlight w:val="none"/>
          <w:lang w:eastAsia="zh-CN"/>
        </w:rPr>
        <w:t>）</w:t>
      </w:r>
      <w:r>
        <w:rPr>
          <w:rFonts w:hint="eastAsia" w:ascii="宋体" w:hAnsi="宋体" w:cs="宋体"/>
          <w:color w:val="auto"/>
          <w:szCs w:val="21"/>
          <w:highlight w:val="none"/>
        </w:rPr>
        <w:t>项目负责人简历</w:t>
      </w:r>
      <w:r>
        <w:rPr>
          <w:rFonts w:hint="eastAsia" w:ascii="宋体" w:hAnsi="宋体" w:cs="宋体"/>
          <w:color w:val="auto"/>
          <w:szCs w:val="21"/>
          <w:highlight w:val="none"/>
          <w:lang w:eastAsia="zh-CN"/>
        </w:rPr>
        <w:t>；</w:t>
      </w:r>
    </w:p>
    <w:p w14:paraId="4A490EFB">
      <w:pPr>
        <w:numPr>
          <w:ilvl w:val="0"/>
          <w:numId w:val="0"/>
        </w:numPr>
        <w:spacing w:line="460" w:lineRule="exact"/>
        <w:ind w:firstLine="420" w:firstLineChars="200"/>
        <w:rPr>
          <w:rFonts w:hint="eastAsia"/>
          <w:color w:val="auto"/>
          <w:highlight w:val="none"/>
        </w:rPr>
      </w:pPr>
      <w:r>
        <w:rPr>
          <w:rFonts w:hint="eastAsia" w:ascii="宋体" w:hAnsi="宋体" w:cs="宋体"/>
          <w:color w:val="auto"/>
          <w:szCs w:val="21"/>
          <w:highlight w:val="none"/>
        </w:rPr>
        <w:t>（</w:t>
      </w:r>
      <w:r>
        <w:rPr>
          <w:rFonts w:hint="eastAsia" w:ascii="宋体" w:hAnsi="宋体" w:cs="宋体"/>
          <w:color w:val="auto"/>
          <w:szCs w:val="21"/>
          <w:highlight w:val="none"/>
          <w:lang w:val="en-US" w:eastAsia="zh-CN"/>
        </w:rPr>
        <w:t>7</w:t>
      </w:r>
      <w:r>
        <w:rPr>
          <w:rFonts w:hint="eastAsia" w:ascii="宋体" w:hAnsi="宋体" w:cs="宋体"/>
          <w:color w:val="auto"/>
          <w:szCs w:val="21"/>
          <w:highlight w:val="none"/>
        </w:rPr>
        <w:t>）拟派项目团队成员组成结构表；</w:t>
      </w:r>
    </w:p>
    <w:p w14:paraId="08C285D8">
      <w:pPr>
        <w:spacing w:line="46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w:t>
      </w:r>
      <w:r>
        <w:rPr>
          <w:rFonts w:hint="eastAsia" w:ascii="宋体" w:hAnsi="宋体" w:cs="宋体"/>
          <w:color w:val="auto"/>
          <w:szCs w:val="21"/>
          <w:highlight w:val="none"/>
          <w:lang w:val="en-US" w:eastAsia="zh-CN"/>
        </w:rPr>
        <w:t>8</w:t>
      </w:r>
      <w:r>
        <w:rPr>
          <w:rFonts w:hint="eastAsia" w:ascii="宋体" w:hAnsi="宋体" w:cs="宋体"/>
          <w:color w:val="auto"/>
          <w:szCs w:val="21"/>
          <w:highlight w:val="none"/>
        </w:rPr>
        <w:t>）</w:t>
      </w:r>
      <w:r>
        <w:rPr>
          <w:rFonts w:hint="eastAsia"/>
          <w:color w:val="auto"/>
          <w:sz w:val="21"/>
          <w:szCs w:val="21"/>
          <w:highlight w:val="none"/>
        </w:rPr>
        <w:t>对工程物业管理工作的现状调查与问题剖析</w:t>
      </w:r>
      <w:r>
        <w:rPr>
          <w:rFonts w:hint="eastAsia" w:ascii="宋体" w:hAnsi="宋体" w:cs="宋体"/>
          <w:color w:val="auto"/>
          <w:szCs w:val="21"/>
          <w:highlight w:val="none"/>
        </w:rPr>
        <w:t>；</w:t>
      </w:r>
    </w:p>
    <w:p w14:paraId="5CEF9313">
      <w:pPr>
        <w:spacing w:line="46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w:t>
      </w:r>
      <w:r>
        <w:rPr>
          <w:rFonts w:hint="eastAsia" w:ascii="宋体" w:hAnsi="宋体" w:cs="宋体"/>
          <w:color w:val="auto"/>
          <w:szCs w:val="21"/>
          <w:highlight w:val="none"/>
          <w:lang w:val="en-US" w:eastAsia="zh-CN"/>
        </w:rPr>
        <w:t>9</w:t>
      </w:r>
      <w:r>
        <w:rPr>
          <w:rFonts w:hint="eastAsia" w:ascii="宋体" w:hAnsi="宋体" w:cs="宋体"/>
          <w:color w:val="auto"/>
          <w:szCs w:val="21"/>
          <w:highlight w:val="none"/>
        </w:rPr>
        <w:t>）物业化实施方案；</w:t>
      </w:r>
    </w:p>
    <w:p w14:paraId="2105111C">
      <w:pPr>
        <w:spacing w:line="46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w:t>
      </w:r>
      <w:r>
        <w:rPr>
          <w:rFonts w:hint="eastAsia" w:ascii="宋体" w:hAnsi="宋体" w:cs="宋体"/>
          <w:color w:val="auto"/>
          <w:szCs w:val="21"/>
          <w:highlight w:val="none"/>
          <w:lang w:val="en-US" w:eastAsia="zh-CN"/>
        </w:rPr>
        <w:t>10</w:t>
      </w:r>
      <w:r>
        <w:rPr>
          <w:rFonts w:hint="eastAsia" w:ascii="宋体" w:hAnsi="宋体" w:cs="宋体"/>
          <w:color w:val="auto"/>
          <w:szCs w:val="21"/>
          <w:highlight w:val="none"/>
        </w:rPr>
        <w:t>）拟投入设备</w:t>
      </w:r>
      <w:r>
        <w:rPr>
          <w:rFonts w:hint="eastAsia" w:ascii="宋体" w:hAnsi="宋体" w:cs="宋体"/>
          <w:color w:val="auto"/>
          <w:szCs w:val="21"/>
          <w:highlight w:val="none"/>
          <w:lang w:eastAsia="zh-CN"/>
        </w:rPr>
        <w:t>及仪器</w:t>
      </w:r>
      <w:r>
        <w:rPr>
          <w:rFonts w:hint="eastAsia" w:ascii="宋体" w:hAnsi="宋体" w:cs="宋体"/>
          <w:color w:val="auto"/>
          <w:szCs w:val="21"/>
          <w:highlight w:val="none"/>
        </w:rPr>
        <w:t>；</w:t>
      </w:r>
    </w:p>
    <w:p w14:paraId="22572788">
      <w:pPr>
        <w:spacing w:line="46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w:t>
      </w:r>
      <w:r>
        <w:rPr>
          <w:rFonts w:hint="eastAsia" w:ascii="宋体" w:hAnsi="宋体" w:cs="宋体"/>
          <w:color w:val="auto"/>
          <w:szCs w:val="21"/>
          <w:highlight w:val="none"/>
          <w:lang w:val="en-US" w:eastAsia="zh-CN"/>
        </w:rPr>
        <w:t>11</w:t>
      </w:r>
      <w:r>
        <w:rPr>
          <w:rFonts w:hint="eastAsia" w:ascii="宋体" w:hAnsi="宋体" w:cs="宋体"/>
          <w:color w:val="auto"/>
          <w:szCs w:val="21"/>
          <w:highlight w:val="none"/>
        </w:rPr>
        <w:t>）落实防汛预案方案、应急突发方案</w:t>
      </w:r>
      <w:r>
        <w:rPr>
          <w:rFonts w:hint="eastAsia" w:ascii="宋体" w:hAnsi="宋体" w:cs="宋体"/>
          <w:bCs/>
          <w:color w:val="auto"/>
          <w:kern w:val="0"/>
          <w:szCs w:val="21"/>
          <w:highlight w:val="none"/>
        </w:rPr>
        <w:t>；</w:t>
      </w:r>
    </w:p>
    <w:p w14:paraId="23F3872B">
      <w:pPr>
        <w:spacing w:line="46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w:t>
      </w:r>
      <w:r>
        <w:rPr>
          <w:rFonts w:hint="eastAsia" w:ascii="宋体" w:hAnsi="宋体" w:cs="宋体"/>
          <w:color w:val="auto"/>
          <w:szCs w:val="21"/>
          <w:highlight w:val="none"/>
          <w:lang w:val="en-US" w:eastAsia="zh-CN"/>
        </w:rPr>
        <w:t>12</w:t>
      </w:r>
      <w:r>
        <w:rPr>
          <w:rFonts w:hint="eastAsia" w:ascii="宋体" w:hAnsi="宋体" w:cs="宋体"/>
          <w:color w:val="auto"/>
          <w:szCs w:val="21"/>
          <w:highlight w:val="none"/>
        </w:rPr>
        <w:t>）</w:t>
      </w:r>
      <w:r>
        <w:rPr>
          <w:rFonts w:hint="eastAsia" w:ascii="宋体" w:hAnsi="宋体" w:eastAsia="宋体" w:cs="宋体"/>
          <w:color w:val="auto"/>
          <w:sz w:val="21"/>
          <w:szCs w:val="21"/>
          <w:highlight w:val="none"/>
          <w:lang w:val="en-US" w:eastAsia="zh-CN"/>
        </w:rPr>
        <w:t>其他服务措施</w:t>
      </w:r>
      <w:r>
        <w:rPr>
          <w:rFonts w:hint="eastAsia" w:ascii="宋体" w:hAnsi="宋体" w:cs="宋体"/>
          <w:color w:val="auto"/>
          <w:szCs w:val="21"/>
          <w:highlight w:val="none"/>
        </w:rPr>
        <w:t>；</w:t>
      </w:r>
    </w:p>
    <w:p w14:paraId="77CCB09C">
      <w:pPr>
        <w:spacing w:line="46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w:t>
      </w:r>
      <w:r>
        <w:rPr>
          <w:rFonts w:hint="eastAsia" w:ascii="宋体" w:hAnsi="宋体" w:cs="宋体"/>
          <w:color w:val="auto"/>
          <w:szCs w:val="21"/>
          <w:highlight w:val="none"/>
          <w:lang w:val="en-US" w:eastAsia="zh-CN"/>
        </w:rPr>
        <w:t>3</w:t>
      </w:r>
      <w:r>
        <w:rPr>
          <w:rFonts w:hint="eastAsia" w:ascii="宋体" w:hAnsi="宋体" w:cs="宋体"/>
          <w:color w:val="auto"/>
          <w:szCs w:val="21"/>
          <w:highlight w:val="none"/>
        </w:rPr>
        <w:t>）投标人认为需要提供的其他材料；</w:t>
      </w:r>
    </w:p>
    <w:p w14:paraId="70CB6F4A">
      <w:pPr>
        <w:pStyle w:val="45"/>
        <w:ind w:firstLine="560"/>
        <w:rPr>
          <w:rFonts w:hint="eastAsia"/>
          <w:color w:val="auto"/>
          <w:highlight w:val="none"/>
        </w:rPr>
      </w:pPr>
    </w:p>
    <w:p w14:paraId="66F9FFDB">
      <w:pPr>
        <w:pStyle w:val="45"/>
        <w:spacing w:after="0"/>
        <w:ind w:left="0" w:leftChars="0" w:firstLine="422"/>
        <w:rPr>
          <w:rFonts w:hint="eastAsia" w:ascii="宋体" w:hAnsi="宋体"/>
          <w:b/>
          <w:bCs/>
          <w:color w:val="auto"/>
          <w:sz w:val="21"/>
          <w:szCs w:val="21"/>
          <w:highlight w:val="none"/>
        </w:rPr>
      </w:pPr>
      <w:r>
        <w:rPr>
          <w:rFonts w:hint="eastAsia" w:ascii="宋体" w:hAnsi="宋体"/>
          <w:b/>
          <w:bCs/>
          <w:color w:val="auto"/>
          <w:sz w:val="21"/>
          <w:szCs w:val="21"/>
          <w:highlight w:val="none"/>
        </w:rPr>
        <w:t>注：未提供格式的，各投标人可根据各身条件自拟、细化。</w:t>
      </w:r>
    </w:p>
    <w:p w14:paraId="75BA5FF4">
      <w:pPr>
        <w:pStyle w:val="45"/>
        <w:ind w:firstLine="560"/>
        <w:rPr>
          <w:rFonts w:hint="eastAsia"/>
          <w:color w:val="auto"/>
          <w:highlight w:val="none"/>
        </w:rPr>
      </w:pPr>
    </w:p>
    <w:p w14:paraId="4DB00D21">
      <w:pPr>
        <w:snapToGrid w:val="0"/>
        <w:spacing w:before="120" w:beforeLines="50" w:after="50"/>
        <w:ind w:firstLine="3570" w:firstLineChars="1700"/>
        <w:rPr>
          <w:rFonts w:ascii="宋体" w:hAnsi="宋体" w:cs="宋体"/>
          <w:color w:val="auto"/>
          <w:szCs w:val="21"/>
          <w:highlight w:val="none"/>
        </w:rPr>
      </w:pPr>
    </w:p>
    <w:p w14:paraId="1DB88741">
      <w:pPr>
        <w:jc w:val="center"/>
        <w:rPr>
          <w:rFonts w:hint="eastAsia" w:hAnsi="宋体" w:cs="宋体"/>
          <w:b/>
          <w:bCs/>
          <w:color w:val="auto"/>
          <w:sz w:val="24"/>
          <w:highlight w:val="none"/>
        </w:rPr>
      </w:pPr>
      <w:bookmarkStart w:id="44" w:name="_Toc302595373"/>
      <w:r>
        <w:rPr>
          <w:rFonts w:hint="eastAsia" w:ascii="宋体" w:hAnsi="宋体" w:cs="宋体"/>
          <w:b/>
          <w:bCs/>
          <w:color w:val="auto"/>
          <w:kern w:val="0"/>
          <w:sz w:val="30"/>
          <w:szCs w:val="30"/>
          <w:highlight w:val="none"/>
        </w:rPr>
        <w:br w:type="page"/>
      </w:r>
      <w:bookmarkEnd w:id="44"/>
      <w:r>
        <w:rPr>
          <w:rFonts w:hint="eastAsia" w:hAnsi="宋体" w:cs="宋体"/>
          <w:b/>
          <w:bCs/>
          <w:color w:val="auto"/>
          <w:sz w:val="24"/>
          <w:highlight w:val="none"/>
        </w:rPr>
        <w:t>投标人评分索引表</w:t>
      </w:r>
    </w:p>
    <w:p w14:paraId="36950050">
      <w:pPr>
        <w:jc w:val="center"/>
        <w:rPr>
          <w:rFonts w:hint="eastAsia" w:ascii="宋体" w:hAnsi="宋体" w:cs="宋体"/>
          <w:b/>
          <w:bCs/>
          <w:color w:val="auto"/>
          <w:kern w:val="0"/>
          <w:sz w:val="30"/>
          <w:szCs w:val="30"/>
          <w:highlight w:val="none"/>
        </w:rPr>
      </w:pPr>
      <w:r>
        <w:rPr>
          <w:rFonts w:hint="eastAsia" w:ascii="宋体" w:hAnsi="宋体" w:cs="宋体"/>
          <w:b/>
          <w:bCs/>
          <w:color w:val="auto"/>
          <w:kern w:val="0"/>
          <w:sz w:val="30"/>
          <w:szCs w:val="30"/>
          <w:highlight w:val="none"/>
        </w:rPr>
        <w:br w:type="page"/>
      </w:r>
    </w:p>
    <w:p w14:paraId="0C5A6ABF">
      <w:pPr>
        <w:shd w:val="clear" w:color="auto" w:fill="FFFFFF"/>
        <w:snapToGrid w:val="0"/>
        <w:spacing w:line="360" w:lineRule="exact"/>
        <w:rPr>
          <w:rFonts w:hAnsi="宋体" w:cs="宋体"/>
          <w:color w:val="auto"/>
          <w:sz w:val="24"/>
          <w:highlight w:val="none"/>
        </w:rPr>
      </w:pPr>
      <w:r>
        <w:rPr>
          <w:rFonts w:hint="eastAsia" w:hAnsi="宋体" w:cs="宋体"/>
          <w:b/>
          <w:bCs/>
          <w:color w:val="auto"/>
          <w:sz w:val="24"/>
          <w:highlight w:val="none"/>
        </w:rPr>
        <w:t>附件1</w:t>
      </w:r>
    </w:p>
    <w:p w14:paraId="73B5D2BB">
      <w:pPr>
        <w:shd w:val="clear" w:color="auto" w:fill="FFFFFF"/>
        <w:snapToGrid w:val="0"/>
        <w:spacing w:after="50"/>
        <w:rPr>
          <w:rFonts w:hAnsi="宋体" w:cs="宋体"/>
          <w:b/>
          <w:bCs/>
          <w:color w:val="auto"/>
          <w:sz w:val="24"/>
          <w:highlight w:val="none"/>
        </w:rPr>
      </w:pPr>
    </w:p>
    <w:p w14:paraId="4CF4AFD6">
      <w:pPr>
        <w:shd w:val="clear" w:color="auto" w:fill="FFFFFF"/>
        <w:snapToGrid w:val="0"/>
        <w:spacing w:after="50"/>
        <w:jc w:val="center"/>
        <w:rPr>
          <w:rFonts w:hAnsi="宋体"/>
          <w:b/>
          <w:bCs/>
          <w:color w:val="auto"/>
          <w:sz w:val="24"/>
          <w:highlight w:val="none"/>
        </w:rPr>
      </w:pPr>
      <w:bookmarkStart w:id="45" w:name="_Toc17087_WPSOffice_Level2"/>
      <w:bookmarkStart w:id="46" w:name="_Toc13175_WPSOffice_Level2"/>
      <w:r>
        <w:rPr>
          <w:rFonts w:hint="eastAsia" w:hAnsi="宋体"/>
          <w:b/>
          <w:bCs/>
          <w:color w:val="auto"/>
          <w:sz w:val="24"/>
          <w:highlight w:val="none"/>
        </w:rPr>
        <w:t>投标声明书</w:t>
      </w:r>
      <w:bookmarkEnd w:id="45"/>
      <w:bookmarkEnd w:id="46"/>
    </w:p>
    <w:p w14:paraId="4C95E2C4">
      <w:pPr>
        <w:shd w:val="clear" w:color="auto" w:fill="FFFFFF"/>
        <w:snapToGrid w:val="0"/>
        <w:spacing w:after="50"/>
        <w:rPr>
          <w:rFonts w:hAnsi="宋体"/>
          <w:color w:val="auto"/>
          <w:szCs w:val="21"/>
          <w:highlight w:val="none"/>
        </w:rPr>
      </w:pPr>
    </w:p>
    <w:p w14:paraId="71E79F2F">
      <w:pPr>
        <w:shd w:val="clear" w:color="auto" w:fill="FFFFFF"/>
        <w:snapToGrid w:val="0"/>
        <w:spacing w:after="50" w:line="360" w:lineRule="exact"/>
        <w:rPr>
          <w:rFonts w:hAnsi="宋体"/>
          <w:color w:val="auto"/>
          <w:szCs w:val="21"/>
          <w:highlight w:val="none"/>
        </w:rPr>
      </w:pPr>
      <w:r>
        <w:rPr>
          <w:rFonts w:hint="eastAsia" w:hAnsi="宋体"/>
          <w:color w:val="auto"/>
          <w:szCs w:val="21"/>
          <w:highlight w:val="none"/>
        </w:rPr>
        <w:t>致：</w:t>
      </w:r>
      <w:r>
        <w:rPr>
          <w:rFonts w:hint="eastAsia" w:hAnsi="宋体"/>
          <w:color w:val="auto"/>
          <w:szCs w:val="21"/>
          <w:highlight w:val="none"/>
          <w:u w:val="single"/>
        </w:rPr>
        <w:t xml:space="preserve">             </w:t>
      </w:r>
      <w:r>
        <w:rPr>
          <w:rFonts w:hint="eastAsia" w:hAnsi="宋体"/>
          <w:color w:val="auto"/>
          <w:szCs w:val="21"/>
          <w:highlight w:val="none"/>
        </w:rPr>
        <w:t>（采购单位名称）：</w:t>
      </w:r>
    </w:p>
    <w:p w14:paraId="5EA2BA36">
      <w:pPr>
        <w:shd w:val="clear" w:color="auto" w:fill="FFFFFF"/>
        <w:snapToGrid w:val="0"/>
        <w:spacing w:after="50" w:line="360" w:lineRule="exact"/>
        <w:ind w:firstLine="630" w:firstLineChars="300"/>
        <w:rPr>
          <w:rFonts w:hAnsi="宋体"/>
          <w:color w:val="auto"/>
          <w:szCs w:val="21"/>
          <w:highlight w:val="none"/>
        </w:rPr>
      </w:pPr>
      <w:r>
        <w:rPr>
          <w:rFonts w:hint="eastAsia" w:hAnsi="宋体"/>
          <w:color w:val="auto"/>
          <w:szCs w:val="21"/>
          <w:highlight w:val="none"/>
          <w:u w:val="single"/>
        </w:rPr>
        <w:t xml:space="preserve">             </w:t>
      </w:r>
      <w:r>
        <w:rPr>
          <w:rFonts w:hint="eastAsia" w:hAnsi="宋体"/>
          <w:color w:val="auto"/>
          <w:szCs w:val="21"/>
          <w:highlight w:val="none"/>
        </w:rPr>
        <w:t>（投标人名称）系中华人民共和国合法企业，经营地址。</w:t>
      </w:r>
    </w:p>
    <w:p w14:paraId="1A2CD56C">
      <w:pPr>
        <w:shd w:val="clear" w:color="auto" w:fill="FFFFFF"/>
        <w:snapToGrid w:val="0"/>
        <w:spacing w:after="50" w:line="360" w:lineRule="exact"/>
        <w:ind w:firstLine="645"/>
        <w:rPr>
          <w:rFonts w:hAnsi="宋体"/>
          <w:color w:val="auto"/>
          <w:szCs w:val="21"/>
          <w:highlight w:val="none"/>
        </w:rPr>
      </w:pPr>
      <w:r>
        <w:rPr>
          <w:rFonts w:hint="eastAsia" w:hAnsi="宋体"/>
          <w:color w:val="auto"/>
          <w:szCs w:val="21"/>
          <w:highlight w:val="none"/>
        </w:rPr>
        <w:t>我</w:t>
      </w:r>
      <w:r>
        <w:rPr>
          <w:rFonts w:hint="eastAsia" w:hAnsi="宋体"/>
          <w:color w:val="auto"/>
          <w:szCs w:val="21"/>
          <w:highlight w:val="none"/>
          <w:u w:val="single"/>
        </w:rPr>
        <w:t xml:space="preserve">           </w:t>
      </w:r>
      <w:r>
        <w:rPr>
          <w:rFonts w:hint="eastAsia" w:hAnsi="宋体"/>
          <w:color w:val="auto"/>
          <w:szCs w:val="21"/>
          <w:highlight w:val="none"/>
        </w:rPr>
        <w:t>（姓名）系</w:t>
      </w:r>
      <w:r>
        <w:rPr>
          <w:rFonts w:hint="eastAsia" w:hAnsi="宋体"/>
          <w:color w:val="auto"/>
          <w:szCs w:val="21"/>
          <w:highlight w:val="none"/>
          <w:u w:val="single"/>
        </w:rPr>
        <w:t xml:space="preserve">             </w:t>
      </w:r>
      <w:r>
        <w:rPr>
          <w:rFonts w:hint="eastAsia" w:hAnsi="宋体"/>
          <w:color w:val="auto"/>
          <w:szCs w:val="21"/>
          <w:highlight w:val="none"/>
        </w:rPr>
        <w:t>（投标人名称）的法定代表人，我方愿意参加贵方组织的</w:t>
      </w:r>
      <w:r>
        <w:rPr>
          <w:rFonts w:hint="eastAsia" w:hAnsi="宋体"/>
          <w:color w:val="auto"/>
          <w:szCs w:val="21"/>
          <w:highlight w:val="none"/>
          <w:u w:val="single"/>
        </w:rPr>
        <w:t xml:space="preserve">                  </w:t>
      </w:r>
      <w:r>
        <w:rPr>
          <w:rFonts w:hint="eastAsia" w:hAnsi="宋体"/>
          <w:color w:val="auto"/>
          <w:szCs w:val="21"/>
          <w:highlight w:val="none"/>
        </w:rPr>
        <w:t>项目的投标，为便于贵方公正、择优地确定中标人及其投标服务，我方就本次投标有关事项郑重声明如下：</w:t>
      </w:r>
    </w:p>
    <w:p w14:paraId="4D36BFD1">
      <w:pPr>
        <w:shd w:val="clear" w:color="auto" w:fill="FFFFFF"/>
        <w:snapToGrid w:val="0"/>
        <w:spacing w:line="360" w:lineRule="exact"/>
        <w:ind w:firstLine="420" w:firstLineChars="200"/>
        <w:rPr>
          <w:rFonts w:hAnsi="宋体"/>
          <w:color w:val="auto"/>
          <w:szCs w:val="21"/>
          <w:highlight w:val="none"/>
        </w:rPr>
      </w:pPr>
      <w:r>
        <w:rPr>
          <w:rFonts w:hint="eastAsia" w:hAnsi="宋体"/>
          <w:color w:val="auto"/>
          <w:szCs w:val="21"/>
          <w:highlight w:val="none"/>
        </w:rPr>
        <w:t>1.我方向贵方提交的所有投标文件、资料都是准确的和真实的。</w:t>
      </w:r>
    </w:p>
    <w:p w14:paraId="0A83D070">
      <w:pPr>
        <w:shd w:val="clear" w:color="auto" w:fill="FFFFFF"/>
        <w:snapToGrid w:val="0"/>
        <w:spacing w:line="360" w:lineRule="exact"/>
        <w:ind w:firstLine="420" w:firstLineChars="200"/>
        <w:rPr>
          <w:rFonts w:hAnsi="宋体"/>
          <w:color w:val="auto"/>
          <w:szCs w:val="21"/>
          <w:highlight w:val="none"/>
        </w:rPr>
      </w:pPr>
      <w:r>
        <w:rPr>
          <w:rFonts w:hint="eastAsia" w:hAnsi="宋体"/>
          <w:color w:val="auto"/>
          <w:szCs w:val="21"/>
          <w:highlight w:val="none"/>
        </w:rPr>
        <w:t>2. 我方此次向贵方提供的服务项目名称为；</w:t>
      </w:r>
    </w:p>
    <w:p w14:paraId="25E9E3EF">
      <w:pPr>
        <w:shd w:val="clear" w:color="auto" w:fill="FFFFFF"/>
        <w:snapToGrid w:val="0"/>
        <w:spacing w:line="360" w:lineRule="exact"/>
        <w:ind w:firstLine="420" w:firstLineChars="200"/>
        <w:rPr>
          <w:rFonts w:hAnsi="宋体" w:cs="宋体"/>
          <w:color w:val="auto"/>
          <w:szCs w:val="21"/>
          <w:highlight w:val="none"/>
        </w:rPr>
      </w:pPr>
      <w:r>
        <w:rPr>
          <w:rFonts w:hint="eastAsia" w:hAnsi="宋体"/>
          <w:color w:val="auto"/>
          <w:szCs w:val="21"/>
          <w:highlight w:val="none"/>
        </w:rPr>
        <w:t xml:space="preserve">3. </w:t>
      </w:r>
      <w:r>
        <w:rPr>
          <w:rFonts w:hint="eastAsia" w:hAnsi="宋体" w:cs="宋体"/>
          <w:color w:val="auto"/>
          <w:szCs w:val="21"/>
          <w:highlight w:val="none"/>
        </w:rPr>
        <w:t>我方及由本人担任法定代表人的其他机构最近三年内被通报或者被处罚的违法行为有：</w:t>
      </w:r>
    </w:p>
    <w:p w14:paraId="2A4B745B">
      <w:pPr>
        <w:shd w:val="clear" w:color="auto" w:fill="FFFFFF"/>
        <w:snapToGrid w:val="0"/>
        <w:spacing w:line="360" w:lineRule="exact"/>
        <w:ind w:firstLine="420" w:firstLineChars="200"/>
        <w:rPr>
          <w:rFonts w:hAnsi="宋体"/>
          <w:color w:val="auto"/>
          <w:szCs w:val="21"/>
          <w:highlight w:val="none"/>
          <w:u w:val="single"/>
        </w:rPr>
      </w:pPr>
      <w:r>
        <w:rPr>
          <w:rFonts w:hint="eastAsia" w:hAnsi="宋体"/>
          <w:color w:val="auto"/>
          <w:szCs w:val="21"/>
          <w:highlight w:val="none"/>
          <w:u w:val="single"/>
        </w:rPr>
        <w:t>　　　　　　　　　　　　　　　　　　　　　　　　　　　</w:t>
      </w:r>
    </w:p>
    <w:p w14:paraId="6957C00A">
      <w:pPr>
        <w:shd w:val="clear" w:color="auto" w:fill="FFFFFF"/>
        <w:snapToGrid w:val="0"/>
        <w:spacing w:line="360" w:lineRule="exact"/>
        <w:ind w:firstLine="420" w:firstLineChars="200"/>
        <w:rPr>
          <w:rFonts w:hAnsi="宋体"/>
          <w:color w:val="auto"/>
          <w:szCs w:val="21"/>
          <w:highlight w:val="none"/>
          <w:u w:val="single"/>
        </w:rPr>
      </w:pPr>
      <w:r>
        <w:rPr>
          <w:rFonts w:hint="eastAsia" w:hAnsi="宋体"/>
          <w:color w:val="auto"/>
          <w:szCs w:val="21"/>
          <w:highlight w:val="none"/>
          <w:u w:val="single"/>
        </w:rPr>
        <w:t>　　　　　　　　　　　　　　　　　　　　　　　　　　　</w:t>
      </w:r>
    </w:p>
    <w:p w14:paraId="09646C6E">
      <w:pPr>
        <w:shd w:val="clear" w:color="auto" w:fill="FFFFFF"/>
        <w:snapToGrid w:val="0"/>
        <w:spacing w:line="360" w:lineRule="exact"/>
        <w:ind w:firstLine="420" w:firstLineChars="200"/>
        <w:rPr>
          <w:rFonts w:hAnsi="宋体"/>
          <w:color w:val="auto"/>
          <w:szCs w:val="21"/>
          <w:highlight w:val="none"/>
        </w:rPr>
      </w:pPr>
      <w:r>
        <w:rPr>
          <w:rFonts w:hint="eastAsia" w:hAnsi="宋体"/>
          <w:color w:val="auto"/>
          <w:szCs w:val="21"/>
          <w:highlight w:val="none"/>
        </w:rPr>
        <w:t>5.以上事项如有虚假或隐瞒，我方愿意承担一切后果，并不再寻求任何旨在减轻或免除法律责任的辩解。</w:t>
      </w:r>
    </w:p>
    <w:p w14:paraId="4F575ABD">
      <w:pPr>
        <w:shd w:val="clear" w:color="auto" w:fill="FFFFFF"/>
        <w:tabs>
          <w:tab w:val="left" w:pos="939"/>
        </w:tabs>
        <w:snapToGrid w:val="0"/>
        <w:spacing w:line="360" w:lineRule="exact"/>
        <w:ind w:left="716" w:leftChars="150" w:hanging="401" w:hangingChars="191"/>
        <w:rPr>
          <w:rFonts w:hAnsi="宋体"/>
          <w:color w:val="auto"/>
          <w:szCs w:val="21"/>
          <w:highlight w:val="none"/>
        </w:rPr>
      </w:pPr>
      <w:r>
        <w:rPr>
          <w:rFonts w:hint="eastAsia" w:hAnsi="宋体"/>
          <w:color w:val="auto"/>
          <w:szCs w:val="21"/>
          <w:highlight w:val="none"/>
        </w:rPr>
        <w:t> </w:t>
      </w:r>
    </w:p>
    <w:p w14:paraId="5E280C4B">
      <w:pPr>
        <w:shd w:val="clear" w:color="auto" w:fill="FFFFFF"/>
        <w:snapToGrid w:val="0"/>
        <w:spacing w:line="360" w:lineRule="exact"/>
        <w:ind w:firstLine="200"/>
        <w:rPr>
          <w:rFonts w:hAnsi="宋体" w:cs="Tahoma"/>
          <w:color w:val="auto"/>
          <w:szCs w:val="21"/>
          <w:highlight w:val="none"/>
        </w:rPr>
      </w:pPr>
      <w:r>
        <w:rPr>
          <w:rFonts w:hint="eastAsia" w:hAnsi="宋体" w:cs="Tahoma"/>
          <w:color w:val="auto"/>
          <w:szCs w:val="21"/>
          <w:highlight w:val="none"/>
        </w:rPr>
        <w:t> </w:t>
      </w:r>
    </w:p>
    <w:p w14:paraId="2245BA3C">
      <w:pPr>
        <w:shd w:val="clear" w:color="auto" w:fill="FFFFFF"/>
        <w:snapToGrid w:val="0"/>
        <w:spacing w:line="360" w:lineRule="exact"/>
        <w:ind w:firstLine="279" w:firstLineChars="133"/>
        <w:rPr>
          <w:rFonts w:hAnsi="宋体"/>
          <w:color w:val="auto"/>
          <w:szCs w:val="21"/>
          <w:highlight w:val="none"/>
          <w:u w:val="single"/>
        </w:rPr>
      </w:pPr>
      <w:r>
        <w:rPr>
          <w:rFonts w:hint="eastAsia" w:hAnsi="宋体"/>
          <w:color w:val="auto"/>
          <w:szCs w:val="21"/>
          <w:highlight w:val="none"/>
        </w:rPr>
        <w:t>法定代表人或授权代表签字：</w:t>
      </w:r>
    </w:p>
    <w:p w14:paraId="3226FDB4">
      <w:pPr>
        <w:shd w:val="clear" w:color="auto" w:fill="FFFFFF"/>
        <w:snapToGrid w:val="0"/>
        <w:spacing w:after="50" w:line="360" w:lineRule="exact"/>
        <w:ind w:firstLine="315" w:firstLineChars="150"/>
        <w:rPr>
          <w:rFonts w:hAnsi="宋体"/>
          <w:color w:val="auto"/>
          <w:szCs w:val="21"/>
          <w:highlight w:val="none"/>
        </w:rPr>
      </w:pPr>
      <w:r>
        <w:rPr>
          <w:rFonts w:hint="eastAsia" w:hAnsi="宋体"/>
          <w:color w:val="auto"/>
          <w:szCs w:val="21"/>
          <w:highlight w:val="none"/>
        </w:rPr>
        <w:t>投标人公章： </w:t>
      </w:r>
    </w:p>
    <w:p w14:paraId="0708D07C">
      <w:pPr>
        <w:shd w:val="clear" w:color="auto" w:fill="FFFFFF"/>
        <w:snapToGrid w:val="0"/>
        <w:spacing w:after="50" w:line="360" w:lineRule="exact"/>
        <w:ind w:firstLine="210" w:firstLineChars="100"/>
        <w:rPr>
          <w:rFonts w:hAnsi="宋体"/>
          <w:color w:val="auto"/>
          <w:szCs w:val="21"/>
          <w:highlight w:val="none"/>
        </w:rPr>
      </w:pPr>
      <w:r>
        <w:rPr>
          <w:rFonts w:hint="eastAsia" w:hAnsi="宋体"/>
          <w:color w:val="auto"/>
          <w:szCs w:val="21"/>
          <w:highlight w:val="none"/>
        </w:rPr>
        <w:t>年    月    日</w:t>
      </w:r>
    </w:p>
    <w:p w14:paraId="317AC6D7">
      <w:pPr>
        <w:spacing w:line="440" w:lineRule="exact"/>
        <w:ind w:left="630" w:leftChars="300"/>
        <w:rPr>
          <w:rFonts w:eastAsia="黑体"/>
          <w:color w:val="auto"/>
          <w:sz w:val="24"/>
          <w:highlight w:val="none"/>
        </w:rPr>
      </w:pPr>
    </w:p>
    <w:p w14:paraId="68247A3C">
      <w:pPr>
        <w:spacing w:line="440" w:lineRule="exact"/>
        <w:ind w:left="630" w:leftChars="300"/>
        <w:rPr>
          <w:rFonts w:eastAsia="黑体"/>
          <w:color w:val="auto"/>
          <w:sz w:val="20"/>
          <w:highlight w:val="none"/>
        </w:rPr>
      </w:pPr>
    </w:p>
    <w:p w14:paraId="4B6549EE">
      <w:pPr>
        <w:spacing w:line="440" w:lineRule="exact"/>
        <w:ind w:left="630" w:leftChars="300"/>
        <w:rPr>
          <w:rFonts w:eastAsia="黑体"/>
          <w:color w:val="auto"/>
          <w:sz w:val="20"/>
          <w:highlight w:val="none"/>
        </w:rPr>
      </w:pPr>
    </w:p>
    <w:p w14:paraId="267929A4">
      <w:pPr>
        <w:spacing w:line="440" w:lineRule="exact"/>
        <w:rPr>
          <w:rFonts w:hAnsi="宋体" w:cs="宋体"/>
          <w:color w:val="auto"/>
          <w:sz w:val="24"/>
          <w:highlight w:val="none"/>
        </w:rPr>
      </w:pPr>
      <w:r>
        <w:rPr>
          <w:rFonts w:eastAsia="Times New Roman"/>
          <w:color w:val="auto"/>
          <w:sz w:val="28"/>
          <w:szCs w:val="28"/>
          <w:highlight w:val="none"/>
        </w:rPr>
        <w:br w:type="page"/>
      </w:r>
      <w:r>
        <w:rPr>
          <w:rFonts w:hint="eastAsia" w:hAnsi="宋体"/>
          <w:b/>
          <w:bCs/>
          <w:color w:val="auto"/>
          <w:sz w:val="24"/>
          <w:highlight w:val="none"/>
        </w:rPr>
        <w:t>附件2</w:t>
      </w:r>
    </w:p>
    <w:p w14:paraId="51FF4A23">
      <w:pPr>
        <w:shd w:val="clear" w:color="auto" w:fill="FFFFFF"/>
        <w:snapToGrid w:val="0"/>
        <w:spacing w:after="50"/>
        <w:jc w:val="center"/>
        <w:rPr>
          <w:rFonts w:hint="eastAsia" w:hAnsi="宋体"/>
          <w:b/>
          <w:bCs/>
          <w:color w:val="auto"/>
          <w:sz w:val="24"/>
          <w:highlight w:val="none"/>
        </w:rPr>
      </w:pPr>
    </w:p>
    <w:p w14:paraId="609AD920">
      <w:pPr>
        <w:shd w:val="clear" w:color="auto" w:fill="FFFFFF"/>
        <w:snapToGrid w:val="0"/>
        <w:spacing w:after="50"/>
        <w:jc w:val="center"/>
        <w:rPr>
          <w:rFonts w:hint="eastAsia" w:hAnsi="宋体"/>
          <w:b/>
          <w:bCs/>
          <w:color w:val="auto"/>
          <w:sz w:val="24"/>
          <w:highlight w:val="none"/>
        </w:rPr>
      </w:pPr>
      <w:bookmarkStart w:id="47" w:name="_Toc19150_WPSOffice_Level2"/>
      <w:bookmarkStart w:id="48" w:name="_Toc12661_WPSOffice_Level2"/>
      <w:r>
        <w:rPr>
          <w:rFonts w:hint="eastAsia" w:hAnsi="宋体"/>
          <w:b/>
          <w:bCs/>
          <w:color w:val="auto"/>
          <w:sz w:val="24"/>
          <w:highlight w:val="none"/>
        </w:rPr>
        <w:t>法定代表人身份证、投标人授权委托书及其代表身份证</w:t>
      </w:r>
      <w:bookmarkEnd w:id="47"/>
      <w:bookmarkEnd w:id="48"/>
    </w:p>
    <w:p w14:paraId="06AD26C9">
      <w:pPr>
        <w:shd w:val="clear" w:color="auto" w:fill="FFFFFF"/>
        <w:snapToGrid w:val="0"/>
        <w:spacing w:after="50"/>
        <w:jc w:val="center"/>
        <w:rPr>
          <w:rFonts w:hint="eastAsia" w:hAnsi="宋体"/>
          <w:b/>
          <w:bCs/>
          <w:color w:val="auto"/>
          <w:szCs w:val="21"/>
          <w:highlight w:val="none"/>
        </w:rPr>
      </w:pPr>
    </w:p>
    <w:p w14:paraId="21AF3E39">
      <w:pPr>
        <w:shd w:val="clear" w:color="auto" w:fill="FFFFFF"/>
        <w:snapToGrid w:val="0"/>
        <w:spacing w:after="50" w:line="440" w:lineRule="exact"/>
        <w:rPr>
          <w:rFonts w:hAnsi="宋体"/>
          <w:b/>
          <w:bCs/>
          <w:color w:val="auto"/>
          <w:szCs w:val="21"/>
          <w:highlight w:val="none"/>
        </w:rPr>
      </w:pPr>
      <w:r>
        <w:rPr>
          <w:rFonts w:hint="eastAsia" w:hAnsi="宋体"/>
          <w:bCs/>
          <w:color w:val="auto"/>
          <w:szCs w:val="21"/>
          <w:highlight w:val="none"/>
        </w:rPr>
        <w:t>致：</w:t>
      </w:r>
      <w:r>
        <w:rPr>
          <w:rFonts w:hint="eastAsia" w:hAnsi="宋体"/>
          <w:color w:val="auto"/>
          <w:szCs w:val="21"/>
          <w:highlight w:val="none"/>
          <w:u w:val="single"/>
        </w:rPr>
        <w:t xml:space="preserve">             </w:t>
      </w:r>
      <w:r>
        <w:rPr>
          <w:rFonts w:hint="eastAsia" w:hAnsi="宋体"/>
          <w:color w:val="auto"/>
          <w:szCs w:val="21"/>
          <w:highlight w:val="none"/>
        </w:rPr>
        <w:t>（采购单位名称）：</w:t>
      </w:r>
    </w:p>
    <w:p w14:paraId="73B127FC">
      <w:pPr>
        <w:shd w:val="clear" w:color="auto" w:fill="FFFFFF"/>
        <w:snapToGrid w:val="0"/>
        <w:spacing w:after="50" w:line="440" w:lineRule="exact"/>
        <w:ind w:firstLine="630" w:firstLineChars="300"/>
        <w:rPr>
          <w:rFonts w:hAnsi="宋体"/>
          <w:color w:val="auto"/>
          <w:szCs w:val="21"/>
          <w:highlight w:val="none"/>
        </w:rPr>
      </w:pPr>
      <w:r>
        <w:rPr>
          <w:rFonts w:hint="eastAsia" w:hAnsi="宋体"/>
          <w:color w:val="auto"/>
          <w:szCs w:val="21"/>
          <w:highlight w:val="none"/>
        </w:rPr>
        <w:t>我</w:t>
      </w:r>
      <w:r>
        <w:rPr>
          <w:rFonts w:hint="eastAsia" w:hAnsi="宋体"/>
          <w:color w:val="auto"/>
          <w:szCs w:val="21"/>
          <w:highlight w:val="none"/>
          <w:u w:val="single"/>
        </w:rPr>
        <w:t xml:space="preserve">             </w:t>
      </w:r>
      <w:r>
        <w:rPr>
          <w:rFonts w:hint="eastAsia" w:hAnsi="宋体"/>
          <w:color w:val="auto"/>
          <w:szCs w:val="21"/>
          <w:highlight w:val="none"/>
        </w:rPr>
        <w:t>（姓名）系</w:t>
      </w:r>
      <w:r>
        <w:rPr>
          <w:rFonts w:hint="eastAsia" w:hAnsi="宋体"/>
          <w:color w:val="auto"/>
          <w:szCs w:val="21"/>
          <w:highlight w:val="none"/>
          <w:u w:val="single"/>
        </w:rPr>
        <w:t xml:space="preserve">             </w:t>
      </w:r>
      <w:r>
        <w:rPr>
          <w:rFonts w:hint="eastAsia" w:hAnsi="宋体"/>
          <w:color w:val="auto"/>
          <w:szCs w:val="21"/>
          <w:highlight w:val="none"/>
        </w:rPr>
        <w:t>（投标人名称）的法定代表人，现授权委托本单位在职职工</w:t>
      </w:r>
      <w:r>
        <w:rPr>
          <w:rFonts w:hint="eastAsia" w:hAnsi="宋体"/>
          <w:color w:val="auto"/>
          <w:szCs w:val="21"/>
          <w:highlight w:val="none"/>
          <w:u w:val="single"/>
        </w:rPr>
        <w:t xml:space="preserve">       </w:t>
      </w:r>
      <w:r>
        <w:rPr>
          <w:rFonts w:hint="eastAsia" w:hAnsi="宋体"/>
          <w:color w:val="auto"/>
          <w:szCs w:val="21"/>
          <w:highlight w:val="none"/>
        </w:rPr>
        <w:t>（姓名）以我方的名义参加</w:t>
      </w:r>
      <w:r>
        <w:rPr>
          <w:rFonts w:hint="eastAsia" w:ascii="宋体" w:hAnsi="宋体" w:cs="宋体"/>
          <w:color w:val="auto"/>
          <w:szCs w:val="21"/>
          <w:highlight w:val="none"/>
          <w:u w:val="single"/>
          <w:lang w:eastAsia="zh-CN"/>
        </w:rPr>
        <w:t>婺城区2025-2026年水库（山塘）维修养护（物业化管理）项目</w:t>
      </w:r>
      <w:r>
        <w:rPr>
          <w:rFonts w:hint="eastAsia" w:hAnsi="宋体"/>
          <w:color w:val="auto"/>
          <w:szCs w:val="21"/>
          <w:highlight w:val="none"/>
        </w:rPr>
        <w:t>的投标活动，并代表我方全权办理针对上述项目的投标、开标、评标、签约等具体事务和签署相关文件。</w:t>
      </w:r>
    </w:p>
    <w:p w14:paraId="1591F639">
      <w:pPr>
        <w:shd w:val="clear" w:color="auto" w:fill="FFFFFF"/>
        <w:snapToGrid w:val="0"/>
        <w:spacing w:after="50" w:line="440" w:lineRule="exact"/>
        <w:rPr>
          <w:rFonts w:hAnsi="宋体"/>
          <w:color w:val="auto"/>
          <w:szCs w:val="21"/>
          <w:highlight w:val="none"/>
        </w:rPr>
      </w:pPr>
      <w:r>
        <w:rPr>
          <w:rFonts w:hint="eastAsia" w:hAnsi="宋体"/>
          <w:color w:val="auto"/>
          <w:szCs w:val="21"/>
          <w:highlight w:val="none"/>
        </w:rPr>
        <w:t xml:space="preserve">    我方对被授权人的签名事项负全部责任。</w:t>
      </w:r>
    </w:p>
    <w:p w14:paraId="016862DC">
      <w:pPr>
        <w:shd w:val="clear" w:color="auto" w:fill="FFFFFF"/>
        <w:snapToGrid w:val="0"/>
        <w:spacing w:after="50" w:line="440" w:lineRule="exact"/>
        <w:ind w:firstLine="480"/>
        <w:rPr>
          <w:rFonts w:hAnsi="宋体"/>
          <w:color w:val="auto"/>
          <w:szCs w:val="21"/>
          <w:highlight w:val="none"/>
        </w:rPr>
      </w:pPr>
      <w:r>
        <w:rPr>
          <w:rFonts w:hint="eastAsia" w:hAnsi="宋体"/>
          <w:color w:val="auto"/>
          <w:szCs w:val="21"/>
          <w:highlight w:val="none"/>
          <w:u w:val="single"/>
        </w:rPr>
        <w:t>在撤销授权的书面通知以前，本授权书一直有效。</w:t>
      </w:r>
      <w:r>
        <w:rPr>
          <w:rFonts w:hint="eastAsia" w:hAnsi="宋体"/>
          <w:color w:val="auto"/>
          <w:szCs w:val="21"/>
          <w:highlight w:val="none"/>
        </w:rPr>
        <w:t>被授权人在授权书有效期内签署的所有文件不因授权的撤销而失效。</w:t>
      </w:r>
    </w:p>
    <w:p w14:paraId="5B4D0EA8">
      <w:pPr>
        <w:shd w:val="clear" w:color="auto" w:fill="FFFFFF"/>
        <w:snapToGrid w:val="0"/>
        <w:spacing w:after="50" w:line="440" w:lineRule="exact"/>
        <w:ind w:firstLine="480"/>
        <w:rPr>
          <w:rFonts w:hAnsi="宋体"/>
          <w:color w:val="auto"/>
          <w:szCs w:val="21"/>
          <w:highlight w:val="none"/>
        </w:rPr>
      </w:pPr>
      <w:r>
        <w:rPr>
          <w:rFonts w:hint="eastAsia" w:hAnsi="宋体"/>
          <w:color w:val="auto"/>
          <w:szCs w:val="21"/>
          <w:highlight w:val="none"/>
        </w:rPr>
        <w:t>被授权人无转委托权，特此委托。</w:t>
      </w:r>
    </w:p>
    <w:p w14:paraId="6F9B5C22">
      <w:pPr>
        <w:shd w:val="clear" w:color="auto" w:fill="FFFFFF"/>
        <w:snapToGrid w:val="0"/>
        <w:spacing w:after="50" w:line="360" w:lineRule="exact"/>
        <w:rPr>
          <w:rFonts w:hint="eastAsia" w:hAnsi="宋体"/>
          <w:color w:val="auto"/>
          <w:szCs w:val="21"/>
          <w:highlight w:val="none"/>
        </w:rPr>
      </w:pPr>
      <w:r>
        <w:rPr>
          <w:rFonts w:hint="eastAsia" w:hAnsi="宋体"/>
          <w:color w:val="auto"/>
          <w:szCs w:val="21"/>
          <w:highlight w:val="none"/>
        </w:rPr>
        <w:t> </w:t>
      </w:r>
    </w:p>
    <w:p w14:paraId="236CDF57">
      <w:pPr>
        <w:shd w:val="clear" w:color="auto" w:fill="FFFFFF"/>
        <w:snapToGrid w:val="0"/>
        <w:spacing w:after="50" w:line="360" w:lineRule="exact"/>
        <w:rPr>
          <w:rFonts w:hint="eastAsia" w:hAnsi="宋体"/>
          <w:color w:val="auto"/>
          <w:szCs w:val="21"/>
          <w:highlight w:val="none"/>
        </w:rPr>
      </w:pPr>
    </w:p>
    <w:p w14:paraId="49F7CD32">
      <w:pPr>
        <w:shd w:val="clear" w:color="auto" w:fill="FFFFFF"/>
        <w:snapToGrid w:val="0"/>
        <w:spacing w:after="50" w:line="440" w:lineRule="exact"/>
        <w:rPr>
          <w:rFonts w:hAnsi="宋体"/>
          <w:color w:val="auto"/>
          <w:szCs w:val="21"/>
          <w:highlight w:val="none"/>
          <w:u w:val="single"/>
        </w:rPr>
      </w:pPr>
      <w:r>
        <w:rPr>
          <w:rFonts w:hint="eastAsia" w:hAnsi="宋体"/>
          <w:color w:val="auto"/>
          <w:szCs w:val="21"/>
          <w:highlight w:val="none"/>
        </w:rPr>
        <w:t>被授权人签名：                 法定代表人签名：</w:t>
      </w:r>
    </w:p>
    <w:p w14:paraId="790F3A76">
      <w:pPr>
        <w:shd w:val="clear" w:color="auto" w:fill="FFFFFF"/>
        <w:snapToGrid w:val="0"/>
        <w:spacing w:after="50" w:line="440" w:lineRule="exact"/>
        <w:ind w:firstLine="840" w:firstLineChars="400"/>
        <w:rPr>
          <w:rFonts w:hAnsi="宋体"/>
          <w:color w:val="auto"/>
          <w:szCs w:val="21"/>
          <w:highlight w:val="none"/>
        </w:rPr>
      </w:pPr>
      <w:r>
        <w:rPr>
          <w:rFonts w:hint="eastAsia" w:hAnsi="宋体"/>
          <w:color w:val="auto"/>
          <w:szCs w:val="21"/>
          <w:highlight w:val="none"/>
        </w:rPr>
        <w:t>职务：                          职务：</w:t>
      </w:r>
    </w:p>
    <w:p w14:paraId="19B4CBA4">
      <w:pPr>
        <w:shd w:val="clear" w:color="auto" w:fill="FFFFFF"/>
        <w:snapToGrid w:val="0"/>
        <w:spacing w:after="50" w:line="440" w:lineRule="exact"/>
        <w:rPr>
          <w:rFonts w:hAnsi="宋体"/>
          <w:color w:val="auto"/>
          <w:szCs w:val="21"/>
          <w:highlight w:val="none"/>
        </w:rPr>
      </w:pPr>
      <w:r>
        <w:rPr>
          <w:rFonts w:hint="eastAsia" w:hAnsi="宋体"/>
          <w:color w:val="auto"/>
          <w:szCs w:val="21"/>
          <w:highlight w:val="none"/>
        </w:rPr>
        <w:t>被授权人身份证复印件：</w:t>
      </w:r>
    </w:p>
    <w:p w14:paraId="0371D1E4">
      <w:pPr>
        <w:shd w:val="clear" w:color="auto" w:fill="FFFFFF"/>
        <w:snapToGrid w:val="0"/>
        <w:spacing w:after="50" w:line="360" w:lineRule="exact"/>
        <w:rPr>
          <w:rFonts w:hint="eastAsia" w:hAnsi="宋体"/>
          <w:color w:val="auto"/>
          <w:szCs w:val="21"/>
          <w:highlight w:val="none"/>
        </w:rPr>
      </w:pPr>
      <w:r>
        <w:rPr>
          <w:rFonts w:hint="eastAsia" w:hAnsi="宋体"/>
          <w:color w:val="auto"/>
          <w:szCs w:val="21"/>
          <w:highlight w:val="none"/>
        </w:rPr>
        <w:t> </w:t>
      </w:r>
    </w:p>
    <w:p w14:paraId="34A1F013">
      <w:pPr>
        <w:shd w:val="clear" w:color="auto" w:fill="FFFFFF"/>
        <w:snapToGrid w:val="0"/>
        <w:spacing w:after="50" w:line="360" w:lineRule="exact"/>
        <w:rPr>
          <w:rFonts w:hint="eastAsia" w:hAnsi="宋体"/>
          <w:color w:val="auto"/>
          <w:szCs w:val="21"/>
          <w:highlight w:val="none"/>
        </w:rPr>
      </w:pPr>
    </w:p>
    <w:p w14:paraId="6F6303DA">
      <w:pPr>
        <w:shd w:val="clear" w:color="auto" w:fill="FFFFFF"/>
        <w:snapToGrid w:val="0"/>
        <w:spacing w:after="50" w:line="360" w:lineRule="exact"/>
        <w:rPr>
          <w:rFonts w:hAnsi="宋体"/>
          <w:color w:val="auto"/>
          <w:szCs w:val="21"/>
          <w:highlight w:val="none"/>
        </w:rPr>
      </w:pPr>
      <w:r>
        <w:rPr>
          <w:rFonts w:hint="eastAsia" w:hAnsi="宋体"/>
          <w:color w:val="auto"/>
          <w:szCs w:val="21"/>
          <w:highlight w:val="none"/>
        </w:rPr>
        <w:t xml:space="preserve">                                         投标人公章：</w:t>
      </w:r>
    </w:p>
    <w:p w14:paraId="6AE401F4">
      <w:pPr>
        <w:shd w:val="clear" w:color="auto" w:fill="FFFFFF"/>
        <w:snapToGrid w:val="0"/>
        <w:spacing w:after="50" w:line="360" w:lineRule="exact"/>
        <w:jc w:val="center"/>
        <w:rPr>
          <w:rFonts w:hAnsi="宋体"/>
          <w:color w:val="auto"/>
          <w:szCs w:val="21"/>
          <w:highlight w:val="none"/>
        </w:rPr>
      </w:pPr>
    </w:p>
    <w:p w14:paraId="07EDA014">
      <w:pPr>
        <w:shd w:val="clear" w:color="auto" w:fill="FFFFFF"/>
        <w:snapToGrid w:val="0"/>
        <w:spacing w:after="50" w:line="360" w:lineRule="exact"/>
        <w:jc w:val="center"/>
        <w:rPr>
          <w:rFonts w:hAnsi="宋体"/>
          <w:color w:val="auto"/>
          <w:szCs w:val="21"/>
          <w:highlight w:val="none"/>
        </w:rPr>
      </w:pPr>
      <w:r>
        <w:rPr>
          <w:rFonts w:hint="eastAsia" w:hAnsi="宋体"/>
          <w:color w:val="auto"/>
          <w:szCs w:val="21"/>
          <w:highlight w:val="none"/>
        </w:rPr>
        <w:t xml:space="preserve">                                           年    月    日</w:t>
      </w:r>
    </w:p>
    <w:p w14:paraId="691A5932">
      <w:pPr>
        <w:shd w:val="clear" w:color="auto" w:fill="FFFFFF"/>
        <w:snapToGrid w:val="0"/>
        <w:spacing w:after="50" w:line="360" w:lineRule="exact"/>
        <w:jc w:val="center"/>
        <w:rPr>
          <w:rFonts w:hAnsi="宋体"/>
          <w:color w:val="auto"/>
          <w:szCs w:val="21"/>
          <w:highlight w:val="none"/>
        </w:rPr>
      </w:pPr>
      <w:r>
        <w:rPr>
          <w:rFonts w:hint="eastAsia" w:hAnsi="宋体"/>
          <w:color w:val="auto"/>
          <w:szCs w:val="21"/>
          <w:highlight w:val="none"/>
        </w:rPr>
        <w:t>………………………………………………………………………………………………………………………</w:t>
      </w:r>
    </w:p>
    <w:p w14:paraId="1743EDAB">
      <w:pPr>
        <w:shd w:val="clear" w:color="auto" w:fill="FFFFFF"/>
        <w:snapToGrid w:val="0"/>
        <w:spacing w:after="50" w:line="360" w:lineRule="exact"/>
        <w:jc w:val="center"/>
        <w:rPr>
          <w:rFonts w:hAnsi="宋体"/>
          <w:color w:val="auto"/>
          <w:szCs w:val="21"/>
          <w:highlight w:val="none"/>
        </w:rPr>
      </w:pPr>
      <w:r>
        <w:rPr>
          <w:rFonts w:hint="eastAsia" w:hAnsi="宋体"/>
          <w:color w:val="auto"/>
          <w:szCs w:val="21"/>
          <w:highlight w:val="none"/>
        </w:rPr>
        <w:t> 身份证复印件</w:t>
      </w:r>
    </w:p>
    <w:p w14:paraId="7FB98285">
      <w:pPr>
        <w:shd w:val="clear" w:color="auto" w:fill="FFFFFF"/>
        <w:snapToGrid w:val="0"/>
        <w:spacing w:after="50"/>
        <w:rPr>
          <w:rFonts w:hAnsi="宋体"/>
          <w:color w:val="auto"/>
          <w:szCs w:val="21"/>
          <w:highlight w:val="none"/>
        </w:rPr>
      </w:pPr>
      <w:r>
        <w:rPr>
          <w:rFonts w:hint="eastAsia" w:hAnsi="宋体"/>
          <w:color w:val="auto"/>
          <w:szCs w:val="21"/>
          <w:highlight w:val="none"/>
        </w:rPr>
        <w:t> </w:t>
      </w:r>
    </w:p>
    <w:p w14:paraId="65E9FE42">
      <w:pPr>
        <w:shd w:val="clear" w:color="auto" w:fill="FFFFFF"/>
        <w:snapToGrid w:val="0"/>
        <w:spacing w:before="50" w:line="360" w:lineRule="exact"/>
        <w:jc w:val="center"/>
        <w:rPr>
          <w:rFonts w:hint="eastAsia" w:hAnsi="宋体"/>
          <w:b/>
          <w:bCs/>
          <w:color w:val="auto"/>
          <w:szCs w:val="21"/>
          <w:highlight w:val="none"/>
        </w:rPr>
      </w:pPr>
    </w:p>
    <w:p w14:paraId="3AE4E48F">
      <w:pPr>
        <w:pStyle w:val="45"/>
        <w:ind w:firstLine="562"/>
        <w:rPr>
          <w:rFonts w:hint="eastAsia" w:ascii="宋体" w:hAnsi="宋体"/>
          <w:b/>
          <w:bCs/>
          <w:color w:val="auto"/>
          <w:szCs w:val="21"/>
          <w:highlight w:val="none"/>
        </w:rPr>
      </w:pPr>
    </w:p>
    <w:p w14:paraId="50D2764C">
      <w:pPr>
        <w:pStyle w:val="45"/>
        <w:ind w:firstLine="562"/>
        <w:rPr>
          <w:rFonts w:hint="eastAsia" w:ascii="宋体" w:hAnsi="宋体"/>
          <w:b/>
          <w:bCs/>
          <w:color w:val="auto"/>
          <w:szCs w:val="21"/>
          <w:highlight w:val="none"/>
        </w:rPr>
      </w:pPr>
    </w:p>
    <w:p w14:paraId="11392DED">
      <w:pPr>
        <w:pStyle w:val="45"/>
        <w:ind w:firstLine="562"/>
        <w:rPr>
          <w:rFonts w:hint="eastAsia" w:ascii="宋体" w:hAnsi="宋体"/>
          <w:b/>
          <w:bCs/>
          <w:color w:val="auto"/>
          <w:szCs w:val="21"/>
          <w:highlight w:val="none"/>
        </w:rPr>
      </w:pPr>
    </w:p>
    <w:p w14:paraId="4FD3C7B4">
      <w:pPr>
        <w:shd w:val="clear" w:color="auto" w:fill="FFFFFF"/>
        <w:snapToGrid w:val="0"/>
        <w:spacing w:before="50" w:line="360" w:lineRule="exact"/>
        <w:jc w:val="center"/>
        <w:rPr>
          <w:rFonts w:hint="eastAsia" w:hAnsi="宋体"/>
          <w:b/>
          <w:bCs/>
          <w:color w:val="auto"/>
          <w:szCs w:val="21"/>
          <w:highlight w:val="none"/>
        </w:rPr>
      </w:pPr>
    </w:p>
    <w:p w14:paraId="10869245">
      <w:pPr>
        <w:shd w:val="clear" w:color="auto" w:fill="FFFFFF"/>
        <w:snapToGrid w:val="0"/>
        <w:spacing w:line="360" w:lineRule="exact"/>
        <w:rPr>
          <w:rFonts w:hint="eastAsia" w:hAnsi="宋体"/>
          <w:b/>
          <w:bCs/>
          <w:color w:val="auto"/>
          <w:sz w:val="24"/>
          <w:highlight w:val="none"/>
        </w:rPr>
      </w:pPr>
      <w:r>
        <w:rPr>
          <w:rFonts w:hint="eastAsia" w:hAnsi="宋体"/>
          <w:b/>
          <w:bCs/>
          <w:color w:val="auto"/>
          <w:sz w:val="24"/>
          <w:highlight w:val="none"/>
        </w:rPr>
        <w:br w:type="page"/>
      </w:r>
      <w:r>
        <w:rPr>
          <w:rFonts w:hint="eastAsia" w:hAnsi="宋体"/>
          <w:b/>
          <w:bCs/>
          <w:color w:val="auto"/>
          <w:sz w:val="24"/>
          <w:highlight w:val="none"/>
        </w:rPr>
        <w:t>附件3</w:t>
      </w:r>
    </w:p>
    <w:p w14:paraId="2B7F4814">
      <w:pPr>
        <w:shd w:val="clear" w:color="auto" w:fill="FFFFFF"/>
        <w:snapToGrid w:val="0"/>
        <w:spacing w:line="360" w:lineRule="exact"/>
        <w:ind w:firstLine="482" w:firstLineChars="200"/>
        <w:rPr>
          <w:rFonts w:hint="eastAsia" w:hAnsi="宋体"/>
          <w:b/>
          <w:bCs/>
          <w:color w:val="auto"/>
          <w:sz w:val="24"/>
          <w:highlight w:val="none"/>
        </w:rPr>
      </w:pPr>
    </w:p>
    <w:p w14:paraId="1BA01749">
      <w:pPr>
        <w:shd w:val="clear" w:color="auto" w:fill="FFFFFF"/>
        <w:snapToGrid w:val="0"/>
        <w:spacing w:before="50" w:line="360" w:lineRule="exact"/>
        <w:jc w:val="center"/>
        <w:rPr>
          <w:rFonts w:hint="eastAsia" w:hAnsi="宋体"/>
          <w:b/>
          <w:bCs/>
          <w:color w:val="auto"/>
          <w:sz w:val="24"/>
          <w:highlight w:val="none"/>
        </w:rPr>
      </w:pPr>
      <w:bookmarkStart w:id="49" w:name="_Toc20476_WPSOffice_Level2"/>
      <w:bookmarkStart w:id="50" w:name="_Toc26284_WPSOffice_Level2"/>
      <w:r>
        <w:rPr>
          <w:rFonts w:hint="eastAsia" w:hAnsi="宋体"/>
          <w:b/>
          <w:bCs/>
          <w:color w:val="auto"/>
          <w:sz w:val="24"/>
          <w:highlight w:val="none"/>
        </w:rPr>
        <w:t>投标人单位情况表</w:t>
      </w:r>
      <w:bookmarkEnd w:id="49"/>
      <w:bookmarkEnd w:id="50"/>
    </w:p>
    <w:tbl>
      <w:tblPr>
        <w:tblStyle w:val="46"/>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22"/>
        <w:gridCol w:w="1265"/>
        <w:gridCol w:w="1265"/>
        <w:gridCol w:w="1356"/>
        <w:gridCol w:w="892"/>
        <w:gridCol w:w="376"/>
        <w:gridCol w:w="794"/>
        <w:gridCol w:w="685"/>
        <w:gridCol w:w="1055"/>
      </w:tblGrid>
      <w:tr w14:paraId="23502D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2" w:type="dxa"/>
            <w:tcBorders>
              <w:top w:val="single" w:color="auto" w:sz="4" w:space="0"/>
              <w:left w:val="single" w:color="auto" w:sz="4" w:space="0"/>
              <w:bottom w:val="single" w:color="auto" w:sz="4" w:space="0"/>
              <w:right w:val="single" w:color="auto" w:sz="4" w:space="0"/>
            </w:tcBorders>
            <w:noWrap w:val="0"/>
            <w:vAlign w:val="center"/>
          </w:tcPr>
          <w:p w14:paraId="5E69234C">
            <w:pPr>
              <w:pStyle w:val="72"/>
              <w:spacing w:line="400" w:lineRule="exact"/>
              <w:rPr>
                <w:rFonts w:hint="eastAsia" w:cs="宋体"/>
                <w:color w:val="auto"/>
                <w:highlight w:val="none"/>
              </w:rPr>
            </w:pPr>
            <w:r>
              <w:rPr>
                <w:rFonts w:hint="eastAsia" w:cs="宋体"/>
                <w:color w:val="auto"/>
                <w:highlight w:val="none"/>
              </w:rPr>
              <w:t>投标人名称</w:t>
            </w:r>
          </w:p>
        </w:tc>
        <w:tc>
          <w:tcPr>
            <w:tcW w:w="7688" w:type="dxa"/>
            <w:gridSpan w:val="8"/>
            <w:tcBorders>
              <w:top w:val="single" w:color="auto" w:sz="4" w:space="0"/>
              <w:left w:val="single" w:color="auto" w:sz="4" w:space="0"/>
              <w:bottom w:val="single" w:color="auto" w:sz="4" w:space="0"/>
              <w:right w:val="single" w:color="auto" w:sz="4" w:space="0"/>
            </w:tcBorders>
            <w:noWrap w:val="0"/>
            <w:vAlign w:val="center"/>
          </w:tcPr>
          <w:p w14:paraId="07FE47B4">
            <w:pPr>
              <w:pStyle w:val="72"/>
              <w:spacing w:line="400" w:lineRule="exact"/>
              <w:ind w:firstLine="600"/>
              <w:rPr>
                <w:rFonts w:hint="eastAsia" w:cs="宋体"/>
                <w:color w:val="auto"/>
                <w:highlight w:val="none"/>
              </w:rPr>
            </w:pPr>
          </w:p>
        </w:tc>
      </w:tr>
      <w:tr w14:paraId="5A573B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trPr>
        <w:tc>
          <w:tcPr>
            <w:tcW w:w="1522" w:type="dxa"/>
            <w:tcBorders>
              <w:top w:val="single" w:color="auto" w:sz="4" w:space="0"/>
              <w:left w:val="single" w:color="auto" w:sz="4" w:space="0"/>
              <w:bottom w:val="single" w:color="auto" w:sz="4" w:space="0"/>
              <w:right w:val="single" w:color="auto" w:sz="4" w:space="0"/>
            </w:tcBorders>
            <w:noWrap w:val="0"/>
            <w:vAlign w:val="center"/>
          </w:tcPr>
          <w:p w14:paraId="4970D052">
            <w:pPr>
              <w:pStyle w:val="72"/>
              <w:spacing w:line="400" w:lineRule="exact"/>
              <w:rPr>
                <w:rFonts w:hint="eastAsia" w:cs="宋体"/>
                <w:color w:val="auto"/>
                <w:highlight w:val="none"/>
              </w:rPr>
            </w:pPr>
            <w:r>
              <w:rPr>
                <w:rFonts w:hint="eastAsia" w:cs="宋体"/>
                <w:color w:val="auto"/>
                <w:highlight w:val="none"/>
              </w:rPr>
              <w:t>注册地址</w:t>
            </w:r>
          </w:p>
        </w:tc>
        <w:tc>
          <w:tcPr>
            <w:tcW w:w="3886" w:type="dxa"/>
            <w:gridSpan w:val="3"/>
            <w:tcBorders>
              <w:top w:val="single" w:color="auto" w:sz="4" w:space="0"/>
              <w:left w:val="single" w:color="auto" w:sz="4" w:space="0"/>
              <w:bottom w:val="single" w:color="auto" w:sz="4" w:space="0"/>
              <w:right w:val="single" w:color="auto" w:sz="4" w:space="0"/>
            </w:tcBorders>
            <w:noWrap w:val="0"/>
            <w:vAlign w:val="center"/>
          </w:tcPr>
          <w:p w14:paraId="70793604">
            <w:pPr>
              <w:pStyle w:val="72"/>
              <w:spacing w:line="400" w:lineRule="exact"/>
              <w:rPr>
                <w:rFonts w:hint="eastAsia" w:cs="宋体"/>
                <w:color w:val="auto"/>
                <w:highlight w:val="none"/>
              </w:rPr>
            </w:pPr>
          </w:p>
        </w:tc>
        <w:tc>
          <w:tcPr>
            <w:tcW w:w="1268" w:type="dxa"/>
            <w:gridSpan w:val="2"/>
            <w:tcBorders>
              <w:top w:val="single" w:color="auto" w:sz="4" w:space="0"/>
              <w:left w:val="single" w:color="auto" w:sz="4" w:space="0"/>
              <w:bottom w:val="single" w:color="auto" w:sz="4" w:space="0"/>
              <w:right w:val="single" w:color="auto" w:sz="4" w:space="0"/>
            </w:tcBorders>
            <w:noWrap w:val="0"/>
            <w:vAlign w:val="center"/>
          </w:tcPr>
          <w:p w14:paraId="6C00CE24">
            <w:pPr>
              <w:pStyle w:val="72"/>
              <w:spacing w:line="400" w:lineRule="exact"/>
              <w:rPr>
                <w:rFonts w:hint="eastAsia" w:cs="宋体"/>
                <w:color w:val="auto"/>
                <w:highlight w:val="none"/>
              </w:rPr>
            </w:pPr>
            <w:r>
              <w:rPr>
                <w:rFonts w:hint="eastAsia" w:cs="宋体"/>
                <w:color w:val="auto"/>
                <w:highlight w:val="none"/>
              </w:rPr>
              <w:t>邮政编码</w:t>
            </w:r>
          </w:p>
        </w:tc>
        <w:tc>
          <w:tcPr>
            <w:tcW w:w="2534" w:type="dxa"/>
            <w:gridSpan w:val="3"/>
            <w:tcBorders>
              <w:top w:val="single" w:color="auto" w:sz="4" w:space="0"/>
              <w:left w:val="single" w:color="auto" w:sz="4" w:space="0"/>
              <w:bottom w:val="single" w:color="auto" w:sz="4" w:space="0"/>
              <w:right w:val="single" w:color="auto" w:sz="4" w:space="0"/>
            </w:tcBorders>
            <w:noWrap w:val="0"/>
            <w:vAlign w:val="center"/>
          </w:tcPr>
          <w:p w14:paraId="1140C501">
            <w:pPr>
              <w:pStyle w:val="72"/>
              <w:spacing w:line="400" w:lineRule="exact"/>
              <w:rPr>
                <w:rFonts w:hint="eastAsia" w:cs="宋体"/>
                <w:color w:val="auto"/>
                <w:highlight w:val="none"/>
              </w:rPr>
            </w:pPr>
          </w:p>
        </w:tc>
      </w:tr>
      <w:tr w14:paraId="6489EE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2" w:hRule="atLeast"/>
        </w:trPr>
        <w:tc>
          <w:tcPr>
            <w:tcW w:w="1522" w:type="dxa"/>
            <w:vMerge w:val="restart"/>
            <w:tcBorders>
              <w:top w:val="single" w:color="auto" w:sz="4" w:space="0"/>
              <w:left w:val="single" w:color="auto" w:sz="4" w:space="0"/>
              <w:bottom w:val="single" w:color="auto" w:sz="4" w:space="0"/>
              <w:right w:val="single" w:color="auto" w:sz="4" w:space="0"/>
            </w:tcBorders>
            <w:noWrap w:val="0"/>
            <w:vAlign w:val="center"/>
          </w:tcPr>
          <w:p w14:paraId="0487A753">
            <w:pPr>
              <w:pStyle w:val="72"/>
              <w:spacing w:line="400" w:lineRule="exact"/>
              <w:rPr>
                <w:rFonts w:hint="eastAsia" w:cs="宋体"/>
                <w:color w:val="auto"/>
                <w:highlight w:val="none"/>
              </w:rPr>
            </w:pPr>
            <w:r>
              <w:rPr>
                <w:rFonts w:hint="eastAsia" w:cs="宋体"/>
                <w:color w:val="auto"/>
                <w:highlight w:val="none"/>
              </w:rPr>
              <w:t>联系方式</w:t>
            </w:r>
          </w:p>
        </w:tc>
        <w:tc>
          <w:tcPr>
            <w:tcW w:w="1265" w:type="dxa"/>
            <w:tcBorders>
              <w:top w:val="single" w:color="auto" w:sz="4" w:space="0"/>
              <w:left w:val="single" w:color="auto" w:sz="4" w:space="0"/>
              <w:bottom w:val="single" w:color="auto" w:sz="4" w:space="0"/>
              <w:right w:val="single" w:color="auto" w:sz="4" w:space="0"/>
            </w:tcBorders>
            <w:noWrap w:val="0"/>
            <w:vAlign w:val="center"/>
          </w:tcPr>
          <w:p w14:paraId="4697EC59">
            <w:pPr>
              <w:pStyle w:val="72"/>
              <w:spacing w:line="400" w:lineRule="exact"/>
              <w:rPr>
                <w:rFonts w:hint="eastAsia" w:cs="宋体"/>
                <w:color w:val="auto"/>
                <w:highlight w:val="none"/>
              </w:rPr>
            </w:pPr>
            <w:r>
              <w:rPr>
                <w:rFonts w:hint="eastAsia" w:cs="宋体"/>
                <w:color w:val="auto"/>
                <w:highlight w:val="none"/>
              </w:rPr>
              <w:t>联系人</w:t>
            </w:r>
          </w:p>
        </w:tc>
        <w:tc>
          <w:tcPr>
            <w:tcW w:w="2621" w:type="dxa"/>
            <w:gridSpan w:val="2"/>
            <w:tcBorders>
              <w:top w:val="single" w:color="auto" w:sz="4" w:space="0"/>
              <w:left w:val="single" w:color="auto" w:sz="4" w:space="0"/>
              <w:bottom w:val="single" w:color="auto" w:sz="4" w:space="0"/>
              <w:right w:val="single" w:color="auto" w:sz="4" w:space="0"/>
            </w:tcBorders>
            <w:noWrap w:val="0"/>
            <w:vAlign w:val="center"/>
          </w:tcPr>
          <w:p w14:paraId="5D89AF83">
            <w:pPr>
              <w:pStyle w:val="72"/>
              <w:spacing w:line="400" w:lineRule="exact"/>
              <w:rPr>
                <w:rFonts w:hint="eastAsia" w:cs="宋体"/>
                <w:color w:val="auto"/>
                <w:highlight w:val="none"/>
              </w:rPr>
            </w:pPr>
          </w:p>
        </w:tc>
        <w:tc>
          <w:tcPr>
            <w:tcW w:w="1268" w:type="dxa"/>
            <w:gridSpan w:val="2"/>
            <w:tcBorders>
              <w:top w:val="single" w:color="auto" w:sz="4" w:space="0"/>
              <w:left w:val="single" w:color="auto" w:sz="4" w:space="0"/>
              <w:bottom w:val="single" w:color="auto" w:sz="4" w:space="0"/>
              <w:right w:val="single" w:color="auto" w:sz="4" w:space="0"/>
            </w:tcBorders>
            <w:noWrap w:val="0"/>
            <w:vAlign w:val="center"/>
          </w:tcPr>
          <w:p w14:paraId="357D71CE">
            <w:pPr>
              <w:pStyle w:val="72"/>
              <w:spacing w:line="400" w:lineRule="exact"/>
              <w:rPr>
                <w:rFonts w:hint="eastAsia" w:cs="宋体"/>
                <w:color w:val="auto"/>
                <w:highlight w:val="none"/>
              </w:rPr>
            </w:pPr>
            <w:r>
              <w:rPr>
                <w:rFonts w:hint="eastAsia" w:cs="宋体"/>
                <w:color w:val="auto"/>
                <w:highlight w:val="none"/>
              </w:rPr>
              <w:t>电话</w:t>
            </w:r>
          </w:p>
        </w:tc>
        <w:tc>
          <w:tcPr>
            <w:tcW w:w="2534" w:type="dxa"/>
            <w:gridSpan w:val="3"/>
            <w:tcBorders>
              <w:top w:val="single" w:color="auto" w:sz="4" w:space="0"/>
              <w:left w:val="single" w:color="auto" w:sz="4" w:space="0"/>
              <w:bottom w:val="single" w:color="auto" w:sz="4" w:space="0"/>
              <w:right w:val="single" w:color="auto" w:sz="4" w:space="0"/>
            </w:tcBorders>
            <w:noWrap w:val="0"/>
            <w:vAlign w:val="center"/>
          </w:tcPr>
          <w:p w14:paraId="7F4DBED8">
            <w:pPr>
              <w:pStyle w:val="72"/>
              <w:spacing w:line="400" w:lineRule="exact"/>
              <w:rPr>
                <w:rFonts w:hint="eastAsia" w:cs="宋体"/>
                <w:color w:val="auto"/>
                <w:highlight w:val="none"/>
              </w:rPr>
            </w:pPr>
          </w:p>
        </w:tc>
      </w:tr>
      <w:tr w14:paraId="03443D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8" w:hRule="atLeast"/>
        </w:trPr>
        <w:tc>
          <w:tcPr>
            <w:tcW w:w="1522" w:type="dxa"/>
            <w:vMerge w:val="continue"/>
            <w:tcBorders>
              <w:top w:val="single" w:color="auto" w:sz="4" w:space="0"/>
              <w:left w:val="single" w:color="auto" w:sz="4" w:space="0"/>
              <w:bottom w:val="single" w:color="auto" w:sz="4" w:space="0"/>
              <w:right w:val="single" w:color="auto" w:sz="4" w:space="0"/>
            </w:tcBorders>
            <w:noWrap w:val="0"/>
            <w:vAlign w:val="center"/>
          </w:tcPr>
          <w:p w14:paraId="560A3F78">
            <w:pPr>
              <w:pStyle w:val="72"/>
              <w:spacing w:line="400" w:lineRule="exact"/>
              <w:rPr>
                <w:rFonts w:hint="eastAsia" w:cs="宋体"/>
                <w:color w:val="auto"/>
                <w:highlight w:val="none"/>
              </w:rPr>
            </w:pPr>
          </w:p>
        </w:tc>
        <w:tc>
          <w:tcPr>
            <w:tcW w:w="1265" w:type="dxa"/>
            <w:tcBorders>
              <w:top w:val="single" w:color="auto" w:sz="4" w:space="0"/>
              <w:left w:val="single" w:color="auto" w:sz="4" w:space="0"/>
              <w:bottom w:val="single" w:color="auto" w:sz="4" w:space="0"/>
              <w:right w:val="single" w:color="auto" w:sz="4" w:space="0"/>
            </w:tcBorders>
            <w:noWrap w:val="0"/>
            <w:vAlign w:val="center"/>
          </w:tcPr>
          <w:p w14:paraId="436EAB1C">
            <w:pPr>
              <w:pStyle w:val="72"/>
              <w:spacing w:line="400" w:lineRule="exact"/>
              <w:rPr>
                <w:rFonts w:hint="eastAsia" w:cs="宋体"/>
                <w:color w:val="auto"/>
                <w:highlight w:val="none"/>
              </w:rPr>
            </w:pPr>
            <w:r>
              <w:rPr>
                <w:rFonts w:hint="eastAsia" w:cs="宋体"/>
                <w:color w:val="auto"/>
                <w:highlight w:val="none"/>
              </w:rPr>
              <w:t>传真</w:t>
            </w:r>
          </w:p>
        </w:tc>
        <w:tc>
          <w:tcPr>
            <w:tcW w:w="2621" w:type="dxa"/>
            <w:gridSpan w:val="2"/>
            <w:tcBorders>
              <w:top w:val="single" w:color="auto" w:sz="4" w:space="0"/>
              <w:left w:val="single" w:color="auto" w:sz="4" w:space="0"/>
              <w:bottom w:val="single" w:color="auto" w:sz="4" w:space="0"/>
              <w:right w:val="single" w:color="auto" w:sz="4" w:space="0"/>
            </w:tcBorders>
            <w:noWrap w:val="0"/>
            <w:vAlign w:val="center"/>
          </w:tcPr>
          <w:p w14:paraId="03B2FA11">
            <w:pPr>
              <w:pStyle w:val="72"/>
              <w:spacing w:line="400" w:lineRule="exact"/>
              <w:rPr>
                <w:rFonts w:hint="eastAsia" w:cs="宋体"/>
                <w:color w:val="auto"/>
                <w:highlight w:val="none"/>
              </w:rPr>
            </w:pPr>
          </w:p>
        </w:tc>
        <w:tc>
          <w:tcPr>
            <w:tcW w:w="1268" w:type="dxa"/>
            <w:gridSpan w:val="2"/>
            <w:tcBorders>
              <w:top w:val="single" w:color="auto" w:sz="4" w:space="0"/>
              <w:left w:val="single" w:color="auto" w:sz="4" w:space="0"/>
              <w:bottom w:val="single" w:color="auto" w:sz="4" w:space="0"/>
              <w:right w:val="single" w:color="auto" w:sz="4" w:space="0"/>
            </w:tcBorders>
            <w:noWrap w:val="0"/>
            <w:vAlign w:val="center"/>
          </w:tcPr>
          <w:p w14:paraId="3B4BF17F">
            <w:pPr>
              <w:pStyle w:val="72"/>
              <w:spacing w:line="400" w:lineRule="exact"/>
              <w:rPr>
                <w:rFonts w:hint="eastAsia" w:cs="宋体"/>
                <w:color w:val="auto"/>
                <w:highlight w:val="none"/>
              </w:rPr>
            </w:pPr>
            <w:r>
              <w:rPr>
                <w:rFonts w:hint="eastAsia" w:cs="宋体"/>
                <w:color w:val="auto"/>
                <w:highlight w:val="none"/>
              </w:rPr>
              <w:t>电子邮址</w:t>
            </w:r>
          </w:p>
        </w:tc>
        <w:tc>
          <w:tcPr>
            <w:tcW w:w="2534" w:type="dxa"/>
            <w:gridSpan w:val="3"/>
            <w:tcBorders>
              <w:top w:val="single" w:color="auto" w:sz="4" w:space="0"/>
              <w:left w:val="single" w:color="auto" w:sz="4" w:space="0"/>
              <w:bottom w:val="single" w:color="auto" w:sz="4" w:space="0"/>
              <w:right w:val="single" w:color="auto" w:sz="4" w:space="0"/>
            </w:tcBorders>
            <w:noWrap w:val="0"/>
            <w:vAlign w:val="center"/>
          </w:tcPr>
          <w:p w14:paraId="364B2F98">
            <w:pPr>
              <w:pStyle w:val="72"/>
              <w:spacing w:line="400" w:lineRule="exact"/>
              <w:rPr>
                <w:rFonts w:hint="eastAsia" w:cs="宋体"/>
                <w:color w:val="auto"/>
                <w:highlight w:val="none"/>
              </w:rPr>
            </w:pPr>
          </w:p>
        </w:tc>
      </w:tr>
      <w:tr w14:paraId="05C195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trPr>
        <w:tc>
          <w:tcPr>
            <w:tcW w:w="1522" w:type="dxa"/>
            <w:tcBorders>
              <w:top w:val="single" w:color="auto" w:sz="4" w:space="0"/>
              <w:left w:val="single" w:color="auto" w:sz="4" w:space="0"/>
              <w:bottom w:val="single" w:color="auto" w:sz="4" w:space="0"/>
              <w:right w:val="single" w:color="auto" w:sz="4" w:space="0"/>
            </w:tcBorders>
            <w:noWrap w:val="0"/>
            <w:vAlign w:val="center"/>
          </w:tcPr>
          <w:p w14:paraId="372DA1A4">
            <w:pPr>
              <w:pStyle w:val="72"/>
              <w:spacing w:line="400" w:lineRule="exact"/>
              <w:rPr>
                <w:rFonts w:hint="eastAsia" w:cs="宋体"/>
                <w:color w:val="auto"/>
                <w:highlight w:val="none"/>
              </w:rPr>
            </w:pPr>
            <w:r>
              <w:rPr>
                <w:rFonts w:hint="eastAsia" w:cs="宋体"/>
                <w:color w:val="auto"/>
                <w:highlight w:val="none"/>
              </w:rPr>
              <w:t>法定代表人</w:t>
            </w:r>
          </w:p>
        </w:tc>
        <w:tc>
          <w:tcPr>
            <w:tcW w:w="1265" w:type="dxa"/>
            <w:tcBorders>
              <w:top w:val="single" w:color="auto" w:sz="4" w:space="0"/>
              <w:left w:val="single" w:color="auto" w:sz="4" w:space="0"/>
              <w:bottom w:val="single" w:color="auto" w:sz="4" w:space="0"/>
              <w:right w:val="single" w:color="auto" w:sz="4" w:space="0"/>
            </w:tcBorders>
            <w:noWrap w:val="0"/>
            <w:vAlign w:val="center"/>
          </w:tcPr>
          <w:p w14:paraId="3A69633C">
            <w:pPr>
              <w:pStyle w:val="72"/>
              <w:spacing w:line="400" w:lineRule="exact"/>
              <w:rPr>
                <w:rFonts w:hint="eastAsia" w:cs="宋体"/>
                <w:color w:val="auto"/>
                <w:highlight w:val="none"/>
              </w:rPr>
            </w:pPr>
            <w:r>
              <w:rPr>
                <w:rFonts w:hint="eastAsia" w:cs="宋体"/>
                <w:color w:val="auto"/>
                <w:highlight w:val="none"/>
              </w:rPr>
              <w:t>姓名</w:t>
            </w:r>
          </w:p>
        </w:tc>
        <w:tc>
          <w:tcPr>
            <w:tcW w:w="1265" w:type="dxa"/>
            <w:tcBorders>
              <w:top w:val="single" w:color="auto" w:sz="4" w:space="0"/>
              <w:left w:val="single" w:color="auto" w:sz="4" w:space="0"/>
              <w:bottom w:val="single" w:color="auto" w:sz="4" w:space="0"/>
              <w:right w:val="single" w:color="auto" w:sz="4" w:space="0"/>
            </w:tcBorders>
            <w:noWrap w:val="0"/>
            <w:vAlign w:val="center"/>
          </w:tcPr>
          <w:p w14:paraId="60F14E67">
            <w:pPr>
              <w:pStyle w:val="72"/>
              <w:spacing w:line="400" w:lineRule="exact"/>
              <w:rPr>
                <w:rFonts w:hint="eastAsia" w:cs="宋体"/>
                <w:color w:val="auto"/>
                <w:highlight w:val="none"/>
              </w:rPr>
            </w:pPr>
          </w:p>
        </w:tc>
        <w:tc>
          <w:tcPr>
            <w:tcW w:w="1356" w:type="dxa"/>
            <w:tcBorders>
              <w:top w:val="single" w:color="auto" w:sz="4" w:space="0"/>
              <w:left w:val="single" w:color="auto" w:sz="4" w:space="0"/>
              <w:bottom w:val="single" w:color="auto" w:sz="4" w:space="0"/>
              <w:right w:val="single" w:color="auto" w:sz="4" w:space="0"/>
            </w:tcBorders>
            <w:noWrap w:val="0"/>
            <w:vAlign w:val="center"/>
          </w:tcPr>
          <w:p w14:paraId="0624A817">
            <w:pPr>
              <w:pStyle w:val="72"/>
              <w:spacing w:line="400" w:lineRule="exact"/>
              <w:rPr>
                <w:rFonts w:hint="eastAsia" w:cs="宋体"/>
                <w:color w:val="auto"/>
                <w:highlight w:val="none"/>
              </w:rPr>
            </w:pPr>
            <w:r>
              <w:rPr>
                <w:rFonts w:hint="eastAsia" w:cs="宋体"/>
                <w:color w:val="auto"/>
                <w:highlight w:val="none"/>
              </w:rPr>
              <w:t>技术职称</w:t>
            </w:r>
          </w:p>
        </w:tc>
        <w:tc>
          <w:tcPr>
            <w:tcW w:w="1268" w:type="dxa"/>
            <w:gridSpan w:val="2"/>
            <w:tcBorders>
              <w:top w:val="single" w:color="auto" w:sz="4" w:space="0"/>
              <w:left w:val="single" w:color="auto" w:sz="4" w:space="0"/>
              <w:bottom w:val="single" w:color="auto" w:sz="4" w:space="0"/>
              <w:right w:val="single" w:color="auto" w:sz="4" w:space="0"/>
            </w:tcBorders>
            <w:noWrap w:val="0"/>
            <w:vAlign w:val="center"/>
          </w:tcPr>
          <w:p w14:paraId="68FFE220">
            <w:pPr>
              <w:pStyle w:val="72"/>
              <w:spacing w:line="400" w:lineRule="exact"/>
              <w:rPr>
                <w:rFonts w:hint="eastAsia" w:cs="宋体"/>
                <w:color w:val="auto"/>
                <w:highlight w:val="none"/>
              </w:rPr>
            </w:pPr>
          </w:p>
        </w:tc>
        <w:tc>
          <w:tcPr>
            <w:tcW w:w="794" w:type="dxa"/>
            <w:tcBorders>
              <w:top w:val="single" w:color="auto" w:sz="4" w:space="0"/>
              <w:left w:val="single" w:color="auto" w:sz="4" w:space="0"/>
              <w:bottom w:val="single" w:color="auto" w:sz="4" w:space="0"/>
              <w:right w:val="single" w:color="auto" w:sz="4" w:space="0"/>
            </w:tcBorders>
            <w:noWrap w:val="0"/>
            <w:vAlign w:val="center"/>
          </w:tcPr>
          <w:p w14:paraId="306B6C69">
            <w:pPr>
              <w:pStyle w:val="72"/>
              <w:spacing w:line="400" w:lineRule="exact"/>
              <w:rPr>
                <w:rFonts w:hint="eastAsia" w:cs="宋体"/>
                <w:color w:val="auto"/>
                <w:highlight w:val="none"/>
              </w:rPr>
            </w:pPr>
            <w:r>
              <w:rPr>
                <w:rFonts w:hint="eastAsia" w:cs="宋体"/>
                <w:color w:val="auto"/>
                <w:highlight w:val="none"/>
              </w:rPr>
              <w:t>电话</w:t>
            </w:r>
          </w:p>
        </w:tc>
        <w:tc>
          <w:tcPr>
            <w:tcW w:w="1740" w:type="dxa"/>
            <w:gridSpan w:val="2"/>
            <w:tcBorders>
              <w:top w:val="single" w:color="auto" w:sz="4" w:space="0"/>
              <w:left w:val="single" w:color="auto" w:sz="4" w:space="0"/>
              <w:bottom w:val="single" w:color="auto" w:sz="4" w:space="0"/>
              <w:right w:val="single" w:color="auto" w:sz="4" w:space="0"/>
            </w:tcBorders>
            <w:noWrap w:val="0"/>
            <w:vAlign w:val="center"/>
          </w:tcPr>
          <w:p w14:paraId="1B033E56">
            <w:pPr>
              <w:pStyle w:val="72"/>
              <w:spacing w:line="400" w:lineRule="exact"/>
              <w:rPr>
                <w:rFonts w:hint="eastAsia" w:cs="宋体"/>
                <w:color w:val="auto"/>
                <w:highlight w:val="none"/>
              </w:rPr>
            </w:pPr>
          </w:p>
        </w:tc>
      </w:tr>
      <w:tr w14:paraId="58ACAB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trPr>
        <w:tc>
          <w:tcPr>
            <w:tcW w:w="1522" w:type="dxa"/>
            <w:tcBorders>
              <w:top w:val="single" w:color="auto" w:sz="4" w:space="0"/>
              <w:left w:val="single" w:color="auto" w:sz="4" w:space="0"/>
              <w:bottom w:val="single" w:color="auto" w:sz="4" w:space="0"/>
              <w:right w:val="single" w:color="auto" w:sz="4" w:space="0"/>
            </w:tcBorders>
            <w:noWrap w:val="0"/>
            <w:vAlign w:val="center"/>
          </w:tcPr>
          <w:p w14:paraId="767DF424">
            <w:pPr>
              <w:pStyle w:val="72"/>
              <w:spacing w:line="400" w:lineRule="exact"/>
              <w:rPr>
                <w:rFonts w:hint="eastAsia" w:cs="宋体"/>
                <w:color w:val="auto"/>
                <w:highlight w:val="none"/>
              </w:rPr>
            </w:pPr>
            <w:r>
              <w:rPr>
                <w:rFonts w:hint="eastAsia" w:cs="宋体"/>
                <w:color w:val="auto"/>
                <w:highlight w:val="none"/>
              </w:rPr>
              <w:t>技术负责人</w:t>
            </w:r>
          </w:p>
        </w:tc>
        <w:tc>
          <w:tcPr>
            <w:tcW w:w="1265" w:type="dxa"/>
            <w:tcBorders>
              <w:top w:val="single" w:color="auto" w:sz="4" w:space="0"/>
              <w:left w:val="single" w:color="auto" w:sz="4" w:space="0"/>
              <w:bottom w:val="single" w:color="auto" w:sz="4" w:space="0"/>
              <w:right w:val="single" w:color="auto" w:sz="4" w:space="0"/>
            </w:tcBorders>
            <w:noWrap w:val="0"/>
            <w:vAlign w:val="center"/>
          </w:tcPr>
          <w:p w14:paraId="2A344AF2">
            <w:pPr>
              <w:pStyle w:val="72"/>
              <w:spacing w:line="400" w:lineRule="exact"/>
              <w:rPr>
                <w:rFonts w:hint="eastAsia" w:cs="宋体"/>
                <w:color w:val="auto"/>
                <w:highlight w:val="none"/>
              </w:rPr>
            </w:pPr>
            <w:r>
              <w:rPr>
                <w:rFonts w:hint="eastAsia" w:cs="宋体"/>
                <w:color w:val="auto"/>
                <w:highlight w:val="none"/>
              </w:rPr>
              <w:t>姓名</w:t>
            </w:r>
          </w:p>
        </w:tc>
        <w:tc>
          <w:tcPr>
            <w:tcW w:w="1265" w:type="dxa"/>
            <w:tcBorders>
              <w:top w:val="single" w:color="auto" w:sz="4" w:space="0"/>
              <w:left w:val="single" w:color="auto" w:sz="4" w:space="0"/>
              <w:bottom w:val="single" w:color="auto" w:sz="4" w:space="0"/>
              <w:right w:val="single" w:color="auto" w:sz="4" w:space="0"/>
            </w:tcBorders>
            <w:noWrap w:val="0"/>
            <w:vAlign w:val="center"/>
          </w:tcPr>
          <w:p w14:paraId="150F211E">
            <w:pPr>
              <w:pStyle w:val="72"/>
              <w:spacing w:line="400" w:lineRule="exact"/>
              <w:rPr>
                <w:rFonts w:hint="eastAsia" w:cs="宋体"/>
                <w:color w:val="auto"/>
                <w:highlight w:val="none"/>
              </w:rPr>
            </w:pPr>
          </w:p>
        </w:tc>
        <w:tc>
          <w:tcPr>
            <w:tcW w:w="1356" w:type="dxa"/>
            <w:tcBorders>
              <w:top w:val="single" w:color="auto" w:sz="4" w:space="0"/>
              <w:left w:val="single" w:color="auto" w:sz="4" w:space="0"/>
              <w:bottom w:val="single" w:color="auto" w:sz="4" w:space="0"/>
              <w:right w:val="single" w:color="auto" w:sz="4" w:space="0"/>
            </w:tcBorders>
            <w:noWrap w:val="0"/>
            <w:vAlign w:val="center"/>
          </w:tcPr>
          <w:p w14:paraId="34120857">
            <w:pPr>
              <w:pStyle w:val="72"/>
              <w:spacing w:line="400" w:lineRule="exact"/>
              <w:rPr>
                <w:rFonts w:hint="eastAsia" w:cs="宋体"/>
                <w:color w:val="auto"/>
                <w:highlight w:val="none"/>
              </w:rPr>
            </w:pPr>
            <w:r>
              <w:rPr>
                <w:rFonts w:hint="eastAsia" w:cs="宋体"/>
                <w:color w:val="auto"/>
                <w:highlight w:val="none"/>
              </w:rPr>
              <w:t>技术职称</w:t>
            </w:r>
          </w:p>
        </w:tc>
        <w:tc>
          <w:tcPr>
            <w:tcW w:w="1268" w:type="dxa"/>
            <w:gridSpan w:val="2"/>
            <w:tcBorders>
              <w:top w:val="single" w:color="auto" w:sz="4" w:space="0"/>
              <w:left w:val="single" w:color="auto" w:sz="4" w:space="0"/>
              <w:bottom w:val="single" w:color="auto" w:sz="4" w:space="0"/>
              <w:right w:val="single" w:color="auto" w:sz="4" w:space="0"/>
            </w:tcBorders>
            <w:noWrap w:val="0"/>
            <w:vAlign w:val="center"/>
          </w:tcPr>
          <w:p w14:paraId="62BA34BB">
            <w:pPr>
              <w:pStyle w:val="72"/>
              <w:spacing w:line="400" w:lineRule="exact"/>
              <w:rPr>
                <w:rFonts w:hint="eastAsia" w:cs="宋体"/>
                <w:color w:val="auto"/>
                <w:highlight w:val="none"/>
              </w:rPr>
            </w:pPr>
          </w:p>
        </w:tc>
        <w:tc>
          <w:tcPr>
            <w:tcW w:w="794" w:type="dxa"/>
            <w:tcBorders>
              <w:top w:val="single" w:color="auto" w:sz="4" w:space="0"/>
              <w:left w:val="single" w:color="auto" w:sz="4" w:space="0"/>
              <w:bottom w:val="single" w:color="auto" w:sz="4" w:space="0"/>
              <w:right w:val="single" w:color="auto" w:sz="4" w:space="0"/>
            </w:tcBorders>
            <w:noWrap w:val="0"/>
            <w:vAlign w:val="center"/>
          </w:tcPr>
          <w:p w14:paraId="0902ECAD">
            <w:pPr>
              <w:pStyle w:val="72"/>
              <w:spacing w:line="400" w:lineRule="exact"/>
              <w:rPr>
                <w:rFonts w:hint="eastAsia" w:cs="宋体"/>
                <w:color w:val="auto"/>
                <w:highlight w:val="none"/>
              </w:rPr>
            </w:pPr>
            <w:r>
              <w:rPr>
                <w:rFonts w:hint="eastAsia" w:cs="宋体"/>
                <w:color w:val="auto"/>
                <w:highlight w:val="none"/>
              </w:rPr>
              <w:t>电话</w:t>
            </w:r>
          </w:p>
        </w:tc>
        <w:tc>
          <w:tcPr>
            <w:tcW w:w="1740" w:type="dxa"/>
            <w:gridSpan w:val="2"/>
            <w:tcBorders>
              <w:top w:val="single" w:color="auto" w:sz="4" w:space="0"/>
              <w:left w:val="single" w:color="auto" w:sz="4" w:space="0"/>
              <w:bottom w:val="single" w:color="auto" w:sz="4" w:space="0"/>
              <w:right w:val="single" w:color="auto" w:sz="4" w:space="0"/>
            </w:tcBorders>
            <w:noWrap w:val="0"/>
            <w:vAlign w:val="center"/>
          </w:tcPr>
          <w:p w14:paraId="48D8DD3D">
            <w:pPr>
              <w:pStyle w:val="72"/>
              <w:spacing w:line="400" w:lineRule="exact"/>
              <w:rPr>
                <w:rFonts w:hint="eastAsia" w:cs="宋体"/>
                <w:color w:val="auto"/>
                <w:highlight w:val="none"/>
              </w:rPr>
            </w:pPr>
          </w:p>
        </w:tc>
      </w:tr>
      <w:tr w14:paraId="37C997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trPr>
        <w:tc>
          <w:tcPr>
            <w:tcW w:w="1522" w:type="dxa"/>
            <w:tcBorders>
              <w:top w:val="single" w:color="auto" w:sz="4" w:space="0"/>
              <w:left w:val="single" w:color="auto" w:sz="4" w:space="0"/>
              <w:bottom w:val="single" w:color="auto" w:sz="4" w:space="0"/>
              <w:right w:val="single" w:color="auto" w:sz="4" w:space="0"/>
            </w:tcBorders>
            <w:noWrap w:val="0"/>
            <w:vAlign w:val="center"/>
          </w:tcPr>
          <w:p w14:paraId="0A1A689B">
            <w:pPr>
              <w:pStyle w:val="72"/>
              <w:spacing w:line="400" w:lineRule="exact"/>
              <w:rPr>
                <w:rFonts w:hint="eastAsia" w:cs="宋体"/>
                <w:color w:val="auto"/>
                <w:highlight w:val="none"/>
              </w:rPr>
            </w:pPr>
            <w:r>
              <w:rPr>
                <w:rFonts w:hint="eastAsia" w:cs="宋体"/>
                <w:color w:val="auto"/>
                <w:highlight w:val="none"/>
              </w:rPr>
              <w:t>成立时间</w:t>
            </w:r>
          </w:p>
        </w:tc>
        <w:tc>
          <w:tcPr>
            <w:tcW w:w="3886" w:type="dxa"/>
            <w:gridSpan w:val="3"/>
            <w:tcBorders>
              <w:top w:val="single" w:color="auto" w:sz="4" w:space="0"/>
              <w:left w:val="single" w:color="auto" w:sz="4" w:space="0"/>
              <w:bottom w:val="single" w:color="auto" w:sz="4" w:space="0"/>
              <w:right w:val="single" w:color="auto" w:sz="4" w:space="0"/>
            </w:tcBorders>
            <w:noWrap w:val="0"/>
            <w:vAlign w:val="center"/>
          </w:tcPr>
          <w:p w14:paraId="09301771">
            <w:pPr>
              <w:pStyle w:val="72"/>
              <w:spacing w:line="400" w:lineRule="exact"/>
              <w:rPr>
                <w:rFonts w:hint="eastAsia" w:cs="宋体"/>
                <w:color w:val="auto"/>
                <w:highlight w:val="none"/>
              </w:rPr>
            </w:pPr>
          </w:p>
        </w:tc>
        <w:tc>
          <w:tcPr>
            <w:tcW w:w="3802" w:type="dxa"/>
            <w:gridSpan w:val="5"/>
            <w:tcBorders>
              <w:top w:val="single" w:color="auto" w:sz="4" w:space="0"/>
              <w:left w:val="single" w:color="auto" w:sz="4" w:space="0"/>
              <w:bottom w:val="single" w:color="auto" w:sz="4" w:space="0"/>
              <w:right w:val="single" w:color="auto" w:sz="4" w:space="0"/>
            </w:tcBorders>
            <w:noWrap w:val="0"/>
            <w:vAlign w:val="center"/>
          </w:tcPr>
          <w:p w14:paraId="5D549063">
            <w:pPr>
              <w:spacing w:line="400" w:lineRule="exact"/>
              <w:jc w:val="center"/>
              <w:rPr>
                <w:rFonts w:hint="eastAsia" w:hAnsi="宋体" w:cs="宋体"/>
                <w:color w:val="auto"/>
                <w:szCs w:val="21"/>
                <w:highlight w:val="none"/>
              </w:rPr>
            </w:pPr>
            <w:r>
              <w:rPr>
                <w:rFonts w:hint="eastAsia" w:hAnsi="宋体" w:cs="宋体"/>
                <w:color w:val="auto"/>
                <w:szCs w:val="21"/>
                <w:highlight w:val="none"/>
              </w:rPr>
              <w:t>员工总人数：</w:t>
            </w:r>
          </w:p>
        </w:tc>
      </w:tr>
      <w:tr w14:paraId="3B5F25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0" w:hRule="atLeast"/>
        </w:trPr>
        <w:tc>
          <w:tcPr>
            <w:tcW w:w="1522" w:type="dxa"/>
            <w:vMerge w:val="restart"/>
            <w:tcBorders>
              <w:top w:val="single" w:color="auto" w:sz="4" w:space="0"/>
              <w:left w:val="single" w:color="auto" w:sz="4" w:space="0"/>
              <w:bottom w:val="single" w:color="auto" w:sz="4" w:space="0"/>
              <w:right w:val="single" w:color="auto" w:sz="4" w:space="0"/>
            </w:tcBorders>
            <w:noWrap w:val="0"/>
            <w:vAlign w:val="center"/>
          </w:tcPr>
          <w:p w14:paraId="57EAF715">
            <w:pPr>
              <w:pStyle w:val="72"/>
              <w:spacing w:line="400" w:lineRule="exact"/>
              <w:rPr>
                <w:rFonts w:hint="eastAsia" w:cs="宋体"/>
                <w:color w:val="auto"/>
                <w:highlight w:val="none"/>
              </w:rPr>
            </w:pPr>
            <w:r>
              <w:rPr>
                <w:rFonts w:hint="eastAsia" w:cs="宋体"/>
                <w:color w:val="auto"/>
                <w:highlight w:val="none"/>
              </w:rPr>
              <w:t>资质资格与业务范围</w:t>
            </w:r>
          </w:p>
        </w:tc>
        <w:tc>
          <w:tcPr>
            <w:tcW w:w="3886" w:type="dxa"/>
            <w:gridSpan w:val="3"/>
            <w:vMerge w:val="restart"/>
            <w:tcBorders>
              <w:top w:val="single" w:color="auto" w:sz="4" w:space="0"/>
              <w:left w:val="single" w:color="auto" w:sz="4" w:space="0"/>
              <w:bottom w:val="single" w:color="auto" w:sz="4" w:space="0"/>
              <w:right w:val="single" w:color="auto" w:sz="4" w:space="0"/>
            </w:tcBorders>
            <w:noWrap w:val="0"/>
            <w:vAlign w:val="center"/>
          </w:tcPr>
          <w:p w14:paraId="1FE20339">
            <w:pPr>
              <w:pStyle w:val="72"/>
              <w:spacing w:line="400" w:lineRule="exact"/>
              <w:rPr>
                <w:rFonts w:hint="eastAsia" w:cs="宋体"/>
                <w:color w:val="auto"/>
                <w:highlight w:val="none"/>
              </w:rPr>
            </w:pPr>
          </w:p>
        </w:tc>
        <w:tc>
          <w:tcPr>
            <w:tcW w:w="892" w:type="dxa"/>
            <w:vMerge w:val="restart"/>
            <w:tcBorders>
              <w:top w:val="single" w:color="auto" w:sz="4" w:space="0"/>
              <w:left w:val="single" w:color="auto" w:sz="4" w:space="0"/>
              <w:bottom w:val="single" w:color="auto" w:sz="4" w:space="0"/>
              <w:right w:val="single" w:color="auto" w:sz="4" w:space="0"/>
            </w:tcBorders>
            <w:noWrap w:val="0"/>
            <w:vAlign w:val="center"/>
          </w:tcPr>
          <w:p w14:paraId="2FF21B7C">
            <w:pPr>
              <w:pStyle w:val="72"/>
              <w:spacing w:line="400" w:lineRule="exact"/>
              <w:rPr>
                <w:rFonts w:hint="eastAsia" w:cs="宋体"/>
                <w:color w:val="auto"/>
                <w:highlight w:val="none"/>
              </w:rPr>
            </w:pPr>
            <w:r>
              <w:rPr>
                <w:rFonts w:hint="eastAsia" w:cs="宋体"/>
                <w:color w:val="auto"/>
                <w:highlight w:val="none"/>
              </w:rPr>
              <w:t>其中</w:t>
            </w:r>
          </w:p>
        </w:tc>
        <w:tc>
          <w:tcPr>
            <w:tcW w:w="1855" w:type="dxa"/>
            <w:gridSpan w:val="3"/>
            <w:tcBorders>
              <w:top w:val="single" w:color="auto" w:sz="4" w:space="0"/>
              <w:left w:val="single" w:color="auto" w:sz="4" w:space="0"/>
              <w:bottom w:val="single" w:color="auto" w:sz="4" w:space="0"/>
              <w:right w:val="single" w:color="auto" w:sz="4" w:space="0"/>
            </w:tcBorders>
            <w:noWrap w:val="0"/>
            <w:vAlign w:val="center"/>
          </w:tcPr>
          <w:p w14:paraId="45B0EE45">
            <w:pPr>
              <w:pStyle w:val="72"/>
              <w:spacing w:line="400" w:lineRule="exact"/>
              <w:rPr>
                <w:rFonts w:hint="eastAsia" w:cs="宋体"/>
                <w:color w:val="auto"/>
                <w:highlight w:val="none"/>
              </w:rPr>
            </w:pPr>
            <w:r>
              <w:rPr>
                <w:rFonts w:hint="eastAsia" w:cs="宋体"/>
                <w:color w:val="auto"/>
                <w:highlight w:val="none"/>
              </w:rPr>
              <w:t>高级职称</w:t>
            </w:r>
          </w:p>
        </w:tc>
        <w:tc>
          <w:tcPr>
            <w:tcW w:w="1055" w:type="dxa"/>
            <w:tcBorders>
              <w:top w:val="single" w:color="auto" w:sz="4" w:space="0"/>
              <w:left w:val="single" w:color="auto" w:sz="4" w:space="0"/>
              <w:bottom w:val="single" w:color="auto" w:sz="4" w:space="0"/>
              <w:right w:val="single" w:color="auto" w:sz="4" w:space="0"/>
            </w:tcBorders>
            <w:noWrap w:val="0"/>
            <w:vAlign w:val="center"/>
          </w:tcPr>
          <w:p w14:paraId="20C234B3">
            <w:pPr>
              <w:pStyle w:val="72"/>
              <w:spacing w:line="400" w:lineRule="exact"/>
              <w:rPr>
                <w:rFonts w:hint="eastAsia" w:cs="宋体"/>
                <w:color w:val="auto"/>
                <w:highlight w:val="none"/>
              </w:rPr>
            </w:pPr>
          </w:p>
        </w:tc>
      </w:tr>
      <w:tr w14:paraId="4FC5C3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5" w:hRule="atLeast"/>
        </w:trPr>
        <w:tc>
          <w:tcPr>
            <w:tcW w:w="1522" w:type="dxa"/>
            <w:vMerge w:val="continue"/>
            <w:tcBorders>
              <w:top w:val="single" w:color="auto" w:sz="4" w:space="0"/>
              <w:left w:val="single" w:color="auto" w:sz="4" w:space="0"/>
              <w:bottom w:val="single" w:color="auto" w:sz="4" w:space="0"/>
              <w:right w:val="single" w:color="auto" w:sz="4" w:space="0"/>
            </w:tcBorders>
            <w:noWrap w:val="0"/>
            <w:vAlign w:val="center"/>
          </w:tcPr>
          <w:p w14:paraId="238C3199">
            <w:pPr>
              <w:pStyle w:val="72"/>
              <w:spacing w:line="400" w:lineRule="exact"/>
              <w:rPr>
                <w:rFonts w:hint="eastAsia" w:cs="宋体"/>
                <w:color w:val="auto"/>
                <w:highlight w:val="none"/>
              </w:rPr>
            </w:pPr>
          </w:p>
        </w:tc>
        <w:tc>
          <w:tcPr>
            <w:tcW w:w="3886" w:type="dxa"/>
            <w:gridSpan w:val="3"/>
            <w:vMerge w:val="continue"/>
            <w:tcBorders>
              <w:top w:val="single" w:color="auto" w:sz="4" w:space="0"/>
              <w:left w:val="single" w:color="auto" w:sz="4" w:space="0"/>
              <w:bottom w:val="single" w:color="auto" w:sz="4" w:space="0"/>
              <w:right w:val="single" w:color="auto" w:sz="4" w:space="0"/>
            </w:tcBorders>
            <w:noWrap w:val="0"/>
            <w:vAlign w:val="center"/>
          </w:tcPr>
          <w:p w14:paraId="1AA28251">
            <w:pPr>
              <w:pStyle w:val="72"/>
              <w:spacing w:line="400" w:lineRule="exact"/>
              <w:rPr>
                <w:rFonts w:hint="eastAsia" w:cs="宋体"/>
                <w:color w:val="auto"/>
                <w:highlight w:val="none"/>
              </w:rPr>
            </w:pPr>
          </w:p>
        </w:tc>
        <w:tc>
          <w:tcPr>
            <w:tcW w:w="892" w:type="dxa"/>
            <w:vMerge w:val="continue"/>
            <w:tcBorders>
              <w:top w:val="single" w:color="auto" w:sz="4" w:space="0"/>
              <w:left w:val="single" w:color="auto" w:sz="4" w:space="0"/>
              <w:bottom w:val="single" w:color="auto" w:sz="4" w:space="0"/>
              <w:right w:val="single" w:color="auto" w:sz="4" w:space="0"/>
            </w:tcBorders>
            <w:noWrap w:val="0"/>
            <w:vAlign w:val="center"/>
          </w:tcPr>
          <w:p w14:paraId="27D16B29">
            <w:pPr>
              <w:pStyle w:val="72"/>
              <w:spacing w:line="400" w:lineRule="exact"/>
              <w:rPr>
                <w:rFonts w:hint="eastAsia" w:cs="宋体"/>
                <w:color w:val="auto"/>
                <w:highlight w:val="none"/>
              </w:rPr>
            </w:pPr>
          </w:p>
        </w:tc>
        <w:tc>
          <w:tcPr>
            <w:tcW w:w="1855" w:type="dxa"/>
            <w:gridSpan w:val="3"/>
            <w:tcBorders>
              <w:top w:val="single" w:color="auto" w:sz="4" w:space="0"/>
              <w:left w:val="single" w:color="auto" w:sz="4" w:space="0"/>
              <w:bottom w:val="single" w:color="auto" w:sz="4" w:space="0"/>
              <w:right w:val="single" w:color="auto" w:sz="4" w:space="0"/>
            </w:tcBorders>
            <w:noWrap w:val="0"/>
            <w:vAlign w:val="center"/>
          </w:tcPr>
          <w:p w14:paraId="0EDD7ABC">
            <w:pPr>
              <w:pStyle w:val="72"/>
              <w:spacing w:line="400" w:lineRule="exact"/>
              <w:rPr>
                <w:rFonts w:hint="eastAsia" w:cs="宋体"/>
                <w:color w:val="auto"/>
                <w:highlight w:val="none"/>
              </w:rPr>
            </w:pPr>
            <w:r>
              <w:rPr>
                <w:rFonts w:hint="eastAsia" w:cs="宋体"/>
                <w:color w:val="auto"/>
                <w:highlight w:val="none"/>
              </w:rPr>
              <w:t>中级职称</w:t>
            </w:r>
          </w:p>
        </w:tc>
        <w:tc>
          <w:tcPr>
            <w:tcW w:w="1055" w:type="dxa"/>
            <w:tcBorders>
              <w:top w:val="single" w:color="auto" w:sz="4" w:space="0"/>
              <w:left w:val="single" w:color="auto" w:sz="4" w:space="0"/>
              <w:bottom w:val="single" w:color="auto" w:sz="4" w:space="0"/>
              <w:right w:val="single" w:color="auto" w:sz="4" w:space="0"/>
            </w:tcBorders>
            <w:noWrap w:val="0"/>
            <w:vAlign w:val="center"/>
          </w:tcPr>
          <w:p w14:paraId="167D9EDC">
            <w:pPr>
              <w:pStyle w:val="72"/>
              <w:spacing w:line="400" w:lineRule="exact"/>
              <w:rPr>
                <w:rFonts w:hint="eastAsia" w:cs="宋体"/>
                <w:color w:val="auto"/>
                <w:highlight w:val="none"/>
              </w:rPr>
            </w:pPr>
          </w:p>
        </w:tc>
      </w:tr>
      <w:tr w14:paraId="1835C1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0" w:hRule="atLeast"/>
        </w:trPr>
        <w:tc>
          <w:tcPr>
            <w:tcW w:w="1522" w:type="dxa"/>
            <w:tcBorders>
              <w:top w:val="single" w:color="auto" w:sz="4" w:space="0"/>
              <w:left w:val="single" w:color="auto" w:sz="4" w:space="0"/>
              <w:bottom w:val="single" w:color="auto" w:sz="4" w:space="0"/>
              <w:right w:val="single" w:color="auto" w:sz="4" w:space="0"/>
            </w:tcBorders>
            <w:noWrap w:val="0"/>
            <w:vAlign w:val="center"/>
          </w:tcPr>
          <w:p w14:paraId="14B66BBC">
            <w:pPr>
              <w:pStyle w:val="72"/>
              <w:spacing w:line="400" w:lineRule="exact"/>
              <w:rPr>
                <w:rFonts w:hint="eastAsia" w:cs="宋体"/>
                <w:color w:val="auto"/>
                <w:highlight w:val="none"/>
              </w:rPr>
            </w:pPr>
            <w:r>
              <w:rPr>
                <w:rFonts w:hint="eastAsia" w:cs="宋体"/>
                <w:color w:val="auto"/>
                <w:highlight w:val="none"/>
              </w:rPr>
              <w:t>营业执照号</w:t>
            </w:r>
          </w:p>
        </w:tc>
        <w:tc>
          <w:tcPr>
            <w:tcW w:w="3886" w:type="dxa"/>
            <w:gridSpan w:val="3"/>
            <w:tcBorders>
              <w:top w:val="single" w:color="auto" w:sz="4" w:space="0"/>
              <w:left w:val="single" w:color="auto" w:sz="4" w:space="0"/>
              <w:bottom w:val="single" w:color="auto" w:sz="4" w:space="0"/>
              <w:right w:val="single" w:color="auto" w:sz="4" w:space="0"/>
            </w:tcBorders>
            <w:noWrap w:val="0"/>
            <w:vAlign w:val="center"/>
          </w:tcPr>
          <w:p w14:paraId="75F07A38">
            <w:pPr>
              <w:pStyle w:val="72"/>
              <w:spacing w:line="400" w:lineRule="exact"/>
              <w:rPr>
                <w:rFonts w:hint="eastAsia" w:cs="宋体"/>
                <w:color w:val="auto"/>
                <w:highlight w:val="none"/>
              </w:rPr>
            </w:pPr>
          </w:p>
        </w:tc>
        <w:tc>
          <w:tcPr>
            <w:tcW w:w="892" w:type="dxa"/>
            <w:vMerge w:val="continue"/>
            <w:tcBorders>
              <w:top w:val="single" w:color="auto" w:sz="4" w:space="0"/>
              <w:left w:val="single" w:color="auto" w:sz="4" w:space="0"/>
              <w:bottom w:val="single" w:color="auto" w:sz="4" w:space="0"/>
              <w:right w:val="single" w:color="auto" w:sz="4" w:space="0"/>
            </w:tcBorders>
            <w:noWrap w:val="0"/>
            <w:vAlign w:val="center"/>
          </w:tcPr>
          <w:p w14:paraId="0EBD07FE">
            <w:pPr>
              <w:pStyle w:val="72"/>
              <w:spacing w:line="400" w:lineRule="exact"/>
              <w:rPr>
                <w:rFonts w:hint="eastAsia" w:cs="宋体"/>
                <w:color w:val="auto"/>
                <w:highlight w:val="none"/>
              </w:rPr>
            </w:pPr>
          </w:p>
        </w:tc>
        <w:tc>
          <w:tcPr>
            <w:tcW w:w="1855" w:type="dxa"/>
            <w:gridSpan w:val="3"/>
            <w:tcBorders>
              <w:top w:val="single" w:color="auto" w:sz="4" w:space="0"/>
              <w:left w:val="single" w:color="auto" w:sz="4" w:space="0"/>
              <w:bottom w:val="single" w:color="auto" w:sz="4" w:space="0"/>
              <w:right w:val="single" w:color="auto" w:sz="4" w:space="0"/>
            </w:tcBorders>
            <w:noWrap w:val="0"/>
            <w:vAlign w:val="center"/>
          </w:tcPr>
          <w:p w14:paraId="53765E22">
            <w:pPr>
              <w:pStyle w:val="72"/>
              <w:spacing w:line="400" w:lineRule="exact"/>
              <w:rPr>
                <w:rFonts w:hint="eastAsia" w:cs="宋体"/>
                <w:color w:val="auto"/>
                <w:highlight w:val="none"/>
              </w:rPr>
            </w:pPr>
            <w:r>
              <w:rPr>
                <w:rFonts w:hint="eastAsia" w:cs="宋体"/>
                <w:color w:val="auto"/>
                <w:highlight w:val="none"/>
              </w:rPr>
              <w:t>各类注册人员</w:t>
            </w:r>
          </w:p>
        </w:tc>
        <w:tc>
          <w:tcPr>
            <w:tcW w:w="1055" w:type="dxa"/>
            <w:tcBorders>
              <w:top w:val="single" w:color="auto" w:sz="4" w:space="0"/>
              <w:left w:val="single" w:color="auto" w:sz="4" w:space="0"/>
              <w:bottom w:val="single" w:color="auto" w:sz="4" w:space="0"/>
              <w:right w:val="single" w:color="auto" w:sz="4" w:space="0"/>
            </w:tcBorders>
            <w:noWrap w:val="0"/>
            <w:vAlign w:val="center"/>
          </w:tcPr>
          <w:p w14:paraId="49A26912">
            <w:pPr>
              <w:pStyle w:val="72"/>
              <w:spacing w:line="400" w:lineRule="exact"/>
              <w:rPr>
                <w:rFonts w:hint="eastAsia" w:cs="宋体"/>
                <w:color w:val="auto"/>
                <w:highlight w:val="none"/>
              </w:rPr>
            </w:pPr>
          </w:p>
        </w:tc>
      </w:tr>
      <w:tr w14:paraId="7DF4E9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1522" w:type="dxa"/>
            <w:tcBorders>
              <w:top w:val="single" w:color="auto" w:sz="4" w:space="0"/>
              <w:left w:val="single" w:color="auto" w:sz="4" w:space="0"/>
              <w:bottom w:val="single" w:color="auto" w:sz="4" w:space="0"/>
              <w:right w:val="single" w:color="auto" w:sz="4" w:space="0"/>
            </w:tcBorders>
            <w:noWrap w:val="0"/>
            <w:vAlign w:val="center"/>
          </w:tcPr>
          <w:p w14:paraId="491D2460">
            <w:pPr>
              <w:pStyle w:val="72"/>
              <w:spacing w:line="400" w:lineRule="exact"/>
              <w:rPr>
                <w:rFonts w:hint="eastAsia" w:cs="宋体"/>
                <w:color w:val="auto"/>
                <w:highlight w:val="none"/>
              </w:rPr>
            </w:pPr>
            <w:r>
              <w:rPr>
                <w:rFonts w:hint="eastAsia" w:cs="宋体"/>
                <w:color w:val="auto"/>
                <w:highlight w:val="none"/>
              </w:rPr>
              <w:t>注册资金</w:t>
            </w:r>
          </w:p>
        </w:tc>
        <w:tc>
          <w:tcPr>
            <w:tcW w:w="7688" w:type="dxa"/>
            <w:gridSpan w:val="8"/>
            <w:tcBorders>
              <w:top w:val="single" w:color="auto" w:sz="4" w:space="0"/>
              <w:left w:val="single" w:color="auto" w:sz="4" w:space="0"/>
              <w:bottom w:val="single" w:color="auto" w:sz="4" w:space="0"/>
              <w:right w:val="single" w:color="auto" w:sz="4" w:space="0"/>
            </w:tcBorders>
            <w:noWrap w:val="0"/>
            <w:vAlign w:val="center"/>
          </w:tcPr>
          <w:p w14:paraId="3B23E31C">
            <w:pPr>
              <w:pStyle w:val="72"/>
              <w:spacing w:line="400" w:lineRule="exact"/>
              <w:rPr>
                <w:rFonts w:hint="eastAsia" w:cs="宋体"/>
                <w:color w:val="auto"/>
                <w:highlight w:val="none"/>
              </w:rPr>
            </w:pPr>
          </w:p>
        </w:tc>
      </w:tr>
      <w:tr w14:paraId="2ABAF8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1522" w:type="dxa"/>
            <w:tcBorders>
              <w:top w:val="single" w:color="auto" w:sz="4" w:space="0"/>
              <w:left w:val="single" w:color="auto" w:sz="4" w:space="0"/>
              <w:bottom w:val="single" w:color="auto" w:sz="4" w:space="0"/>
              <w:right w:val="single" w:color="auto" w:sz="4" w:space="0"/>
            </w:tcBorders>
            <w:noWrap w:val="0"/>
            <w:vAlign w:val="center"/>
          </w:tcPr>
          <w:p w14:paraId="7A35F3E4">
            <w:pPr>
              <w:pStyle w:val="72"/>
              <w:spacing w:line="400" w:lineRule="exact"/>
              <w:rPr>
                <w:rFonts w:hint="eastAsia" w:cs="宋体"/>
                <w:color w:val="auto"/>
                <w:highlight w:val="none"/>
              </w:rPr>
            </w:pPr>
            <w:r>
              <w:rPr>
                <w:rFonts w:hint="eastAsia" w:cs="宋体"/>
                <w:color w:val="auto"/>
                <w:highlight w:val="none"/>
              </w:rPr>
              <w:t>基本账户开户银行</w:t>
            </w:r>
          </w:p>
        </w:tc>
        <w:tc>
          <w:tcPr>
            <w:tcW w:w="7688" w:type="dxa"/>
            <w:gridSpan w:val="8"/>
            <w:tcBorders>
              <w:top w:val="single" w:color="auto" w:sz="4" w:space="0"/>
              <w:left w:val="single" w:color="auto" w:sz="4" w:space="0"/>
              <w:bottom w:val="single" w:color="auto" w:sz="4" w:space="0"/>
              <w:right w:val="single" w:color="auto" w:sz="4" w:space="0"/>
            </w:tcBorders>
            <w:noWrap w:val="0"/>
            <w:vAlign w:val="center"/>
          </w:tcPr>
          <w:p w14:paraId="7185FBA9">
            <w:pPr>
              <w:pStyle w:val="72"/>
              <w:spacing w:line="400" w:lineRule="exact"/>
              <w:rPr>
                <w:rFonts w:hint="eastAsia" w:cs="宋体"/>
                <w:color w:val="auto"/>
                <w:highlight w:val="none"/>
              </w:rPr>
            </w:pPr>
          </w:p>
        </w:tc>
      </w:tr>
      <w:tr w14:paraId="5B1C2D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1522" w:type="dxa"/>
            <w:tcBorders>
              <w:top w:val="single" w:color="auto" w:sz="4" w:space="0"/>
              <w:left w:val="single" w:color="auto" w:sz="4" w:space="0"/>
              <w:bottom w:val="single" w:color="auto" w:sz="4" w:space="0"/>
              <w:right w:val="single" w:color="auto" w:sz="4" w:space="0"/>
            </w:tcBorders>
            <w:noWrap w:val="0"/>
            <w:vAlign w:val="center"/>
          </w:tcPr>
          <w:p w14:paraId="2C77EF41">
            <w:pPr>
              <w:pStyle w:val="72"/>
              <w:spacing w:line="400" w:lineRule="exact"/>
              <w:rPr>
                <w:rFonts w:hint="eastAsia" w:cs="宋体"/>
                <w:color w:val="auto"/>
                <w:highlight w:val="none"/>
              </w:rPr>
            </w:pPr>
            <w:r>
              <w:rPr>
                <w:rFonts w:hint="eastAsia" w:cs="宋体"/>
                <w:color w:val="auto"/>
                <w:highlight w:val="none"/>
              </w:rPr>
              <w:t>基本账户账号</w:t>
            </w:r>
          </w:p>
        </w:tc>
        <w:tc>
          <w:tcPr>
            <w:tcW w:w="7688" w:type="dxa"/>
            <w:gridSpan w:val="8"/>
            <w:tcBorders>
              <w:top w:val="single" w:color="auto" w:sz="4" w:space="0"/>
              <w:left w:val="single" w:color="auto" w:sz="4" w:space="0"/>
              <w:bottom w:val="single" w:color="auto" w:sz="4" w:space="0"/>
              <w:right w:val="single" w:color="auto" w:sz="4" w:space="0"/>
            </w:tcBorders>
            <w:noWrap w:val="0"/>
            <w:vAlign w:val="center"/>
          </w:tcPr>
          <w:p w14:paraId="3E4DAAD0">
            <w:pPr>
              <w:pStyle w:val="72"/>
              <w:spacing w:line="400" w:lineRule="exact"/>
              <w:rPr>
                <w:rFonts w:hint="eastAsia" w:cs="宋体"/>
                <w:color w:val="auto"/>
                <w:highlight w:val="none"/>
              </w:rPr>
            </w:pPr>
          </w:p>
        </w:tc>
      </w:tr>
      <w:tr w14:paraId="402018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15" w:hRule="atLeast"/>
        </w:trPr>
        <w:tc>
          <w:tcPr>
            <w:tcW w:w="1522" w:type="dxa"/>
            <w:tcBorders>
              <w:top w:val="single" w:color="auto" w:sz="4" w:space="0"/>
              <w:left w:val="single" w:color="auto" w:sz="4" w:space="0"/>
              <w:bottom w:val="single" w:color="auto" w:sz="4" w:space="0"/>
              <w:right w:val="single" w:color="auto" w:sz="4" w:space="0"/>
            </w:tcBorders>
            <w:noWrap w:val="0"/>
            <w:vAlign w:val="center"/>
          </w:tcPr>
          <w:p w14:paraId="06F912E3">
            <w:pPr>
              <w:pStyle w:val="72"/>
              <w:spacing w:line="400" w:lineRule="exact"/>
              <w:rPr>
                <w:rFonts w:hint="eastAsia" w:cs="宋体"/>
                <w:color w:val="auto"/>
                <w:highlight w:val="none"/>
              </w:rPr>
            </w:pPr>
            <w:r>
              <w:rPr>
                <w:rFonts w:hint="eastAsia" w:cs="宋体"/>
                <w:color w:val="auto"/>
                <w:highlight w:val="none"/>
              </w:rPr>
              <w:t>经营范围</w:t>
            </w:r>
          </w:p>
        </w:tc>
        <w:tc>
          <w:tcPr>
            <w:tcW w:w="7688" w:type="dxa"/>
            <w:gridSpan w:val="8"/>
            <w:tcBorders>
              <w:top w:val="single" w:color="auto" w:sz="4" w:space="0"/>
              <w:left w:val="single" w:color="auto" w:sz="4" w:space="0"/>
              <w:bottom w:val="single" w:color="auto" w:sz="4" w:space="0"/>
              <w:right w:val="single" w:color="auto" w:sz="4" w:space="0"/>
            </w:tcBorders>
            <w:noWrap w:val="0"/>
            <w:vAlign w:val="center"/>
          </w:tcPr>
          <w:p w14:paraId="66872B9B">
            <w:pPr>
              <w:pStyle w:val="72"/>
              <w:spacing w:line="400" w:lineRule="exact"/>
              <w:rPr>
                <w:rFonts w:hint="eastAsia" w:cs="宋体"/>
                <w:color w:val="auto"/>
                <w:highlight w:val="none"/>
              </w:rPr>
            </w:pPr>
          </w:p>
        </w:tc>
      </w:tr>
      <w:tr w14:paraId="332DC2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1522" w:type="dxa"/>
            <w:tcBorders>
              <w:top w:val="single" w:color="auto" w:sz="4" w:space="0"/>
              <w:left w:val="single" w:color="auto" w:sz="4" w:space="0"/>
              <w:bottom w:val="single" w:color="auto" w:sz="4" w:space="0"/>
              <w:right w:val="single" w:color="auto" w:sz="4" w:space="0"/>
            </w:tcBorders>
            <w:noWrap w:val="0"/>
            <w:vAlign w:val="center"/>
          </w:tcPr>
          <w:p w14:paraId="581EB9DE">
            <w:pPr>
              <w:pStyle w:val="72"/>
              <w:spacing w:line="400" w:lineRule="exact"/>
              <w:rPr>
                <w:rFonts w:hint="eastAsia" w:cs="宋体"/>
                <w:color w:val="auto"/>
                <w:highlight w:val="none"/>
              </w:rPr>
            </w:pPr>
            <w:r>
              <w:rPr>
                <w:rFonts w:hint="eastAsia" w:cs="宋体"/>
                <w:color w:val="auto"/>
                <w:highlight w:val="none"/>
              </w:rPr>
              <w:t>备注</w:t>
            </w:r>
          </w:p>
        </w:tc>
        <w:tc>
          <w:tcPr>
            <w:tcW w:w="7688" w:type="dxa"/>
            <w:gridSpan w:val="8"/>
            <w:tcBorders>
              <w:top w:val="single" w:color="auto" w:sz="4" w:space="0"/>
              <w:left w:val="single" w:color="auto" w:sz="4" w:space="0"/>
              <w:bottom w:val="single" w:color="auto" w:sz="4" w:space="0"/>
              <w:right w:val="single" w:color="auto" w:sz="4" w:space="0"/>
            </w:tcBorders>
            <w:noWrap w:val="0"/>
            <w:vAlign w:val="center"/>
          </w:tcPr>
          <w:p w14:paraId="3F314E80">
            <w:pPr>
              <w:pStyle w:val="72"/>
              <w:spacing w:line="400" w:lineRule="exact"/>
              <w:rPr>
                <w:rFonts w:hint="eastAsia" w:cs="宋体"/>
                <w:color w:val="auto"/>
                <w:highlight w:val="none"/>
              </w:rPr>
            </w:pPr>
          </w:p>
        </w:tc>
      </w:tr>
    </w:tbl>
    <w:p w14:paraId="58FA5807">
      <w:pPr>
        <w:pStyle w:val="45"/>
        <w:ind w:firstLine="560"/>
        <w:rPr>
          <w:rFonts w:hint="eastAsia"/>
          <w:color w:val="auto"/>
          <w:highlight w:val="none"/>
        </w:rPr>
      </w:pPr>
    </w:p>
    <w:p w14:paraId="64FD7FE1">
      <w:pPr>
        <w:pStyle w:val="45"/>
        <w:ind w:firstLine="560"/>
        <w:rPr>
          <w:rFonts w:hint="eastAsia"/>
          <w:color w:val="auto"/>
          <w:highlight w:val="none"/>
        </w:rPr>
      </w:pPr>
    </w:p>
    <w:p w14:paraId="38EAC616">
      <w:pPr>
        <w:snapToGrid w:val="0"/>
        <w:spacing w:before="50" w:after="50"/>
        <w:rPr>
          <w:rFonts w:hint="eastAsia" w:hAnsi="宋体" w:cs="宋体"/>
          <w:color w:val="auto"/>
          <w:sz w:val="24"/>
          <w:highlight w:val="none"/>
        </w:rPr>
      </w:pPr>
    </w:p>
    <w:p w14:paraId="43C9AED7">
      <w:pPr>
        <w:snapToGrid w:val="0"/>
        <w:spacing w:before="50" w:after="50"/>
        <w:rPr>
          <w:rFonts w:hint="eastAsia" w:hAnsi="宋体" w:cs="宋体"/>
          <w:color w:val="auto"/>
          <w:sz w:val="24"/>
          <w:highlight w:val="none"/>
        </w:rPr>
      </w:pPr>
    </w:p>
    <w:p w14:paraId="6D5583A8">
      <w:pPr>
        <w:snapToGrid w:val="0"/>
        <w:spacing w:before="50" w:after="50"/>
        <w:rPr>
          <w:rFonts w:hint="eastAsia" w:hAnsi="宋体" w:cs="宋体"/>
          <w:color w:val="auto"/>
          <w:sz w:val="24"/>
          <w:highlight w:val="none"/>
        </w:rPr>
      </w:pPr>
    </w:p>
    <w:p w14:paraId="509F4756">
      <w:pPr>
        <w:jc w:val="left"/>
        <w:rPr>
          <w:rFonts w:hint="eastAsia" w:hAnsi="宋体" w:cs="宋体"/>
          <w:color w:val="auto"/>
          <w:sz w:val="24"/>
          <w:highlight w:val="none"/>
        </w:rPr>
      </w:pPr>
      <w:r>
        <w:rPr>
          <w:rFonts w:hint="eastAsia" w:hAnsi="宋体" w:cs="宋体"/>
          <w:color w:val="auto"/>
          <w:sz w:val="24"/>
          <w:highlight w:val="none"/>
        </w:rPr>
        <w:br w:type="page"/>
      </w:r>
      <w:r>
        <w:rPr>
          <w:rFonts w:hint="eastAsia" w:hAnsi="宋体"/>
          <w:b/>
          <w:bCs/>
          <w:color w:val="auto"/>
          <w:sz w:val="24"/>
          <w:highlight w:val="none"/>
        </w:rPr>
        <w:t>附件4</w:t>
      </w:r>
    </w:p>
    <w:p w14:paraId="3C751AED">
      <w:pPr>
        <w:pStyle w:val="4"/>
        <w:spacing w:before="240" w:after="240"/>
        <w:jc w:val="center"/>
        <w:rPr>
          <w:rFonts w:hint="eastAsia"/>
          <w:color w:val="auto"/>
          <w:sz w:val="28"/>
          <w:szCs w:val="28"/>
          <w:highlight w:val="none"/>
        </w:rPr>
      </w:pPr>
      <w:bookmarkStart w:id="51" w:name="_Toc7266_WPSOffice_Level2"/>
      <w:r>
        <w:rPr>
          <w:rFonts w:hint="eastAsia"/>
          <w:color w:val="auto"/>
          <w:sz w:val="28"/>
          <w:szCs w:val="28"/>
          <w:highlight w:val="none"/>
        </w:rPr>
        <w:t>中小企业声明函</w:t>
      </w:r>
      <w:bookmarkEnd w:id="51"/>
    </w:p>
    <w:p w14:paraId="5F620CC0">
      <w:pPr>
        <w:tabs>
          <w:tab w:val="left" w:pos="420"/>
        </w:tabs>
        <w:spacing w:line="360" w:lineRule="auto"/>
        <w:ind w:firstLine="480"/>
        <w:jc w:val="left"/>
        <w:rPr>
          <w:rFonts w:ascii="宋体" w:hAnsi="宋体" w:cs="Arial"/>
          <w:bCs/>
          <w:color w:val="auto"/>
          <w:kern w:val="0"/>
          <w:highlight w:val="none"/>
        </w:rPr>
      </w:pPr>
      <w:r>
        <w:rPr>
          <w:rFonts w:hint="eastAsia" w:ascii="宋体" w:hAnsi="宋体" w:cs="Arial"/>
          <w:bCs/>
          <w:color w:val="auto"/>
          <w:kern w:val="0"/>
          <w:highlight w:val="none"/>
        </w:rPr>
        <w:t>本公司郑重声明，根据《政府采购促进中小企业发展管理办法》（财库﹝2020﹞46 号）的规定，本公司</w:t>
      </w:r>
      <w:r>
        <w:rPr>
          <w:rFonts w:hint="eastAsia" w:ascii="宋体" w:hAnsi="宋体" w:cs="Arial"/>
          <w:bCs/>
          <w:color w:val="auto"/>
          <w:kern w:val="0"/>
          <w:highlight w:val="none"/>
          <w:lang w:eastAsia="zh-CN"/>
        </w:rPr>
        <w:t>（</w:t>
      </w:r>
      <w:r>
        <w:rPr>
          <w:rFonts w:hint="eastAsia" w:ascii="宋体" w:hAnsi="宋体" w:cs="Arial"/>
          <w:bCs/>
          <w:color w:val="auto"/>
          <w:kern w:val="0"/>
          <w:highlight w:val="none"/>
          <w:lang w:val="en-US" w:eastAsia="zh-CN"/>
        </w:rPr>
        <w:t>联合体</w:t>
      </w:r>
      <w:r>
        <w:rPr>
          <w:rFonts w:hint="eastAsia" w:ascii="宋体" w:hAnsi="宋体" w:cs="Arial"/>
          <w:bCs/>
          <w:color w:val="auto"/>
          <w:kern w:val="0"/>
          <w:highlight w:val="none"/>
          <w:lang w:eastAsia="zh-CN"/>
        </w:rPr>
        <w:t>）</w:t>
      </w:r>
      <w:r>
        <w:rPr>
          <w:rFonts w:hint="eastAsia" w:ascii="宋体" w:hAnsi="宋体" w:cs="Arial"/>
          <w:bCs/>
          <w:color w:val="auto"/>
          <w:kern w:val="0"/>
          <w:highlight w:val="none"/>
        </w:rPr>
        <w:t>参加</w:t>
      </w:r>
      <w:r>
        <w:rPr>
          <w:rFonts w:hint="eastAsia" w:ascii="宋体" w:hAnsi="宋体" w:cs="Arial"/>
          <w:bCs/>
          <w:color w:val="auto"/>
          <w:kern w:val="0"/>
          <w:highlight w:val="none"/>
          <w:u w:val="single"/>
          <w:lang w:val="en-US" w:eastAsia="zh-CN"/>
        </w:rPr>
        <w:t xml:space="preserve">   </w:t>
      </w:r>
      <w:r>
        <w:rPr>
          <w:rFonts w:hint="eastAsia" w:ascii="宋体" w:hAnsi="宋体" w:cs="Arial"/>
          <w:bCs/>
          <w:color w:val="auto"/>
          <w:kern w:val="0"/>
          <w:highlight w:val="none"/>
          <w:u w:val="single"/>
        </w:rPr>
        <w:t xml:space="preserve">（单位名称） </w:t>
      </w:r>
      <w:r>
        <w:rPr>
          <w:rFonts w:hint="eastAsia" w:ascii="宋体" w:hAnsi="宋体" w:cs="Arial"/>
          <w:bCs/>
          <w:color w:val="auto"/>
          <w:kern w:val="0"/>
          <w:highlight w:val="none"/>
          <w:u w:val="single"/>
          <w:lang w:val="en-US" w:eastAsia="zh-CN"/>
        </w:rPr>
        <w:t xml:space="preserve">  </w:t>
      </w:r>
      <w:r>
        <w:rPr>
          <w:rFonts w:hint="eastAsia" w:ascii="宋体" w:hAnsi="宋体" w:cs="Arial"/>
          <w:bCs/>
          <w:color w:val="auto"/>
          <w:kern w:val="0"/>
          <w:highlight w:val="none"/>
          <w:lang w:val="en-US" w:eastAsia="zh-CN"/>
        </w:rPr>
        <w:t xml:space="preserve"> </w:t>
      </w:r>
      <w:r>
        <w:rPr>
          <w:rFonts w:hint="eastAsia" w:ascii="宋体" w:hAnsi="宋体" w:cs="Arial"/>
          <w:bCs/>
          <w:color w:val="auto"/>
          <w:kern w:val="0"/>
          <w:highlight w:val="none"/>
        </w:rPr>
        <w:t>的</w:t>
      </w:r>
      <w:r>
        <w:rPr>
          <w:rFonts w:hint="eastAsia" w:ascii="宋体" w:hAnsi="宋体" w:cs="Arial"/>
          <w:bCs/>
          <w:color w:val="auto"/>
          <w:kern w:val="0"/>
          <w:highlight w:val="none"/>
          <w:u w:val="single"/>
          <w:lang w:val="en-US" w:eastAsia="zh-CN"/>
        </w:rPr>
        <w:t xml:space="preserve">    </w:t>
      </w:r>
      <w:r>
        <w:rPr>
          <w:rFonts w:hint="eastAsia" w:ascii="宋体" w:hAnsi="宋体" w:cs="Arial"/>
          <w:bCs/>
          <w:color w:val="auto"/>
          <w:kern w:val="0"/>
          <w:highlight w:val="none"/>
          <w:u w:val="single"/>
        </w:rPr>
        <w:t>（项目名称）</w:t>
      </w:r>
      <w:r>
        <w:rPr>
          <w:rFonts w:hint="eastAsia" w:ascii="宋体" w:hAnsi="宋体" w:cs="Arial"/>
          <w:bCs/>
          <w:color w:val="auto"/>
          <w:kern w:val="0"/>
          <w:highlight w:val="none"/>
          <w:u w:val="single"/>
          <w:lang w:val="en-US" w:eastAsia="zh-CN"/>
        </w:rPr>
        <w:t xml:space="preserve">  </w:t>
      </w:r>
      <w:r>
        <w:rPr>
          <w:rFonts w:hint="eastAsia" w:ascii="宋体" w:hAnsi="宋体" w:cs="Arial"/>
          <w:bCs/>
          <w:color w:val="auto"/>
          <w:kern w:val="0"/>
          <w:highlight w:val="none"/>
          <w:u w:val="single"/>
        </w:rPr>
        <w:t xml:space="preserve"> </w:t>
      </w:r>
      <w:r>
        <w:rPr>
          <w:rFonts w:hint="eastAsia" w:ascii="宋体" w:hAnsi="宋体" w:cs="Arial"/>
          <w:bCs/>
          <w:color w:val="auto"/>
          <w:kern w:val="0"/>
          <w:highlight w:val="none"/>
        </w:rPr>
        <w:t>采购活动，提供的货物全部由符合政策要求的中小企业制造。相关企业（含联合体中的中小企业、签订分包意向协议的中小企业）的具体情况如下：</w:t>
      </w:r>
    </w:p>
    <w:p w14:paraId="2CF0B73F">
      <w:pPr>
        <w:numPr>
          <w:ilvl w:val="0"/>
          <w:numId w:val="5"/>
        </w:numPr>
        <w:tabs>
          <w:tab w:val="left" w:pos="420"/>
        </w:tabs>
        <w:spacing w:line="360" w:lineRule="auto"/>
        <w:ind w:firstLine="480"/>
        <w:jc w:val="left"/>
        <w:rPr>
          <w:rFonts w:ascii="宋体" w:hAnsi="宋体" w:cs="Arial"/>
          <w:bCs/>
          <w:color w:val="auto"/>
          <w:kern w:val="0"/>
          <w:highlight w:val="none"/>
        </w:rPr>
      </w:pPr>
      <w:r>
        <w:rPr>
          <w:rFonts w:hint="eastAsia" w:ascii="宋体" w:hAnsi="宋体" w:cs="Arial"/>
          <w:bCs/>
          <w:color w:val="auto"/>
          <w:kern w:val="0"/>
          <w:highlight w:val="none"/>
          <w:u w:val="single"/>
          <w:lang w:val="en-US" w:eastAsia="zh-CN"/>
        </w:rPr>
        <w:t xml:space="preserve"> </w:t>
      </w:r>
      <w:r>
        <w:rPr>
          <w:rFonts w:hint="eastAsia" w:ascii="宋体" w:hAnsi="宋体" w:cs="Arial"/>
          <w:bCs/>
          <w:color w:val="auto"/>
          <w:kern w:val="0"/>
          <w:highlight w:val="none"/>
          <w:u w:val="single"/>
        </w:rPr>
        <w:t>（标的名称）</w:t>
      </w:r>
      <w:r>
        <w:rPr>
          <w:rFonts w:hint="eastAsia" w:ascii="宋体" w:hAnsi="宋体" w:cs="Arial"/>
          <w:bCs/>
          <w:color w:val="auto"/>
          <w:kern w:val="0"/>
          <w:highlight w:val="none"/>
          <w:u w:val="single"/>
          <w:lang w:val="en-US" w:eastAsia="zh-CN"/>
        </w:rPr>
        <w:t xml:space="preserve"> </w:t>
      </w:r>
      <w:r>
        <w:rPr>
          <w:rFonts w:hint="eastAsia" w:ascii="宋体" w:hAnsi="宋体" w:cs="Arial"/>
          <w:bCs/>
          <w:color w:val="auto"/>
          <w:kern w:val="0"/>
          <w:highlight w:val="none"/>
        </w:rPr>
        <w:t>，属于</w:t>
      </w:r>
      <w:r>
        <w:rPr>
          <w:rFonts w:hint="eastAsia" w:ascii="宋体" w:hAnsi="宋体" w:cs="Arial"/>
          <w:bCs/>
          <w:color w:val="auto"/>
          <w:kern w:val="0"/>
          <w:highlight w:val="none"/>
          <w:u w:val="single"/>
        </w:rPr>
        <w:t>（采购文件中明确的所属行业）</w:t>
      </w:r>
      <w:r>
        <w:rPr>
          <w:rFonts w:hint="eastAsia" w:ascii="宋体" w:hAnsi="宋体" w:cs="Arial"/>
          <w:bCs/>
          <w:color w:val="auto"/>
          <w:kern w:val="0"/>
          <w:highlight w:val="none"/>
        </w:rPr>
        <w:t>；</w:t>
      </w:r>
      <w:r>
        <w:rPr>
          <w:rFonts w:hint="eastAsia" w:ascii="宋体" w:hAnsi="宋体" w:cs="Arial"/>
          <w:bCs/>
          <w:color w:val="auto"/>
          <w:kern w:val="0"/>
          <w:highlight w:val="none"/>
          <w:lang w:val="en-US" w:eastAsia="zh-CN"/>
        </w:rPr>
        <w:t>承建（承接）</w:t>
      </w:r>
      <w:r>
        <w:rPr>
          <w:rFonts w:hint="eastAsia" w:ascii="宋体" w:hAnsi="宋体" w:cs="Arial"/>
          <w:bCs/>
          <w:color w:val="auto"/>
          <w:kern w:val="0"/>
          <w:highlight w:val="none"/>
        </w:rPr>
        <w:t>为</w:t>
      </w:r>
      <w:r>
        <w:rPr>
          <w:rFonts w:hint="eastAsia" w:ascii="宋体" w:hAnsi="宋体" w:cs="Arial"/>
          <w:bCs/>
          <w:color w:val="auto"/>
          <w:kern w:val="0"/>
          <w:highlight w:val="none"/>
          <w:lang w:val="en-US" w:eastAsia="zh-CN"/>
        </w:rPr>
        <w:t xml:space="preserve"> </w:t>
      </w:r>
      <w:r>
        <w:rPr>
          <w:rFonts w:hint="eastAsia" w:ascii="宋体" w:hAnsi="宋体" w:cs="Arial"/>
          <w:bCs/>
          <w:color w:val="auto"/>
          <w:kern w:val="0"/>
          <w:highlight w:val="none"/>
          <w:u w:val="single"/>
        </w:rPr>
        <w:t>（企业名称）</w:t>
      </w:r>
      <w:r>
        <w:rPr>
          <w:rFonts w:hint="eastAsia" w:ascii="宋体" w:hAnsi="宋体" w:cs="Arial"/>
          <w:bCs/>
          <w:color w:val="auto"/>
          <w:kern w:val="0"/>
          <w:highlight w:val="none"/>
          <w:u w:val="single"/>
          <w:lang w:val="en-US" w:eastAsia="zh-CN"/>
        </w:rPr>
        <w:t xml:space="preserve"> </w:t>
      </w:r>
      <w:r>
        <w:rPr>
          <w:rFonts w:hint="eastAsia" w:ascii="宋体" w:hAnsi="宋体" w:cs="Arial"/>
          <w:bCs/>
          <w:color w:val="auto"/>
          <w:kern w:val="0"/>
          <w:highlight w:val="none"/>
        </w:rPr>
        <w:t>，从业</w:t>
      </w:r>
      <w:r>
        <w:rPr>
          <w:rFonts w:hint="eastAsia" w:ascii="宋体" w:hAnsi="宋体" w:cs="Arial"/>
          <w:bCs/>
          <w:color w:val="auto"/>
          <w:kern w:val="0"/>
          <w:highlight w:val="none"/>
          <w:lang w:val="en-US" w:eastAsia="zh-CN"/>
        </w:rPr>
        <w:t xml:space="preserve">人员 </w:t>
      </w:r>
      <w:r>
        <w:rPr>
          <w:rFonts w:hint="eastAsia" w:ascii="宋体" w:hAnsi="宋体" w:cs="Arial"/>
          <w:bCs/>
          <w:color w:val="auto"/>
          <w:kern w:val="0"/>
          <w:highlight w:val="none"/>
          <w:u w:val="single"/>
          <w:lang w:val="en-US" w:eastAsia="zh-CN"/>
        </w:rPr>
        <w:t xml:space="preserve">      </w:t>
      </w:r>
      <w:r>
        <w:rPr>
          <w:rFonts w:hint="eastAsia" w:ascii="宋体" w:hAnsi="宋体" w:cs="Arial"/>
          <w:bCs/>
          <w:color w:val="auto"/>
          <w:kern w:val="0"/>
          <w:highlight w:val="none"/>
          <w:u w:val="none"/>
          <w:lang w:val="en-US" w:eastAsia="zh-CN"/>
        </w:rPr>
        <w:t>人</w:t>
      </w:r>
      <w:r>
        <w:rPr>
          <w:rFonts w:hint="eastAsia" w:ascii="宋体" w:hAnsi="宋体" w:cs="Arial"/>
          <w:bCs/>
          <w:color w:val="auto"/>
          <w:kern w:val="0"/>
          <w:highlight w:val="none"/>
        </w:rPr>
        <w:t>，营业收入为</w:t>
      </w:r>
      <w:r>
        <w:rPr>
          <w:rFonts w:hint="eastAsia" w:ascii="宋体" w:hAnsi="宋体" w:cs="Arial"/>
          <w:bCs/>
          <w:color w:val="auto"/>
          <w:kern w:val="0"/>
          <w:highlight w:val="none"/>
          <w:u w:val="single"/>
          <w:lang w:val="en-US" w:eastAsia="zh-CN"/>
        </w:rPr>
        <w:t xml:space="preserve">     </w:t>
      </w:r>
      <w:r>
        <w:rPr>
          <w:rFonts w:hint="eastAsia" w:ascii="宋体" w:hAnsi="宋体" w:cs="Arial"/>
          <w:bCs/>
          <w:color w:val="auto"/>
          <w:kern w:val="0"/>
          <w:highlight w:val="none"/>
        </w:rPr>
        <w:t>万元，资产总额为</w:t>
      </w:r>
      <w:r>
        <w:rPr>
          <w:rFonts w:hint="eastAsia" w:ascii="宋体" w:hAnsi="宋体" w:cs="Arial"/>
          <w:bCs/>
          <w:color w:val="auto"/>
          <w:kern w:val="0"/>
          <w:highlight w:val="none"/>
          <w:u w:val="single"/>
          <w:lang w:val="en-US" w:eastAsia="zh-CN"/>
        </w:rPr>
        <w:t xml:space="preserve">    </w:t>
      </w:r>
      <w:r>
        <w:rPr>
          <w:rFonts w:hint="eastAsia" w:ascii="宋体" w:hAnsi="宋体" w:cs="Arial"/>
          <w:bCs/>
          <w:color w:val="auto"/>
          <w:kern w:val="0"/>
          <w:highlight w:val="none"/>
        </w:rPr>
        <w:t>万元，属于</w:t>
      </w:r>
      <w:r>
        <w:rPr>
          <w:rFonts w:hint="eastAsia" w:ascii="宋体" w:hAnsi="宋体" w:cs="Arial"/>
          <w:bCs/>
          <w:color w:val="auto"/>
          <w:kern w:val="0"/>
          <w:highlight w:val="none"/>
          <w:u w:val="single"/>
        </w:rPr>
        <w:t>（中型企业、小型企业、微型企业）</w:t>
      </w:r>
      <w:r>
        <w:rPr>
          <w:rFonts w:hint="eastAsia" w:ascii="宋体" w:hAnsi="宋体" w:cs="Arial"/>
          <w:bCs/>
          <w:color w:val="auto"/>
          <w:kern w:val="0"/>
          <w:highlight w:val="none"/>
        </w:rPr>
        <w:t>；</w:t>
      </w:r>
    </w:p>
    <w:p w14:paraId="70A0EC37">
      <w:pPr>
        <w:numPr>
          <w:ilvl w:val="0"/>
          <w:numId w:val="5"/>
        </w:numPr>
        <w:tabs>
          <w:tab w:val="left" w:pos="420"/>
        </w:tabs>
        <w:spacing w:line="360" w:lineRule="auto"/>
        <w:ind w:firstLine="480"/>
        <w:jc w:val="left"/>
        <w:rPr>
          <w:rFonts w:ascii="宋体" w:hAnsi="宋体" w:cs="Arial"/>
          <w:bCs/>
          <w:color w:val="auto"/>
          <w:kern w:val="0"/>
          <w:highlight w:val="none"/>
        </w:rPr>
      </w:pPr>
      <w:r>
        <w:rPr>
          <w:rFonts w:hint="eastAsia" w:ascii="宋体" w:hAnsi="宋体" w:cs="Arial"/>
          <w:bCs/>
          <w:color w:val="auto"/>
          <w:kern w:val="0"/>
          <w:highlight w:val="none"/>
          <w:u w:val="single"/>
          <w:lang w:val="en-US" w:eastAsia="zh-CN"/>
        </w:rPr>
        <w:t xml:space="preserve"> </w:t>
      </w:r>
      <w:r>
        <w:rPr>
          <w:rFonts w:hint="eastAsia" w:ascii="宋体" w:hAnsi="宋体" w:cs="Arial"/>
          <w:bCs/>
          <w:color w:val="auto"/>
          <w:kern w:val="0"/>
          <w:highlight w:val="none"/>
          <w:u w:val="single"/>
        </w:rPr>
        <w:t>（标的名称）</w:t>
      </w:r>
      <w:r>
        <w:rPr>
          <w:rFonts w:hint="eastAsia" w:ascii="宋体" w:hAnsi="宋体" w:cs="Arial"/>
          <w:bCs/>
          <w:color w:val="auto"/>
          <w:kern w:val="0"/>
          <w:highlight w:val="none"/>
          <w:u w:val="single"/>
          <w:lang w:val="en-US" w:eastAsia="zh-CN"/>
        </w:rPr>
        <w:t xml:space="preserve"> </w:t>
      </w:r>
      <w:r>
        <w:rPr>
          <w:rFonts w:hint="eastAsia" w:ascii="宋体" w:hAnsi="宋体" w:cs="Arial"/>
          <w:bCs/>
          <w:color w:val="auto"/>
          <w:kern w:val="0"/>
          <w:highlight w:val="none"/>
        </w:rPr>
        <w:t>，属于</w:t>
      </w:r>
      <w:r>
        <w:rPr>
          <w:rFonts w:hint="eastAsia" w:ascii="宋体" w:hAnsi="宋体" w:cs="Arial"/>
          <w:bCs/>
          <w:color w:val="auto"/>
          <w:kern w:val="0"/>
          <w:highlight w:val="none"/>
          <w:u w:val="single"/>
        </w:rPr>
        <w:t>（采购文件中明确的所属行业）</w:t>
      </w:r>
      <w:r>
        <w:rPr>
          <w:rFonts w:hint="eastAsia" w:ascii="宋体" w:hAnsi="宋体" w:cs="Arial"/>
          <w:bCs/>
          <w:color w:val="auto"/>
          <w:kern w:val="0"/>
          <w:highlight w:val="none"/>
        </w:rPr>
        <w:t>；</w:t>
      </w:r>
      <w:r>
        <w:rPr>
          <w:rFonts w:hint="eastAsia" w:ascii="宋体" w:hAnsi="宋体" w:cs="Arial"/>
          <w:bCs/>
          <w:color w:val="auto"/>
          <w:kern w:val="0"/>
          <w:highlight w:val="none"/>
          <w:lang w:val="en-US" w:eastAsia="zh-CN"/>
        </w:rPr>
        <w:t>承建（承接）</w:t>
      </w:r>
      <w:r>
        <w:rPr>
          <w:rFonts w:hint="eastAsia" w:ascii="宋体" w:hAnsi="宋体" w:cs="Arial"/>
          <w:bCs/>
          <w:color w:val="auto"/>
          <w:kern w:val="0"/>
          <w:highlight w:val="none"/>
        </w:rPr>
        <w:t>为</w:t>
      </w:r>
      <w:r>
        <w:rPr>
          <w:rFonts w:hint="eastAsia" w:ascii="宋体" w:hAnsi="宋体" w:cs="Arial"/>
          <w:bCs/>
          <w:color w:val="auto"/>
          <w:kern w:val="0"/>
          <w:highlight w:val="none"/>
          <w:lang w:val="en-US" w:eastAsia="zh-CN"/>
        </w:rPr>
        <w:t xml:space="preserve"> </w:t>
      </w:r>
      <w:r>
        <w:rPr>
          <w:rFonts w:hint="eastAsia" w:ascii="宋体" w:hAnsi="宋体" w:cs="Arial"/>
          <w:bCs/>
          <w:color w:val="auto"/>
          <w:kern w:val="0"/>
          <w:highlight w:val="none"/>
          <w:u w:val="single"/>
        </w:rPr>
        <w:t>（企业名称）</w:t>
      </w:r>
      <w:r>
        <w:rPr>
          <w:rFonts w:hint="eastAsia" w:ascii="宋体" w:hAnsi="宋体" w:cs="Arial"/>
          <w:bCs/>
          <w:color w:val="auto"/>
          <w:kern w:val="0"/>
          <w:highlight w:val="none"/>
          <w:u w:val="single"/>
          <w:lang w:val="en-US" w:eastAsia="zh-CN"/>
        </w:rPr>
        <w:t xml:space="preserve"> </w:t>
      </w:r>
      <w:r>
        <w:rPr>
          <w:rFonts w:hint="eastAsia" w:ascii="宋体" w:hAnsi="宋体" w:cs="Arial"/>
          <w:bCs/>
          <w:color w:val="auto"/>
          <w:kern w:val="0"/>
          <w:highlight w:val="none"/>
        </w:rPr>
        <w:t>，从业</w:t>
      </w:r>
      <w:r>
        <w:rPr>
          <w:rFonts w:hint="eastAsia" w:ascii="宋体" w:hAnsi="宋体" w:cs="Arial"/>
          <w:bCs/>
          <w:color w:val="auto"/>
          <w:kern w:val="0"/>
          <w:highlight w:val="none"/>
          <w:lang w:val="en-US" w:eastAsia="zh-CN"/>
        </w:rPr>
        <w:t xml:space="preserve">人员 </w:t>
      </w:r>
      <w:r>
        <w:rPr>
          <w:rFonts w:hint="eastAsia" w:ascii="宋体" w:hAnsi="宋体" w:cs="Arial"/>
          <w:bCs/>
          <w:color w:val="auto"/>
          <w:kern w:val="0"/>
          <w:highlight w:val="none"/>
          <w:u w:val="single"/>
          <w:lang w:val="en-US" w:eastAsia="zh-CN"/>
        </w:rPr>
        <w:t xml:space="preserve">      </w:t>
      </w:r>
      <w:r>
        <w:rPr>
          <w:rFonts w:hint="eastAsia" w:ascii="宋体" w:hAnsi="宋体" w:cs="Arial"/>
          <w:bCs/>
          <w:color w:val="auto"/>
          <w:kern w:val="0"/>
          <w:highlight w:val="none"/>
          <w:u w:val="none"/>
          <w:lang w:val="en-US" w:eastAsia="zh-CN"/>
        </w:rPr>
        <w:t>人</w:t>
      </w:r>
      <w:r>
        <w:rPr>
          <w:rFonts w:hint="eastAsia" w:ascii="宋体" w:hAnsi="宋体" w:cs="Arial"/>
          <w:bCs/>
          <w:color w:val="auto"/>
          <w:kern w:val="0"/>
          <w:highlight w:val="none"/>
        </w:rPr>
        <w:t>，营业收入为</w:t>
      </w:r>
      <w:r>
        <w:rPr>
          <w:rFonts w:hint="eastAsia" w:ascii="宋体" w:hAnsi="宋体" w:cs="Arial"/>
          <w:bCs/>
          <w:color w:val="auto"/>
          <w:kern w:val="0"/>
          <w:highlight w:val="none"/>
          <w:u w:val="single"/>
          <w:lang w:val="en-US" w:eastAsia="zh-CN"/>
        </w:rPr>
        <w:t xml:space="preserve">     </w:t>
      </w:r>
      <w:r>
        <w:rPr>
          <w:rFonts w:hint="eastAsia" w:ascii="宋体" w:hAnsi="宋体" w:cs="Arial"/>
          <w:bCs/>
          <w:color w:val="auto"/>
          <w:kern w:val="0"/>
          <w:highlight w:val="none"/>
        </w:rPr>
        <w:t>万元，资产总额为</w:t>
      </w:r>
      <w:r>
        <w:rPr>
          <w:rFonts w:hint="eastAsia" w:ascii="宋体" w:hAnsi="宋体" w:cs="Arial"/>
          <w:bCs/>
          <w:color w:val="auto"/>
          <w:kern w:val="0"/>
          <w:highlight w:val="none"/>
          <w:u w:val="single"/>
          <w:lang w:val="en-US" w:eastAsia="zh-CN"/>
        </w:rPr>
        <w:t xml:space="preserve">    </w:t>
      </w:r>
      <w:r>
        <w:rPr>
          <w:rFonts w:hint="eastAsia" w:ascii="宋体" w:hAnsi="宋体" w:cs="Arial"/>
          <w:bCs/>
          <w:color w:val="auto"/>
          <w:kern w:val="0"/>
          <w:highlight w:val="none"/>
        </w:rPr>
        <w:t>万元，属于</w:t>
      </w:r>
      <w:r>
        <w:rPr>
          <w:rFonts w:hint="eastAsia" w:ascii="宋体" w:hAnsi="宋体" w:cs="Arial"/>
          <w:bCs/>
          <w:color w:val="auto"/>
          <w:kern w:val="0"/>
          <w:highlight w:val="none"/>
          <w:u w:val="single"/>
        </w:rPr>
        <w:t>（中型企业、小型企业、微型企业）</w:t>
      </w:r>
      <w:r>
        <w:rPr>
          <w:rFonts w:hint="eastAsia" w:ascii="宋体" w:hAnsi="宋体" w:cs="Arial"/>
          <w:bCs/>
          <w:color w:val="auto"/>
          <w:kern w:val="0"/>
          <w:highlight w:val="none"/>
        </w:rPr>
        <w:t>；</w:t>
      </w:r>
    </w:p>
    <w:p w14:paraId="3C0FB915">
      <w:pPr>
        <w:tabs>
          <w:tab w:val="left" w:pos="420"/>
        </w:tabs>
        <w:spacing w:line="360" w:lineRule="auto"/>
        <w:ind w:firstLine="480"/>
        <w:jc w:val="left"/>
        <w:rPr>
          <w:rFonts w:ascii="宋体" w:hAnsi="宋体" w:cs="Arial"/>
          <w:bCs/>
          <w:color w:val="auto"/>
          <w:kern w:val="0"/>
          <w:highlight w:val="none"/>
        </w:rPr>
      </w:pPr>
      <w:r>
        <w:rPr>
          <w:rFonts w:hint="eastAsia" w:ascii="宋体" w:hAnsi="宋体" w:cs="Arial"/>
          <w:bCs/>
          <w:color w:val="auto"/>
          <w:kern w:val="0"/>
          <w:highlight w:val="none"/>
        </w:rPr>
        <w:t>以上企业，不属于大企业的分支机构，不存在控股股东为大企业的情形，也不存在与大企业的负责人为同一人的情形。</w:t>
      </w:r>
    </w:p>
    <w:p w14:paraId="2B1FA09E">
      <w:pPr>
        <w:tabs>
          <w:tab w:val="left" w:pos="420"/>
        </w:tabs>
        <w:spacing w:line="360" w:lineRule="auto"/>
        <w:ind w:firstLine="480"/>
        <w:jc w:val="left"/>
        <w:rPr>
          <w:rFonts w:ascii="宋体" w:hAnsi="宋体" w:cs="Arial"/>
          <w:bCs/>
          <w:color w:val="auto"/>
          <w:kern w:val="0"/>
          <w:highlight w:val="none"/>
        </w:rPr>
      </w:pPr>
      <w:r>
        <w:rPr>
          <w:rFonts w:hint="eastAsia" w:ascii="宋体" w:hAnsi="宋体" w:cs="Arial"/>
          <w:bCs/>
          <w:color w:val="auto"/>
          <w:kern w:val="0"/>
          <w:highlight w:val="none"/>
        </w:rPr>
        <w:t>本企业对上述声明内容的真实性负责。如有虚假，将依法承担相应责任。</w:t>
      </w:r>
    </w:p>
    <w:p w14:paraId="1270EB32">
      <w:pPr>
        <w:adjustRightInd w:val="0"/>
        <w:snapToGrid w:val="0"/>
        <w:ind w:firstLine="4410" w:firstLineChars="2100"/>
        <w:rPr>
          <w:rFonts w:hint="eastAsia" w:ascii="宋体" w:hAnsi="宋体" w:cs="宋体"/>
          <w:color w:val="auto"/>
          <w:szCs w:val="21"/>
          <w:highlight w:val="none"/>
        </w:rPr>
      </w:pPr>
    </w:p>
    <w:p w14:paraId="551E5C65">
      <w:pPr>
        <w:pStyle w:val="33"/>
        <w:rPr>
          <w:rFonts w:hint="eastAsia"/>
          <w:color w:val="auto"/>
          <w:highlight w:val="none"/>
        </w:rPr>
      </w:pPr>
    </w:p>
    <w:p w14:paraId="4BA99606">
      <w:pPr>
        <w:adjustRightInd w:val="0"/>
        <w:snapToGrid w:val="0"/>
        <w:ind w:firstLine="5460" w:firstLineChars="2600"/>
        <w:rPr>
          <w:rFonts w:hAnsi="宋体" w:cs="宋体"/>
          <w:color w:val="auto"/>
          <w:highlight w:val="none"/>
          <w:u w:val="single"/>
        </w:rPr>
      </w:pPr>
      <w:r>
        <w:rPr>
          <w:rFonts w:hint="eastAsia" w:ascii="宋体" w:hAnsi="宋体" w:cs="宋体"/>
          <w:color w:val="auto"/>
          <w:szCs w:val="21"/>
          <w:highlight w:val="none"/>
        </w:rPr>
        <w:t>供应商名称（盖章）：</w:t>
      </w:r>
      <w:r>
        <w:rPr>
          <w:rFonts w:hAnsi="宋体" w:cs="宋体"/>
          <w:color w:val="auto"/>
          <w:highlight w:val="none"/>
          <w:u w:val="single"/>
        </w:rPr>
        <w:t xml:space="preserve">   </w:t>
      </w:r>
    </w:p>
    <w:p w14:paraId="15265515">
      <w:pPr>
        <w:pStyle w:val="26"/>
        <w:spacing w:before="120" w:after="120" w:line="288" w:lineRule="auto"/>
        <w:ind w:firstLine="5460" w:firstLineChars="2600"/>
        <w:rPr>
          <w:rFonts w:hAnsi="宋体" w:cs="宋体"/>
          <w:color w:val="auto"/>
          <w:highlight w:val="none"/>
          <w:u w:val="single"/>
        </w:rPr>
      </w:pPr>
      <w:r>
        <w:rPr>
          <w:rFonts w:hAnsi="宋体" w:cs="宋体"/>
          <w:color w:val="auto"/>
          <w:highlight w:val="none"/>
        </w:rPr>
        <w:t>日     期：</w:t>
      </w:r>
      <w:r>
        <w:rPr>
          <w:rFonts w:hAnsi="宋体" w:cs="宋体"/>
          <w:color w:val="auto"/>
          <w:highlight w:val="none"/>
          <w:u w:val="single"/>
        </w:rPr>
        <w:t xml:space="preserve">           </w:t>
      </w:r>
    </w:p>
    <w:p w14:paraId="4547376C">
      <w:pPr>
        <w:pStyle w:val="26"/>
        <w:spacing w:before="120" w:after="120" w:line="288" w:lineRule="auto"/>
        <w:ind w:firstLine="3990" w:firstLineChars="1900"/>
        <w:rPr>
          <w:rFonts w:hAnsi="宋体" w:cs="宋体"/>
          <w:color w:val="auto"/>
          <w:highlight w:val="none"/>
          <w:u w:val="single"/>
        </w:rPr>
      </w:pPr>
    </w:p>
    <w:p w14:paraId="6683FE43">
      <w:pPr>
        <w:pStyle w:val="26"/>
        <w:spacing w:before="120" w:after="120" w:line="288" w:lineRule="auto"/>
        <w:ind w:firstLine="3990" w:firstLineChars="1900"/>
        <w:rPr>
          <w:rFonts w:hAnsi="宋体" w:cs="宋体"/>
          <w:color w:val="auto"/>
          <w:highlight w:val="none"/>
          <w:u w:val="single"/>
        </w:rPr>
      </w:pPr>
    </w:p>
    <w:p w14:paraId="43648DC4">
      <w:pPr>
        <w:pStyle w:val="26"/>
        <w:spacing w:before="120" w:after="120" w:line="288" w:lineRule="auto"/>
        <w:ind w:firstLine="3990" w:firstLineChars="1900"/>
        <w:rPr>
          <w:rFonts w:hAnsi="宋体" w:cs="宋体"/>
          <w:color w:val="auto"/>
          <w:highlight w:val="none"/>
          <w:u w:val="single"/>
        </w:rPr>
      </w:pPr>
    </w:p>
    <w:p w14:paraId="31BABA36">
      <w:pPr>
        <w:pStyle w:val="117"/>
        <w:spacing w:line="288" w:lineRule="auto"/>
        <w:ind w:firstLine="422" w:firstLineChars="200"/>
        <w:rPr>
          <w:rFonts w:hint="eastAsia" w:ascii="宋体" w:hAnsi="宋体" w:cs="宋体"/>
          <w:bCs/>
          <w:color w:val="auto"/>
          <w:szCs w:val="21"/>
          <w:highlight w:val="none"/>
        </w:rPr>
      </w:pPr>
      <w:r>
        <w:rPr>
          <w:rFonts w:hint="eastAsia" w:ascii="宋体" w:hAnsi="宋体" w:cs="宋体"/>
          <w:b/>
          <w:bCs/>
          <w:color w:val="auto"/>
          <w:szCs w:val="21"/>
          <w:highlight w:val="none"/>
        </w:rPr>
        <w:t>注：</w:t>
      </w:r>
      <w:r>
        <w:rPr>
          <w:rFonts w:hint="eastAsia" w:ascii="宋体" w:hAnsi="宋体" w:cs="宋体"/>
          <w:bCs/>
          <w:color w:val="auto"/>
          <w:szCs w:val="21"/>
          <w:highlight w:val="none"/>
        </w:rPr>
        <w:t>1.小型、微型、监狱和残疾人福利企业参与投标或其制造投标产品的，投标人应详细填写本函，并提供相关证明。相关证明包括企业营业执照、监狱企业证明、残疾人福利企业证明、企业基本情况等判定企业是否为小型、微型、监狱和残疾人福利企业的证据。</w:t>
      </w:r>
    </w:p>
    <w:p w14:paraId="11CFAFB9">
      <w:pPr>
        <w:widowControl/>
        <w:snapToGrid w:val="0"/>
        <w:ind w:firstLine="480"/>
        <w:rPr>
          <w:rFonts w:ascii="宋体" w:hAnsi="宋体" w:cs="宋体"/>
          <w:color w:val="auto"/>
          <w:szCs w:val="21"/>
          <w:highlight w:val="none"/>
        </w:rPr>
      </w:pPr>
      <w:r>
        <w:rPr>
          <w:rFonts w:hint="eastAsia" w:ascii="宋体" w:hAnsi="宋体" w:cs="宋体"/>
          <w:color w:val="auto"/>
          <w:szCs w:val="21"/>
          <w:highlight w:val="none"/>
          <w:lang w:val="en-US" w:eastAsia="zh-CN"/>
        </w:rPr>
        <w:t>2</w:t>
      </w:r>
      <w:r>
        <w:rPr>
          <w:rFonts w:hint="eastAsia" w:ascii="宋体" w:hAnsi="宋体" w:cs="宋体"/>
          <w:color w:val="auto"/>
          <w:szCs w:val="21"/>
          <w:highlight w:val="none"/>
        </w:rPr>
        <w:t>.如投标产品由小微企业生产，则需提供中小企业声明函。</w:t>
      </w:r>
    </w:p>
    <w:p w14:paraId="29A9245F">
      <w:pPr>
        <w:widowControl/>
        <w:snapToGrid w:val="0"/>
        <w:ind w:firstLine="480"/>
        <w:rPr>
          <w:rFonts w:ascii="宋体" w:hAnsi="宋体" w:cs="宋体"/>
          <w:color w:val="auto"/>
          <w:szCs w:val="21"/>
          <w:highlight w:val="none"/>
        </w:rPr>
      </w:pPr>
      <w:r>
        <w:rPr>
          <w:rFonts w:hint="eastAsia" w:ascii="宋体" w:hAnsi="宋体" w:cs="宋体"/>
          <w:color w:val="auto"/>
          <w:szCs w:val="21"/>
          <w:highlight w:val="none"/>
          <w:lang w:val="en-US" w:eastAsia="zh-CN"/>
        </w:rPr>
        <w:t>3</w:t>
      </w:r>
      <w:r>
        <w:rPr>
          <w:rFonts w:hint="eastAsia" w:ascii="宋体" w:hAnsi="宋体" w:cs="宋体"/>
          <w:color w:val="auto"/>
          <w:szCs w:val="21"/>
          <w:highlight w:val="none"/>
        </w:rPr>
        <w:t>.小微企业提供的货物既有中小企业制造货物，也有大型企业制造货物的，不享受中小企业扶持政策。</w:t>
      </w:r>
    </w:p>
    <w:p w14:paraId="063BD262">
      <w:pPr>
        <w:pStyle w:val="45"/>
        <w:ind w:left="0" w:leftChars="0"/>
        <w:rPr>
          <w:rFonts w:hint="eastAsia" w:ascii="宋体" w:hAnsi="宋体"/>
          <w:bCs/>
          <w:color w:val="auto"/>
          <w:sz w:val="21"/>
          <w:szCs w:val="21"/>
          <w:highlight w:val="none"/>
        </w:rPr>
      </w:pPr>
      <w:r>
        <w:rPr>
          <w:rFonts w:hint="eastAsia" w:ascii="宋体" w:hAnsi="宋体"/>
          <w:bCs/>
          <w:color w:val="auto"/>
          <w:sz w:val="21"/>
          <w:szCs w:val="21"/>
          <w:highlight w:val="none"/>
          <w:lang w:val="en-US" w:eastAsia="zh-CN"/>
        </w:rPr>
        <w:t>4</w:t>
      </w:r>
      <w:r>
        <w:rPr>
          <w:rFonts w:hint="eastAsia" w:ascii="宋体" w:hAnsi="宋体"/>
          <w:bCs/>
          <w:color w:val="auto"/>
          <w:sz w:val="21"/>
          <w:szCs w:val="21"/>
          <w:highlight w:val="none"/>
        </w:rPr>
        <w:t>.如未填写或未提供相关证明的，视为投标人放弃相关政策优惠处理。</w:t>
      </w:r>
    </w:p>
    <w:p w14:paraId="05699DCF">
      <w:pPr>
        <w:rPr>
          <w:rFonts w:hint="eastAsia" w:ascii="宋体" w:hAnsi="宋体"/>
          <w:bCs/>
          <w:color w:val="auto"/>
          <w:sz w:val="21"/>
          <w:szCs w:val="21"/>
          <w:highlight w:val="none"/>
        </w:rPr>
      </w:pPr>
      <w:r>
        <w:rPr>
          <w:rFonts w:hint="eastAsia" w:ascii="宋体" w:hAnsi="宋体"/>
          <w:bCs/>
          <w:color w:val="auto"/>
          <w:sz w:val="21"/>
          <w:szCs w:val="21"/>
          <w:highlight w:val="none"/>
        </w:rPr>
        <w:br w:type="page"/>
      </w:r>
    </w:p>
    <w:p w14:paraId="11D0560E">
      <w:pPr>
        <w:spacing w:line="352" w:lineRule="exact"/>
        <w:jc w:val="center"/>
        <w:rPr>
          <w:rFonts w:hint="eastAsia" w:hAnsi="宋体" w:cs="宋体"/>
          <w:color w:val="auto"/>
          <w:sz w:val="21"/>
          <w:szCs w:val="21"/>
          <w:highlight w:val="none"/>
        </w:rPr>
      </w:pPr>
      <w:r>
        <w:rPr>
          <w:rFonts w:hint="eastAsia" w:hAnsi="宋体" w:cs="宋体"/>
          <w:color w:val="auto"/>
          <w:sz w:val="21"/>
          <w:szCs w:val="21"/>
          <w:highlight w:val="none"/>
        </w:rPr>
        <w:t>（2）残疾人福利性单位声明函（如有）</w:t>
      </w:r>
    </w:p>
    <w:p w14:paraId="19579D5A">
      <w:pPr>
        <w:pStyle w:val="79"/>
        <w:spacing w:before="634" w:beforeLines="100" w:line="500" w:lineRule="exact"/>
        <w:ind w:firstLine="480"/>
        <w:rPr>
          <w:rFonts w:ascii="宋体" w:hAnsi="宋体"/>
          <w:color w:val="auto"/>
          <w:kern w:val="2"/>
          <w:highlight w:val="none"/>
        </w:rPr>
      </w:pPr>
      <w:r>
        <w:rPr>
          <w:rFonts w:ascii="宋体" w:hAnsi="宋体"/>
          <w:color w:val="auto"/>
          <w:kern w:val="2"/>
          <w:highlight w:val="none"/>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390F88DE">
      <w:pPr>
        <w:pStyle w:val="79"/>
        <w:spacing w:line="500" w:lineRule="exact"/>
        <w:ind w:firstLine="480"/>
        <w:rPr>
          <w:rFonts w:ascii="宋体" w:hAnsi="宋体"/>
          <w:color w:val="auto"/>
          <w:kern w:val="2"/>
          <w:highlight w:val="none"/>
        </w:rPr>
      </w:pPr>
      <w:r>
        <w:rPr>
          <w:rFonts w:ascii="宋体" w:hAnsi="宋体"/>
          <w:color w:val="auto"/>
          <w:kern w:val="2"/>
          <w:highlight w:val="none"/>
        </w:rPr>
        <w:t>本单位对上述声明的真实性负责。如有虚假，将依法承担相应责任。</w:t>
      </w:r>
    </w:p>
    <w:p w14:paraId="726AA10A">
      <w:pPr>
        <w:pStyle w:val="79"/>
        <w:spacing w:line="500" w:lineRule="exact"/>
        <w:ind w:firstLine="504"/>
        <w:rPr>
          <w:rFonts w:ascii="宋体" w:hAnsi="宋体"/>
          <w:color w:val="auto"/>
          <w:spacing w:val="6"/>
          <w:highlight w:val="none"/>
        </w:rPr>
      </w:pPr>
    </w:p>
    <w:p w14:paraId="2B400D56">
      <w:pPr>
        <w:pStyle w:val="79"/>
        <w:spacing w:line="500" w:lineRule="exact"/>
        <w:ind w:right="1560" w:firstLine="504"/>
        <w:jc w:val="center"/>
        <w:rPr>
          <w:rFonts w:ascii="宋体" w:hAnsi="宋体"/>
          <w:color w:val="auto"/>
          <w:kern w:val="2"/>
          <w:highlight w:val="none"/>
        </w:rPr>
      </w:pPr>
      <w:r>
        <w:rPr>
          <w:rFonts w:ascii="宋体" w:hAnsi="宋体"/>
          <w:color w:val="auto"/>
          <w:spacing w:val="6"/>
          <w:highlight w:val="none"/>
        </w:rPr>
        <w:t xml:space="preserve">               </w:t>
      </w:r>
      <w:r>
        <w:rPr>
          <w:rFonts w:ascii="宋体" w:hAnsi="宋体"/>
          <w:color w:val="auto"/>
          <w:kern w:val="2"/>
          <w:highlight w:val="none"/>
        </w:rPr>
        <w:t>单位名称（盖章）：</w:t>
      </w:r>
    </w:p>
    <w:p w14:paraId="6E031F7C">
      <w:pPr>
        <w:pStyle w:val="79"/>
        <w:spacing w:line="500" w:lineRule="exact"/>
        <w:ind w:right="1560" w:firstLine="480"/>
        <w:jc w:val="center"/>
        <w:rPr>
          <w:rFonts w:ascii="宋体" w:hAnsi="宋体"/>
          <w:color w:val="auto"/>
          <w:kern w:val="2"/>
          <w:highlight w:val="none"/>
        </w:rPr>
      </w:pPr>
      <w:r>
        <w:rPr>
          <w:rFonts w:ascii="宋体" w:hAnsi="宋体"/>
          <w:color w:val="auto"/>
          <w:kern w:val="2"/>
          <w:highlight w:val="none"/>
        </w:rPr>
        <w:t xml:space="preserve">       日  期：</w:t>
      </w:r>
    </w:p>
    <w:p w14:paraId="4E9FE338">
      <w:pPr>
        <w:pStyle w:val="79"/>
        <w:spacing w:line="500" w:lineRule="exact"/>
        <w:ind w:right="1560" w:firstLine="480"/>
        <w:jc w:val="center"/>
        <w:rPr>
          <w:rFonts w:ascii="宋体" w:hAnsi="宋体"/>
          <w:color w:val="auto"/>
          <w:kern w:val="2"/>
          <w:highlight w:val="none"/>
        </w:rPr>
      </w:pPr>
    </w:p>
    <w:p w14:paraId="792FB4E1">
      <w:pPr>
        <w:spacing w:line="500" w:lineRule="exact"/>
        <w:ind w:firstLine="416" w:firstLineChars="200"/>
        <w:jc w:val="center"/>
        <w:rPr>
          <w:rFonts w:hint="eastAsia" w:hAnsi="宋体" w:cs="宋体"/>
          <w:color w:val="auto"/>
          <w:spacing w:val="-1"/>
          <w:sz w:val="21"/>
          <w:szCs w:val="21"/>
          <w:highlight w:val="none"/>
        </w:rPr>
      </w:pPr>
    </w:p>
    <w:p w14:paraId="13B6132E">
      <w:pPr>
        <w:spacing w:line="500" w:lineRule="exact"/>
        <w:ind w:firstLine="416" w:firstLineChars="200"/>
        <w:jc w:val="center"/>
        <w:rPr>
          <w:rFonts w:hint="eastAsia" w:hAnsi="宋体" w:cs="宋体"/>
          <w:color w:val="auto"/>
          <w:spacing w:val="-1"/>
          <w:sz w:val="21"/>
          <w:szCs w:val="21"/>
          <w:highlight w:val="none"/>
        </w:rPr>
      </w:pPr>
    </w:p>
    <w:p w14:paraId="5BD97DA0">
      <w:pPr>
        <w:numPr>
          <w:ilvl w:val="0"/>
          <w:numId w:val="6"/>
        </w:numPr>
        <w:spacing w:line="500" w:lineRule="exact"/>
        <w:ind w:firstLine="416" w:firstLineChars="200"/>
        <w:jc w:val="center"/>
        <w:rPr>
          <w:rFonts w:hint="eastAsia" w:hAnsi="宋体" w:cs="宋体"/>
          <w:color w:val="auto"/>
          <w:sz w:val="21"/>
          <w:szCs w:val="21"/>
          <w:highlight w:val="none"/>
        </w:rPr>
      </w:pPr>
      <w:r>
        <w:rPr>
          <w:rFonts w:hint="eastAsia" w:hAnsi="宋体" w:cs="宋体"/>
          <w:color w:val="auto"/>
          <w:spacing w:val="-1"/>
          <w:sz w:val="21"/>
          <w:szCs w:val="21"/>
          <w:highlight w:val="none"/>
        </w:rPr>
        <w:t>监狱企业证明文件</w:t>
      </w:r>
      <w:r>
        <w:rPr>
          <w:rFonts w:hint="eastAsia" w:hAnsi="宋体" w:cs="宋体"/>
          <w:color w:val="auto"/>
          <w:sz w:val="21"/>
          <w:szCs w:val="21"/>
          <w:highlight w:val="none"/>
        </w:rPr>
        <w:t>（如有）</w:t>
      </w:r>
    </w:p>
    <w:p w14:paraId="55C3C93E">
      <w:pPr>
        <w:pStyle w:val="60"/>
        <w:ind w:left="680" w:firstLine="0"/>
        <w:rPr>
          <w:rFonts w:hint="eastAsia"/>
          <w:color w:val="auto"/>
          <w:highlight w:val="none"/>
        </w:rPr>
      </w:pPr>
    </w:p>
    <w:p w14:paraId="1D205419">
      <w:pPr>
        <w:widowControl/>
        <w:spacing w:line="500" w:lineRule="exact"/>
        <w:ind w:firstLine="416" w:firstLineChars="200"/>
        <w:jc w:val="both"/>
        <w:rPr>
          <w:rFonts w:hint="eastAsia" w:hAnsi="宋体" w:cs="宋体"/>
          <w:color w:val="auto"/>
          <w:spacing w:val="-1"/>
          <w:sz w:val="21"/>
          <w:szCs w:val="21"/>
          <w:highlight w:val="none"/>
        </w:rPr>
      </w:pPr>
      <w:r>
        <w:rPr>
          <w:rFonts w:hint="eastAsia" w:hAnsi="宋体" w:cs="宋体"/>
          <w:color w:val="auto"/>
          <w:spacing w:val="-1"/>
          <w:sz w:val="21"/>
          <w:szCs w:val="21"/>
          <w:highlight w:val="none"/>
          <w:lang w:bidi="ar"/>
        </w:rPr>
        <w:t>监狱企业参加政府采购活动时，应当提供由省级以上监狱管理局、戒毒管理局（含新疆生产建设兵团）出具的属于监狱企业的证明文件。</w:t>
      </w:r>
    </w:p>
    <w:p w14:paraId="230E1EDB">
      <w:pPr>
        <w:pStyle w:val="79"/>
        <w:spacing w:line="500" w:lineRule="exact"/>
        <w:ind w:right="1560" w:firstLine="504"/>
        <w:jc w:val="center"/>
        <w:rPr>
          <w:rFonts w:ascii="宋体" w:hAnsi="宋体"/>
          <w:color w:val="auto"/>
          <w:kern w:val="2"/>
          <w:highlight w:val="none"/>
        </w:rPr>
      </w:pPr>
    </w:p>
    <w:p w14:paraId="271EC850">
      <w:pPr>
        <w:pStyle w:val="79"/>
        <w:spacing w:line="500" w:lineRule="exact"/>
        <w:ind w:right="1560" w:firstLine="504"/>
        <w:jc w:val="center"/>
        <w:rPr>
          <w:rFonts w:ascii="宋体" w:hAnsi="宋体"/>
          <w:color w:val="auto"/>
          <w:kern w:val="2"/>
          <w:highlight w:val="none"/>
        </w:rPr>
      </w:pPr>
      <w:r>
        <w:rPr>
          <w:rFonts w:ascii="宋体" w:hAnsi="宋体" w:eastAsia="宋体"/>
          <w:color w:val="auto"/>
          <w:kern w:val="2"/>
          <w:highlight w:val="none"/>
          <w:lang w:eastAsia="zh-CN"/>
        </w:rPr>
        <w:t xml:space="preserve">                </w:t>
      </w:r>
      <w:r>
        <w:rPr>
          <w:rFonts w:ascii="宋体" w:hAnsi="宋体"/>
          <w:color w:val="auto"/>
          <w:kern w:val="2"/>
          <w:highlight w:val="none"/>
        </w:rPr>
        <w:t>单位名称（盖章）：</w:t>
      </w:r>
    </w:p>
    <w:p w14:paraId="3B8CE040">
      <w:pPr>
        <w:pStyle w:val="23"/>
        <w:numPr>
          <w:ilvl w:val="0"/>
          <w:numId w:val="0"/>
        </w:numPr>
        <w:ind w:left="420" w:leftChars="0"/>
        <w:rPr>
          <w:rFonts w:hint="eastAsia"/>
          <w:color w:val="auto"/>
          <w:highlight w:val="none"/>
        </w:rPr>
      </w:pPr>
      <w:r>
        <w:rPr>
          <w:rFonts w:ascii="宋体" w:hAnsi="宋体"/>
          <w:color w:val="auto"/>
          <w:kern w:val="2"/>
          <w:highlight w:val="none"/>
        </w:rPr>
        <w:t xml:space="preserve">       日  期：</w:t>
      </w:r>
    </w:p>
    <w:p w14:paraId="565EB4CC">
      <w:pPr>
        <w:shd w:val="clear" w:color="auto" w:fill="FFFFFF"/>
        <w:snapToGrid w:val="0"/>
        <w:spacing w:line="360" w:lineRule="exact"/>
        <w:rPr>
          <w:rFonts w:hint="eastAsia" w:hAnsi="宋体"/>
          <w:b/>
          <w:bCs/>
          <w:color w:val="auto"/>
          <w:sz w:val="24"/>
          <w:highlight w:val="none"/>
        </w:rPr>
      </w:pPr>
    </w:p>
    <w:p w14:paraId="7B65CFBD">
      <w:pPr>
        <w:shd w:val="clear" w:color="auto" w:fill="FFFFFF"/>
        <w:snapToGrid w:val="0"/>
        <w:spacing w:line="360" w:lineRule="exact"/>
        <w:rPr>
          <w:rFonts w:hint="eastAsia" w:hAnsi="宋体"/>
          <w:b/>
          <w:bCs/>
          <w:color w:val="auto"/>
          <w:sz w:val="24"/>
          <w:highlight w:val="none"/>
        </w:rPr>
      </w:pPr>
      <w:r>
        <w:rPr>
          <w:rFonts w:hint="eastAsia" w:hAnsi="宋体"/>
          <w:b/>
          <w:bCs/>
          <w:color w:val="auto"/>
          <w:sz w:val="24"/>
          <w:highlight w:val="none"/>
        </w:rPr>
        <w:br w:type="page"/>
      </w:r>
      <w:r>
        <w:rPr>
          <w:rFonts w:hint="eastAsia" w:hAnsi="宋体"/>
          <w:b/>
          <w:bCs/>
          <w:color w:val="auto"/>
          <w:sz w:val="24"/>
          <w:highlight w:val="none"/>
        </w:rPr>
        <w:t>附件5</w:t>
      </w:r>
    </w:p>
    <w:p w14:paraId="4093F290">
      <w:pPr>
        <w:pStyle w:val="4"/>
        <w:spacing w:before="240" w:after="0"/>
        <w:jc w:val="center"/>
        <w:rPr>
          <w:rFonts w:hint="eastAsia"/>
          <w:color w:val="auto"/>
          <w:sz w:val="28"/>
          <w:szCs w:val="28"/>
          <w:highlight w:val="none"/>
        </w:rPr>
      </w:pPr>
      <w:bookmarkStart w:id="52" w:name="_Toc13149_WPSOffice_Level2"/>
      <w:r>
        <w:rPr>
          <w:rFonts w:hint="eastAsia"/>
          <w:color w:val="auto"/>
          <w:sz w:val="28"/>
          <w:szCs w:val="28"/>
          <w:highlight w:val="none"/>
        </w:rPr>
        <w:t>202</w:t>
      </w:r>
      <w:r>
        <w:rPr>
          <w:rFonts w:hint="eastAsia"/>
          <w:color w:val="auto"/>
          <w:sz w:val="28"/>
          <w:szCs w:val="28"/>
          <w:highlight w:val="none"/>
          <w:lang w:val="en-US" w:eastAsia="zh-CN"/>
        </w:rPr>
        <w:t>2</w:t>
      </w:r>
      <w:r>
        <w:rPr>
          <w:rFonts w:hint="eastAsia"/>
          <w:color w:val="auto"/>
          <w:sz w:val="28"/>
          <w:szCs w:val="28"/>
          <w:highlight w:val="none"/>
        </w:rPr>
        <w:t>年1月1日以来完成的类似项目情况表</w:t>
      </w:r>
      <w:bookmarkEnd w:id="52"/>
    </w:p>
    <w:tbl>
      <w:tblPr>
        <w:tblStyle w:val="46"/>
        <w:tblW w:w="0" w:type="auto"/>
        <w:tblInd w:w="-1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1"/>
        <w:gridCol w:w="2288"/>
        <w:gridCol w:w="2676"/>
        <w:gridCol w:w="1417"/>
        <w:gridCol w:w="1418"/>
        <w:gridCol w:w="1276"/>
      </w:tblGrid>
      <w:tr w14:paraId="570D53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2" w:hRule="atLeast"/>
        </w:trPr>
        <w:tc>
          <w:tcPr>
            <w:tcW w:w="531" w:type="dxa"/>
            <w:noWrap w:val="0"/>
            <w:vAlign w:val="center"/>
          </w:tcPr>
          <w:p w14:paraId="730DD5BB">
            <w:pPr>
              <w:widowControl/>
              <w:jc w:val="center"/>
              <w:rPr>
                <w:rFonts w:hint="eastAsia" w:hAnsi="宋体" w:cs="宋体"/>
                <w:color w:val="auto"/>
                <w:szCs w:val="21"/>
                <w:highlight w:val="none"/>
              </w:rPr>
            </w:pPr>
            <w:r>
              <w:rPr>
                <w:rFonts w:hint="eastAsia" w:hAnsi="宋体" w:cs="宋体"/>
                <w:color w:val="auto"/>
                <w:szCs w:val="21"/>
                <w:highlight w:val="none"/>
              </w:rPr>
              <w:t>序号</w:t>
            </w:r>
          </w:p>
        </w:tc>
        <w:tc>
          <w:tcPr>
            <w:tcW w:w="2288" w:type="dxa"/>
            <w:noWrap w:val="0"/>
            <w:vAlign w:val="center"/>
          </w:tcPr>
          <w:p w14:paraId="75DF6986">
            <w:pPr>
              <w:widowControl/>
              <w:jc w:val="center"/>
              <w:rPr>
                <w:rFonts w:hint="eastAsia" w:hAnsi="宋体" w:cs="宋体"/>
                <w:color w:val="auto"/>
                <w:szCs w:val="21"/>
                <w:highlight w:val="none"/>
              </w:rPr>
            </w:pPr>
            <w:r>
              <w:rPr>
                <w:rFonts w:hint="eastAsia" w:hAnsi="宋体" w:cs="宋体"/>
                <w:color w:val="auto"/>
                <w:szCs w:val="21"/>
                <w:highlight w:val="none"/>
              </w:rPr>
              <w:t>项目名称</w:t>
            </w:r>
          </w:p>
        </w:tc>
        <w:tc>
          <w:tcPr>
            <w:tcW w:w="2676" w:type="dxa"/>
            <w:noWrap w:val="0"/>
            <w:vAlign w:val="center"/>
          </w:tcPr>
          <w:p w14:paraId="6A7B8A51">
            <w:pPr>
              <w:widowControl/>
              <w:jc w:val="center"/>
              <w:rPr>
                <w:rFonts w:hint="eastAsia" w:hAnsi="宋体" w:cs="宋体"/>
                <w:color w:val="auto"/>
                <w:szCs w:val="21"/>
                <w:highlight w:val="none"/>
              </w:rPr>
            </w:pPr>
            <w:r>
              <w:rPr>
                <w:rFonts w:hint="eastAsia" w:hAnsi="宋体" w:cs="宋体"/>
                <w:color w:val="auto"/>
                <w:szCs w:val="21"/>
                <w:highlight w:val="none"/>
              </w:rPr>
              <w:t>项目概况</w:t>
            </w:r>
          </w:p>
        </w:tc>
        <w:tc>
          <w:tcPr>
            <w:tcW w:w="1417" w:type="dxa"/>
            <w:noWrap w:val="0"/>
            <w:vAlign w:val="center"/>
          </w:tcPr>
          <w:p w14:paraId="288CCF32">
            <w:pPr>
              <w:widowControl/>
              <w:jc w:val="center"/>
              <w:rPr>
                <w:rFonts w:hint="eastAsia" w:hAnsi="宋体" w:cs="宋体"/>
                <w:color w:val="auto"/>
                <w:szCs w:val="21"/>
                <w:highlight w:val="none"/>
              </w:rPr>
            </w:pPr>
            <w:r>
              <w:rPr>
                <w:rFonts w:hint="eastAsia" w:hAnsi="宋体" w:cs="宋体"/>
                <w:color w:val="auto"/>
                <w:szCs w:val="21"/>
                <w:highlight w:val="none"/>
              </w:rPr>
              <w:t>起讫时间</w:t>
            </w:r>
          </w:p>
        </w:tc>
        <w:tc>
          <w:tcPr>
            <w:tcW w:w="1418" w:type="dxa"/>
            <w:noWrap w:val="0"/>
            <w:vAlign w:val="center"/>
          </w:tcPr>
          <w:p w14:paraId="4BC30629">
            <w:pPr>
              <w:widowControl/>
              <w:jc w:val="center"/>
              <w:rPr>
                <w:rFonts w:hint="eastAsia" w:hAnsi="宋体" w:cs="宋体"/>
                <w:color w:val="auto"/>
                <w:szCs w:val="21"/>
                <w:highlight w:val="none"/>
              </w:rPr>
            </w:pPr>
            <w:r>
              <w:rPr>
                <w:rFonts w:hint="eastAsia" w:hAnsi="宋体" w:cs="宋体"/>
                <w:color w:val="auto"/>
                <w:szCs w:val="21"/>
                <w:highlight w:val="none"/>
              </w:rPr>
              <w:t>金额</w:t>
            </w:r>
          </w:p>
        </w:tc>
        <w:tc>
          <w:tcPr>
            <w:tcW w:w="1276" w:type="dxa"/>
            <w:noWrap w:val="0"/>
            <w:vAlign w:val="center"/>
          </w:tcPr>
          <w:p w14:paraId="72E8E9B0">
            <w:pPr>
              <w:widowControl/>
              <w:jc w:val="center"/>
              <w:rPr>
                <w:rFonts w:hint="eastAsia" w:hAnsi="宋体" w:cs="宋体"/>
                <w:color w:val="auto"/>
                <w:szCs w:val="21"/>
                <w:highlight w:val="none"/>
              </w:rPr>
            </w:pPr>
            <w:r>
              <w:rPr>
                <w:rFonts w:hint="eastAsia" w:hAnsi="宋体" w:cs="宋体"/>
                <w:color w:val="auto"/>
                <w:szCs w:val="21"/>
                <w:highlight w:val="none"/>
              </w:rPr>
              <w:t>备注</w:t>
            </w:r>
          </w:p>
        </w:tc>
      </w:tr>
      <w:tr w14:paraId="263520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531" w:type="dxa"/>
            <w:noWrap w:val="0"/>
            <w:vAlign w:val="center"/>
          </w:tcPr>
          <w:p w14:paraId="3957D53C">
            <w:pPr>
              <w:widowControl/>
              <w:jc w:val="center"/>
              <w:rPr>
                <w:rFonts w:hint="eastAsia" w:hAnsi="宋体" w:cs="宋体"/>
                <w:color w:val="auto"/>
                <w:szCs w:val="21"/>
                <w:highlight w:val="none"/>
              </w:rPr>
            </w:pPr>
            <w:r>
              <w:rPr>
                <w:rFonts w:hint="eastAsia" w:hAnsi="宋体" w:cs="宋体"/>
                <w:color w:val="auto"/>
                <w:szCs w:val="21"/>
                <w:highlight w:val="none"/>
              </w:rPr>
              <w:t>1</w:t>
            </w:r>
          </w:p>
        </w:tc>
        <w:tc>
          <w:tcPr>
            <w:tcW w:w="2288" w:type="dxa"/>
            <w:noWrap w:val="0"/>
            <w:vAlign w:val="center"/>
          </w:tcPr>
          <w:p w14:paraId="757A4F19">
            <w:pPr>
              <w:widowControl/>
              <w:jc w:val="center"/>
              <w:rPr>
                <w:rFonts w:hint="eastAsia" w:hAnsi="宋体" w:cs="宋体"/>
                <w:color w:val="auto"/>
                <w:szCs w:val="21"/>
                <w:highlight w:val="none"/>
              </w:rPr>
            </w:pPr>
          </w:p>
        </w:tc>
        <w:tc>
          <w:tcPr>
            <w:tcW w:w="2676" w:type="dxa"/>
            <w:noWrap w:val="0"/>
            <w:vAlign w:val="center"/>
          </w:tcPr>
          <w:p w14:paraId="0A8F5E85">
            <w:pPr>
              <w:widowControl/>
              <w:ind w:firstLine="315" w:firstLineChars="150"/>
              <w:jc w:val="center"/>
              <w:rPr>
                <w:rFonts w:hint="eastAsia" w:hAnsi="宋体" w:cs="宋体"/>
                <w:color w:val="auto"/>
                <w:szCs w:val="21"/>
                <w:highlight w:val="none"/>
              </w:rPr>
            </w:pPr>
          </w:p>
        </w:tc>
        <w:tc>
          <w:tcPr>
            <w:tcW w:w="1417" w:type="dxa"/>
            <w:noWrap w:val="0"/>
            <w:vAlign w:val="center"/>
          </w:tcPr>
          <w:p w14:paraId="60783D3A">
            <w:pPr>
              <w:widowControl/>
              <w:ind w:firstLine="315" w:firstLineChars="150"/>
              <w:jc w:val="center"/>
              <w:rPr>
                <w:rFonts w:hint="eastAsia" w:hAnsi="宋体" w:cs="宋体"/>
                <w:color w:val="auto"/>
                <w:szCs w:val="21"/>
                <w:highlight w:val="none"/>
              </w:rPr>
            </w:pPr>
          </w:p>
        </w:tc>
        <w:tc>
          <w:tcPr>
            <w:tcW w:w="1418" w:type="dxa"/>
            <w:noWrap w:val="0"/>
            <w:vAlign w:val="center"/>
          </w:tcPr>
          <w:p w14:paraId="323187A8">
            <w:pPr>
              <w:widowControl/>
              <w:ind w:firstLine="315" w:firstLineChars="150"/>
              <w:jc w:val="center"/>
              <w:rPr>
                <w:rFonts w:hint="eastAsia" w:hAnsi="宋体" w:cs="宋体"/>
                <w:color w:val="auto"/>
                <w:szCs w:val="21"/>
                <w:highlight w:val="none"/>
              </w:rPr>
            </w:pPr>
          </w:p>
        </w:tc>
        <w:tc>
          <w:tcPr>
            <w:tcW w:w="1276" w:type="dxa"/>
            <w:noWrap w:val="0"/>
            <w:vAlign w:val="center"/>
          </w:tcPr>
          <w:p w14:paraId="6925E4B0">
            <w:pPr>
              <w:widowControl/>
              <w:jc w:val="center"/>
              <w:rPr>
                <w:rFonts w:hint="eastAsia" w:hAnsi="宋体" w:cs="宋体"/>
                <w:color w:val="auto"/>
                <w:szCs w:val="21"/>
                <w:highlight w:val="none"/>
              </w:rPr>
            </w:pPr>
          </w:p>
        </w:tc>
      </w:tr>
      <w:tr w14:paraId="367D25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531" w:type="dxa"/>
            <w:noWrap w:val="0"/>
            <w:vAlign w:val="center"/>
          </w:tcPr>
          <w:p w14:paraId="5ABCE6CE">
            <w:pPr>
              <w:widowControl/>
              <w:jc w:val="center"/>
              <w:rPr>
                <w:rFonts w:hint="eastAsia" w:hAnsi="宋体" w:cs="宋体"/>
                <w:color w:val="auto"/>
                <w:szCs w:val="21"/>
                <w:highlight w:val="none"/>
              </w:rPr>
            </w:pPr>
            <w:r>
              <w:rPr>
                <w:rFonts w:hint="eastAsia" w:hAnsi="宋体" w:cs="宋体"/>
                <w:color w:val="auto"/>
                <w:szCs w:val="21"/>
                <w:highlight w:val="none"/>
              </w:rPr>
              <w:t>2</w:t>
            </w:r>
          </w:p>
        </w:tc>
        <w:tc>
          <w:tcPr>
            <w:tcW w:w="2288" w:type="dxa"/>
            <w:noWrap w:val="0"/>
            <w:vAlign w:val="center"/>
          </w:tcPr>
          <w:p w14:paraId="359467AD">
            <w:pPr>
              <w:widowControl/>
              <w:jc w:val="center"/>
              <w:rPr>
                <w:rFonts w:hint="eastAsia" w:hAnsi="宋体" w:cs="宋体"/>
                <w:color w:val="auto"/>
                <w:szCs w:val="21"/>
                <w:highlight w:val="none"/>
              </w:rPr>
            </w:pPr>
          </w:p>
        </w:tc>
        <w:tc>
          <w:tcPr>
            <w:tcW w:w="2676" w:type="dxa"/>
            <w:noWrap w:val="0"/>
            <w:vAlign w:val="center"/>
          </w:tcPr>
          <w:p w14:paraId="7AFA79AB">
            <w:pPr>
              <w:widowControl/>
              <w:ind w:firstLine="315" w:firstLineChars="150"/>
              <w:jc w:val="center"/>
              <w:rPr>
                <w:rFonts w:hint="eastAsia" w:hAnsi="宋体" w:cs="宋体"/>
                <w:color w:val="auto"/>
                <w:szCs w:val="21"/>
                <w:highlight w:val="none"/>
              </w:rPr>
            </w:pPr>
          </w:p>
        </w:tc>
        <w:tc>
          <w:tcPr>
            <w:tcW w:w="1417" w:type="dxa"/>
            <w:noWrap w:val="0"/>
            <w:vAlign w:val="center"/>
          </w:tcPr>
          <w:p w14:paraId="49361159">
            <w:pPr>
              <w:widowControl/>
              <w:ind w:firstLine="315" w:firstLineChars="150"/>
              <w:jc w:val="center"/>
              <w:rPr>
                <w:rFonts w:hint="eastAsia" w:hAnsi="宋体" w:cs="宋体"/>
                <w:color w:val="auto"/>
                <w:szCs w:val="21"/>
                <w:highlight w:val="none"/>
              </w:rPr>
            </w:pPr>
          </w:p>
        </w:tc>
        <w:tc>
          <w:tcPr>
            <w:tcW w:w="1418" w:type="dxa"/>
            <w:noWrap w:val="0"/>
            <w:vAlign w:val="center"/>
          </w:tcPr>
          <w:p w14:paraId="7F09D223">
            <w:pPr>
              <w:widowControl/>
              <w:ind w:firstLine="315" w:firstLineChars="150"/>
              <w:jc w:val="center"/>
              <w:rPr>
                <w:rFonts w:hint="eastAsia" w:hAnsi="宋体" w:cs="宋体"/>
                <w:color w:val="auto"/>
                <w:szCs w:val="21"/>
                <w:highlight w:val="none"/>
              </w:rPr>
            </w:pPr>
          </w:p>
        </w:tc>
        <w:tc>
          <w:tcPr>
            <w:tcW w:w="1276" w:type="dxa"/>
            <w:noWrap w:val="0"/>
            <w:vAlign w:val="center"/>
          </w:tcPr>
          <w:p w14:paraId="2E82EAC3">
            <w:pPr>
              <w:widowControl/>
              <w:jc w:val="center"/>
              <w:rPr>
                <w:rFonts w:hint="eastAsia" w:hAnsi="宋体" w:cs="宋体"/>
                <w:color w:val="auto"/>
                <w:szCs w:val="21"/>
                <w:highlight w:val="none"/>
              </w:rPr>
            </w:pPr>
          </w:p>
        </w:tc>
      </w:tr>
      <w:tr w14:paraId="46C1BC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531" w:type="dxa"/>
            <w:noWrap w:val="0"/>
            <w:vAlign w:val="center"/>
          </w:tcPr>
          <w:p w14:paraId="538F421B">
            <w:pPr>
              <w:widowControl/>
              <w:jc w:val="center"/>
              <w:rPr>
                <w:rFonts w:hint="eastAsia" w:hAnsi="宋体" w:cs="宋体"/>
                <w:color w:val="auto"/>
                <w:szCs w:val="21"/>
                <w:highlight w:val="none"/>
              </w:rPr>
            </w:pPr>
            <w:r>
              <w:rPr>
                <w:rFonts w:hint="eastAsia" w:hAnsi="宋体" w:cs="宋体"/>
                <w:color w:val="auto"/>
                <w:szCs w:val="21"/>
                <w:highlight w:val="none"/>
              </w:rPr>
              <w:t>3</w:t>
            </w:r>
          </w:p>
        </w:tc>
        <w:tc>
          <w:tcPr>
            <w:tcW w:w="2288" w:type="dxa"/>
            <w:noWrap w:val="0"/>
            <w:vAlign w:val="center"/>
          </w:tcPr>
          <w:p w14:paraId="0E9F3811">
            <w:pPr>
              <w:widowControl/>
              <w:jc w:val="center"/>
              <w:rPr>
                <w:rFonts w:hint="eastAsia" w:hAnsi="宋体" w:cs="宋体"/>
                <w:color w:val="auto"/>
                <w:szCs w:val="21"/>
                <w:highlight w:val="none"/>
              </w:rPr>
            </w:pPr>
          </w:p>
        </w:tc>
        <w:tc>
          <w:tcPr>
            <w:tcW w:w="2676" w:type="dxa"/>
            <w:noWrap w:val="0"/>
            <w:vAlign w:val="center"/>
          </w:tcPr>
          <w:p w14:paraId="3384EEDC">
            <w:pPr>
              <w:widowControl/>
              <w:ind w:firstLine="315" w:firstLineChars="150"/>
              <w:jc w:val="center"/>
              <w:rPr>
                <w:rFonts w:hint="eastAsia" w:hAnsi="宋体" w:cs="宋体"/>
                <w:color w:val="auto"/>
                <w:szCs w:val="21"/>
                <w:highlight w:val="none"/>
              </w:rPr>
            </w:pPr>
          </w:p>
        </w:tc>
        <w:tc>
          <w:tcPr>
            <w:tcW w:w="1417" w:type="dxa"/>
            <w:noWrap w:val="0"/>
            <w:vAlign w:val="center"/>
          </w:tcPr>
          <w:p w14:paraId="3FD0A878">
            <w:pPr>
              <w:widowControl/>
              <w:ind w:firstLine="315" w:firstLineChars="150"/>
              <w:jc w:val="center"/>
              <w:rPr>
                <w:rFonts w:hint="eastAsia" w:hAnsi="宋体" w:cs="宋体"/>
                <w:color w:val="auto"/>
                <w:szCs w:val="21"/>
                <w:highlight w:val="none"/>
              </w:rPr>
            </w:pPr>
          </w:p>
        </w:tc>
        <w:tc>
          <w:tcPr>
            <w:tcW w:w="1418" w:type="dxa"/>
            <w:noWrap w:val="0"/>
            <w:vAlign w:val="center"/>
          </w:tcPr>
          <w:p w14:paraId="3CE741DF">
            <w:pPr>
              <w:widowControl/>
              <w:ind w:firstLine="315" w:firstLineChars="150"/>
              <w:jc w:val="center"/>
              <w:rPr>
                <w:rFonts w:hint="eastAsia" w:hAnsi="宋体" w:cs="宋体"/>
                <w:color w:val="auto"/>
                <w:szCs w:val="21"/>
                <w:highlight w:val="none"/>
              </w:rPr>
            </w:pPr>
          </w:p>
        </w:tc>
        <w:tc>
          <w:tcPr>
            <w:tcW w:w="1276" w:type="dxa"/>
            <w:noWrap w:val="0"/>
            <w:vAlign w:val="center"/>
          </w:tcPr>
          <w:p w14:paraId="5791E462">
            <w:pPr>
              <w:widowControl/>
              <w:jc w:val="center"/>
              <w:rPr>
                <w:rFonts w:hint="eastAsia" w:hAnsi="宋体" w:cs="宋体"/>
                <w:color w:val="auto"/>
                <w:szCs w:val="21"/>
                <w:highlight w:val="none"/>
              </w:rPr>
            </w:pPr>
          </w:p>
        </w:tc>
      </w:tr>
      <w:tr w14:paraId="7A4956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531" w:type="dxa"/>
            <w:noWrap w:val="0"/>
            <w:vAlign w:val="center"/>
          </w:tcPr>
          <w:p w14:paraId="78386137">
            <w:pPr>
              <w:widowControl/>
              <w:jc w:val="center"/>
              <w:rPr>
                <w:rFonts w:hint="eastAsia" w:hAnsi="宋体" w:cs="宋体"/>
                <w:color w:val="auto"/>
                <w:szCs w:val="21"/>
                <w:highlight w:val="none"/>
              </w:rPr>
            </w:pPr>
            <w:r>
              <w:rPr>
                <w:rFonts w:hint="eastAsia" w:hAnsi="宋体" w:cs="宋体"/>
                <w:color w:val="auto"/>
                <w:szCs w:val="21"/>
                <w:highlight w:val="none"/>
              </w:rPr>
              <w:t>4</w:t>
            </w:r>
          </w:p>
        </w:tc>
        <w:tc>
          <w:tcPr>
            <w:tcW w:w="2288" w:type="dxa"/>
            <w:noWrap w:val="0"/>
            <w:vAlign w:val="center"/>
          </w:tcPr>
          <w:p w14:paraId="30B272AD">
            <w:pPr>
              <w:widowControl/>
              <w:jc w:val="center"/>
              <w:rPr>
                <w:rFonts w:hint="eastAsia" w:hAnsi="宋体" w:cs="宋体"/>
                <w:color w:val="auto"/>
                <w:szCs w:val="21"/>
                <w:highlight w:val="none"/>
              </w:rPr>
            </w:pPr>
          </w:p>
        </w:tc>
        <w:tc>
          <w:tcPr>
            <w:tcW w:w="2676" w:type="dxa"/>
            <w:noWrap w:val="0"/>
            <w:vAlign w:val="center"/>
          </w:tcPr>
          <w:p w14:paraId="1E138C15">
            <w:pPr>
              <w:widowControl/>
              <w:ind w:firstLine="315" w:firstLineChars="150"/>
              <w:jc w:val="center"/>
              <w:rPr>
                <w:rFonts w:hint="eastAsia" w:hAnsi="宋体" w:cs="宋体"/>
                <w:color w:val="auto"/>
                <w:szCs w:val="21"/>
                <w:highlight w:val="none"/>
              </w:rPr>
            </w:pPr>
          </w:p>
        </w:tc>
        <w:tc>
          <w:tcPr>
            <w:tcW w:w="1417" w:type="dxa"/>
            <w:noWrap w:val="0"/>
            <w:vAlign w:val="center"/>
          </w:tcPr>
          <w:p w14:paraId="1AEAEEF3">
            <w:pPr>
              <w:widowControl/>
              <w:ind w:firstLine="315" w:firstLineChars="150"/>
              <w:jc w:val="center"/>
              <w:rPr>
                <w:rFonts w:hint="eastAsia" w:hAnsi="宋体" w:cs="宋体"/>
                <w:color w:val="auto"/>
                <w:szCs w:val="21"/>
                <w:highlight w:val="none"/>
              </w:rPr>
            </w:pPr>
          </w:p>
        </w:tc>
        <w:tc>
          <w:tcPr>
            <w:tcW w:w="1418" w:type="dxa"/>
            <w:noWrap w:val="0"/>
            <w:vAlign w:val="center"/>
          </w:tcPr>
          <w:p w14:paraId="4913790A">
            <w:pPr>
              <w:widowControl/>
              <w:ind w:firstLine="315" w:firstLineChars="150"/>
              <w:jc w:val="center"/>
              <w:rPr>
                <w:rFonts w:hint="eastAsia" w:hAnsi="宋体" w:cs="宋体"/>
                <w:color w:val="auto"/>
                <w:szCs w:val="21"/>
                <w:highlight w:val="none"/>
              </w:rPr>
            </w:pPr>
          </w:p>
        </w:tc>
        <w:tc>
          <w:tcPr>
            <w:tcW w:w="1276" w:type="dxa"/>
            <w:noWrap w:val="0"/>
            <w:vAlign w:val="center"/>
          </w:tcPr>
          <w:p w14:paraId="36EB1871">
            <w:pPr>
              <w:widowControl/>
              <w:jc w:val="center"/>
              <w:rPr>
                <w:rFonts w:hint="eastAsia" w:hAnsi="宋体" w:cs="宋体"/>
                <w:color w:val="auto"/>
                <w:szCs w:val="21"/>
                <w:highlight w:val="none"/>
              </w:rPr>
            </w:pPr>
          </w:p>
        </w:tc>
      </w:tr>
      <w:tr w14:paraId="2F3FC1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531" w:type="dxa"/>
            <w:noWrap w:val="0"/>
            <w:vAlign w:val="center"/>
          </w:tcPr>
          <w:p w14:paraId="67E4C084">
            <w:pPr>
              <w:widowControl/>
              <w:jc w:val="center"/>
              <w:rPr>
                <w:rFonts w:hint="eastAsia" w:hAnsi="宋体" w:cs="宋体"/>
                <w:color w:val="auto"/>
                <w:szCs w:val="21"/>
                <w:highlight w:val="none"/>
              </w:rPr>
            </w:pPr>
            <w:r>
              <w:rPr>
                <w:rFonts w:hint="eastAsia" w:hAnsi="宋体" w:cs="宋体"/>
                <w:color w:val="auto"/>
                <w:szCs w:val="21"/>
                <w:highlight w:val="none"/>
              </w:rPr>
              <w:t>5</w:t>
            </w:r>
          </w:p>
        </w:tc>
        <w:tc>
          <w:tcPr>
            <w:tcW w:w="2288" w:type="dxa"/>
            <w:noWrap w:val="0"/>
            <w:vAlign w:val="center"/>
          </w:tcPr>
          <w:p w14:paraId="3435805A">
            <w:pPr>
              <w:widowControl/>
              <w:jc w:val="center"/>
              <w:rPr>
                <w:rFonts w:hint="eastAsia" w:hAnsi="宋体" w:cs="宋体"/>
                <w:color w:val="auto"/>
                <w:szCs w:val="21"/>
                <w:highlight w:val="none"/>
              </w:rPr>
            </w:pPr>
          </w:p>
        </w:tc>
        <w:tc>
          <w:tcPr>
            <w:tcW w:w="2676" w:type="dxa"/>
            <w:noWrap w:val="0"/>
            <w:vAlign w:val="center"/>
          </w:tcPr>
          <w:p w14:paraId="597DA3D9">
            <w:pPr>
              <w:widowControl/>
              <w:ind w:firstLine="315" w:firstLineChars="150"/>
              <w:jc w:val="center"/>
              <w:rPr>
                <w:rFonts w:hint="eastAsia" w:hAnsi="宋体" w:cs="宋体"/>
                <w:color w:val="auto"/>
                <w:szCs w:val="21"/>
                <w:highlight w:val="none"/>
              </w:rPr>
            </w:pPr>
          </w:p>
        </w:tc>
        <w:tc>
          <w:tcPr>
            <w:tcW w:w="1417" w:type="dxa"/>
            <w:noWrap w:val="0"/>
            <w:vAlign w:val="center"/>
          </w:tcPr>
          <w:p w14:paraId="425C5357">
            <w:pPr>
              <w:widowControl/>
              <w:ind w:firstLine="315" w:firstLineChars="150"/>
              <w:jc w:val="center"/>
              <w:rPr>
                <w:rFonts w:hint="eastAsia" w:hAnsi="宋体" w:cs="宋体"/>
                <w:color w:val="auto"/>
                <w:szCs w:val="21"/>
                <w:highlight w:val="none"/>
              </w:rPr>
            </w:pPr>
          </w:p>
        </w:tc>
        <w:tc>
          <w:tcPr>
            <w:tcW w:w="1418" w:type="dxa"/>
            <w:noWrap w:val="0"/>
            <w:vAlign w:val="center"/>
          </w:tcPr>
          <w:p w14:paraId="1ABFDD29">
            <w:pPr>
              <w:widowControl/>
              <w:ind w:firstLine="315" w:firstLineChars="150"/>
              <w:jc w:val="center"/>
              <w:rPr>
                <w:rFonts w:hint="eastAsia" w:hAnsi="宋体" w:cs="宋体"/>
                <w:color w:val="auto"/>
                <w:szCs w:val="21"/>
                <w:highlight w:val="none"/>
              </w:rPr>
            </w:pPr>
          </w:p>
        </w:tc>
        <w:tc>
          <w:tcPr>
            <w:tcW w:w="1276" w:type="dxa"/>
            <w:noWrap w:val="0"/>
            <w:vAlign w:val="center"/>
          </w:tcPr>
          <w:p w14:paraId="79BA85A7">
            <w:pPr>
              <w:widowControl/>
              <w:jc w:val="center"/>
              <w:rPr>
                <w:rFonts w:hint="eastAsia" w:hAnsi="宋体" w:cs="宋体"/>
                <w:color w:val="auto"/>
                <w:szCs w:val="21"/>
                <w:highlight w:val="none"/>
              </w:rPr>
            </w:pPr>
          </w:p>
        </w:tc>
      </w:tr>
      <w:tr w14:paraId="70D9F3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531" w:type="dxa"/>
            <w:noWrap w:val="0"/>
            <w:vAlign w:val="center"/>
          </w:tcPr>
          <w:p w14:paraId="7E5A9DE8">
            <w:pPr>
              <w:widowControl/>
              <w:jc w:val="center"/>
              <w:rPr>
                <w:rFonts w:hint="eastAsia" w:hAnsi="宋体" w:cs="宋体"/>
                <w:color w:val="auto"/>
                <w:szCs w:val="21"/>
                <w:highlight w:val="none"/>
              </w:rPr>
            </w:pPr>
            <w:r>
              <w:rPr>
                <w:rFonts w:hint="eastAsia" w:hAnsi="宋体" w:cs="宋体"/>
                <w:color w:val="auto"/>
                <w:szCs w:val="21"/>
                <w:highlight w:val="none"/>
              </w:rPr>
              <w:t>6</w:t>
            </w:r>
          </w:p>
        </w:tc>
        <w:tc>
          <w:tcPr>
            <w:tcW w:w="2288" w:type="dxa"/>
            <w:noWrap w:val="0"/>
            <w:vAlign w:val="center"/>
          </w:tcPr>
          <w:p w14:paraId="5BFD52DC">
            <w:pPr>
              <w:widowControl/>
              <w:jc w:val="center"/>
              <w:rPr>
                <w:rFonts w:hint="eastAsia" w:hAnsi="宋体" w:cs="宋体"/>
                <w:color w:val="auto"/>
                <w:szCs w:val="21"/>
                <w:highlight w:val="none"/>
              </w:rPr>
            </w:pPr>
          </w:p>
        </w:tc>
        <w:tc>
          <w:tcPr>
            <w:tcW w:w="2676" w:type="dxa"/>
            <w:noWrap w:val="0"/>
            <w:vAlign w:val="center"/>
          </w:tcPr>
          <w:p w14:paraId="6FA3D861">
            <w:pPr>
              <w:widowControl/>
              <w:ind w:firstLine="315" w:firstLineChars="150"/>
              <w:jc w:val="center"/>
              <w:rPr>
                <w:rFonts w:hint="eastAsia" w:hAnsi="宋体" w:cs="宋体"/>
                <w:color w:val="auto"/>
                <w:szCs w:val="21"/>
                <w:highlight w:val="none"/>
              </w:rPr>
            </w:pPr>
          </w:p>
        </w:tc>
        <w:tc>
          <w:tcPr>
            <w:tcW w:w="1417" w:type="dxa"/>
            <w:noWrap w:val="0"/>
            <w:vAlign w:val="center"/>
          </w:tcPr>
          <w:p w14:paraId="6D782399">
            <w:pPr>
              <w:widowControl/>
              <w:ind w:firstLine="315" w:firstLineChars="150"/>
              <w:jc w:val="center"/>
              <w:rPr>
                <w:rFonts w:hint="eastAsia" w:hAnsi="宋体" w:cs="宋体"/>
                <w:color w:val="auto"/>
                <w:szCs w:val="21"/>
                <w:highlight w:val="none"/>
              </w:rPr>
            </w:pPr>
          </w:p>
        </w:tc>
        <w:tc>
          <w:tcPr>
            <w:tcW w:w="1418" w:type="dxa"/>
            <w:noWrap w:val="0"/>
            <w:vAlign w:val="center"/>
          </w:tcPr>
          <w:p w14:paraId="4A523AD8">
            <w:pPr>
              <w:widowControl/>
              <w:ind w:firstLine="315" w:firstLineChars="150"/>
              <w:jc w:val="center"/>
              <w:rPr>
                <w:rFonts w:hint="eastAsia" w:hAnsi="宋体" w:cs="宋体"/>
                <w:color w:val="auto"/>
                <w:szCs w:val="21"/>
                <w:highlight w:val="none"/>
              </w:rPr>
            </w:pPr>
          </w:p>
        </w:tc>
        <w:tc>
          <w:tcPr>
            <w:tcW w:w="1276" w:type="dxa"/>
            <w:noWrap w:val="0"/>
            <w:vAlign w:val="center"/>
          </w:tcPr>
          <w:p w14:paraId="01F7517B">
            <w:pPr>
              <w:widowControl/>
              <w:jc w:val="center"/>
              <w:rPr>
                <w:rFonts w:hint="eastAsia" w:hAnsi="宋体" w:cs="宋体"/>
                <w:color w:val="auto"/>
                <w:szCs w:val="21"/>
                <w:highlight w:val="none"/>
              </w:rPr>
            </w:pPr>
          </w:p>
        </w:tc>
      </w:tr>
      <w:tr w14:paraId="5078E9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531" w:type="dxa"/>
            <w:noWrap w:val="0"/>
            <w:vAlign w:val="center"/>
          </w:tcPr>
          <w:p w14:paraId="5FD66304">
            <w:pPr>
              <w:widowControl/>
              <w:jc w:val="center"/>
              <w:rPr>
                <w:rFonts w:hint="eastAsia" w:hAnsi="宋体" w:cs="宋体"/>
                <w:color w:val="auto"/>
                <w:szCs w:val="21"/>
                <w:highlight w:val="none"/>
              </w:rPr>
            </w:pPr>
            <w:r>
              <w:rPr>
                <w:rFonts w:hint="eastAsia" w:hAnsi="宋体" w:cs="宋体"/>
                <w:color w:val="auto"/>
                <w:szCs w:val="21"/>
                <w:highlight w:val="none"/>
              </w:rPr>
              <w:t>7</w:t>
            </w:r>
          </w:p>
        </w:tc>
        <w:tc>
          <w:tcPr>
            <w:tcW w:w="2288" w:type="dxa"/>
            <w:noWrap w:val="0"/>
            <w:vAlign w:val="center"/>
          </w:tcPr>
          <w:p w14:paraId="65E59701">
            <w:pPr>
              <w:widowControl/>
              <w:jc w:val="center"/>
              <w:rPr>
                <w:rFonts w:hint="eastAsia" w:hAnsi="宋体" w:cs="宋体"/>
                <w:color w:val="auto"/>
                <w:szCs w:val="21"/>
                <w:highlight w:val="none"/>
              </w:rPr>
            </w:pPr>
          </w:p>
        </w:tc>
        <w:tc>
          <w:tcPr>
            <w:tcW w:w="2676" w:type="dxa"/>
            <w:noWrap w:val="0"/>
            <w:vAlign w:val="center"/>
          </w:tcPr>
          <w:p w14:paraId="35C4943B">
            <w:pPr>
              <w:widowControl/>
              <w:ind w:firstLine="315" w:firstLineChars="150"/>
              <w:jc w:val="center"/>
              <w:rPr>
                <w:rFonts w:hint="eastAsia" w:hAnsi="宋体" w:cs="宋体"/>
                <w:color w:val="auto"/>
                <w:szCs w:val="21"/>
                <w:highlight w:val="none"/>
              </w:rPr>
            </w:pPr>
          </w:p>
        </w:tc>
        <w:tc>
          <w:tcPr>
            <w:tcW w:w="1417" w:type="dxa"/>
            <w:noWrap w:val="0"/>
            <w:vAlign w:val="center"/>
          </w:tcPr>
          <w:p w14:paraId="69997743">
            <w:pPr>
              <w:widowControl/>
              <w:ind w:firstLine="315" w:firstLineChars="150"/>
              <w:jc w:val="center"/>
              <w:rPr>
                <w:rFonts w:hint="eastAsia" w:hAnsi="宋体" w:cs="宋体"/>
                <w:color w:val="auto"/>
                <w:szCs w:val="21"/>
                <w:highlight w:val="none"/>
              </w:rPr>
            </w:pPr>
          </w:p>
        </w:tc>
        <w:tc>
          <w:tcPr>
            <w:tcW w:w="1418" w:type="dxa"/>
            <w:noWrap w:val="0"/>
            <w:vAlign w:val="center"/>
          </w:tcPr>
          <w:p w14:paraId="0FD8E997">
            <w:pPr>
              <w:widowControl/>
              <w:ind w:firstLine="315" w:firstLineChars="150"/>
              <w:jc w:val="center"/>
              <w:rPr>
                <w:rFonts w:hint="eastAsia" w:hAnsi="宋体" w:cs="宋体"/>
                <w:color w:val="auto"/>
                <w:szCs w:val="21"/>
                <w:highlight w:val="none"/>
              </w:rPr>
            </w:pPr>
          </w:p>
        </w:tc>
        <w:tc>
          <w:tcPr>
            <w:tcW w:w="1276" w:type="dxa"/>
            <w:noWrap w:val="0"/>
            <w:vAlign w:val="center"/>
          </w:tcPr>
          <w:p w14:paraId="66A554AC">
            <w:pPr>
              <w:widowControl/>
              <w:jc w:val="center"/>
              <w:rPr>
                <w:rFonts w:hint="eastAsia" w:hAnsi="宋体" w:cs="宋体"/>
                <w:color w:val="auto"/>
                <w:szCs w:val="21"/>
                <w:highlight w:val="none"/>
              </w:rPr>
            </w:pPr>
          </w:p>
        </w:tc>
      </w:tr>
      <w:tr w14:paraId="474B24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531" w:type="dxa"/>
            <w:noWrap w:val="0"/>
            <w:vAlign w:val="center"/>
          </w:tcPr>
          <w:p w14:paraId="46059F37">
            <w:pPr>
              <w:widowControl/>
              <w:jc w:val="center"/>
              <w:rPr>
                <w:rFonts w:hint="eastAsia" w:hAnsi="宋体" w:cs="宋体"/>
                <w:color w:val="auto"/>
                <w:szCs w:val="21"/>
                <w:highlight w:val="none"/>
              </w:rPr>
            </w:pPr>
            <w:r>
              <w:rPr>
                <w:rFonts w:hint="eastAsia" w:hAnsi="宋体" w:cs="宋体"/>
                <w:color w:val="auto"/>
                <w:szCs w:val="21"/>
                <w:highlight w:val="none"/>
              </w:rPr>
              <w:t>8</w:t>
            </w:r>
          </w:p>
        </w:tc>
        <w:tc>
          <w:tcPr>
            <w:tcW w:w="2288" w:type="dxa"/>
            <w:noWrap w:val="0"/>
            <w:vAlign w:val="center"/>
          </w:tcPr>
          <w:p w14:paraId="04D16C2F">
            <w:pPr>
              <w:widowControl/>
              <w:jc w:val="center"/>
              <w:rPr>
                <w:rFonts w:hint="eastAsia" w:hAnsi="宋体" w:cs="宋体"/>
                <w:color w:val="auto"/>
                <w:szCs w:val="21"/>
                <w:highlight w:val="none"/>
              </w:rPr>
            </w:pPr>
          </w:p>
        </w:tc>
        <w:tc>
          <w:tcPr>
            <w:tcW w:w="2676" w:type="dxa"/>
            <w:noWrap w:val="0"/>
            <w:vAlign w:val="center"/>
          </w:tcPr>
          <w:p w14:paraId="2C4E460D">
            <w:pPr>
              <w:widowControl/>
              <w:ind w:firstLine="315" w:firstLineChars="150"/>
              <w:jc w:val="center"/>
              <w:rPr>
                <w:rFonts w:hint="eastAsia" w:hAnsi="宋体" w:cs="宋体"/>
                <w:color w:val="auto"/>
                <w:szCs w:val="21"/>
                <w:highlight w:val="none"/>
              </w:rPr>
            </w:pPr>
          </w:p>
        </w:tc>
        <w:tc>
          <w:tcPr>
            <w:tcW w:w="1417" w:type="dxa"/>
            <w:noWrap w:val="0"/>
            <w:vAlign w:val="center"/>
          </w:tcPr>
          <w:p w14:paraId="212A62D0">
            <w:pPr>
              <w:widowControl/>
              <w:ind w:firstLine="315" w:firstLineChars="150"/>
              <w:jc w:val="center"/>
              <w:rPr>
                <w:rFonts w:hint="eastAsia" w:hAnsi="宋体" w:cs="宋体"/>
                <w:color w:val="auto"/>
                <w:szCs w:val="21"/>
                <w:highlight w:val="none"/>
              </w:rPr>
            </w:pPr>
          </w:p>
        </w:tc>
        <w:tc>
          <w:tcPr>
            <w:tcW w:w="1418" w:type="dxa"/>
            <w:noWrap w:val="0"/>
            <w:vAlign w:val="center"/>
          </w:tcPr>
          <w:p w14:paraId="72882F47">
            <w:pPr>
              <w:widowControl/>
              <w:ind w:firstLine="315" w:firstLineChars="150"/>
              <w:jc w:val="center"/>
              <w:rPr>
                <w:rFonts w:hint="eastAsia" w:hAnsi="宋体" w:cs="宋体"/>
                <w:color w:val="auto"/>
                <w:szCs w:val="21"/>
                <w:highlight w:val="none"/>
              </w:rPr>
            </w:pPr>
          </w:p>
        </w:tc>
        <w:tc>
          <w:tcPr>
            <w:tcW w:w="1276" w:type="dxa"/>
            <w:noWrap w:val="0"/>
            <w:vAlign w:val="center"/>
          </w:tcPr>
          <w:p w14:paraId="7B1739C4">
            <w:pPr>
              <w:widowControl/>
              <w:jc w:val="center"/>
              <w:rPr>
                <w:rFonts w:hint="eastAsia" w:hAnsi="宋体" w:cs="宋体"/>
                <w:color w:val="auto"/>
                <w:szCs w:val="21"/>
                <w:highlight w:val="none"/>
              </w:rPr>
            </w:pPr>
          </w:p>
        </w:tc>
      </w:tr>
      <w:tr w14:paraId="7F591B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531" w:type="dxa"/>
            <w:noWrap w:val="0"/>
            <w:vAlign w:val="center"/>
          </w:tcPr>
          <w:p w14:paraId="5C651B09">
            <w:pPr>
              <w:widowControl/>
              <w:jc w:val="center"/>
              <w:rPr>
                <w:rFonts w:hint="eastAsia" w:hAnsi="宋体" w:cs="宋体"/>
                <w:color w:val="auto"/>
                <w:szCs w:val="21"/>
                <w:highlight w:val="none"/>
              </w:rPr>
            </w:pPr>
            <w:r>
              <w:rPr>
                <w:rFonts w:hint="eastAsia" w:hAnsi="宋体" w:cs="宋体"/>
                <w:color w:val="auto"/>
                <w:szCs w:val="21"/>
                <w:highlight w:val="none"/>
              </w:rPr>
              <w:t>9</w:t>
            </w:r>
          </w:p>
        </w:tc>
        <w:tc>
          <w:tcPr>
            <w:tcW w:w="2288" w:type="dxa"/>
            <w:noWrap w:val="0"/>
            <w:vAlign w:val="center"/>
          </w:tcPr>
          <w:p w14:paraId="3D90C76D">
            <w:pPr>
              <w:widowControl/>
              <w:jc w:val="center"/>
              <w:rPr>
                <w:rFonts w:hint="eastAsia" w:hAnsi="宋体" w:cs="宋体"/>
                <w:color w:val="auto"/>
                <w:szCs w:val="21"/>
                <w:highlight w:val="none"/>
              </w:rPr>
            </w:pPr>
          </w:p>
        </w:tc>
        <w:tc>
          <w:tcPr>
            <w:tcW w:w="2676" w:type="dxa"/>
            <w:noWrap w:val="0"/>
            <w:vAlign w:val="center"/>
          </w:tcPr>
          <w:p w14:paraId="79B01910">
            <w:pPr>
              <w:widowControl/>
              <w:ind w:firstLine="315" w:firstLineChars="150"/>
              <w:jc w:val="center"/>
              <w:rPr>
                <w:rFonts w:hint="eastAsia" w:hAnsi="宋体" w:cs="宋体"/>
                <w:color w:val="auto"/>
                <w:szCs w:val="21"/>
                <w:highlight w:val="none"/>
              </w:rPr>
            </w:pPr>
          </w:p>
        </w:tc>
        <w:tc>
          <w:tcPr>
            <w:tcW w:w="1417" w:type="dxa"/>
            <w:noWrap w:val="0"/>
            <w:vAlign w:val="center"/>
          </w:tcPr>
          <w:p w14:paraId="7E4FFC73">
            <w:pPr>
              <w:widowControl/>
              <w:ind w:firstLine="315" w:firstLineChars="150"/>
              <w:jc w:val="center"/>
              <w:rPr>
                <w:rFonts w:hint="eastAsia" w:hAnsi="宋体" w:cs="宋体"/>
                <w:color w:val="auto"/>
                <w:szCs w:val="21"/>
                <w:highlight w:val="none"/>
              </w:rPr>
            </w:pPr>
          </w:p>
        </w:tc>
        <w:tc>
          <w:tcPr>
            <w:tcW w:w="1418" w:type="dxa"/>
            <w:noWrap w:val="0"/>
            <w:vAlign w:val="center"/>
          </w:tcPr>
          <w:p w14:paraId="27049732">
            <w:pPr>
              <w:widowControl/>
              <w:ind w:firstLine="315" w:firstLineChars="150"/>
              <w:jc w:val="center"/>
              <w:rPr>
                <w:rFonts w:hint="eastAsia" w:hAnsi="宋体" w:cs="宋体"/>
                <w:color w:val="auto"/>
                <w:szCs w:val="21"/>
                <w:highlight w:val="none"/>
              </w:rPr>
            </w:pPr>
          </w:p>
        </w:tc>
        <w:tc>
          <w:tcPr>
            <w:tcW w:w="1276" w:type="dxa"/>
            <w:noWrap w:val="0"/>
            <w:vAlign w:val="center"/>
          </w:tcPr>
          <w:p w14:paraId="4348F8C9">
            <w:pPr>
              <w:widowControl/>
              <w:jc w:val="center"/>
              <w:rPr>
                <w:rFonts w:hint="eastAsia" w:hAnsi="宋体" w:cs="宋体"/>
                <w:color w:val="auto"/>
                <w:szCs w:val="21"/>
                <w:highlight w:val="none"/>
              </w:rPr>
            </w:pPr>
          </w:p>
        </w:tc>
      </w:tr>
      <w:tr w14:paraId="7B0FCB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531" w:type="dxa"/>
            <w:noWrap w:val="0"/>
            <w:vAlign w:val="center"/>
          </w:tcPr>
          <w:p w14:paraId="78BBD11D">
            <w:pPr>
              <w:widowControl/>
              <w:jc w:val="center"/>
              <w:rPr>
                <w:rFonts w:hint="eastAsia" w:hAnsi="宋体" w:cs="宋体"/>
                <w:color w:val="auto"/>
                <w:szCs w:val="21"/>
                <w:highlight w:val="none"/>
              </w:rPr>
            </w:pPr>
            <w:r>
              <w:rPr>
                <w:rFonts w:hint="eastAsia" w:hAnsi="宋体" w:cs="宋体"/>
                <w:color w:val="auto"/>
                <w:szCs w:val="21"/>
                <w:highlight w:val="none"/>
              </w:rPr>
              <w:t>10</w:t>
            </w:r>
          </w:p>
        </w:tc>
        <w:tc>
          <w:tcPr>
            <w:tcW w:w="2288" w:type="dxa"/>
            <w:noWrap w:val="0"/>
            <w:vAlign w:val="center"/>
          </w:tcPr>
          <w:p w14:paraId="5C2278F5">
            <w:pPr>
              <w:widowControl/>
              <w:jc w:val="center"/>
              <w:rPr>
                <w:rFonts w:hint="eastAsia" w:hAnsi="宋体" w:cs="宋体"/>
                <w:color w:val="auto"/>
                <w:szCs w:val="21"/>
                <w:highlight w:val="none"/>
              </w:rPr>
            </w:pPr>
          </w:p>
        </w:tc>
        <w:tc>
          <w:tcPr>
            <w:tcW w:w="2676" w:type="dxa"/>
            <w:noWrap w:val="0"/>
            <w:vAlign w:val="center"/>
          </w:tcPr>
          <w:p w14:paraId="418B31A0">
            <w:pPr>
              <w:widowControl/>
              <w:ind w:firstLine="315" w:firstLineChars="150"/>
              <w:jc w:val="center"/>
              <w:rPr>
                <w:rFonts w:hint="eastAsia" w:hAnsi="宋体" w:cs="宋体"/>
                <w:color w:val="auto"/>
                <w:szCs w:val="21"/>
                <w:highlight w:val="none"/>
              </w:rPr>
            </w:pPr>
          </w:p>
        </w:tc>
        <w:tc>
          <w:tcPr>
            <w:tcW w:w="1417" w:type="dxa"/>
            <w:noWrap w:val="0"/>
            <w:vAlign w:val="center"/>
          </w:tcPr>
          <w:p w14:paraId="51BB3F57">
            <w:pPr>
              <w:widowControl/>
              <w:ind w:firstLine="315" w:firstLineChars="150"/>
              <w:jc w:val="center"/>
              <w:rPr>
                <w:rFonts w:hint="eastAsia" w:hAnsi="宋体" w:cs="宋体"/>
                <w:color w:val="auto"/>
                <w:szCs w:val="21"/>
                <w:highlight w:val="none"/>
              </w:rPr>
            </w:pPr>
          </w:p>
        </w:tc>
        <w:tc>
          <w:tcPr>
            <w:tcW w:w="1418" w:type="dxa"/>
            <w:noWrap w:val="0"/>
            <w:vAlign w:val="center"/>
          </w:tcPr>
          <w:p w14:paraId="5D9FB340">
            <w:pPr>
              <w:widowControl/>
              <w:ind w:firstLine="315" w:firstLineChars="150"/>
              <w:jc w:val="center"/>
              <w:rPr>
                <w:rFonts w:hint="eastAsia" w:hAnsi="宋体" w:cs="宋体"/>
                <w:color w:val="auto"/>
                <w:szCs w:val="21"/>
                <w:highlight w:val="none"/>
              </w:rPr>
            </w:pPr>
          </w:p>
        </w:tc>
        <w:tc>
          <w:tcPr>
            <w:tcW w:w="1276" w:type="dxa"/>
            <w:noWrap w:val="0"/>
            <w:vAlign w:val="center"/>
          </w:tcPr>
          <w:p w14:paraId="4F85A35A">
            <w:pPr>
              <w:widowControl/>
              <w:jc w:val="center"/>
              <w:rPr>
                <w:rFonts w:hint="eastAsia" w:hAnsi="宋体" w:cs="宋体"/>
                <w:color w:val="auto"/>
                <w:szCs w:val="21"/>
                <w:highlight w:val="none"/>
              </w:rPr>
            </w:pPr>
          </w:p>
        </w:tc>
      </w:tr>
    </w:tbl>
    <w:p w14:paraId="60E707F7">
      <w:pPr>
        <w:shd w:val="clear" w:color="auto" w:fill="FFFFFF"/>
        <w:snapToGrid w:val="0"/>
        <w:spacing w:before="50" w:line="360" w:lineRule="exact"/>
        <w:rPr>
          <w:rFonts w:hint="eastAsia" w:hAnsi="宋体"/>
          <w:b/>
          <w:bCs/>
          <w:color w:val="auto"/>
          <w:sz w:val="24"/>
          <w:highlight w:val="none"/>
        </w:rPr>
      </w:pPr>
      <w:r>
        <w:rPr>
          <w:rFonts w:hint="eastAsia" w:hAnsi="宋体"/>
          <w:b/>
          <w:bCs/>
          <w:color w:val="auto"/>
          <w:szCs w:val="21"/>
          <w:highlight w:val="none"/>
        </w:rPr>
        <w:t>注：须附类似项目业绩的证明材料，表格不能满足时可自行增加。</w:t>
      </w:r>
    </w:p>
    <w:p w14:paraId="52AFE920">
      <w:pPr>
        <w:shd w:val="clear" w:color="auto" w:fill="FFFFFF"/>
        <w:snapToGrid w:val="0"/>
        <w:spacing w:before="50" w:line="360" w:lineRule="exact"/>
        <w:rPr>
          <w:rFonts w:hint="eastAsia" w:hAnsi="宋体"/>
          <w:b/>
          <w:bCs/>
          <w:color w:val="auto"/>
          <w:sz w:val="24"/>
          <w:highlight w:val="none"/>
        </w:rPr>
      </w:pPr>
    </w:p>
    <w:p w14:paraId="6846157D">
      <w:pPr>
        <w:shd w:val="clear" w:color="auto" w:fill="FFFFFF"/>
        <w:snapToGrid w:val="0"/>
        <w:spacing w:before="50" w:line="360" w:lineRule="exact"/>
        <w:rPr>
          <w:rFonts w:hint="eastAsia" w:hAnsi="宋体"/>
          <w:b/>
          <w:bCs/>
          <w:color w:val="auto"/>
          <w:sz w:val="24"/>
          <w:highlight w:val="none"/>
        </w:rPr>
      </w:pPr>
    </w:p>
    <w:p w14:paraId="7D6FAD83">
      <w:pPr>
        <w:shd w:val="clear" w:color="auto" w:fill="FFFFFF"/>
        <w:snapToGrid w:val="0"/>
        <w:spacing w:before="50" w:line="360" w:lineRule="exact"/>
        <w:rPr>
          <w:rFonts w:hint="eastAsia" w:hAnsi="宋体"/>
          <w:b/>
          <w:bCs/>
          <w:color w:val="auto"/>
          <w:sz w:val="24"/>
          <w:highlight w:val="none"/>
        </w:rPr>
      </w:pPr>
    </w:p>
    <w:p w14:paraId="4B10DD18">
      <w:pPr>
        <w:shd w:val="clear" w:color="auto" w:fill="FFFFFF"/>
        <w:snapToGrid w:val="0"/>
        <w:spacing w:before="50" w:line="360" w:lineRule="exact"/>
        <w:rPr>
          <w:rFonts w:hint="eastAsia" w:hAnsi="宋体"/>
          <w:b/>
          <w:bCs/>
          <w:color w:val="auto"/>
          <w:sz w:val="24"/>
          <w:highlight w:val="none"/>
        </w:rPr>
      </w:pPr>
    </w:p>
    <w:p w14:paraId="5E5780CC">
      <w:pPr>
        <w:shd w:val="clear" w:color="auto" w:fill="FFFFFF"/>
        <w:snapToGrid w:val="0"/>
        <w:spacing w:before="50" w:line="360" w:lineRule="exact"/>
        <w:rPr>
          <w:rFonts w:hint="eastAsia" w:hAnsi="宋体"/>
          <w:b/>
          <w:bCs/>
          <w:color w:val="auto"/>
          <w:sz w:val="24"/>
          <w:highlight w:val="none"/>
        </w:rPr>
      </w:pPr>
    </w:p>
    <w:p w14:paraId="2D007960">
      <w:pPr>
        <w:shd w:val="clear" w:color="auto" w:fill="FFFFFF"/>
        <w:snapToGrid w:val="0"/>
        <w:spacing w:before="50" w:line="360" w:lineRule="exact"/>
        <w:rPr>
          <w:rFonts w:hint="eastAsia" w:hAnsi="宋体"/>
          <w:b/>
          <w:bCs/>
          <w:color w:val="auto"/>
          <w:sz w:val="24"/>
          <w:highlight w:val="none"/>
        </w:rPr>
      </w:pPr>
    </w:p>
    <w:p w14:paraId="3C583110">
      <w:pPr>
        <w:pStyle w:val="45"/>
        <w:ind w:firstLine="482"/>
        <w:rPr>
          <w:rFonts w:hint="eastAsia" w:hAnsi="宋体"/>
          <w:b/>
          <w:bCs/>
          <w:color w:val="auto"/>
          <w:sz w:val="24"/>
          <w:szCs w:val="24"/>
          <w:highlight w:val="none"/>
        </w:rPr>
      </w:pPr>
    </w:p>
    <w:p w14:paraId="50BC9116">
      <w:pPr>
        <w:pStyle w:val="45"/>
        <w:ind w:firstLine="482"/>
        <w:rPr>
          <w:rFonts w:hint="eastAsia" w:hAnsi="宋体"/>
          <w:b/>
          <w:bCs/>
          <w:color w:val="auto"/>
          <w:sz w:val="24"/>
          <w:szCs w:val="24"/>
          <w:highlight w:val="none"/>
        </w:rPr>
      </w:pPr>
    </w:p>
    <w:p w14:paraId="11C8E425">
      <w:pPr>
        <w:pStyle w:val="45"/>
        <w:ind w:firstLine="482"/>
        <w:rPr>
          <w:rFonts w:hint="eastAsia" w:hAnsi="宋体"/>
          <w:b/>
          <w:bCs/>
          <w:color w:val="auto"/>
          <w:sz w:val="24"/>
          <w:szCs w:val="24"/>
          <w:highlight w:val="none"/>
        </w:rPr>
      </w:pPr>
    </w:p>
    <w:p w14:paraId="4CA3179F">
      <w:pPr>
        <w:pStyle w:val="45"/>
        <w:ind w:firstLine="482"/>
        <w:rPr>
          <w:rFonts w:hint="eastAsia" w:hAnsi="宋体"/>
          <w:b/>
          <w:bCs/>
          <w:color w:val="auto"/>
          <w:sz w:val="24"/>
          <w:szCs w:val="24"/>
          <w:highlight w:val="none"/>
        </w:rPr>
      </w:pPr>
    </w:p>
    <w:p w14:paraId="4E520291">
      <w:pPr>
        <w:pStyle w:val="45"/>
        <w:ind w:firstLine="482"/>
        <w:rPr>
          <w:rFonts w:hint="eastAsia" w:hAnsi="宋体"/>
          <w:b/>
          <w:bCs/>
          <w:color w:val="auto"/>
          <w:sz w:val="24"/>
          <w:szCs w:val="24"/>
          <w:highlight w:val="none"/>
        </w:rPr>
      </w:pPr>
    </w:p>
    <w:p w14:paraId="4CCF57A3">
      <w:pPr>
        <w:pStyle w:val="45"/>
        <w:ind w:firstLine="482"/>
        <w:rPr>
          <w:rFonts w:hint="eastAsia" w:hAnsi="宋体"/>
          <w:b/>
          <w:bCs/>
          <w:color w:val="auto"/>
          <w:sz w:val="24"/>
          <w:szCs w:val="24"/>
          <w:highlight w:val="none"/>
        </w:rPr>
      </w:pPr>
    </w:p>
    <w:p w14:paraId="4EC04B1C">
      <w:pPr>
        <w:pStyle w:val="45"/>
        <w:ind w:firstLine="482"/>
        <w:rPr>
          <w:rFonts w:hint="eastAsia" w:hAnsi="宋体"/>
          <w:b/>
          <w:bCs/>
          <w:color w:val="auto"/>
          <w:sz w:val="24"/>
          <w:szCs w:val="24"/>
          <w:highlight w:val="none"/>
        </w:rPr>
      </w:pPr>
    </w:p>
    <w:p w14:paraId="5DFF2902">
      <w:pPr>
        <w:pStyle w:val="45"/>
        <w:ind w:firstLine="482"/>
        <w:rPr>
          <w:rFonts w:hint="eastAsia" w:hAnsi="宋体"/>
          <w:b/>
          <w:bCs/>
          <w:color w:val="auto"/>
          <w:sz w:val="24"/>
          <w:szCs w:val="24"/>
          <w:highlight w:val="none"/>
        </w:rPr>
      </w:pPr>
    </w:p>
    <w:p w14:paraId="2EC2A121">
      <w:pPr>
        <w:snapToGrid w:val="0"/>
        <w:spacing w:before="50" w:after="50"/>
        <w:rPr>
          <w:rFonts w:hint="eastAsia" w:hAnsi="宋体"/>
          <w:b/>
          <w:bCs/>
          <w:color w:val="auto"/>
          <w:sz w:val="24"/>
          <w:highlight w:val="none"/>
        </w:rPr>
      </w:pPr>
      <w:r>
        <w:rPr>
          <w:rFonts w:hint="eastAsia" w:hAnsi="宋体"/>
          <w:b/>
          <w:bCs/>
          <w:color w:val="auto"/>
          <w:sz w:val="24"/>
          <w:highlight w:val="none"/>
        </w:rPr>
        <w:br w:type="page"/>
      </w:r>
      <w:r>
        <w:rPr>
          <w:rFonts w:hint="eastAsia" w:hAnsi="宋体"/>
          <w:b/>
          <w:bCs/>
          <w:color w:val="auto"/>
          <w:sz w:val="24"/>
          <w:highlight w:val="none"/>
        </w:rPr>
        <w:t xml:space="preserve">附件6 </w:t>
      </w:r>
    </w:p>
    <w:p w14:paraId="3A746D51">
      <w:pPr>
        <w:shd w:val="clear" w:color="auto" w:fill="FFFFFF"/>
        <w:snapToGrid w:val="0"/>
        <w:spacing w:line="360" w:lineRule="exact"/>
        <w:ind w:firstLine="482" w:firstLineChars="200"/>
        <w:jc w:val="center"/>
        <w:rPr>
          <w:rFonts w:hAnsi="宋体" w:cs="宋体"/>
          <w:b/>
          <w:bCs/>
          <w:color w:val="auto"/>
          <w:sz w:val="24"/>
          <w:highlight w:val="none"/>
        </w:rPr>
      </w:pPr>
      <w:bookmarkStart w:id="53" w:name="_Toc8316_WPSOffice_Level2"/>
      <w:bookmarkStart w:id="54" w:name="_Toc4205_WPSOffice_Level2"/>
      <w:bookmarkStart w:id="55" w:name="_Toc27432_WPSOffice_Level2"/>
      <w:bookmarkStart w:id="56" w:name="_Toc12549_WPSOffice_Level2"/>
      <w:bookmarkStart w:id="57" w:name="_Toc28950_WPSOffice_Level2"/>
      <w:bookmarkStart w:id="58" w:name="_Toc7161_WPSOffice_Level2"/>
      <w:r>
        <w:rPr>
          <w:rFonts w:hint="eastAsia" w:hAnsi="宋体" w:cs="宋体"/>
          <w:b/>
          <w:bCs/>
          <w:color w:val="auto"/>
          <w:sz w:val="24"/>
          <w:highlight w:val="none"/>
        </w:rPr>
        <w:t>项目</w:t>
      </w:r>
      <w:r>
        <w:rPr>
          <w:rFonts w:hint="eastAsia" w:hAnsi="宋体" w:cs="宋体"/>
          <w:b/>
          <w:bCs/>
          <w:color w:val="auto"/>
          <w:sz w:val="24"/>
          <w:highlight w:val="none"/>
          <w:lang w:val="en-US" w:eastAsia="zh-CN"/>
        </w:rPr>
        <w:t>负责人</w:t>
      </w:r>
      <w:r>
        <w:rPr>
          <w:rFonts w:hint="eastAsia" w:hAnsi="宋体" w:cs="宋体"/>
          <w:b/>
          <w:bCs/>
          <w:color w:val="auto"/>
          <w:sz w:val="24"/>
          <w:highlight w:val="none"/>
        </w:rPr>
        <w:t>简历</w:t>
      </w:r>
      <w:bookmarkEnd w:id="53"/>
      <w:bookmarkEnd w:id="54"/>
      <w:bookmarkEnd w:id="55"/>
    </w:p>
    <w:tbl>
      <w:tblPr>
        <w:tblStyle w:val="46"/>
        <w:tblW w:w="0" w:type="auto"/>
        <w:jc w:val="center"/>
        <w:tblLayout w:type="fixed"/>
        <w:tblCellMar>
          <w:top w:w="0" w:type="dxa"/>
          <w:left w:w="0" w:type="dxa"/>
          <w:bottom w:w="0" w:type="dxa"/>
          <w:right w:w="0" w:type="dxa"/>
        </w:tblCellMar>
      </w:tblPr>
      <w:tblGrid>
        <w:gridCol w:w="1547"/>
        <w:gridCol w:w="684"/>
        <w:gridCol w:w="1112"/>
        <w:gridCol w:w="774"/>
        <w:gridCol w:w="1001"/>
        <w:gridCol w:w="1785"/>
        <w:gridCol w:w="2652"/>
      </w:tblGrid>
      <w:tr w14:paraId="7811E3FE">
        <w:tblPrEx>
          <w:tblCellMar>
            <w:top w:w="0" w:type="dxa"/>
            <w:left w:w="0" w:type="dxa"/>
            <w:bottom w:w="0" w:type="dxa"/>
            <w:right w:w="0" w:type="dxa"/>
          </w:tblCellMar>
        </w:tblPrEx>
        <w:trPr>
          <w:trHeight w:val="600" w:hRule="exact"/>
          <w:jc w:val="center"/>
        </w:trPr>
        <w:tc>
          <w:tcPr>
            <w:tcW w:w="1547" w:type="dxa"/>
            <w:tcBorders>
              <w:top w:val="single" w:color="auto" w:sz="12" w:space="0"/>
              <w:left w:val="single" w:color="auto" w:sz="12" w:space="0"/>
              <w:bottom w:val="single" w:color="auto" w:sz="8" w:space="0"/>
              <w:right w:val="single" w:color="auto" w:sz="8" w:space="0"/>
            </w:tcBorders>
            <w:noWrap w:val="0"/>
            <w:vAlign w:val="center"/>
          </w:tcPr>
          <w:p w14:paraId="78E29C5B">
            <w:pPr>
              <w:jc w:val="center"/>
              <w:rPr>
                <w:rFonts w:hint="eastAsia" w:hAnsi="宋体" w:cs="宋体"/>
                <w:color w:val="auto"/>
                <w:szCs w:val="21"/>
                <w:highlight w:val="none"/>
              </w:rPr>
            </w:pPr>
            <w:r>
              <w:rPr>
                <w:rFonts w:hint="eastAsia" w:hAnsi="宋体" w:cs="宋体"/>
                <w:color w:val="auto"/>
                <w:szCs w:val="21"/>
                <w:highlight w:val="none"/>
              </w:rPr>
              <w:t>姓  名</w:t>
            </w:r>
          </w:p>
        </w:tc>
        <w:tc>
          <w:tcPr>
            <w:tcW w:w="1796" w:type="dxa"/>
            <w:gridSpan w:val="2"/>
            <w:tcBorders>
              <w:top w:val="single" w:color="auto" w:sz="12" w:space="0"/>
              <w:left w:val="single" w:color="auto" w:sz="8" w:space="0"/>
              <w:bottom w:val="single" w:color="auto" w:sz="8" w:space="0"/>
              <w:right w:val="single" w:color="auto" w:sz="8" w:space="0"/>
            </w:tcBorders>
            <w:noWrap w:val="0"/>
            <w:vAlign w:val="center"/>
          </w:tcPr>
          <w:p w14:paraId="7D9F4232">
            <w:pPr>
              <w:jc w:val="center"/>
              <w:rPr>
                <w:rFonts w:hint="eastAsia" w:hAnsi="宋体" w:cs="宋体"/>
                <w:color w:val="auto"/>
                <w:szCs w:val="21"/>
                <w:highlight w:val="none"/>
              </w:rPr>
            </w:pPr>
          </w:p>
        </w:tc>
        <w:tc>
          <w:tcPr>
            <w:tcW w:w="774" w:type="dxa"/>
            <w:tcBorders>
              <w:top w:val="single" w:color="auto" w:sz="12" w:space="0"/>
              <w:left w:val="single" w:color="auto" w:sz="8" w:space="0"/>
              <w:bottom w:val="single" w:color="auto" w:sz="8" w:space="0"/>
              <w:right w:val="single" w:color="auto" w:sz="8" w:space="0"/>
            </w:tcBorders>
            <w:noWrap w:val="0"/>
            <w:vAlign w:val="center"/>
          </w:tcPr>
          <w:p w14:paraId="7E0089AB">
            <w:pPr>
              <w:jc w:val="center"/>
              <w:rPr>
                <w:rFonts w:hint="eastAsia" w:hAnsi="宋体" w:cs="宋体"/>
                <w:color w:val="auto"/>
                <w:szCs w:val="21"/>
                <w:highlight w:val="none"/>
              </w:rPr>
            </w:pPr>
            <w:r>
              <w:rPr>
                <w:rFonts w:hint="eastAsia" w:hAnsi="宋体" w:cs="宋体"/>
                <w:color w:val="auto"/>
                <w:szCs w:val="21"/>
                <w:highlight w:val="none"/>
              </w:rPr>
              <w:t>性别</w:t>
            </w:r>
          </w:p>
        </w:tc>
        <w:tc>
          <w:tcPr>
            <w:tcW w:w="1001" w:type="dxa"/>
            <w:tcBorders>
              <w:top w:val="single" w:color="auto" w:sz="12" w:space="0"/>
              <w:left w:val="single" w:color="auto" w:sz="8" w:space="0"/>
              <w:bottom w:val="single" w:color="auto" w:sz="8" w:space="0"/>
              <w:right w:val="single" w:color="auto" w:sz="8" w:space="0"/>
            </w:tcBorders>
            <w:noWrap w:val="0"/>
            <w:vAlign w:val="center"/>
          </w:tcPr>
          <w:p w14:paraId="125A243A">
            <w:pPr>
              <w:jc w:val="center"/>
              <w:rPr>
                <w:rFonts w:hint="eastAsia" w:hAnsi="宋体" w:cs="宋体"/>
                <w:color w:val="auto"/>
                <w:szCs w:val="21"/>
                <w:highlight w:val="none"/>
              </w:rPr>
            </w:pPr>
          </w:p>
        </w:tc>
        <w:tc>
          <w:tcPr>
            <w:tcW w:w="1785" w:type="dxa"/>
            <w:tcBorders>
              <w:top w:val="single" w:color="auto" w:sz="12" w:space="0"/>
              <w:left w:val="single" w:color="auto" w:sz="8" w:space="0"/>
              <w:bottom w:val="single" w:color="auto" w:sz="8" w:space="0"/>
              <w:right w:val="single" w:color="auto" w:sz="8" w:space="0"/>
            </w:tcBorders>
            <w:noWrap w:val="0"/>
            <w:vAlign w:val="center"/>
          </w:tcPr>
          <w:p w14:paraId="06466B08">
            <w:pPr>
              <w:jc w:val="center"/>
              <w:rPr>
                <w:rFonts w:hint="eastAsia" w:hAnsi="宋体" w:cs="宋体"/>
                <w:color w:val="auto"/>
                <w:szCs w:val="21"/>
                <w:highlight w:val="none"/>
              </w:rPr>
            </w:pPr>
            <w:r>
              <w:rPr>
                <w:rFonts w:hint="eastAsia" w:hAnsi="宋体" w:cs="宋体"/>
                <w:color w:val="auto"/>
                <w:szCs w:val="21"/>
                <w:highlight w:val="none"/>
              </w:rPr>
              <w:t>出生日期</w:t>
            </w:r>
          </w:p>
        </w:tc>
        <w:tc>
          <w:tcPr>
            <w:tcW w:w="2652" w:type="dxa"/>
            <w:tcBorders>
              <w:top w:val="single" w:color="auto" w:sz="12" w:space="0"/>
              <w:left w:val="single" w:color="auto" w:sz="8" w:space="0"/>
              <w:bottom w:val="single" w:color="auto" w:sz="8" w:space="0"/>
              <w:right w:val="single" w:color="auto" w:sz="12" w:space="0"/>
            </w:tcBorders>
            <w:noWrap w:val="0"/>
            <w:vAlign w:val="center"/>
          </w:tcPr>
          <w:p w14:paraId="0696F1C0">
            <w:pPr>
              <w:jc w:val="center"/>
              <w:rPr>
                <w:rFonts w:hint="eastAsia" w:hAnsi="宋体" w:cs="宋体"/>
                <w:color w:val="auto"/>
                <w:szCs w:val="21"/>
                <w:highlight w:val="none"/>
              </w:rPr>
            </w:pPr>
          </w:p>
        </w:tc>
      </w:tr>
      <w:tr w14:paraId="04E82859">
        <w:tblPrEx>
          <w:tblCellMar>
            <w:top w:w="0" w:type="dxa"/>
            <w:left w:w="0" w:type="dxa"/>
            <w:bottom w:w="0" w:type="dxa"/>
            <w:right w:w="0" w:type="dxa"/>
          </w:tblCellMar>
        </w:tblPrEx>
        <w:trPr>
          <w:trHeight w:val="1150" w:hRule="exact"/>
          <w:jc w:val="center"/>
        </w:trPr>
        <w:tc>
          <w:tcPr>
            <w:tcW w:w="1547" w:type="dxa"/>
            <w:tcBorders>
              <w:top w:val="single" w:color="auto" w:sz="8" w:space="0"/>
              <w:left w:val="single" w:color="auto" w:sz="12" w:space="0"/>
              <w:bottom w:val="single" w:color="auto" w:sz="8" w:space="0"/>
              <w:right w:val="single" w:color="auto" w:sz="8" w:space="0"/>
            </w:tcBorders>
            <w:noWrap w:val="0"/>
            <w:vAlign w:val="center"/>
          </w:tcPr>
          <w:p w14:paraId="0E091049">
            <w:pPr>
              <w:jc w:val="center"/>
              <w:rPr>
                <w:rFonts w:hint="eastAsia" w:hAnsi="宋体" w:cs="宋体"/>
                <w:color w:val="auto"/>
                <w:szCs w:val="21"/>
                <w:highlight w:val="none"/>
              </w:rPr>
            </w:pPr>
            <w:r>
              <w:rPr>
                <w:rFonts w:hint="eastAsia" w:hAnsi="宋体" w:cs="宋体"/>
                <w:color w:val="auto"/>
                <w:szCs w:val="21"/>
                <w:highlight w:val="none"/>
              </w:rPr>
              <w:t>毕业院校及    专业</w:t>
            </w:r>
          </w:p>
          <w:p w14:paraId="4725131B">
            <w:pPr>
              <w:jc w:val="center"/>
              <w:rPr>
                <w:rFonts w:hint="eastAsia" w:hAnsi="宋体" w:cs="宋体"/>
                <w:color w:val="auto"/>
                <w:szCs w:val="21"/>
                <w:highlight w:val="none"/>
              </w:rPr>
            </w:pPr>
          </w:p>
        </w:tc>
        <w:tc>
          <w:tcPr>
            <w:tcW w:w="3571" w:type="dxa"/>
            <w:gridSpan w:val="4"/>
            <w:tcBorders>
              <w:top w:val="single" w:color="auto" w:sz="8" w:space="0"/>
              <w:left w:val="single" w:color="auto" w:sz="8" w:space="0"/>
              <w:bottom w:val="single" w:color="auto" w:sz="8" w:space="0"/>
              <w:right w:val="single" w:color="auto" w:sz="8" w:space="0"/>
            </w:tcBorders>
            <w:noWrap w:val="0"/>
            <w:vAlign w:val="center"/>
          </w:tcPr>
          <w:p w14:paraId="6B092B7B">
            <w:pPr>
              <w:jc w:val="center"/>
              <w:rPr>
                <w:rFonts w:hint="eastAsia" w:hAnsi="宋体" w:cs="宋体"/>
                <w:color w:val="auto"/>
                <w:szCs w:val="21"/>
                <w:highlight w:val="none"/>
              </w:rPr>
            </w:pPr>
          </w:p>
        </w:tc>
        <w:tc>
          <w:tcPr>
            <w:tcW w:w="1785" w:type="dxa"/>
            <w:tcBorders>
              <w:top w:val="single" w:color="auto" w:sz="8" w:space="0"/>
              <w:left w:val="single" w:color="auto" w:sz="8" w:space="0"/>
              <w:bottom w:val="single" w:color="auto" w:sz="8" w:space="0"/>
              <w:right w:val="single" w:color="auto" w:sz="8" w:space="0"/>
            </w:tcBorders>
            <w:noWrap w:val="0"/>
            <w:vAlign w:val="center"/>
          </w:tcPr>
          <w:p w14:paraId="3835E72D">
            <w:pPr>
              <w:jc w:val="center"/>
              <w:rPr>
                <w:rFonts w:hint="eastAsia" w:hAnsi="宋体" w:cs="宋体"/>
                <w:color w:val="auto"/>
                <w:szCs w:val="21"/>
                <w:highlight w:val="none"/>
              </w:rPr>
            </w:pPr>
            <w:r>
              <w:rPr>
                <w:rFonts w:hint="eastAsia" w:hAnsi="宋体" w:cs="宋体"/>
                <w:color w:val="auto"/>
                <w:szCs w:val="21"/>
                <w:highlight w:val="none"/>
              </w:rPr>
              <w:t>毕业时间</w:t>
            </w:r>
          </w:p>
        </w:tc>
        <w:tc>
          <w:tcPr>
            <w:tcW w:w="2652" w:type="dxa"/>
            <w:tcBorders>
              <w:top w:val="single" w:color="auto" w:sz="8" w:space="0"/>
              <w:left w:val="single" w:color="auto" w:sz="8" w:space="0"/>
              <w:bottom w:val="single" w:color="auto" w:sz="8" w:space="0"/>
              <w:right w:val="single" w:color="auto" w:sz="12" w:space="0"/>
            </w:tcBorders>
            <w:noWrap w:val="0"/>
            <w:vAlign w:val="center"/>
          </w:tcPr>
          <w:p w14:paraId="5533DBFC">
            <w:pPr>
              <w:jc w:val="center"/>
              <w:rPr>
                <w:rFonts w:hint="eastAsia" w:hAnsi="宋体" w:cs="宋体"/>
                <w:color w:val="auto"/>
                <w:szCs w:val="21"/>
                <w:highlight w:val="none"/>
              </w:rPr>
            </w:pPr>
          </w:p>
        </w:tc>
      </w:tr>
      <w:tr w14:paraId="60CD6D6F">
        <w:tblPrEx>
          <w:tblCellMar>
            <w:top w:w="0" w:type="dxa"/>
            <w:left w:w="0" w:type="dxa"/>
            <w:bottom w:w="0" w:type="dxa"/>
            <w:right w:w="0" w:type="dxa"/>
          </w:tblCellMar>
        </w:tblPrEx>
        <w:trPr>
          <w:trHeight w:val="840" w:hRule="exact"/>
          <w:jc w:val="center"/>
        </w:trPr>
        <w:tc>
          <w:tcPr>
            <w:tcW w:w="1547" w:type="dxa"/>
            <w:tcBorders>
              <w:top w:val="single" w:color="auto" w:sz="8" w:space="0"/>
              <w:left w:val="single" w:color="auto" w:sz="12" w:space="0"/>
              <w:bottom w:val="single" w:color="auto" w:sz="8" w:space="0"/>
              <w:right w:val="single" w:color="auto" w:sz="8" w:space="0"/>
            </w:tcBorders>
            <w:noWrap w:val="0"/>
            <w:vAlign w:val="center"/>
          </w:tcPr>
          <w:p w14:paraId="7BC5E4E9">
            <w:pPr>
              <w:jc w:val="center"/>
              <w:rPr>
                <w:rFonts w:hint="eastAsia" w:hAnsi="宋体" w:cs="宋体"/>
                <w:color w:val="auto"/>
                <w:szCs w:val="21"/>
                <w:highlight w:val="none"/>
              </w:rPr>
            </w:pPr>
            <w:r>
              <w:rPr>
                <w:rFonts w:hint="eastAsia" w:hAnsi="宋体" w:cs="宋体"/>
                <w:color w:val="auto"/>
                <w:szCs w:val="21"/>
                <w:highlight w:val="none"/>
              </w:rPr>
              <w:t>从事本专业时间</w:t>
            </w:r>
          </w:p>
        </w:tc>
        <w:tc>
          <w:tcPr>
            <w:tcW w:w="3571" w:type="dxa"/>
            <w:gridSpan w:val="4"/>
            <w:tcBorders>
              <w:top w:val="single" w:color="auto" w:sz="8" w:space="0"/>
              <w:left w:val="single" w:color="auto" w:sz="8" w:space="0"/>
              <w:bottom w:val="single" w:color="auto" w:sz="8" w:space="0"/>
              <w:right w:val="single" w:color="auto" w:sz="8" w:space="0"/>
            </w:tcBorders>
            <w:noWrap w:val="0"/>
            <w:vAlign w:val="center"/>
          </w:tcPr>
          <w:p w14:paraId="76B0D2C0">
            <w:pPr>
              <w:jc w:val="center"/>
              <w:rPr>
                <w:rFonts w:hint="eastAsia" w:hAnsi="宋体" w:cs="宋体"/>
                <w:color w:val="auto"/>
                <w:szCs w:val="21"/>
                <w:highlight w:val="none"/>
              </w:rPr>
            </w:pPr>
          </w:p>
        </w:tc>
        <w:tc>
          <w:tcPr>
            <w:tcW w:w="1785" w:type="dxa"/>
            <w:tcBorders>
              <w:top w:val="single" w:color="auto" w:sz="8" w:space="0"/>
              <w:left w:val="single" w:color="auto" w:sz="8" w:space="0"/>
              <w:bottom w:val="single" w:color="auto" w:sz="8" w:space="0"/>
              <w:right w:val="single" w:color="auto" w:sz="8" w:space="0"/>
            </w:tcBorders>
            <w:noWrap w:val="0"/>
            <w:vAlign w:val="center"/>
          </w:tcPr>
          <w:p w14:paraId="04D18A52">
            <w:pPr>
              <w:jc w:val="center"/>
              <w:rPr>
                <w:rFonts w:hint="eastAsia" w:hAnsi="宋体" w:cs="宋体"/>
                <w:color w:val="auto"/>
                <w:szCs w:val="21"/>
                <w:highlight w:val="none"/>
              </w:rPr>
            </w:pPr>
            <w:r>
              <w:rPr>
                <w:rFonts w:hint="eastAsia" w:hAnsi="宋体" w:cs="宋体"/>
                <w:color w:val="auto"/>
                <w:szCs w:val="21"/>
                <w:highlight w:val="none"/>
              </w:rPr>
              <w:t>为投标人服务时间</w:t>
            </w:r>
          </w:p>
        </w:tc>
        <w:tc>
          <w:tcPr>
            <w:tcW w:w="2652" w:type="dxa"/>
            <w:tcBorders>
              <w:top w:val="single" w:color="auto" w:sz="8" w:space="0"/>
              <w:left w:val="single" w:color="auto" w:sz="8" w:space="0"/>
              <w:bottom w:val="single" w:color="auto" w:sz="8" w:space="0"/>
              <w:right w:val="single" w:color="auto" w:sz="12" w:space="0"/>
            </w:tcBorders>
            <w:noWrap w:val="0"/>
            <w:vAlign w:val="center"/>
          </w:tcPr>
          <w:p w14:paraId="3160B16B">
            <w:pPr>
              <w:jc w:val="center"/>
              <w:rPr>
                <w:rFonts w:hint="eastAsia" w:hAnsi="宋体" w:cs="宋体"/>
                <w:color w:val="auto"/>
                <w:szCs w:val="21"/>
                <w:highlight w:val="none"/>
              </w:rPr>
            </w:pPr>
          </w:p>
        </w:tc>
      </w:tr>
      <w:tr w14:paraId="05AB84B3">
        <w:tblPrEx>
          <w:tblCellMar>
            <w:top w:w="0" w:type="dxa"/>
            <w:left w:w="0" w:type="dxa"/>
            <w:bottom w:w="0" w:type="dxa"/>
            <w:right w:w="0" w:type="dxa"/>
          </w:tblCellMar>
        </w:tblPrEx>
        <w:trPr>
          <w:trHeight w:val="624" w:hRule="atLeast"/>
          <w:jc w:val="center"/>
        </w:trPr>
        <w:tc>
          <w:tcPr>
            <w:tcW w:w="1547" w:type="dxa"/>
            <w:vMerge w:val="restart"/>
            <w:tcBorders>
              <w:top w:val="single" w:color="auto" w:sz="8" w:space="0"/>
              <w:left w:val="single" w:color="auto" w:sz="12" w:space="0"/>
              <w:right w:val="single" w:color="auto" w:sz="8" w:space="0"/>
            </w:tcBorders>
            <w:noWrap w:val="0"/>
            <w:vAlign w:val="center"/>
          </w:tcPr>
          <w:p w14:paraId="3C72E3FA">
            <w:pPr>
              <w:jc w:val="center"/>
              <w:rPr>
                <w:rFonts w:hint="eastAsia" w:hAnsi="宋体" w:cs="宋体"/>
                <w:color w:val="auto"/>
                <w:szCs w:val="21"/>
                <w:highlight w:val="none"/>
              </w:rPr>
            </w:pPr>
            <w:r>
              <w:rPr>
                <w:rFonts w:hint="eastAsia" w:hAnsi="宋体" w:cs="宋体"/>
                <w:color w:val="auto"/>
                <w:szCs w:val="21"/>
                <w:highlight w:val="none"/>
              </w:rPr>
              <w:t>主持类似项目</w:t>
            </w:r>
          </w:p>
          <w:p w14:paraId="1122D472">
            <w:pPr>
              <w:jc w:val="center"/>
              <w:rPr>
                <w:rFonts w:hint="eastAsia" w:hAnsi="宋体" w:cs="宋体"/>
                <w:color w:val="auto"/>
                <w:szCs w:val="21"/>
                <w:highlight w:val="none"/>
              </w:rPr>
            </w:pPr>
            <w:r>
              <w:rPr>
                <w:rFonts w:hint="eastAsia" w:hAnsi="宋体" w:cs="宋体"/>
                <w:color w:val="auto"/>
                <w:szCs w:val="21"/>
                <w:highlight w:val="none"/>
              </w:rPr>
              <w:t>业绩</w:t>
            </w:r>
          </w:p>
          <w:p w14:paraId="237C6E40">
            <w:pPr>
              <w:jc w:val="center"/>
              <w:rPr>
                <w:rFonts w:hint="eastAsia" w:hAnsi="宋体" w:cs="宋体"/>
                <w:color w:val="auto"/>
                <w:szCs w:val="21"/>
                <w:highlight w:val="none"/>
              </w:rPr>
            </w:pPr>
          </w:p>
        </w:tc>
        <w:tc>
          <w:tcPr>
            <w:tcW w:w="684" w:type="dxa"/>
            <w:tcBorders>
              <w:top w:val="single" w:color="auto" w:sz="8" w:space="0"/>
              <w:left w:val="single" w:color="auto" w:sz="8" w:space="0"/>
              <w:bottom w:val="single" w:color="auto" w:sz="8" w:space="0"/>
              <w:right w:val="single" w:color="auto" w:sz="8" w:space="0"/>
            </w:tcBorders>
            <w:noWrap w:val="0"/>
            <w:vAlign w:val="center"/>
          </w:tcPr>
          <w:p w14:paraId="7B3FA55E">
            <w:pPr>
              <w:jc w:val="center"/>
              <w:rPr>
                <w:rFonts w:hint="eastAsia" w:hAnsi="宋体" w:cs="宋体"/>
                <w:color w:val="auto"/>
                <w:szCs w:val="21"/>
                <w:highlight w:val="none"/>
              </w:rPr>
            </w:pPr>
          </w:p>
        </w:tc>
        <w:tc>
          <w:tcPr>
            <w:tcW w:w="2887" w:type="dxa"/>
            <w:gridSpan w:val="3"/>
            <w:tcBorders>
              <w:top w:val="single" w:color="auto" w:sz="8" w:space="0"/>
              <w:left w:val="single" w:color="auto" w:sz="8" w:space="0"/>
              <w:bottom w:val="single" w:color="auto" w:sz="8" w:space="0"/>
              <w:right w:val="single" w:color="auto" w:sz="8" w:space="0"/>
            </w:tcBorders>
            <w:noWrap w:val="0"/>
            <w:vAlign w:val="center"/>
          </w:tcPr>
          <w:p w14:paraId="1638E8C2">
            <w:pPr>
              <w:jc w:val="center"/>
              <w:rPr>
                <w:rFonts w:hint="eastAsia" w:hAnsi="宋体" w:cs="宋体"/>
                <w:color w:val="auto"/>
                <w:szCs w:val="21"/>
                <w:highlight w:val="none"/>
              </w:rPr>
            </w:pPr>
            <w:r>
              <w:rPr>
                <w:rFonts w:hint="eastAsia" w:hAnsi="宋体" w:cs="宋体"/>
                <w:color w:val="auto"/>
                <w:szCs w:val="21"/>
                <w:highlight w:val="none"/>
              </w:rPr>
              <w:t>项目时间</w:t>
            </w:r>
          </w:p>
        </w:tc>
        <w:tc>
          <w:tcPr>
            <w:tcW w:w="4437" w:type="dxa"/>
            <w:gridSpan w:val="2"/>
            <w:tcBorders>
              <w:top w:val="single" w:color="auto" w:sz="8" w:space="0"/>
              <w:left w:val="single" w:color="auto" w:sz="8" w:space="0"/>
              <w:bottom w:val="single" w:color="auto" w:sz="8" w:space="0"/>
              <w:right w:val="single" w:color="auto" w:sz="12" w:space="0"/>
            </w:tcBorders>
            <w:noWrap w:val="0"/>
            <w:vAlign w:val="center"/>
          </w:tcPr>
          <w:p w14:paraId="1AFF7421">
            <w:pPr>
              <w:jc w:val="center"/>
              <w:rPr>
                <w:rFonts w:hint="eastAsia" w:hAnsi="宋体" w:cs="宋体"/>
                <w:strike/>
                <w:color w:val="auto"/>
                <w:szCs w:val="21"/>
                <w:highlight w:val="none"/>
              </w:rPr>
            </w:pPr>
            <w:r>
              <w:rPr>
                <w:rFonts w:hint="eastAsia" w:hAnsi="宋体" w:cs="宋体"/>
                <w:color w:val="auto"/>
                <w:szCs w:val="21"/>
                <w:highlight w:val="none"/>
              </w:rPr>
              <w:t>项目名称</w:t>
            </w:r>
          </w:p>
        </w:tc>
      </w:tr>
      <w:tr w14:paraId="2C015779">
        <w:tblPrEx>
          <w:tblCellMar>
            <w:top w:w="0" w:type="dxa"/>
            <w:left w:w="0" w:type="dxa"/>
            <w:bottom w:w="0" w:type="dxa"/>
            <w:right w:w="0" w:type="dxa"/>
          </w:tblCellMar>
        </w:tblPrEx>
        <w:trPr>
          <w:trHeight w:val="624" w:hRule="atLeast"/>
          <w:jc w:val="center"/>
        </w:trPr>
        <w:tc>
          <w:tcPr>
            <w:tcW w:w="1547" w:type="dxa"/>
            <w:vMerge w:val="continue"/>
            <w:tcBorders>
              <w:left w:val="single" w:color="auto" w:sz="12" w:space="0"/>
              <w:right w:val="single" w:color="auto" w:sz="8" w:space="0"/>
            </w:tcBorders>
            <w:noWrap w:val="0"/>
            <w:vAlign w:val="center"/>
          </w:tcPr>
          <w:p w14:paraId="2C366E0C">
            <w:pPr>
              <w:jc w:val="center"/>
              <w:rPr>
                <w:rFonts w:hint="eastAsia" w:hAnsi="宋体" w:cs="宋体"/>
                <w:color w:val="auto"/>
                <w:szCs w:val="21"/>
                <w:highlight w:val="none"/>
              </w:rPr>
            </w:pPr>
          </w:p>
        </w:tc>
        <w:tc>
          <w:tcPr>
            <w:tcW w:w="684" w:type="dxa"/>
            <w:tcBorders>
              <w:top w:val="single" w:color="auto" w:sz="8" w:space="0"/>
              <w:left w:val="single" w:color="auto" w:sz="8" w:space="0"/>
              <w:bottom w:val="single" w:color="auto" w:sz="8" w:space="0"/>
              <w:right w:val="single" w:color="auto" w:sz="8" w:space="0"/>
            </w:tcBorders>
            <w:noWrap w:val="0"/>
            <w:vAlign w:val="center"/>
          </w:tcPr>
          <w:p w14:paraId="7960F66A">
            <w:pPr>
              <w:jc w:val="center"/>
              <w:rPr>
                <w:rFonts w:hint="eastAsia" w:hAnsi="宋体" w:cs="宋体"/>
                <w:color w:val="auto"/>
                <w:szCs w:val="21"/>
                <w:highlight w:val="none"/>
              </w:rPr>
            </w:pPr>
            <w:r>
              <w:rPr>
                <w:rFonts w:hint="eastAsia" w:hAnsi="宋体" w:cs="宋体"/>
                <w:color w:val="auto"/>
                <w:szCs w:val="21"/>
                <w:highlight w:val="none"/>
              </w:rPr>
              <w:t>1</w:t>
            </w:r>
          </w:p>
        </w:tc>
        <w:tc>
          <w:tcPr>
            <w:tcW w:w="2887" w:type="dxa"/>
            <w:gridSpan w:val="3"/>
            <w:tcBorders>
              <w:top w:val="single" w:color="auto" w:sz="8" w:space="0"/>
              <w:left w:val="single" w:color="auto" w:sz="8" w:space="0"/>
              <w:bottom w:val="single" w:color="auto" w:sz="8" w:space="0"/>
              <w:right w:val="single" w:color="auto" w:sz="8" w:space="0"/>
            </w:tcBorders>
            <w:noWrap w:val="0"/>
            <w:vAlign w:val="center"/>
          </w:tcPr>
          <w:p w14:paraId="626E2549">
            <w:pPr>
              <w:jc w:val="center"/>
              <w:rPr>
                <w:rFonts w:hint="eastAsia" w:hAnsi="宋体" w:cs="宋体"/>
                <w:color w:val="auto"/>
                <w:szCs w:val="21"/>
                <w:highlight w:val="none"/>
              </w:rPr>
            </w:pPr>
          </w:p>
        </w:tc>
        <w:tc>
          <w:tcPr>
            <w:tcW w:w="4437" w:type="dxa"/>
            <w:gridSpan w:val="2"/>
            <w:tcBorders>
              <w:top w:val="single" w:color="auto" w:sz="8" w:space="0"/>
              <w:left w:val="single" w:color="auto" w:sz="8" w:space="0"/>
              <w:bottom w:val="single" w:color="auto" w:sz="8" w:space="0"/>
              <w:right w:val="single" w:color="auto" w:sz="12" w:space="0"/>
            </w:tcBorders>
            <w:noWrap w:val="0"/>
            <w:vAlign w:val="center"/>
          </w:tcPr>
          <w:p w14:paraId="5B65E882">
            <w:pPr>
              <w:jc w:val="center"/>
              <w:rPr>
                <w:rFonts w:hint="eastAsia" w:hAnsi="宋体" w:cs="宋体"/>
                <w:strike/>
                <w:color w:val="auto"/>
                <w:szCs w:val="21"/>
                <w:highlight w:val="none"/>
              </w:rPr>
            </w:pPr>
          </w:p>
        </w:tc>
      </w:tr>
      <w:tr w14:paraId="424B4CE8">
        <w:tblPrEx>
          <w:tblCellMar>
            <w:top w:w="0" w:type="dxa"/>
            <w:left w:w="0" w:type="dxa"/>
            <w:bottom w:w="0" w:type="dxa"/>
            <w:right w:w="0" w:type="dxa"/>
          </w:tblCellMar>
        </w:tblPrEx>
        <w:trPr>
          <w:trHeight w:val="624" w:hRule="atLeast"/>
          <w:jc w:val="center"/>
        </w:trPr>
        <w:tc>
          <w:tcPr>
            <w:tcW w:w="1547" w:type="dxa"/>
            <w:vMerge w:val="continue"/>
            <w:tcBorders>
              <w:left w:val="single" w:color="auto" w:sz="12" w:space="0"/>
              <w:right w:val="single" w:color="auto" w:sz="8" w:space="0"/>
            </w:tcBorders>
            <w:noWrap w:val="0"/>
            <w:vAlign w:val="center"/>
          </w:tcPr>
          <w:p w14:paraId="5AE58C64">
            <w:pPr>
              <w:jc w:val="center"/>
              <w:rPr>
                <w:rFonts w:hint="eastAsia" w:hAnsi="宋体" w:cs="宋体"/>
                <w:color w:val="auto"/>
                <w:szCs w:val="21"/>
                <w:highlight w:val="none"/>
              </w:rPr>
            </w:pPr>
          </w:p>
        </w:tc>
        <w:tc>
          <w:tcPr>
            <w:tcW w:w="684" w:type="dxa"/>
            <w:tcBorders>
              <w:top w:val="single" w:color="auto" w:sz="8" w:space="0"/>
              <w:left w:val="single" w:color="auto" w:sz="8" w:space="0"/>
              <w:bottom w:val="single" w:color="auto" w:sz="8" w:space="0"/>
              <w:right w:val="single" w:color="auto" w:sz="8" w:space="0"/>
            </w:tcBorders>
            <w:noWrap w:val="0"/>
            <w:vAlign w:val="center"/>
          </w:tcPr>
          <w:p w14:paraId="4FE3F7BB">
            <w:pPr>
              <w:jc w:val="center"/>
              <w:rPr>
                <w:rFonts w:hint="eastAsia" w:hAnsi="宋体" w:cs="宋体"/>
                <w:color w:val="auto"/>
                <w:szCs w:val="21"/>
                <w:highlight w:val="none"/>
              </w:rPr>
            </w:pPr>
            <w:r>
              <w:rPr>
                <w:rFonts w:hint="eastAsia" w:hAnsi="宋体" w:cs="宋体"/>
                <w:color w:val="auto"/>
                <w:szCs w:val="21"/>
                <w:highlight w:val="none"/>
              </w:rPr>
              <w:t>2</w:t>
            </w:r>
          </w:p>
        </w:tc>
        <w:tc>
          <w:tcPr>
            <w:tcW w:w="2887" w:type="dxa"/>
            <w:gridSpan w:val="3"/>
            <w:tcBorders>
              <w:top w:val="single" w:color="auto" w:sz="8" w:space="0"/>
              <w:left w:val="single" w:color="auto" w:sz="8" w:space="0"/>
              <w:bottom w:val="single" w:color="auto" w:sz="8" w:space="0"/>
              <w:right w:val="single" w:color="auto" w:sz="8" w:space="0"/>
            </w:tcBorders>
            <w:noWrap w:val="0"/>
            <w:vAlign w:val="center"/>
          </w:tcPr>
          <w:p w14:paraId="44D02D91">
            <w:pPr>
              <w:jc w:val="center"/>
              <w:rPr>
                <w:rFonts w:hint="eastAsia" w:hAnsi="宋体" w:cs="宋体"/>
                <w:color w:val="auto"/>
                <w:szCs w:val="21"/>
                <w:highlight w:val="none"/>
              </w:rPr>
            </w:pPr>
          </w:p>
        </w:tc>
        <w:tc>
          <w:tcPr>
            <w:tcW w:w="4437" w:type="dxa"/>
            <w:gridSpan w:val="2"/>
            <w:tcBorders>
              <w:top w:val="single" w:color="auto" w:sz="8" w:space="0"/>
              <w:left w:val="single" w:color="auto" w:sz="8" w:space="0"/>
              <w:bottom w:val="single" w:color="auto" w:sz="8" w:space="0"/>
              <w:right w:val="single" w:color="auto" w:sz="12" w:space="0"/>
            </w:tcBorders>
            <w:noWrap w:val="0"/>
            <w:vAlign w:val="center"/>
          </w:tcPr>
          <w:p w14:paraId="50833236">
            <w:pPr>
              <w:jc w:val="center"/>
              <w:rPr>
                <w:rFonts w:hint="eastAsia" w:hAnsi="宋体" w:cs="宋体"/>
                <w:strike/>
                <w:color w:val="auto"/>
                <w:szCs w:val="21"/>
                <w:highlight w:val="none"/>
              </w:rPr>
            </w:pPr>
          </w:p>
        </w:tc>
      </w:tr>
      <w:tr w14:paraId="426D16AA">
        <w:tblPrEx>
          <w:tblCellMar>
            <w:top w:w="0" w:type="dxa"/>
            <w:left w:w="0" w:type="dxa"/>
            <w:bottom w:w="0" w:type="dxa"/>
            <w:right w:w="0" w:type="dxa"/>
          </w:tblCellMar>
        </w:tblPrEx>
        <w:trPr>
          <w:trHeight w:val="624" w:hRule="atLeast"/>
          <w:jc w:val="center"/>
        </w:trPr>
        <w:tc>
          <w:tcPr>
            <w:tcW w:w="1547" w:type="dxa"/>
            <w:vMerge w:val="continue"/>
            <w:tcBorders>
              <w:left w:val="single" w:color="auto" w:sz="12" w:space="0"/>
              <w:right w:val="single" w:color="auto" w:sz="8" w:space="0"/>
            </w:tcBorders>
            <w:noWrap w:val="0"/>
            <w:vAlign w:val="center"/>
          </w:tcPr>
          <w:p w14:paraId="64F25775">
            <w:pPr>
              <w:jc w:val="center"/>
              <w:rPr>
                <w:rFonts w:hint="eastAsia" w:hAnsi="宋体" w:cs="宋体"/>
                <w:color w:val="auto"/>
                <w:szCs w:val="21"/>
                <w:highlight w:val="none"/>
              </w:rPr>
            </w:pPr>
          </w:p>
        </w:tc>
        <w:tc>
          <w:tcPr>
            <w:tcW w:w="684" w:type="dxa"/>
            <w:tcBorders>
              <w:top w:val="single" w:color="auto" w:sz="8" w:space="0"/>
              <w:left w:val="single" w:color="auto" w:sz="8" w:space="0"/>
              <w:bottom w:val="single" w:color="auto" w:sz="8" w:space="0"/>
              <w:right w:val="single" w:color="auto" w:sz="8" w:space="0"/>
            </w:tcBorders>
            <w:noWrap w:val="0"/>
            <w:vAlign w:val="center"/>
          </w:tcPr>
          <w:p w14:paraId="186F4E24">
            <w:pPr>
              <w:jc w:val="center"/>
              <w:rPr>
                <w:rFonts w:hint="eastAsia" w:hAnsi="宋体" w:cs="宋体"/>
                <w:color w:val="auto"/>
                <w:szCs w:val="21"/>
                <w:highlight w:val="none"/>
              </w:rPr>
            </w:pPr>
            <w:r>
              <w:rPr>
                <w:rFonts w:hint="eastAsia" w:hAnsi="宋体" w:cs="宋体"/>
                <w:color w:val="auto"/>
                <w:szCs w:val="21"/>
                <w:highlight w:val="none"/>
              </w:rPr>
              <w:t>3</w:t>
            </w:r>
          </w:p>
        </w:tc>
        <w:tc>
          <w:tcPr>
            <w:tcW w:w="2887" w:type="dxa"/>
            <w:gridSpan w:val="3"/>
            <w:tcBorders>
              <w:top w:val="single" w:color="auto" w:sz="8" w:space="0"/>
              <w:left w:val="single" w:color="auto" w:sz="8" w:space="0"/>
              <w:bottom w:val="single" w:color="auto" w:sz="8" w:space="0"/>
              <w:right w:val="single" w:color="auto" w:sz="8" w:space="0"/>
            </w:tcBorders>
            <w:noWrap w:val="0"/>
            <w:vAlign w:val="center"/>
          </w:tcPr>
          <w:p w14:paraId="5FF51695">
            <w:pPr>
              <w:jc w:val="center"/>
              <w:rPr>
                <w:rFonts w:hint="eastAsia" w:hAnsi="宋体" w:cs="宋体"/>
                <w:color w:val="auto"/>
                <w:szCs w:val="21"/>
                <w:highlight w:val="none"/>
              </w:rPr>
            </w:pPr>
          </w:p>
        </w:tc>
        <w:tc>
          <w:tcPr>
            <w:tcW w:w="4437" w:type="dxa"/>
            <w:gridSpan w:val="2"/>
            <w:tcBorders>
              <w:top w:val="single" w:color="auto" w:sz="8" w:space="0"/>
              <w:left w:val="single" w:color="auto" w:sz="8" w:space="0"/>
              <w:bottom w:val="single" w:color="auto" w:sz="8" w:space="0"/>
              <w:right w:val="single" w:color="auto" w:sz="12" w:space="0"/>
            </w:tcBorders>
            <w:noWrap w:val="0"/>
            <w:vAlign w:val="center"/>
          </w:tcPr>
          <w:p w14:paraId="58FAE2AF">
            <w:pPr>
              <w:jc w:val="center"/>
              <w:rPr>
                <w:rFonts w:hint="eastAsia" w:hAnsi="宋体" w:cs="宋体"/>
                <w:strike/>
                <w:color w:val="auto"/>
                <w:szCs w:val="21"/>
                <w:highlight w:val="none"/>
              </w:rPr>
            </w:pPr>
          </w:p>
        </w:tc>
      </w:tr>
      <w:tr w14:paraId="13EB3435">
        <w:tblPrEx>
          <w:tblCellMar>
            <w:top w:w="0" w:type="dxa"/>
            <w:left w:w="0" w:type="dxa"/>
            <w:bottom w:w="0" w:type="dxa"/>
            <w:right w:w="0" w:type="dxa"/>
          </w:tblCellMar>
        </w:tblPrEx>
        <w:trPr>
          <w:trHeight w:val="624" w:hRule="atLeast"/>
          <w:jc w:val="center"/>
        </w:trPr>
        <w:tc>
          <w:tcPr>
            <w:tcW w:w="1547" w:type="dxa"/>
            <w:vMerge w:val="continue"/>
            <w:tcBorders>
              <w:left w:val="single" w:color="auto" w:sz="12" w:space="0"/>
              <w:right w:val="single" w:color="auto" w:sz="8" w:space="0"/>
            </w:tcBorders>
            <w:noWrap w:val="0"/>
            <w:vAlign w:val="center"/>
          </w:tcPr>
          <w:p w14:paraId="57480B27">
            <w:pPr>
              <w:jc w:val="center"/>
              <w:rPr>
                <w:rFonts w:hint="eastAsia" w:hAnsi="宋体" w:cs="宋体"/>
                <w:color w:val="auto"/>
                <w:szCs w:val="21"/>
                <w:highlight w:val="none"/>
              </w:rPr>
            </w:pPr>
          </w:p>
        </w:tc>
        <w:tc>
          <w:tcPr>
            <w:tcW w:w="684" w:type="dxa"/>
            <w:tcBorders>
              <w:top w:val="single" w:color="auto" w:sz="8" w:space="0"/>
              <w:left w:val="single" w:color="auto" w:sz="8" w:space="0"/>
              <w:bottom w:val="single" w:color="auto" w:sz="8" w:space="0"/>
              <w:right w:val="single" w:color="auto" w:sz="8" w:space="0"/>
            </w:tcBorders>
            <w:noWrap w:val="0"/>
            <w:vAlign w:val="center"/>
          </w:tcPr>
          <w:p w14:paraId="589E6A48">
            <w:pPr>
              <w:jc w:val="center"/>
              <w:rPr>
                <w:rFonts w:hint="eastAsia" w:hAnsi="宋体" w:cs="宋体"/>
                <w:color w:val="auto"/>
                <w:szCs w:val="21"/>
                <w:highlight w:val="none"/>
              </w:rPr>
            </w:pPr>
            <w:r>
              <w:rPr>
                <w:rFonts w:hint="eastAsia" w:hAnsi="宋体" w:cs="宋体"/>
                <w:color w:val="auto"/>
                <w:szCs w:val="21"/>
                <w:highlight w:val="none"/>
              </w:rPr>
              <w:t>4</w:t>
            </w:r>
          </w:p>
        </w:tc>
        <w:tc>
          <w:tcPr>
            <w:tcW w:w="2887" w:type="dxa"/>
            <w:gridSpan w:val="3"/>
            <w:tcBorders>
              <w:top w:val="single" w:color="auto" w:sz="8" w:space="0"/>
              <w:left w:val="single" w:color="auto" w:sz="8" w:space="0"/>
              <w:bottom w:val="single" w:color="auto" w:sz="8" w:space="0"/>
              <w:right w:val="single" w:color="auto" w:sz="8" w:space="0"/>
            </w:tcBorders>
            <w:noWrap w:val="0"/>
            <w:vAlign w:val="center"/>
          </w:tcPr>
          <w:p w14:paraId="1BEACDDF">
            <w:pPr>
              <w:jc w:val="center"/>
              <w:rPr>
                <w:rFonts w:hint="eastAsia" w:hAnsi="宋体" w:cs="宋体"/>
                <w:color w:val="auto"/>
                <w:szCs w:val="21"/>
                <w:highlight w:val="none"/>
              </w:rPr>
            </w:pPr>
          </w:p>
        </w:tc>
        <w:tc>
          <w:tcPr>
            <w:tcW w:w="4437" w:type="dxa"/>
            <w:gridSpan w:val="2"/>
            <w:tcBorders>
              <w:top w:val="single" w:color="auto" w:sz="8" w:space="0"/>
              <w:left w:val="single" w:color="auto" w:sz="8" w:space="0"/>
              <w:bottom w:val="single" w:color="auto" w:sz="8" w:space="0"/>
              <w:right w:val="single" w:color="auto" w:sz="12" w:space="0"/>
            </w:tcBorders>
            <w:noWrap w:val="0"/>
            <w:vAlign w:val="center"/>
          </w:tcPr>
          <w:p w14:paraId="27FCA124">
            <w:pPr>
              <w:jc w:val="center"/>
              <w:rPr>
                <w:rFonts w:hint="eastAsia" w:hAnsi="宋体" w:cs="宋体"/>
                <w:strike/>
                <w:color w:val="auto"/>
                <w:szCs w:val="21"/>
                <w:highlight w:val="none"/>
              </w:rPr>
            </w:pPr>
          </w:p>
        </w:tc>
      </w:tr>
      <w:tr w14:paraId="7827B75F">
        <w:tblPrEx>
          <w:tblCellMar>
            <w:top w:w="0" w:type="dxa"/>
            <w:left w:w="0" w:type="dxa"/>
            <w:bottom w:w="0" w:type="dxa"/>
            <w:right w:w="0" w:type="dxa"/>
          </w:tblCellMar>
        </w:tblPrEx>
        <w:trPr>
          <w:trHeight w:val="624" w:hRule="atLeast"/>
          <w:jc w:val="center"/>
        </w:trPr>
        <w:tc>
          <w:tcPr>
            <w:tcW w:w="1547" w:type="dxa"/>
            <w:vMerge w:val="continue"/>
            <w:tcBorders>
              <w:left w:val="single" w:color="auto" w:sz="12" w:space="0"/>
              <w:right w:val="single" w:color="auto" w:sz="8" w:space="0"/>
            </w:tcBorders>
            <w:noWrap w:val="0"/>
            <w:vAlign w:val="center"/>
          </w:tcPr>
          <w:p w14:paraId="7D95A96F">
            <w:pPr>
              <w:jc w:val="center"/>
              <w:rPr>
                <w:rFonts w:hint="eastAsia" w:hAnsi="宋体" w:cs="宋体"/>
                <w:color w:val="auto"/>
                <w:szCs w:val="21"/>
                <w:highlight w:val="none"/>
              </w:rPr>
            </w:pPr>
          </w:p>
        </w:tc>
        <w:tc>
          <w:tcPr>
            <w:tcW w:w="684" w:type="dxa"/>
            <w:tcBorders>
              <w:top w:val="single" w:color="auto" w:sz="8" w:space="0"/>
              <w:left w:val="single" w:color="auto" w:sz="8" w:space="0"/>
              <w:bottom w:val="single" w:color="auto" w:sz="8" w:space="0"/>
              <w:right w:val="single" w:color="auto" w:sz="8" w:space="0"/>
            </w:tcBorders>
            <w:noWrap w:val="0"/>
            <w:vAlign w:val="center"/>
          </w:tcPr>
          <w:p w14:paraId="1962ADBF">
            <w:pPr>
              <w:jc w:val="center"/>
              <w:rPr>
                <w:rFonts w:hint="eastAsia" w:hAnsi="宋体" w:cs="宋体"/>
                <w:color w:val="auto"/>
                <w:szCs w:val="21"/>
                <w:highlight w:val="none"/>
              </w:rPr>
            </w:pPr>
            <w:r>
              <w:rPr>
                <w:rFonts w:hint="eastAsia" w:hAnsi="宋体" w:cs="宋体"/>
                <w:color w:val="auto"/>
                <w:szCs w:val="21"/>
                <w:highlight w:val="none"/>
              </w:rPr>
              <w:t>5</w:t>
            </w:r>
          </w:p>
        </w:tc>
        <w:tc>
          <w:tcPr>
            <w:tcW w:w="2887" w:type="dxa"/>
            <w:gridSpan w:val="3"/>
            <w:tcBorders>
              <w:top w:val="single" w:color="auto" w:sz="8" w:space="0"/>
              <w:left w:val="single" w:color="auto" w:sz="8" w:space="0"/>
              <w:bottom w:val="single" w:color="auto" w:sz="8" w:space="0"/>
              <w:right w:val="single" w:color="auto" w:sz="8" w:space="0"/>
            </w:tcBorders>
            <w:noWrap w:val="0"/>
            <w:vAlign w:val="center"/>
          </w:tcPr>
          <w:p w14:paraId="3F1AFEBC">
            <w:pPr>
              <w:jc w:val="center"/>
              <w:rPr>
                <w:rFonts w:hint="eastAsia" w:hAnsi="宋体" w:cs="宋体"/>
                <w:color w:val="auto"/>
                <w:szCs w:val="21"/>
                <w:highlight w:val="none"/>
              </w:rPr>
            </w:pPr>
          </w:p>
        </w:tc>
        <w:tc>
          <w:tcPr>
            <w:tcW w:w="4437" w:type="dxa"/>
            <w:gridSpan w:val="2"/>
            <w:tcBorders>
              <w:top w:val="single" w:color="auto" w:sz="8" w:space="0"/>
              <w:left w:val="single" w:color="auto" w:sz="8" w:space="0"/>
              <w:bottom w:val="single" w:color="auto" w:sz="8" w:space="0"/>
              <w:right w:val="single" w:color="auto" w:sz="12" w:space="0"/>
            </w:tcBorders>
            <w:noWrap w:val="0"/>
            <w:vAlign w:val="center"/>
          </w:tcPr>
          <w:p w14:paraId="428B47DA">
            <w:pPr>
              <w:jc w:val="center"/>
              <w:rPr>
                <w:rFonts w:hint="eastAsia" w:hAnsi="宋体" w:cs="宋体"/>
                <w:strike/>
                <w:color w:val="auto"/>
                <w:szCs w:val="21"/>
                <w:highlight w:val="none"/>
              </w:rPr>
            </w:pPr>
          </w:p>
        </w:tc>
      </w:tr>
      <w:tr w14:paraId="777A1C78">
        <w:tblPrEx>
          <w:tblCellMar>
            <w:top w:w="0" w:type="dxa"/>
            <w:left w:w="0" w:type="dxa"/>
            <w:bottom w:w="0" w:type="dxa"/>
            <w:right w:w="0" w:type="dxa"/>
          </w:tblCellMar>
        </w:tblPrEx>
        <w:trPr>
          <w:cantSplit/>
          <w:trHeight w:val="624" w:hRule="atLeast"/>
          <w:jc w:val="center"/>
        </w:trPr>
        <w:tc>
          <w:tcPr>
            <w:tcW w:w="1547" w:type="dxa"/>
            <w:vMerge w:val="continue"/>
            <w:tcBorders>
              <w:left w:val="single" w:color="auto" w:sz="12" w:space="0"/>
              <w:right w:val="single" w:color="auto" w:sz="8" w:space="0"/>
            </w:tcBorders>
            <w:noWrap w:val="0"/>
            <w:vAlign w:val="center"/>
          </w:tcPr>
          <w:p w14:paraId="068077E1">
            <w:pPr>
              <w:jc w:val="center"/>
              <w:rPr>
                <w:rFonts w:hint="eastAsia" w:hAnsi="宋体" w:cs="宋体"/>
                <w:color w:val="auto"/>
                <w:szCs w:val="21"/>
                <w:highlight w:val="none"/>
              </w:rPr>
            </w:pPr>
          </w:p>
        </w:tc>
        <w:tc>
          <w:tcPr>
            <w:tcW w:w="684" w:type="dxa"/>
            <w:tcBorders>
              <w:top w:val="single" w:color="auto" w:sz="8" w:space="0"/>
              <w:left w:val="single" w:color="auto" w:sz="8" w:space="0"/>
              <w:bottom w:val="single" w:color="auto" w:sz="8" w:space="0"/>
              <w:right w:val="single" w:color="auto" w:sz="8" w:space="0"/>
            </w:tcBorders>
            <w:noWrap w:val="0"/>
            <w:vAlign w:val="center"/>
          </w:tcPr>
          <w:p w14:paraId="1693C050">
            <w:pPr>
              <w:jc w:val="center"/>
              <w:rPr>
                <w:rFonts w:hint="eastAsia" w:hAnsi="宋体" w:cs="宋体"/>
                <w:color w:val="auto"/>
                <w:szCs w:val="21"/>
                <w:highlight w:val="none"/>
              </w:rPr>
            </w:pPr>
            <w:r>
              <w:rPr>
                <w:rFonts w:hint="eastAsia" w:hAnsi="宋体" w:cs="宋体"/>
                <w:color w:val="auto"/>
                <w:szCs w:val="21"/>
                <w:highlight w:val="none"/>
              </w:rPr>
              <w:t>6</w:t>
            </w:r>
          </w:p>
        </w:tc>
        <w:tc>
          <w:tcPr>
            <w:tcW w:w="2887" w:type="dxa"/>
            <w:gridSpan w:val="3"/>
            <w:tcBorders>
              <w:top w:val="single" w:color="auto" w:sz="8" w:space="0"/>
              <w:left w:val="single" w:color="auto" w:sz="8" w:space="0"/>
              <w:bottom w:val="single" w:color="auto" w:sz="8" w:space="0"/>
              <w:right w:val="single" w:color="auto" w:sz="8" w:space="0"/>
            </w:tcBorders>
            <w:noWrap w:val="0"/>
            <w:vAlign w:val="center"/>
          </w:tcPr>
          <w:p w14:paraId="11FF3029">
            <w:pPr>
              <w:jc w:val="center"/>
              <w:rPr>
                <w:rFonts w:hint="eastAsia" w:hAnsi="宋体" w:cs="宋体"/>
                <w:color w:val="auto"/>
                <w:szCs w:val="21"/>
                <w:highlight w:val="none"/>
              </w:rPr>
            </w:pPr>
          </w:p>
        </w:tc>
        <w:tc>
          <w:tcPr>
            <w:tcW w:w="4437" w:type="dxa"/>
            <w:gridSpan w:val="2"/>
            <w:tcBorders>
              <w:top w:val="single" w:color="auto" w:sz="8" w:space="0"/>
              <w:left w:val="single" w:color="auto" w:sz="8" w:space="0"/>
              <w:bottom w:val="single" w:color="auto" w:sz="8" w:space="0"/>
              <w:right w:val="single" w:color="auto" w:sz="12" w:space="0"/>
            </w:tcBorders>
            <w:noWrap w:val="0"/>
            <w:vAlign w:val="center"/>
          </w:tcPr>
          <w:p w14:paraId="127A9E25">
            <w:pPr>
              <w:jc w:val="center"/>
              <w:rPr>
                <w:rFonts w:hint="eastAsia" w:hAnsi="宋体" w:cs="宋体"/>
                <w:strike/>
                <w:color w:val="auto"/>
                <w:szCs w:val="21"/>
                <w:highlight w:val="none"/>
              </w:rPr>
            </w:pPr>
          </w:p>
        </w:tc>
      </w:tr>
      <w:tr w14:paraId="3016C1FF">
        <w:tblPrEx>
          <w:tblCellMar>
            <w:top w:w="0" w:type="dxa"/>
            <w:left w:w="0" w:type="dxa"/>
            <w:bottom w:w="0" w:type="dxa"/>
            <w:right w:w="0" w:type="dxa"/>
          </w:tblCellMar>
        </w:tblPrEx>
        <w:trPr>
          <w:trHeight w:val="768" w:hRule="exact"/>
          <w:jc w:val="center"/>
        </w:trPr>
        <w:tc>
          <w:tcPr>
            <w:tcW w:w="1547" w:type="dxa"/>
            <w:tcBorders>
              <w:top w:val="single" w:color="auto" w:sz="8" w:space="0"/>
              <w:left w:val="single" w:color="auto" w:sz="12" w:space="0"/>
              <w:bottom w:val="single" w:color="auto" w:sz="12" w:space="0"/>
              <w:right w:val="single" w:color="auto" w:sz="8" w:space="0"/>
            </w:tcBorders>
            <w:noWrap w:val="0"/>
            <w:vAlign w:val="center"/>
          </w:tcPr>
          <w:p w14:paraId="1C89C0DC">
            <w:pPr>
              <w:jc w:val="center"/>
              <w:rPr>
                <w:rFonts w:hint="eastAsia" w:hAnsi="宋体" w:cs="宋体"/>
                <w:color w:val="auto"/>
                <w:szCs w:val="21"/>
                <w:highlight w:val="none"/>
              </w:rPr>
            </w:pPr>
            <w:r>
              <w:rPr>
                <w:rFonts w:hint="eastAsia" w:hAnsi="宋体" w:cs="宋体"/>
                <w:color w:val="auto"/>
                <w:szCs w:val="21"/>
                <w:highlight w:val="none"/>
              </w:rPr>
              <w:t>其他需</w:t>
            </w:r>
          </w:p>
          <w:p w14:paraId="0F956C99">
            <w:pPr>
              <w:jc w:val="center"/>
              <w:rPr>
                <w:rFonts w:hint="eastAsia" w:hAnsi="宋体" w:cs="宋体"/>
                <w:color w:val="auto"/>
                <w:szCs w:val="21"/>
                <w:highlight w:val="none"/>
              </w:rPr>
            </w:pPr>
            <w:r>
              <w:rPr>
                <w:rFonts w:hint="eastAsia" w:hAnsi="宋体" w:cs="宋体"/>
                <w:color w:val="auto"/>
                <w:szCs w:val="21"/>
                <w:highlight w:val="none"/>
              </w:rPr>
              <w:t>补充的情况</w:t>
            </w:r>
          </w:p>
          <w:p w14:paraId="64FF0437">
            <w:pPr>
              <w:jc w:val="center"/>
              <w:rPr>
                <w:rFonts w:hint="eastAsia" w:hAnsi="宋体" w:cs="宋体"/>
                <w:color w:val="auto"/>
                <w:szCs w:val="21"/>
                <w:highlight w:val="none"/>
              </w:rPr>
            </w:pPr>
          </w:p>
        </w:tc>
        <w:tc>
          <w:tcPr>
            <w:tcW w:w="8008" w:type="dxa"/>
            <w:gridSpan w:val="6"/>
            <w:tcBorders>
              <w:top w:val="single" w:color="auto" w:sz="8" w:space="0"/>
              <w:left w:val="single" w:color="auto" w:sz="8" w:space="0"/>
              <w:bottom w:val="single" w:color="auto" w:sz="12" w:space="0"/>
              <w:right w:val="single" w:color="auto" w:sz="12" w:space="0"/>
            </w:tcBorders>
            <w:noWrap w:val="0"/>
            <w:vAlign w:val="center"/>
          </w:tcPr>
          <w:p w14:paraId="1308D774">
            <w:pPr>
              <w:jc w:val="center"/>
              <w:rPr>
                <w:rFonts w:hint="eastAsia" w:hAnsi="宋体" w:cs="宋体"/>
                <w:color w:val="auto"/>
                <w:szCs w:val="21"/>
                <w:highlight w:val="none"/>
              </w:rPr>
            </w:pPr>
          </w:p>
          <w:p w14:paraId="4955ED23">
            <w:pPr>
              <w:jc w:val="center"/>
              <w:rPr>
                <w:rFonts w:hint="eastAsia" w:hAnsi="宋体" w:cs="宋体"/>
                <w:color w:val="auto"/>
                <w:szCs w:val="21"/>
                <w:highlight w:val="none"/>
              </w:rPr>
            </w:pPr>
          </w:p>
          <w:p w14:paraId="061084C3">
            <w:pPr>
              <w:jc w:val="center"/>
              <w:rPr>
                <w:rFonts w:hint="eastAsia" w:hAnsi="宋体" w:cs="宋体"/>
                <w:color w:val="auto"/>
                <w:szCs w:val="21"/>
                <w:highlight w:val="none"/>
              </w:rPr>
            </w:pPr>
          </w:p>
          <w:p w14:paraId="6F77A87F">
            <w:pPr>
              <w:jc w:val="center"/>
              <w:rPr>
                <w:rFonts w:hint="eastAsia" w:hAnsi="宋体" w:cs="宋体"/>
                <w:color w:val="auto"/>
                <w:szCs w:val="21"/>
                <w:highlight w:val="none"/>
              </w:rPr>
            </w:pPr>
          </w:p>
          <w:p w14:paraId="29C115C0">
            <w:pPr>
              <w:jc w:val="center"/>
              <w:rPr>
                <w:rFonts w:hint="eastAsia" w:hAnsi="宋体" w:cs="宋体"/>
                <w:color w:val="auto"/>
                <w:szCs w:val="21"/>
                <w:highlight w:val="none"/>
              </w:rPr>
            </w:pPr>
          </w:p>
          <w:p w14:paraId="7902094C">
            <w:pPr>
              <w:jc w:val="center"/>
              <w:rPr>
                <w:rFonts w:hint="eastAsia" w:hAnsi="宋体" w:cs="宋体"/>
                <w:color w:val="auto"/>
                <w:szCs w:val="21"/>
                <w:highlight w:val="none"/>
              </w:rPr>
            </w:pPr>
          </w:p>
        </w:tc>
      </w:tr>
    </w:tbl>
    <w:p w14:paraId="4FFB4A95">
      <w:pPr>
        <w:shd w:val="clear" w:color="auto" w:fill="FFFFFF"/>
        <w:snapToGrid w:val="0"/>
        <w:spacing w:line="360" w:lineRule="exact"/>
        <w:ind w:firstLine="422" w:firstLineChars="200"/>
        <w:jc w:val="center"/>
        <w:rPr>
          <w:rFonts w:hAnsi="宋体" w:cs="宋体"/>
          <w:b/>
          <w:bCs/>
          <w:color w:val="auto"/>
          <w:szCs w:val="21"/>
          <w:highlight w:val="none"/>
        </w:rPr>
      </w:pPr>
    </w:p>
    <w:p w14:paraId="427013F0">
      <w:pPr>
        <w:shd w:val="clear" w:color="auto" w:fill="FFFFFF"/>
        <w:snapToGrid w:val="0"/>
        <w:spacing w:line="360" w:lineRule="exact"/>
        <w:ind w:firstLine="422" w:firstLineChars="200"/>
        <w:rPr>
          <w:rFonts w:hint="eastAsia"/>
          <w:b/>
          <w:bCs/>
          <w:color w:val="auto"/>
          <w:szCs w:val="21"/>
          <w:highlight w:val="none"/>
        </w:rPr>
      </w:pPr>
      <w:r>
        <w:rPr>
          <w:rFonts w:hint="eastAsia"/>
          <w:b/>
          <w:bCs/>
          <w:color w:val="auto"/>
          <w:szCs w:val="21"/>
          <w:highlight w:val="none"/>
        </w:rPr>
        <w:t>注：表格不能满足时可自行增加。</w:t>
      </w:r>
      <w:r>
        <w:rPr>
          <w:rFonts w:hint="eastAsia"/>
          <w:b/>
          <w:bCs/>
          <w:color w:val="auto"/>
          <w:szCs w:val="21"/>
          <w:highlight w:val="none"/>
          <w:lang w:eastAsia="zh-CN"/>
        </w:rPr>
        <w:t>项目负责人</w:t>
      </w:r>
      <w:r>
        <w:rPr>
          <w:rFonts w:hint="eastAsia"/>
          <w:b/>
          <w:bCs/>
          <w:color w:val="auto"/>
          <w:szCs w:val="21"/>
          <w:highlight w:val="none"/>
        </w:rPr>
        <w:t>业绩证明材料、相关证书复印件</w:t>
      </w:r>
      <w:r>
        <w:rPr>
          <w:rFonts w:hint="eastAsia" w:hAnsi="宋体" w:cs="宋体"/>
          <w:b/>
          <w:bCs/>
          <w:color w:val="auto"/>
          <w:szCs w:val="21"/>
          <w:highlight w:val="none"/>
        </w:rPr>
        <w:t>及投标人所属社保机构出具的拟委任的项目负责人最近3个月</w:t>
      </w:r>
      <w:r>
        <w:rPr>
          <w:rFonts w:hint="eastAsia" w:hAnsi="宋体" w:cs="宋体"/>
          <w:b/>
          <w:bCs/>
          <w:color w:val="auto"/>
          <w:szCs w:val="21"/>
          <w:highlight w:val="none"/>
          <w:lang w:eastAsia="zh-CN"/>
        </w:rPr>
        <w:t>（</w:t>
      </w:r>
      <w:r>
        <w:rPr>
          <w:rFonts w:hint="eastAsia" w:hAnsi="宋体" w:cs="宋体"/>
          <w:b/>
          <w:bCs/>
          <w:color w:val="auto"/>
          <w:szCs w:val="21"/>
          <w:highlight w:val="none"/>
          <w:lang w:val="en-US" w:eastAsia="zh-CN"/>
        </w:rPr>
        <w:t>2024年11月、12月和2025年1月</w:t>
      </w:r>
      <w:r>
        <w:rPr>
          <w:rFonts w:hint="eastAsia" w:hAnsi="宋体" w:cs="宋体"/>
          <w:b/>
          <w:bCs/>
          <w:color w:val="auto"/>
          <w:szCs w:val="21"/>
          <w:highlight w:val="none"/>
          <w:lang w:eastAsia="zh-CN"/>
        </w:rPr>
        <w:t>）</w:t>
      </w:r>
      <w:r>
        <w:rPr>
          <w:rFonts w:hint="eastAsia" w:hAnsi="宋体" w:cs="宋体"/>
          <w:b/>
          <w:bCs/>
          <w:color w:val="auto"/>
          <w:szCs w:val="21"/>
          <w:highlight w:val="none"/>
        </w:rPr>
        <w:t>社保缴纳证明</w:t>
      </w:r>
      <w:r>
        <w:rPr>
          <w:rFonts w:hint="eastAsia"/>
          <w:b/>
          <w:bCs/>
          <w:color w:val="auto"/>
          <w:szCs w:val="21"/>
          <w:highlight w:val="none"/>
        </w:rPr>
        <w:t>，未附，则不得分。</w:t>
      </w:r>
    </w:p>
    <w:p w14:paraId="1514CA07">
      <w:pPr>
        <w:shd w:val="clear" w:color="auto" w:fill="FFFFFF"/>
        <w:snapToGrid w:val="0"/>
        <w:spacing w:line="360" w:lineRule="exact"/>
        <w:ind w:firstLine="422" w:firstLineChars="200"/>
        <w:rPr>
          <w:rFonts w:hAnsi="宋体" w:cs="宋体"/>
          <w:b/>
          <w:bCs/>
          <w:color w:val="auto"/>
          <w:szCs w:val="21"/>
          <w:highlight w:val="none"/>
        </w:rPr>
      </w:pPr>
    </w:p>
    <w:p w14:paraId="29CFDC0A">
      <w:pPr>
        <w:shd w:val="clear" w:color="auto" w:fill="FFFFFF"/>
        <w:snapToGrid w:val="0"/>
        <w:spacing w:before="50"/>
        <w:jc w:val="center"/>
        <w:rPr>
          <w:rFonts w:hAnsi="宋体" w:cs="Arial"/>
          <w:b/>
          <w:bCs/>
          <w:color w:val="auto"/>
          <w:szCs w:val="21"/>
          <w:highlight w:val="none"/>
        </w:rPr>
      </w:pPr>
    </w:p>
    <w:p w14:paraId="0542B20E">
      <w:pPr>
        <w:shd w:val="clear" w:color="auto" w:fill="FFFFFF"/>
        <w:snapToGrid w:val="0"/>
        <w:spacing w:line="360" w:lineRule="exact"/>
        <w:rPr>
          <w:rFonts w:hAnsi="宋体"/>
          <w:color w:val="auto"/>
          <w:szCs w:val="21"/>
          <w:highlight w:val="none"/>
          <w:u w:val="single"/>
        </w:rPr>
      </w:pPr>
      <w:r>
        <w:rPr>
          <w:rFonts w:hint="eastAsia" w:hAnsi="宋体"/>
          <w:color w:val="auto"/>
          <w:szCs w:val="21"/>
          <w:highlight w:val="none"/>
        </w:rPr>
        <w:t>法定代表人或授权代表签字：</w:t>
      </w:r>
    </w:p>
    <w:p w14:paraId="59FEC0E3">
      <w:pPr>
        <w:shd w:val="clear" w:color="auto" w:fill="FFFFFF"/>
        <w:snapToGrid w:val="0"/>
        <w:spacing w:after="50" w:line="360" w:lineRule="exact"/>
        <w:rPr>
          <w:rFonts w:hAnsi="宋体"/>
          <w:color w:val="auto"/>
          <w:szCs w:val="21"/>
          <w:highlight w:val="none"/>
        </w:rPr>
      </w:pPr>
      <w:r>
        <w:rPr>
          <w:rFonts w:hint="eastAsia" w:hAnsi="宋体"/>
          <w:color w:val="auto"/>
          <w:szCs w:val="21"/>
          <w:highlight w:val="none"/>
        </w:rPr>
        <w:t>投标人公章：</w:t>
      </w:r>
    </w:p>
    <w:p w14:paraId="55F975DE">
      <w:pPr>
        <w:shd w:val="clear" w:color="auto" w:fill="FFFFFF"/>
        <w:snapToGrid w:val="0"/>
        <w:spacing w:after="50" w:line="360" w:lineRule="exact"/>
        <w:ind w:firstLine="5460" w:firstLineChars="2600"/>
        <w:rPr>
          <w:rFonts w:hAnsi="宋体"/>
          <w:color w:val="auto"/>
          <w:szCs w:val="21"/>
          <w:highlight w:val="none"/>
        </w:rPr>
      </w:pPr>
      <w:r>
        <w:rPr>
          <w:rFonts w:hint="eastAsia" w:hAnsi="宋体"/>
          <w:color w:val="auto"/>
          <w:szCs w:val="21"/>
          <w:highlight w:val="none"/>
        </w:rPr>
        <w:t> </w:t>
      </w:r>
    </w:p>
    <w:p w14:paraId="58B704B3">
      <w:pPr>
        <w:spacing w:line="460" w:lineRule="exact"/>
        <w:ind w:firstLine="420" w:firstLineChars="200"/>
        <w:rPr>
          <w:rFonts w:hint="eastAsia" w:hAnsi="宋体"/>
          <w:bCs/>
          <w:color w:val="auto"/>
          <w:szCs w:val="21"/>
          <w:highlight w:val="none"/>
          <w:u w:val="single"/>
        </w:rPr>
      </w:pPr>
      <w:r>
        <w:rPr>
          <w:rFonts w:hint="eastAsia" w:hAnsi="宋体"/>
          <w:color w:val="auto"/>
          <w:szCs w:val="21"/>
          <w:highlight w:val="none"/>
        </w:rPr>
        <w:t>年    月    日</w:t>
      </w:r>
      <w:r>
        <w:rPr>
          <w:rFonts w:hint="eastAsia" w:hAnsi="宋体"/>
          <w:b/>
          <w:color w:val="auto"/>
          <w:szCs w:val="21"/>
          <w:highlight w:val="none"/>
        </w:rPr>
        <w:t xml:space="preserve"> </w:t>
      </w:r>
    </w:p>
    <w:p w14:paraId="16AACD94">
      <w:pPr>
        <w:shd w:val="clear" w:color="auto" w:fill="FFFFFF"/>
        <w:snapToGrid w:val="0"/>
        <w:spacing w:line="360" w:lineRule="exact"/>
        <w:jc w:val="center"/>
        <w:rPr>
          <w:rFonts w:hint="eastAsia" w:hAnsi="宋体" w:cs="宋体"/>
          <w:b/>
          <w:bCs/>
          <w:color w:val="auto"/>
          <w:sz w:val="24"/>
          <w:highlight w:val="none"/>
        </w:rPr>
      </w:pPr>
    </w:p>
    <w:p w14:paraId="57AFA3C6">
      <w:pPr>
        <w:shd w:val="clear" w:color="auto" w:fill="FFFFFF"/>
        <w:snapToGrid w:val="0"/>
        <w:spacing w:line="360" w:lineRule="exact"/>
        <w:jc w:val="left"/>
        <w:rPr>
          <w:rFonts w:hint="eastAsia" w:hAnsi="宋体" w:cs="宋体"/>
          <w:b/>
          <w:bCs/>
          <w:color w:val="auto"/>
          <w:sz w:val="24"/>
          <w:highlight w:val="none"/>
        </w:rPr>
      </w:pPr>
      <w:r>
        <w:rPr>
          <w:rFonts w:hint="eastAsia" w:hAnsi="宋体" w:cs="宋体"/>
          <w:b/>
          <w:bCs/>
          <w:color w:val="auto"/>
          <w:sz w:val="24"/>
          <w:highlight w:val="none"/>
        </w:rPr>
        <w:br w:type="page"/>
      </w:r>
      <w:r>
        <w:rPr>
          <w:rFonts w:hint="eastAsia" w:hAnsi="宋体"/>
          <w:b/>
          <w:bCs/>
          <w:color w:val="auto"/>
          <w:sz w:val="24"/>
          <w:highlight w:val="none"/>
        </w:rPr>
        <w:t xml:space="preserve">附件7 </w:t>
      </w:r>
    </w:p>
    <w:p w14:paraId="20BF4E62">
      <w:pPr>
        <w:shd w:val="clear" w:color="auto" w:fill="FFFFFF"/>
        <w:snapToGrid w:val="0"/>
        <w:spacing w:line="360" w:lineRule="exact"/>
        <w:jc w:val="center"/>
        <w:rPr>
          <w:rFonts w:hint="eastAsia" w:hAnsi="宋体" w:cs="宋体"/>
          <w:b/>
          <w:bCs/>
          <w:color w:val="auto"/>
          <w:sz w:val="24"/>
          <w:highlight w:val="none"/>
        </w:rPr>
      </w:pPr>
    </w:p>
    <w:p w14:paraId="3748C060">
      <w:pPr>
        <w:shd w:val="clear" w:color="auto" w:fill="FFFFFF"/>
        <w:snapToGrid w:val="0"/>
        <w:spacing w:line="360" w:lineRule="exact"/>
        <w:jc w:val="center"/>
        <w:rPr>
          <w:rFonts w:hAnsi="宋体" w:cs="宋体"/>
          <w:b/>
          <w:bCs/>
          <w:color w:val="auto"/>
          <w:sz w:val="24"/>
          <w:highlight w:val="none"/>
        </w:rPr>
      </w:pPr>
      <w:r>
        <w:rPr>
          <w:rFonts w:hint="eastAsia" w:hAnsi="宋体" w:cs="宋体"/>
          <w:b/>
          <w:bCs/>
          <w:color w:val="auto"/>
          <w:sz w:val="24"/>
          <w:highlight w:val="none"/>
        </w:rPr>
        <w:t>拟派项目成员组成结构表</w:t>
      </w:r>
      <w:bookmarkEnd w:id="56"/>
      <w:bookmarkEnd w:id="57"/>
      <w:bookmarkEnd w:id="58"/>
    </w:p>
    <w:tbl>
      <w:tblPr>
        <w:tblStyle w:val="46"/>
        <w:tblW w:w="0" w:type="auto"/>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715"/>
        <w:gridCol w:w="1240"/>
        <w:gridCol w:w="765"/>
        <w:gridCol w:w="1350"/>
        <w:gridCol w:w="1459"/>
        <w:gridCol w:w="1559"/>
        <w:gridCol w:w="2178"/>
      </w:tblGrid>
      <w:tr w14:paraId="2492366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715" w:type="dxa"/>
            <w:tcBorders>
              <w:top w:val="single" w:color="auto" w:sz="12" w:space="0"/>
              <w:left w:val="single" w:color="auto" w:sz="4" w:space="0"/>
              <w:bottom w:val="single" w:color="auto" w:sz="4" w:space="0"/>
              <w:right w:val="single" w:color="auto" w:sz="4" w:space="0"/>
            </w:tcBorders>
            <w:noWrap w:val="0"/>
            <w:vAlign w:val="center"/>
          </w:tcPr>
          <w:p w14:paraId="6A13DAF6">
            <w:pPr>
              <w:jc w:val="center"/>
              <w:rPr>
                <w:rFonts w:hint="eastAsia" w:hAnsi="宋体" w:cs="宋体"/>
                <w:color w:val="auto"/>
                <w:szCs w:val="21"/>
                <w:highlight w:val="none"/>
              </w:rPr>
            </w:pPr>
            <w:r>
              <w:rPr>
                <w:rFonts w:hint="eastAsia" w:hAnsi="宋体" w:cs="宋体"/>
                <w:color w:val="auto"/>
                <w:szCs w:val="21"/>
                <w:highlight w:val="none"/>
              </w:rPr>
              <w:t>序号</w:t>
            </w:r>
          </w:p>
        </w:tc>
        <w:tc>
          <w:tcPr>
            <w:tcW w:w="1240" w:type="dxa"/>
            <w:tcBorders>
              <w:top w:val="single" w:color="auto" w:sz="12" w:space="0"/>
              <w:left w:val="single" w:color="auto" w:sz="4" w:space="0"/>
              <w:bottom w:val="single" w:color="auto" w:sz="4" w:space="0"/>
              <w:right w:val="single" w:color="auto" w:sz="4" w:space="0"/>
            </w:tcBorders>
            <w:noWrap w:val="0"/>
            <w:vAlign w:val="center"/>
          </w:tcPr>
          <w:p w14:paraId="6BFB8842">
            <w:pPr>
              <w:jc w:val="center"/>
              <w:rPr>
                <w:rFonts w:hint="eastAsia" w:hAnsi="宋体" w:cs="宋体"/>
                <w:color w:val="auto"/>
                <w:szCs w:val="21"/>
                <w:highlight w:val="none"/>
              </w:rPr>
            </w:pPr>
            <w:r>
              <w:rPr>
                <w:rFonts w:hint="eastAsia" w:hAnsi="宋体" w:cs="宋体"/>
                <w:color w:val="auto"/>
                <w:szCs w:val="21"/>
                <w:highlight w:val="none"/>
              </w:rPr>
              <w:t>姓名</w:t>
            </w:r>
          </w:p>
        </w:tc>
        <w:tc>
          <w:tcPr>
            <w:tcW w:w="765" w:type="dxa"/>
            <w:tcBorders>
              <w:top w:val="single" w:color="auto" w:sz="12" w:space="0"/>
              <w:left w:val="single" w:color="auto" w:sz="4" w:space="0"/>
              <w:bottom w:val="single" w:color="auto" w:sz="4" w:space="0"/>
              <w:right w:val="single" w:color="auto" w:sz="4" w:space="0"/>
            </w:tcBorders>
            <w:noWrap w:val="0"/>
            <w:vAlign w:val="center"/>
          </w:tcPr>
          <w:p w14:paraId="62E1B1FF">
            <w:pPr>
              <w:jc w:val="center"/>
              <w:rPr>
                <w:rFonts w:hint="eastAsia" w:hAnsi="宋体" w:cs="宋体"/>
                <w:color w:val="auto"/>
                <w:szCs w:val="21"/>
                <w:highlight w:val="none"/>
              </w:rPr>
            </w:pPr>
            <w:r>
              <w:rPr>
                <w:rFonts w:hint="eastAsia" w:hAnsi="宋体" w:cs="宋体"/>
                <w:color w:val="auto"/>
                <w:szCs w:val="21"/>
                <w:highlight w:val="none"/>
              </w:rPr>
              <w:t>性别</w:t>
            </w:r>
          </w:p>
        </w:tc>
        <w:tc>
          <w:tcPr>
            <w:tcW w:w="1350" w:type="dxa"/>
            <w:tcBorders>
              <w:top w:val="single" w:color="auto" w:sz="12" w:space="0"/>
              <w:left w:val="single" w:color="auto" w:sz="4" w:space="0"/>
              <w:bottom w:val="single" w:color="auto" w:sz="4" w:space="0"/>
              <w:right w:val="single" w:color="auto" w:sz="4" w:space="0"/>
            </w:tcBorders>
            <w:noWrap w:val="0"/>
            <w:vAlign w:val="center"/>
          </w:tcPr>
          <w:p w14:paraId="08C92B73">
            <w:pPr>
              <w:jc w:val="center"/>
              <w:rPr>
                <w:rFonts w:hint="eastAsia" w:hAnsi="宋体" w:cs="宋体"/>
                <w:color w:val="auto"/>
                <w:szCs w:val="21"/>
                <w:highlight w:val="none"/>
              </w:rPr>
            </w:pPr>
            <w:r>
              <w:rPr>
                <w:rFonts w:hint="eastAsia" w:hAnsi="宋体" w:cs="宋体"/>
                <w:color w:val="auto"/>
                <w:szCs w:val="21"/>
                <w:highlight w:val="none"/>
              </w:rPr>
              <w:t>出生日期</w:t>
            </w:r>
          </w:p>
        </w:tc>
        <w:tc>
          <w:tcPr>
            <w:tcW w:w="1459" w:type="dxa"/>
            <w:tcBorders>
              <w:top w:val="single" w:color="auto" w:sz="12" w:space="0"/>
              <w:left w:val="single" w:color="auto" w:sz="4" w:space="0"/>
              <w:bottom w:val="single" w:color="auto" w:sz="4" w:space="0"/>
              <w:right w:val="single" w:color="auto" w:sz="4" w:space="0"/>
            </w:tcBorders>
            <w:noWrap w:val="0"/>
            <w:vAlign w:val="center"/>
          </w:tcPr>
          <w:p w14:paraId="1DF1D7B0">
            <w:pPr>
              <w:jc w:val="center"/>
              <w:rPr>
                <w:rFonts w:hint="eastAsia" w:hAnsi="宋体" w:cs="宋体"/>
                <w:color w:val="auto"/>
                <w:szCs w:val="21"/>
                <w:highlight w:val="none"/>
              </w:rPr>
            </w:pPr>
            <w:r>
              <w:rPr>
                <w:rFonts w:hint="eastAsia" w:hAnsi="宋体" w:cs="宋体"/>
                <w:color w:val="auto"/>
                <w:szCs w:val="21"/>
                <w:highlight w:val="none"/>
              </w:rPr>
              <w:t>学历</w:t>
            </w:r>
          </w:p>
        </w:tc>
        <w:tc>
          <w:tcPr>
            <w:tcW w:w="1559" w:type="dxa"/>
            <w:tcBorders>
              <w:top w:val="single" w:color="auto" w:sz="12" w:space="0"/>
              <w:left w:val="single" w:color="auto" w:sz="4" w:space="0"/>
              <w:bottom w:val="single" w:color="auto" w:sz="4" w:space="0"/>
              <w:right w:val="single" w:color="auto" w:sz="4" w:space="0"/>
            </w:tcBorders>
            <w:noWrap w:val="0"/>
            <w:vAlign w:val="center"/>
          </w:tcPr>
          <w:p w14:paraId="7FF11C0D">
            <w:pPr>
              <w:jc w:val="center"/>
              <w:rPr>
                <w:rFonts w:hint="eastAsia" w:hAnsi="宋体" w:cs="宋体"/>
                <w:color w:val="auto"/>
                <w:szCs w:val="21"/>
                <w:highlight w:val="none"/>
              </w:rPr>
            </w:pPr>
            <w:r>
              <w:rPr>
                <w:rFonts w:hint="eastAsia" w:hAnsi="宋体" w:cs="宋体"/>
                <w:color w:val="auto"/>
                <w:szCs w:val="21"/>
                <w:highlight w:val="none"/>
              </w:rPr>
              <w:t>专业</w:t>
            </w:r>
          </w:p>
        </w:tc>
        <w:tc>
          <w:tcPr>
            <w:tcW w:w="2178" w:type="dxa"/>
            <w:tcBorders>
              <w:top w:val="single" w:color="auto" w:sz="12" w:space="0"/>
              <w:left w:val="single" w:color="auto" w:sz="4" w:space="0"/>
              <w:bottom w:val="single" w:color="auto" w:sz="4" w:space="0"/>
              <w:right w:val="single" w:color="auto" w:sz="12" w:space="0"/>
            </w:tcBorders>
            <w:noWrap w:val="0"/>
            <w:vAlign w:val="center"/>
          </w:tcPr>
          <w:p w14:paraId="6451B019">
            <w:pPr>
              <w:jc w:val="center"/>
              <w:rPr>
                <w:rFonts w:hint="eastAsia" w:hAnsi="宋体" w:cs="宋体"/>
                <w:color w:val="auto"/>
                <w:szCs w:val="21"/>
                <w:highlight w:val="none"/>
              </w:rPr>
            </w:pPr>
            <w:r>
              <w:rPr>
                <w:rFonts w:hint="eastAsia" w:hAnsi="宋体" w:cs="宋体"/>
                <w:color w:val="auto"/>
                <w:szCs w:val="21"/>
                <w:highlight w:val="none"/>
              </w:rPr>
              <w:t>在本项目拟任职务</w:t>
            </w:r>
          </w:p>
        </w:tc>
      </w:tr>
      <w:tr w14:paraId="1E0F490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65" w:hRule="exact"/>
          <w:jc w:val="center"/>
        </w:trPr>
        <w:tc>
          <w:tcPr>
            <w:tcW w:w="715" w:type="dxa"/>
            <w:tcBorders>
              <w:top w:val="single" w:color="auto" w:sz="4" w:space="0"/>
              <w:left w:val="single" w:color="auto" w:sz="4" w:space="0"/>
              <w:bottom w:val="single" w:color="auto" w:sz="4" w:space="0"/>
              <w:right w:val="single" w:color="auto" w:sz="4" w:space="0"/>
            </w:tcBorders>
            <w:noWrap w:val="0"/>
            <w:vAlign w:val="top"/>
          </w:tcPr>
          <w:p w14:paraId="7DFD9F2F">
            <w:pPr>
              <w:jc w:val="center"/>
              <w:rPr>
                <w:rFonts w:hint="eastAsia" w:hAnsi="宋体" w:cs="宋体"/>
                <w:color w:val="auto"/>
                <w:szCs w:val="21"/>
                <w:highlight w:val="none"/>
              </w:rPr>
            </w:pPr>
          </w:p>
        </w:tc>
        <w:tc>
          <w:tcPr>
            <w:tcW w:w="1240" w:type="dxa"/>
            <w:tcBorders>
              <w:top w:val="single" w:color="auto" w:sz="4" w:space="0"/>
              <w:left w:val="single" w:color="auto" w:sz="4" w:space="0"/>
              <w:bottom w:val="single" w:color="auto" w:sz="4" w:space="0"/>
              <w:right w:val="single" w:color="auto" w:sz="4" w:space="0"/>
            </w:tcBorders>
            <w:noWrap w:val="0"/>
            <w:vAlign w:val="center"/>
          </w:tcPr>
          <w:p w14:paraId="614EB022">
            <w:pPr>
              <w:jc w:val="center"/>
              <w:rPr>
                <w:rFonts w:hint="eastAsia" w:hAnsi="宋体" w:cs="宋体"/>
                <w:color w:val="auto"/>
                <w:szCs w:val="21"/>
                <w:highlight w:val="none"/>
              </w:rPr>
            </w:pPr>
          </w:p>
        </w:tc>
        <w:tc>
          <w:tcPr>
            <w:tcW w:w="765" w:type="dxa"/>
            <w:tcBorders>
              <w:top w:val="single" w:color="auto" w:sz="4" w:space="0"/>
              <w:left w:val="single" w:color="auto" w:sz="4" w:space="0"/>
              <w:bottom w:val="single" w:color="auto" w:sz="4" w:space="0"/>
              <w:right w:val="single" w:color="auto" w:sz="4" w:space="0"/>
            </w:tcBorders>
            <w:noWrap w:val="0"/>
            <w:vAlign w:val="center"/>
          </w:tcPr>
          <w:p w14:paraId="70D12465">
            <w:pPr>
              <w:jc w:val="center"/>
              <w:rPr>
                <w:rFonts w:hint="eastAsia" w:hAnsi="宋体" w:cs="宋体"/>
                <w:color w:val="auto"/>
                <w:szCs w:val="21"/>
                <w:highlight w:val="none"/>
              </w:rPr>
            </w:pPr>
          </w:p>
        </w:tc>
        <w:tc>
          <w:tcPr>
            <w:tcW w:w="1350" w:type="dxa"/>
            <w:tcBorders>
              <w:top w:val="single" w:color="auto" w:sz="4" w:space="0"/>
              <w:left w:val="single" w:color="auto" w:sz="4" w:space="0"/>
              <w:bottom w:val="single" w:color="auto" w:sz="4" w:space="0"/>
              <w:right w:val="single" w:color="auto" w:sz="4" w:space="0"/>
            </w:tcBorders>
            <w:noWrap w:val="0"/>
            <w:vAlign w:val="center"/>
          </w:tcPr>
          <w:p w14:paraId="0D15A7FE">
            <w:pPr>
              <w:jc w:val="center"/>
              <w:rPr>
                <w:rFonts w:hint="eastAsia" w:hAnsi="宋体" w:cs="宋体"/>
                <w:color w:val="auto"/>
                <w:szCs w:val="21"/>
                <w:highlight w:val="none"/>
              </w:rPr>
            </w:pPr>
          </w:p>
        </w:tc>
        <w:tc>
          <w:tcPr>
            <w:tcW w:w="1459" w:type="dxa"/>
            <w:tcBorders>
              <w:top w:val="single" w:color="auto" w:sz="4" w:space="0"/>
              <w:left w:val="single" w:color="auto" w:sz="4" w:space="0"/>
              <w:bottom w:val="single" w:color="auto" w:sz="4" w:space="0"/>
              <w:right w:val="single" w:color="auto" w:sz="4" w:space="0"/>
            </w:tcBorders>
            <w:noWrap w:val="0"/>
            <w:vAlign w:val="center"/>
          </w:tcPr>
          <w:p w14:paraId="690187BD">
            <w:pPr>
              <w:jc w:val="center"/>
              <w:rPr>
                <w:rFonts w:hint="eastAsia" w:hAnsi="宋体" w:cs="宋体"/>
                <w:color w:val="auto"/>
                <w:szCs w:val="21"/>
                <w:highlight w:val="none"/>
              </w:rPr>
            </w:pPr>
          </w:p>
        </w:tc>
        <w:tc>
          <w:tcPr>
            <w:tcW w:w="1559" w:type="dxa"/>
            <w:tcBorders>
              <w:top w:val="single" w:color="auto" w:sz="4" w:space="0"/>
              <w:left w:val="single" w:color="auto" w:sz="4" w:space="0"/>
              <w:bottom w:val="single" w:color="auto" w:sz="4" w:space="0"/>
              <w:right w:val="single" w:color="auto" w:sz="4" w:space="0"/>
            </w:tcBorders>
            <w:noWrap w:val="0"/>
            <w:vAlign w:val="center"/>
          </w:tcPr>
          <w:p w14:paraId="3AFB3E38">
            <w:pPr>
              <w:jc w:val="center"/>
              <w:rPr>
                <w:rFonts w:hint="eastAsia" w:hAnsi="宋体" w:cs="宋体"/>
                <w:color w:val="auto"/>
                <w:szCs w:val="21"/>
                <w:highlight w:val="none"/>
              </w:rPr>
            </w:pPr>
          </w:p>
        </w:tc>
        <w:tc>
          <w:tcPr>
            <w:tcW w:w="2178" w:type="dxa"/>
            <w:tcBorders>
              <w:top w:val="single" w:color="auto" w:sz="4" w:space="0"/>
              <w:left w:val="single" w:color="auto" w:sz="4" w:space="0"/>
              <w:bottom w:val="single" w:color="auto" w:sz="4" w:space="0"/>
              <w:right w:val="single" w:color="auto" w:sz="12" w:space="0"/>
            </w:tcBorders>
            <w:noWrap w:val="0"/>
            <w:vAlign w:val="center"/>
          </w:tcPr>
          <w:p w14:paraId="28586428">
            <w:pPr>
              <w:jc w:val="center"/>
              <w:rPr>
                <w:rFonts w:hint="eastAsia" w:hAnsi="宋体" w:cs="宋体"/>
                <w:color w:val="auto"/>
                <w:szCs w:val="21"/>
                <w:highlight w:val="none"/>
              </w:rPr>
            </w:pPr>
          </w:p>
        </w:tc>
      </w:tr>
      <w:tr w14:paraId="2BFDAA4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65" w:hRule="exact"/>
          <w:jc w:val="center"/>
        </w:trPr>
        <w:tc>
          <w:tcPr>
            <w:tcW w:w="715" w:type="dxa"/>
            <w:tcBorders>
              <w:top w:val="single" w:color="auto" w:sz="4" w:space="0"/>
              <w:left w:val="single" w:color="auto" w:sz="4" w:space="0"/>
              <w:bottom w:val="single" w:color="auto" w:sz="4" w:space="0"/>
              <w:right w:val="single" w:color="auto" w:sz="4" w:space="0"/>
            </w:tcBorders>
            <w:noWrap w:val="0"/>
            <w:vAlign w:val="top"/>
          </w:tcPr>
          <w:p w14:paraId="13D66B53">
            <w:pPr>
              <w:jc w:val="center"/>
              <w:rPr>
                <w:rFonts w:hint="eastAsia" w:hAnsi="宋体" w:cs="宋体"/>
                <w:color w:val="auto"/>
                <w:szCs w:val="21"/>
                <w:highlight w:val="none"/>
              </w:rPr>
            </w:pPr>
          </w:p>
        </w:tc>
        <w:tc>
          <w:tcPr>
            <w:tcW w:w="1240" w:type="dxa"/>
            <w:tcBorders>
              <w:top w:val="single" w:color="auto" w:sz="4" w:space="0"/>
              <w:left w:val="single" w:color="auto" w:sz="4" w:space="0"/>
              <w:bottom w:val="single" w:color="auto" w:sz="4" w:space="0"/>
              <w:right w:val="single" w:color="auto" w:sz="4" w:space="0"/>
            </w:tcBorders>
            <w:noWrap w:val="0"/>
            <w:vAlign w:val="center"/>
          </w:tcPr>
          <w:p w14:paraId="05FCCC4F">
            <w:pPr>
              <w:jc w:val="center"/>
              <w:rPr>
                <w:rFonts w:hint="eastAsia" w:hAnsi="宋体" w:cs="宋体"/>
                <w:color w:val="auto"/>
                <w:szCs w:val="21"/>
                <w:highlight w:val="none"/>
              </w:rPr>
            </w:pPr>
          </w:p>
        </w:tc>
        <w:tc>
          <w:tcPr>
            <w:tcW w:w="765" w:type="dxa"/>
            <w:tcBorders>
              <w:top w:val="single" w:color="auto" w:sz="4" w:space="0"/>
              <w:left w:val="single" w:color="auto" w:sz="4" w:space="0"/>
              <w:bottom w:val="single" w:color="auto" w:sz="4" w:space="0"/>
              <w:right w:val="single" w:color="auto" w:sz="4" w:space="0"/>
            </w:tcBorders>
            <w:noWrap w:val="0"/>
            <w:vAlign w:val="center"/>
          </w:tcPr>
          <w:p w14:paraId="61CEAB4A">
            <w:pPr>
              <w:jc w:val="center"/>
              <w:rPr>
                <w:rFonts w:hint="eastAsia" w:hAnsi="宋体" w:cs="宋体"/>
                <w:color w:val="auto"/>
                <w:szCs w:val="21"/>
                <w:highlight w:val="none"/>
              </w:rPr>
            </w:pPr>
          </w:p>
        </w:tc>
        <w:tc>
          <w:tcPr>
            <w:tcW w:w="1350" w:type="dxa"/>
            <w:tcBorders>
              <w:top w:val="single" w:color="auto" w:sz="4" w:space="0"/>
              <w:left w:val="single" w:color="auto" w:sz="4" w:space="0"/>
              <w:bottom w:val="single" w:color="auto" w:sz="4" w:space="0"/>
              <w:right w:val="single" w:color="auto" w:sz="4" w:space="0"/>
            </w:tcBorders>
            <w:noWrap w:val="0"/>
            <w:vAlign w:val="center"/>
          </w:tcPr>
          <w:p w14:paraId="2D047866">
            <w:pPr>
              <w:jc w:val="center"/>
              <w:rPr>
                <w:rFonts w:hint="eastAsia" w:hAnsi="宋体" w:cs="宋体"/>
                <w:color w:val="auto"/>
                <w:szCs w:val="21"/>
                <w:highlight w:val="none"/>
              </w:rPr>
            </w:pPr>
          </w:p>
        </w:tc>
        <w:tc>
          <w:tcPr>
            <w:tcW w:w="1459" w:type="dxa"/>
            <w:tcBorders>
              <w:top w:val="single" w:color="auto" w:sz="4" w:space="0"/>
              <w:left w:val="single" w:color="auto" w:sz="4" w:space="0"/>
              <w:bottom w:val="single" w:color="auto" w:sz="4" w:space="0"/>
              <w:right w:val="single" w:color="auto" w:sz="4" w:space="0"/>
            </w:tcBorders>
            <w:noWrap w:val="0"/>
            <w:vAlign w:val="center"/>
          </w:tcPr>
          <w:p w14:paraId="5AC35C53">
            <w:pPr>
              <w:jc w:val="center"/>
              <w:rPr>
                <w:rFonts w:hint="eastAsia" w:hAnsi="宋体" w:cs="宋体"/>
                <w:color w:val="auto"/>
                <w:szCs w:val="21"/>
                <w:highlight w:val="none"/>
              </w:rPr>
            </w:pPr>
          </w:p>
        </w:tc>
        <w:tc>
          <w:tcPr>
            <w:tcW w:w="1559" w:type="dxa"/>
            <w:tcBorders>
              <w:top w:val="single" w:color="auto" w:sz="4" w:space="0"/>
              <w:left w:val="single" w:color="auto" w:sz="4" w:space="0"/>
              <w:bottom w:val="single" w:color="auto" w:sz="4" w:space="0"/>
              <w:right w:val="single" w:color="auto" w:sz="4" w:space="0"/>
            </w:tcBorders>
            <w:noWrap w:val="0"/>
            <w:vAlign w:val="center"/>
          </w:tcPr>
          <w:p w14:paraId="0DFC3D98">
            <w:pPr>
              <w:jc w:val="center"/>
              <w:rPr>
                <w:rFonts w:hint="eastAsia" w:hAnsi="宋体" w:cs="宋体"/>
                <w:color w:val="auto"/>
                <w:szCs w:val="21"/>
                <w:highlight w:val="none"/>
              </w:rPr>
            </w:pPr>
          </w:p>
        </w:tc>
        <w:tc>
          <w:tcPr>
            <w:tcW w:w="2178" w:type="dxa"/>
            <w:tcBorders>
              <w:top w:val="single" w:color="auto" w:sz="4" w:space="0"/>
              <w:left w:val="single" w:color="auto" w:sz="4" w:space="0"/>
              <w:bottom w:val="single" w:color="auto" w:sz="4" w:space="0"/>
              <w:right w:val="single" w:color="auto" w:sz="12" w:space="0"/>
            </w:tcBorders>
            <w:noWrap w:val="0"/>
            <w:vAlign w:val="center"/>
          </w:tcPr>
          <w:p w14:paraId="1DB3A9DB">
            <w:pPr>
              <w:jc w:val="center"/>
              <w:rPr>
                <w:rFonts w:hint="eastAsia" w:hAnsi="宋体" w:cs="宋体"/>
                <w:color w:val="auto"/>
                <w:szCs w:val="21"/>
                <w:highlight w:val="none"/>
              </w:rPr>
            </w:pPr>
          </w:p>
        </w:tc>
      </w:tr>
      <w:tr w14:paraId="1E22A0E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65" w:hRule="exact"/>
          <w:jc w:val="center"/>
        </w:trPr>
        <w:tc>
          <w:tcPr>
            <w:tcW w:w="715" w:type="dxa"/>
            <w:tcBorders>
              <w:top w:val="single" w:color="auto" w:sz="4" w:space="0"/>
              <w:left w:val="single" w:color="auto" w:sz="4" w:space="0"/>
              <w:bottom w:val="single" w:color="auto" w:sz="4" w:space="0"/>
              <w:right w:val="single" w:color="auto" w:sz="4" w:space="0"/>
            </w:tcBorders>
            <w:noWrap w:val="0"/>
            <w:vAlign w:val="top"/>
          </w:tcPr>
          <w:p w14:paraId="462B2AB1">
            <w:pPr>
              <w:jc w:val="center"/>
              <w:rPr>
                <w:rFonts w:hint="eastAsia" w:hAnsi="宋体" w:cs="宋体"/>
                <w:color w:val="auto"/>
                <w:szCs w:val="21"/>
                <w:highlight w:val="none"/>
              </w:rPr>
            </w:pPr>
          </w:p>
        </w:tc>
        <w:tc>
          <w:tcPr>
            <w:tcW w:w="1240" w:type="dxa"/>
            <w:tcBorders>
              <w:top w:val="single" w:color="auto" w:sz="4" w:space="0"/>
              <w:left w:val="single" w:color="auto" w:sz="4" w:space="0"/>
              <w:bottom w:val="single" w:color="auto" w:sz="4" w:space="0"/>
              <w:right w:val="single" w:color="auto" w:sz="4" w:space="0"/>
            </w:tcBorders>
            <w:noWrap w:val="0"/>
            <w:vAlign w:val="center"/>
          </w:tcPr>
          <w:p w14:paraId="394BE0BA">
            <w:pPr>
              <w:jc w:val="center"/>
              <w:rPr>
                <w:rFonts w:hint="eastAsia" w:hAnsi="宋体" w:cs="宋体"/>
                <w:color w:val="auto"/>
                <w:szCs w:val="21"/>
                <w:highlight w:val="none"/>
              </w:rPr>
            </w:pPr>
          </w:p>
        </w:tc>
        <w:tc>
          <w:tcPr>
            <w:tcW w:w="765" w:type="dxa"/>
            <w:tcBorders>
              <w:top w:val="single" w:color="auto" w:sz="4" w:space="0"/>
              <w:left w:val="single" w:color="auto" w:sz="4" w:space="0"/>
              <w:bottom w:val="single" w:color="auto" w:sz="4" w:space="0"/>
              <w:right w:val="single" w:color="auto" w:sz="4" w:space="0"/>
            </w:tcBorders>
            <w:noWrap w:val="0"/>
            <w:vAlign w:val="center"/>
          </w:tcPr>
          <w:p w14:paraId="4DFA9A3C">
            <w:pPr>
              <w:jc w:val="center"/>
              <w:rPr>
                <w:rFonts w:hint="eastAsia" w:hAnsi="宋体" w:cs="宋体"/>
                <w:color w:val="auto"/>
                <w:szCs w:val="21"/>
                <w:highlight w:val="none"/>
              </w:rPr>
            </w:pPr>
          </w:p>
        </w:tc>
        <w:tc>
          <w:tcPr>
            <w:tcW w:w="1350" w:type="dxa"/>
            <w:tcBorders>
              <w:top w:val="single" w:color="auto" w:sz="4" w:space="0"/>
              <w:left w:val="single" w:color="auto" w:sz="4" w:space="0"/>
              <w:bottom w:val="single" w:color="auto" w:sz="4" w:space="0"/>
              <w:right w:val="single" w:color="auto" w:sz="4" w:space="0"/>
            </w:tcBorders>
            <w:noWrap w:val="0"/>
            <w:vAlign w:val="center"/>
          </w:tcPr>
          <w:p w14:paraId="7E6549C9">
            <w:pPr>
              <w:jc w:val="center"/>
              <w:rPr>
                <w:rFonts w:hint="eastAsia" w:hAnsi="宋体" w:cs="宋体"/>
                <w:color w:val="auto"/>
                <w:szCs w:val="21"/>
                <w:highlight w:val="none"/>
              </w:rPr>
            </w:pPr>
          </w:p>
        </w:tc>
        <w:tc>
          <w:tcPr>
            <w:tcW w:w="1459" w:type="dxa"/>
            <w:tcBorders>
              <w:top w:val="single" w:color="auto" w:sz="4" w:space="0"/>
              <w:left w:val="single" w:color="auto" w:sz="4" w:space="0"/>
              <w:bottom w:val="single" w:color="auto" w:sz="4" w:space="0"/>
              <w:right w:val="single" w:color="auto" w:sz="4" w:space="0"/>
            </w:tcBorders>
            <w:noWrap w:val="0"/>
            <w:vAlign w:val="center"/>
          </w:tcPr>
          <w:p w14:paraId="7F0E97A6">
            <w:pPr>
              <w:jc w:val="center"/>
              <w:rPr>
                <w:rFonts w:hint="eastAsia" w:hAnsi="宋体" w:cs="宋体"/>
                <w:color w:val="auto"/>
                <w:szCs w:val="21"/>
                <w:highlight w:val="none"/>
              </w:rPr>
            </w:pPr>
          </w:p>
        </w:tc>
        <w:tc>
          <w:tcPr>
            <w:tcW w:w="1559" w:type="dxa"/>
            <w:tcBorders>
              <w:top w:val="single" w:color="auto" w:sz="4" w:space="0"/>
              <w:left w:val="single" w:color="auto" w:sz="4" w:space="0"/>
              <w:bottom w:val="single" w:color="auto" w:sz="4" w:space="0"/>
              <w:right w:val="single" w:color="auto" w:sz="4" w:space="0"/>
            </w:tcBorders>
            <w:noWrap w:val="0"/>
            <w:vAlign w:val="center"/>
          </w:tcPr>
          <w:p w14:paraId="720B363C">
            <w:pPr>
              <w:jc w:val="center"/>
              <w:rPr>
                <w:rFonts w:hint="eastAsia" w:hAnsi="宋体" w:cs="宋体"/>
                <w:color w:val="auto"/>
                <w:szCs w:val="21"/>
                <w:highlight w:val="none"/>
              </w:rPr>
            </w:pPr>
          </w:p>
        </w:tc>
        <w:tc>
          <w:tcPr>
            <w:tcW w:w="2178" w:type="dxa"/>
            <w:tcBorders>
              <w:top w:val="single" w:color="auto" w:sz="4" w:space="0"/>
              <w:left w:val="single" w:color="auto" w:sz="4" w:space="0"/>
              <w:bottom w:val="single" w:color="auto" w:sz="4" w:space="0"/>
              <w:right w:val="single" w:color="auto" w:sz="12" w:space="0"/>
            </w:tcBorders>
            <w:noWrap w:val="0"/>
            <w:vAlign w:val="center"/>
          </w:tcPr>
          <w:p w14:paraId="054EE50B">
            <w:pPr>
              <w:jc w:val="center"/>
              <w:rPr>
                <w:rFonts w:hint="eastAsia" w:hAnsi="宋体" w:cs="宋体"/>
                <w:color w:val="auto"/>
                <w:szCs w:val="21"/>
                <w:highlight w:val="none"/>
              </w:rPr>
            </w:pPr>
          </w:p>
        </w:tc>
      </w:tr>
      <w:tr w14:paraId="6019122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65" w:hRule="exact"/>
          <w:jc w:val="center"/>
        </w:trPr>
        <w:tc>
          <w:tcPr>
            <w:tcW w:w="715" w:type="dxa"/>
            <w:tcBorders>
              <w:top w:val="single" w:color="auto" w:sz="4" w:space="0"/>
              <w:left w:val="single" w:color="auto" w:sz="4" w:space="0"/>
              <w:bottom w:val="single" w:color="auto" w:sz="4" w:space="0"/>
              <w:right w:val="single" w:color="auto" w:sz="4" w:space="0"/>
            </w:tcBorders>
            <w:noWrap w:val="0"/>
            <w:vAlign w:val="top"/>
          </w:tcPr>
          <w:p w14:paraId="5311AEB1">
            <w:pPr>
              <w:jc w:val="center"/>
              <w:rPr>
                <w:rFonts w:hint="eastAsia" w:hAnsi="宋体" w:cs="宋体"/>
                <w:color w:val="auto"/>
                <w:szCs w:val="21"/>
                <w:highlight w:val="none"/>
              </w:rPr>
            </w:pPr>
          </w:p>
        </w:tc>
        <w:tc>
          <w:tcPr>
            <w:tcW w:w="1240" w:type="dxa"/>
            <w:tcBorders>
              <w:top w:val="single" w:color="auto" w:sz="4" w:space="0"/>
              <w:left w:val="single" w:color="auto" w:sz="4" w:space="0"/>
              <w:bottom w:val="single" w:color="auto" w:sz="4" w:space="0"/>
              <w:right w:val="single" w:color="auto" w:sz="4" w:space="0"/>
            </w:tcBorders>
            <w:noWrap w:val="0"/>
            <w:vAlign w:val="center"/>
          </w:tcPr>
          <w:p w14:paraId="6991E579">
            <w:pPr>
              <w:jc w:val="center"/>
              <w:rPr>
                <w:rFonts w:hint="eastAsia" w:hAnsi="宋体" w:cs="宋体"/>
                <w:color w:val="auto"/>
                <w:szCs w:val="21"/>
                <w:highlight w:val="none"/>
              </w:rPr>
            </w:pPr>
          </w:p>
        </w:tc>
        <w:tc>
          <w:tcPr>
            <w:tcW w:w="765" w:type="dxa"/>
            <w:tcBorders>
              <w:top w:val="single" w:color="auto" w:sz="4" w:space="0"/>
              <w:left w:val="single" w:color="auto" w:sz="4" w:space="0"/>
              <w:bottom w:val="single" w:color="auto" w:sz="4" w:space="0"/>
              <w:right w:val="single" w:color="auto" w:sz="4" w:space="0"/>
            </w:tcBorders>
            <w:noWrap w:val="0"/>
            <w:vAlign w:val="center"/>
          </w:tcPr>
          <w:p w14:paraId="191C8016">
            <w:pPr>
              <w:jc w:val="center"/>
              <w:rPr>
                <w:rFonts w:hint="eastAsia" w:hAnsi="宋体" w:cs="宋体"/>
                <w:color w:val="auto"/>
                <w:szCs w:val="21"/>
                <w:highlight w:val="none"/>
              </w:rPr>
            </w:pPr>
          </w:p>
        </w:tc>
        <w:tc>
          <w:tcPr>
            <w:tcW w:w="1350" w:type="dxa"/>
            <w:tcBorders>
              <w:top w:val="single" w:color="auto" w:sz="4" w:space="0"/>
              <w:left w:val="single" w:color="auto" w:sz="4" w:space="0"/>
              <w:bottom w:val="single" w:color="auto" w:sz="4" w:space="0"/>
              <w:right w:val="single" w:color="auto" w:sz="4" w:space="0"/>
            </w:tcBorders>
            <w:noWrap w:val="0"/>
            <w:vAlign w:val="center"/>
          </w:tcPr>
          <w:p w14:paraId="1C344E57">
            <w:pPr>
              <w:jc w:val="center"/>
              <w:rPr>
                <w:rFonts w:hint="eastAsia" w:hAnsi="宋体" w:cs="宋体"/>
                <w:color w:val="auto"/>
                <w:szCs w:val="21"/>
                <w:highlight w:val="none"/>
              </w:rPr>
            </w:pPr>
          </w:p>
        </w:tc>
        <w:tc>
          <w:tcPr>
            <w:tcW w:w="1459" w:type="dxa"/>
            <w:tcBorders>
              <w:top w:val="single" w:color="auto" w:sz="4" w:space="0"/>
              <w:left w:val="single" w:color="auto" w:sz="4" w:space="0"/>
              <w:bottom w:val="single" w:color="auto" w:sz="4" w:space="0"/>
              <w:right w:val="single" w:color="auto" w:sz="4" w:space="0"/>
            </w:tcBorders>
            <w:noWrap w:val="0"/>
            <w:vAlign w:val="center"/>
          </w:tcPr>
          <w:p w14:paraId="7541F79D">
            <w:pPr>
              <w:jc w:val="center"/>
              <w:rPr>
                <w:rFonts w:hint="eastAsia" w:hAnsi="宋体" w:cs="宋体"/>
                <w:color w:val="auto"/>
                <w:szCs w:val="21"/>
                <w:highlight w:val="none"/>
              </w:rPr>
            </w:pPr>
          </w:p>
        </w:tc>
        <w:tc>
          <w:tcPr>
            <w:tcW w:w="1559" w:type="dxa"/>
            <w:tcBorders>
              <w:top w:val="single" w:color="auto" w:sz="4" w:space="0"/>
              <w:left w:val="single" w:color="auto" w:sz="4" w:space="0"/>
              <w:bottom w:val="single" w:color="auto" w:sz="4" w:space="0"/>
              <w:right w:val="single" w:color="auto" w:sz="4" w:space="0"/>
            </w:tcBorders>
            <w:noWrap w:val="0"/>
            <w:vAlign w:val="center"/>
          </w:tcPr>
          <w:p w14:paraId="6CF84657">
            <w:pPr>
              <w:jc w:val="center"/>
              <w:rPr>
                <w:rFonts w:hint="eastAsia" w:hAnsi="宋体" w:cs="宋体"/>
                <w:color w:val="auto"/>
                <w:szCs w:val="21"/>
                <w:highlight w:val="none"/>
              </w:rPr>
            </w:pPr>
          </w:p>
        </w:tc>
        <w:tc>
          <w:tcPr>
            <w:tcW w:w="2178" w:type="dxa"/>
            <w:tcBorders>
              <w:top w:val="single" w:color="auto" w:sz="4" w:space="0"/>
              <w:left w:val="single" w:color="auto" w:sz="4" w:space="0"/>
              <w:bottom w:val="single" w:color="auto" w:sz="4" w:space="0"/>
              <w:right w:val="single" w:color="auto" w:sz="12" w:space="0"/>
            </w:tcBorders>
            <w:noWrap w:val="0"/>
            <w:vAlign w:val="center"/>
          </w:tcPr>
          <w:p w14:paraId="3E38DF23">
            <w:pPr>
              <w:jc w:val="center"/>
              <w:rPr>
                <w:rFonts w:hint="eastAsia" w:hAnsi="宋体" w:cs="宋体"/>
                <w:color w:val="auto"/>
                <w:szCs w:val="21"/>
                <w:highlight w:val="none"/>
              </w:rPr>
            </w:pPr>
          </w:p>
        </w:tc>
      </w:tr>
      <w:tr w14:paraId="6524D57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65" w:hRule="exact"/>
          <w:jc w:val="center"/>
        </w:trPr>
        <w:tc>
          <w:tcPr>
            <w:tcW w:w="715" w:type="dxa"/>
            <w:tcBorders>
              <w:top w:val="single" w:color="auto" w:sz="4" w:space="0"/>
              <w:left w:val="single" w:color="auto" w:sz="4" w:space="0"/>
              <w:bottom w:val="single" w:color="auto" w:sz="4" w:space="0"/>
              <w:right w:val="single" w:color="auto" w:sz="4" w:space="0"/>
            </w:tcBorders>
            <w:noWrap w:val="0"/>
            <w:vAlign w:val="top"/>
          </w:tcPr>
          <w:p w14:paraId="11F09354">
            <w:pPr>
              <w:jc w:val="center"/>
              <w:rPr>
                <w:rFonts w:hint="eastAsia" w:hAnsi="宋体" w:cs="宋体"/>
                <w:color w:val="auto"/>
                <w:szCs w:val="21"/>
                <w:highlight w:val="none"/>
              </w:rPr>
            </w:pPr>
          </w:p>
        </w:tc>
        <w:tc>
          <w:tcPr>
            <w:tcW w:w="1240" w:type="dxa"/>
            <w:tcBorders>
              <w:top w:val="single" w:color="auto" w:sz="4" w:space="0"/>
              <w:left w:val="single" w:color="auto" w:sz="4" w:space="0"/>
              <w:bottom w:val="single" w:color="auto" w:sz="4" w:space="0"/>
              <w:right w:val="single" w:color="auto" w:sz="4" w:space="0"/>
            </w:tcBorders>
            <w:noWrap w:val="0"/>
            <w:vAlign w:val="center"/>
          </w:tcPr>
          <w:p w14:paraId="002EB650">
            <w:pPr>
              <w:jc w:val="center"/>
              <w:rPr>
                <w:rFonts w:hint="eastAsia" w:hAnsi="宋体" w:cs="宋体"/>
                <w:color w:val="auto"/>
                <w:szCs w:val="21"/>
                <w:highlight w:val="none"/>
              </w:rPr>
            </w:pPr>
          </w:p>
        </w:tc>
        <w:tc>
          <w:tcPr>
            <w:tcW w:w="765" w:type="dxa"/>
            <w:tcBorders>
              <w:top w:val="single" w:color="auto" w:sz="4" w:space="0"/>
              <w:left w:val="single" w:color="auto" w:sz="4" w:space="0"/>
              <w:bottom w:val="single" w:color="auto" w:sz="4" w:space="0"/>
              <w:right w:val="single" w:color="auto" w:sz="4" w:space="0"/>
            </w:tcBorders>
            <w:noWrap w:val="0"/>
            <w:vAlign w:val="center"/>
          </w:tcPr>
          <w:p w14:paraId="40A6DEA5">
            <w:pPr>
              <w:jc w:val="center"/>
              <w:rPr>
                <w:rFonts w:hint="eastAsia" w:hAnsi="宋体" w:cs="宋体"/>
                <w:color w:val="auto"/>
                <w:szCs w:val="21"/>
                <w:highlight w:val="none"/>
              </w:rPr>
            </w:pPr>
          </w:p>
        </w:tc>
        <w:tc>
          <w:tcPr>
            <w:tcW w:w="1350" w:type="dxa"/>
            <w:tcBorders>
              <w:top w:val="single" w:color="auto" w:sz="4" w:space="0"/>
              <w:left w:val="single" w:color="auto" w:sz="4" w:space="0"/>
              <w:bottom w:val="single" w:color="auto" w:sz="4" w:space="0"/>
              <w:right w:val="single" w:color="auto" w:sz="4" w:space="0"/>
            </w:tcBorders>
            <w:noWrap w:val="0"/>
            <w:vAlign w:val="center"/>
          </w:tcPr>
          <w:p w14:paraId="4445BBB7">
            <w:pPr>
              <w:jc w:val="center"/>
              <w:rPr>
                <w:rFonts w:hint="eastAsia" w:hAnsi="宋体" w:cs="宋体"/>
                <w:color w:val="auto"/>
                <w:szCs w:val="21"/>
                <w:highlight w:val="none"/>
              </w:rPr>
            </w:pPr>
          </w:p>
        </w:tc>
        <w:tc>
          <w:tcPr>
            <w:tcW w:w="1459" w:type="dxa"/>
            <w:tcBorders>
              <w:top w:val="single" w:color="auto" w:sz="4" w:space="0"/>
              <w:left w:val="single" w:color="auto" w:sz="4" w:space="0"/>
              <w:bottom w:val="single" w:color="auto" w:sz="4" w:space="0"/>
              <w:right w:val="single" w:color="auto" w:sz="4" w:space="0"/>
            </w:tcBorders>
            <w:noWrap w:val="0"/>
            <w:vAlign w:val="center"/>
          </w:tcPr>
          <w:p w14:paraId="204232EB">
            <w:pPr>
              <w:jc w:val="center"/>
              <w:rPr>
                <w:rFonts w:hint="eastAsia" w:hAnsi="宋体" w:cs="宋体"/>
                <w:color w:val="auto"/>
                <w:szCs w:val="21"/>
                <w:highlight w:val="none"/>
              </w:rPr>
            </w:pPr>
          </w:p>
        </w:tc>
        <w:tc>
          <w:tcPr>
            <w:tcW w:w="1559" w:type="dxa"/>
            <w:tcBorders>
              <w:top w:val="single" w:color="auto" w:sz="4" w:space="0"/>
              <w:left w:val="single" w:color="auto" w:sz="4" w:space="0"/>
              <w:bottom w:val="single" w:color="auto" w:sz="4" w:space="0"/>
              <w:right w:val="single" w:color="auto" w:sz="4" w:space="0"/>
            </w:tcBorders>
            <w:noWrap w:val="0"/>
            <w:vAlign w:val="center"/>
          </w:tcPr>
          <w:p w14:paraId="145A1134">
            <w:pPr>
              <w:jc w:val="center"/>
              <w:rPr>
                <w:rFonts w:hint="eastAsia" w:hAnsi="宋体" w:cs="宋体"/>
                <w:color w:val="auto"/>
                <w:szCs w:val="21"/>
                <w:highlight w:val="none"/>
              </w:rPr>
            </w:pPr>
          </w:p>
        </w:tc>
        <w:tc>
          <w:tcPr>
            <w:tcW w:w="2178" w:type="dxa"/>
            <w:tcBorders>
              <w:top w:val="single" w:color="auto" w:sz="4" w:space="0"/>
              <w:left w:val="single" w:color="auto" w:sz="4" w:space="0"/>
              <w:bottom w:val="single" w:color="auto" w:sz="4" w:space="0"/>
              <w:right w:val="single" w:color="auto" w:sz="12" w:space="0"/>
            </w:tcBorders>
            <w:noWrap w:val="0"/>
            <w:vAlign w:val="center"/>
          </w:tcPr>
          <w:p w14:paraId="4F39C16C">
            <w:pPr>
              <w:jc w:val="center"/>
              <w:rPr>
                <w:rFonts w:hint="eastAsia" w:hAnsi="宋体" w:cs="宋体"/>
                <w:color w:val="auto"/>
                <w:szCs w:val="21"/>
                <w:highlight w:val="none"/>
              </w:rPr>
            </w:pPr>
          </w:p>
        </w:tc>
      </w:tr>
      <w:tr w14:paraId="0B24C9C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65" w:hRule="exact"/>
          <w:jc w:val="center"/>
        </w:trPr>
        <w:tc>
          <w:tcPr>
            <w:tcW w:w="715" w:type="dxa"/>
            <w:tcBorders>
              <w:top w:val="single" w:color="auto" w:sz="4" w:space="0"/>
              <w:left w:val="single" w:color="auto" w:sz="4" w:space="0"/>
              <w:bottom w:val="single" w:color="auto" w:sz="4" w:space="0"/>
              <w:right w:val="single" w:color="auto" w:sz="4" w:space="0"/>
            </w:tcBorders>
            <w:noWrap w:val="0"/>
            <w:vAlign w:val="top"/>
          </w:tcPr>
          <w:p w14:paraId="1C2DDC10">
            <w:pPr>
              <w:jc w:val="center"/>
              <w:rPr>
                <w:rFonts w:hint="eastAsia" w:hAnsi="宋体" w:cs="宋体"/>
                <w:color w:val="auto"/>
                <w:szCs w:val="21"/>
                <w:highlight w:val="none"/>
              </w:rPr>
            </w:pPr>
          </w:p>
        </w:tc>
        <w:tc>
          <w:tcPr>
            <w:tcW w:w="1240" w:type="dxa"/>
            <w:tcBorders>
              <w:top w:val="single" w:color="auto" w:sz="4" w:space="0"/>
              <w:left w:val="single" w:color="auto" w:sz="4" w:space="0"/>
              <w:bottom w:val="single" w:color="auto" w:sz="4" w:space="0"/>
              <w:right w:val="single" w:color="auto" w:sz="4" w:space="0"/>
            </w:tcBorders>
            <w:noWrap w:val="0"/>
            <w:vAlign w:val="center"/>
          </w:tcPr>
          <w:p w14:paraId="2E7EC8E0">
            <w:pPr>
              <w:jc w:val="center"/>
              <w:rPr>
                <w:rFonts w:hint="eastAsia" w:hAnsi="宋体" w:cs="宋体"/>
                <w:color w:val="auto"/>
                <w:szCs w:val="21"/>
                <w:highlight w:val="none"/>
              </w:rPr>
            </w:pPr>
          </w:p>
        </w:tc>
        <w:tc>
          <w:tcPr>
            <w:tcW w:w="765" w:type="dxa"/>
            <w:tcBorders>
              <w:top w:val="single" w:color="auto" w:sz="4" w:space="0"/>
              <w:left w:val="single" w:color="auto" w:sz="4" w:space="0"/>
              <w:bottom w:val="single" w:color="auto" w:sz="4" w:space="0"/>
              <w:right w:val="single" w:color="auto" w:sz="4" w:space="0"/>
            </w:tcBorders>
            <w:noWrap w:val="0"/>
            <w:vAlign w:val="center"/>
          </w:tcPr>
          <w:p w14:paraId="55557929">
            <w:pPr>
              <w:jc w:val="center"/>
              <w:rPr>
                <w:rFonts w:hint="eastAsia" w:hAnsi="宋体" w:cs="宋体"/>
                <w:color w:val="auto"/>
                <w:szCs w:val="21"/>
                <w:highlight w:val="none"/>
              </w:rPr>
            </w:pPr>
          </w:p>
        </w:tc>
        <w:tc>
          <w:tcPr>
            <w:tcW w:w="1350" w:type="dxa"/>
            <w:tcBorders>
              <w:top w:val="single" w:color="auto" w:sz="4" w:space="0"/>
              <w:left w:val="single" w:color="auto" w:sz="4" w:space="0"/>
              <w:bottom w:val="single" w:color="auto" w:sz="4" w:space="0"/>
              <w:right w:val="single" w:color="auto" w:sz="4" w:space="0"/>
            </w:tcBorders>
            <w:noWrap w:val="0"/>
            <w:vAlign w:val="center"/>
          </w:tcPr>
          <w:p w14:paraId="3B26573A">
            <w:pPr>
              <w:jc w:val="center"/>
              <w:rPr>
                <w:rFonts w:hint="eastAsia" w:hAnsi="宋体" w:cs="宋体"/>
                <w:color w:val="auto"/>
                <w:szCs w:val="21"/>
                <w:highlight w:val="none"/>
              </w:rPr>
            </w:pPr>
          </w:p>
        </w:tc>
        <w:tc>
          <w:tcPr>
            <w:tcW w:w="1459" w:type="dxa"/>
            <w:tcBorders>
              <w:top w:val="single" w:color="auto" w:sz="4" w:space="0"/>
              <w:left w:val="single" w:color="auto" w:sz="4" w:space="0"/>
              <w:bottom w:val="single" w:color="auto" w:sz="4" w:space="0"/>
              <w:right w:val="single" w:color="auto" w:sz="4" w:space="0"/>
            </w:tcBorders>
            <w:noWrap w:val="0"/>
            <w:vAlign w:val="center"/>
          </w:tcPr>
          <w:p w14:paraId="6A4EFFCE">
            <w:pPr>
              <w:jc w:val="center"/>
              <w:rPr>
                <w:rFonts w:hint="eastAsia" w:hAnsi="宋体" w:cs="宋体"/>
                <w:color w:val="auto"/>
                <w:szCs w:val="21"/>
                <w:highlight w:val="none"/>
              </w:rPr>
            </w:pPr>
          </w:p>
        </w:tc>
        <w:tc>
          <w:tcPr>
            <w:tcW w:w="1559" w:type="dxa"/>
            <w:tcBorders>
              <w:top w:val="single" w:color="auto" w:sz="4" w:space="0"/>
              <w:left w:val="single" w:color="auto" w:sz="4" w:space="0"/>
              <w:bottom w:val="single" w:color="auto" w:sz="4" w:space="0"/>
              <w:right w:val="single" w:color="auto" w:sz="4" w:space="0"/>
            </w:tcBorders>
            <w:noWrap w:val="0"/>
            <w:vAlign w:val="center"/>
          </w:tcPr>
          <w:p w14:paraId="09880DA7">
            <w:pPr>
              <w:jc w:val="center"/>
              <w:rPr>
                <w:rFonts w:hint="eastAsia" w:hAnsi="宋体" w:cs="宋体"/>
                <w:color w:val="auto"/>
                <w:szCs w:val="21"/>
                <w:highlight w:val="none"/>
              </w:rPr>
            </w:pPr>
          </w:p>
        </w:tc>
        <w:tc>
          <w:tcPr>
            <w:tcW w:w="2178" w:type="dxa"/>
            <w:tcBorders>
              <w:top w:val="single" w:color="auto" w:sz="4" w:space="0"/>
              <w:left w:val="single" w:color="auto" w:sz="4" w:space="0"/>
              <w:bottom w:val="single" w:color="auto" w:sz="4" w:space="0"/>
              <w:right w:val="single" w:color="auto" w:sz="12" w:space="0"/>
            </w:tcBorders>
            <w:noWrap w:val="0"/>
            <w:vAlign w:val="center"/>
          </w:tcPr>
          <w:p w14:paraId="3ABCDE1A">
            <w:pPr>
              <w:jc w:val="center"/>
              <w:rPr>
                <w:rFonts w:hint="eastAsia" w:hAnsi="宋体" w:cs="宋体"/>
                <w:color w:val="auto"/>
                <w:szCs w:val="21"/>
                <w:highlight w:val="none"/>
              </w:rPr>
            </w:pPr>
          </w:p>
        </w:tc>
      </w:tr>
    </w:tbl>
    <w:p w14:paraId="199F05E4">
      <w:pPr>
        <w:shd w:val="clear" w:color="auto" w:fill="FFFFFF"/>
        <w:snapToGrid w:val="0"/>
        <w:spacing w:line="360" w:lineRule="exact"/>
        <w:ind w:firstLine="422" w:firstLineChars="200"/>
        <w:rPr>
          <w:rFonts w:hint="eastAsia" w:hAnsi="宋体" w:cs="宋体"/>
          <w:b/>
          <w:bCs/>
          <w:color w:val="auto"/>
          <w:szCs w:val="21"/>
          <w:highlight w:val="none"/>
        </w:rPr>
      </w:pPr>
      <w:r>
        <w:rPr>
          <w:rFonts w:hint="eastAsia" w:hAnsi="宋体" w:cs="宋体"/>
          <w:b/>
          <w:bCs/>
          <w:color w:val="auto"/>
          <w:szCs w:val="21"/>
          <w:highlight w:val="none"/>
        </w:rPr>
        <w:t>注：表格不能满足时可自行增加。人员相关证书复印件及投标人所属社保机构出具的拟委任的项目成员最近3个月</w:t>
      </w:r>
      <w:r>
        <w:rPr>
          <w:rFonts w:hint="eastAsia" w:hAnsi="宋体" w:cs="宋体"/>
          <w:b/>
          <w:bCs/>
          <w:color w:val="auto"/>
          <w:szCs w:val="21"/>
          <w:highlight w:val="none"/>
          <w:lang w:eastAsia="zh-CN"/>
        </w:rPr>
        <w:t>（</w:t>
      </w:r>
      <w:r>
        <w:rPr>
          <w:rFonts w:hint="eastAsia" w:hAnsi="宋体" w:cs="宋体"/>
          <w:b/>
          <w:bCs/>
          <w:color w:val="auto"/>
          <w:szCs w:val="21"/>
          <w:highlight w:val="none"/>
          <w:lang w:val="en-US" w:eastAsia="zh-CN"/>
        </w:rPr>
        <w:t>2024年11月、12月和2025年1月</w:t>
      </w:r>
      <w:r>
        <w:rPr>
          <w:rFonts w:hint="eastAsia" w:hAnsi="宋体" w:cs="宋体"/>
          <w:b/>
          <w:bCs/>
          <w:color w:val="auto"/>
          <w:szCs w:val="21"/>
          <w:highlight w:val="none"/>
          <w:lang w:eastAsia="zh-CN"/>
        </w:rPr>
        <w:t>）</w:t>
      </w:r>
      <w:r>
        <w:rPr>
          <w:rFonts w:hint="eastAsia" w:hAnsi="宋体" w:cs="宋体"/>
          <w:b/>
          <w:bCs/>
          <w:color w:val="auto"/>
          <w:szCs w:val="21"/>
          <w:highlight w:val="none"/>
        </w:rPr>
        <w:t>社保缴纳证明</w:t>
      </w:r>
      <w:r>
        <w:rPr>
          <w:rFonts w:hint="eastAsia"/>
          <w:b/>
          <w:bCs/>
          <w:color w:val="auto"/>
          <w:szCs w:val="21"/>
          <w:highlight w:val="none"/>
        </w:rPr>
        <w:t>，未附，则不得分。</w:t>
      </w:r>
    </w:p>
    <w:p w14:paraId="562A43A3">
      <w:pPr>
        <w:shd w:val="clear" w:color="auto" w:fill="FFFFFF"/>
        <w:snapToGrid w:val="0"/>
        <w:spacing w:line="360" w:lineRule="exact"/>
        <w:ind w:firstLine="422" w:firstLineChars="200"/>
        <w:rPr>
          <w:rFonts w:hint="eastAsia" w:hAnsi="宋体" w:cs="宋体"/>
          <w:b/>
          <w:bCs/>
          <w:color w:val="auto"/>
          <w:szCs w:val="21"/>
          <w:highlight w:val="none"/>
        </w:rPr>
      </w:pPr>
    </w:p>
    <w:p w14:paraId="2C6DCAEF">
      <w:pPr>
        <w:shd w:val="clear" w:color="auto" w:fill="FFFFFF"/>
        <w:snapToGrid w:val="0"/>
        <w:spacing w:line="360" w:lineRule="exact"/>
        <w:rPr>
          <w:rFonts w:hint="eastAsia" w:hAnsi="宋体" w:cs="宋体"/>
          <w:b/>
          <w:bCs/>
          <w:color w:val="auto"/>
          <w:szCs w:val="21"/>
          <w:highlight w:val="none"/>
        </w:rPr>
      </w:pPr>
      <w:r>
        <w:rPr>
          <w:rFonts w:hint="eastAsia" w:hAnsi="宋体" w:cs="宋体"/>
          <w:b/>
          <w:bCs/>
          <w:color w:val="auto"/>
          <w:szCs w:val="21"/>
          <w:highlight w:val="none"/>
        </w:rPr>
        <w:t> </w:t>
      </w:r>
    </w:p>
    <w:p w14:paraId="5886160F">
      <w:pPr>
        <w:shd w:val="clear" w:color="auto" w:fill="FFFFFF"/>
        <w:snapToGrid w:val="0"/>
        <w:spacing w:line="360" w:lineRule="exact"/>
        <w:rPr>
          <w:rFonts w:hint="eastAsia" w:hAnsi="宋体" w:cs="宋体"/>
          <w:b/>
          <w:bCs/>
          <w:color w:val="auto"/>
          <w:szCs w:val="21"/>
          <w:highlight w:val="none"/>
        </w:rPr>
      </w:pPr>
      <w:r>
        <w:rPr>
          <w:rFonts w:hint="eastAsia" w:hAnsi="宋体" w:cs="宋体"/>
          <w:b/>
          <w:bCs/>
          <w:color w:val="auto"/>
          <w:szCs w:val="21"/>
          <w:highlight w:val="none"/>
        </w:rPr>
        <w:t> </w:t>
      </w:r>
    </w:p>
    <w:p w14:paraId="0767FD43">
      <w:pPr>
        <w:shd w:val="clear" w:color="auto" w:fill="FFFFFF"/>
        <w:snapToGrid w:val="0"/>
        <w:spacing w:line="360" w:lineRule="exact"/>
        <w:rPr>
          <w:rFonts w:hint="eastAsia" w:hAnsi="宋体" w:cs="宋体"/>
          <w:color w:val="auto"/>
          <w:szCs w:val="21"/>
          <w:highlight w:val="none"/>
          <w:u w:val="single"/>
        </w:rPr>
      </w:pPr>
      <w:r>
        <w:rPr>
          <w:rFonts w:hint="eastAsia" w:hAnsi="宋体" w:cs="宋体"/>
          <w:color w:val="auto"/>
          <w:szCs w:val="21"/>
          <w:highlight w:val="none"/>
        </w:rPr>
        <w:t>法定代表人或授权代表签字：</w:t>
      </w:r>
    </w:p>
    <w:p w14:paraId="159B7AEC">
      <w:pPr>
        <w:shd w:val="clear" w:color="auto" w:fill="FFFFFF"/>
        <w:snapToGrid w:val="0"/>
        <w:spacing w:after="50" w:line="360" w:lineRule="exact"/>
        <w:rPr>
          <w:rFonts w:hint="eastAsia" w:hAnsi="宋体" w:cs="宋体"/>
          <w:color w:val="auto"/>
          <w:szCs w:val="21"/>
          <w:highlight w:val="none"/>
        </w:rPr>
      </w:pPr>
      <w:r>
        <w:rPr>
          <w:rFonts w:hint="eastAsia" w:hAnsi="宋体" w:cs="宋体"/>
          <w:color w:val="auto"/>
          <w:szCs w:val="21"/>
          <w:highlight w:val="none"/>
        </w:rPr>
        <w:t>投标人公章： </w:t>
      </w:r>
    </w:p>
    <w:p w14:paraId="438AC464">
      <w:pPr>
        <w:shd w:val="clear" w:color="auto" w:fill="FFFFFF"/>
        <w:snapToGrid w:val="0"/>
        <w:spacing w:after="50" w:line="360" w:lineRule="exact"/>
        <w:rPr>
          <w:rFonts w:hint="eastAsia" w:hAnsi="宋体" w:cs="宋体"/>
          <w:color w:val="auto"/>
          <w:szCs w:val="21"/>
          <w:highlight w:val="none"/>
        </w:rPr>
      </w:pPr>
      <w:r>
        <w:rPr>
          <w:rFonts w:hint="eastAsia" w:hAnsi="宋体" w:cs="宋体"/>
          <w:color w:val="auto"/>
          <w:szCs w:val="21"/>
          <w:highlight w:val="none"/>
        </w:rPr>
        <w:t>年    月    日</w:t>
      </w:r>
    </w:p>
    <w:p w14:paraId="18E907E4">
      <w:pPr>
        <w:pStyle w:val="45"/>
        <w:ind w:left="0" w:leftChars="0" w:firstLine="0" w:firstLineChars="0"/>
        <w:rPr>
          <w:rFonts w:hint="eastAsia"/>
          <w:color w:val="auto"/>
          <w:highlight w:val="none"/>
        </w:rPr>
      </w:pPr>
    </w:p>
    <w:p w14:paraId="4EA6E6C6">
      <w:pPr>
        <w:shd w:val="clear" w:color="auto" w:fill="FFFFFF"/>
        <w:snapToGrid w:val="0"/>
        <w:spacing w:before="50" w:line="360" w:lineRule="exact"/>
        <w:rPr>
          <w:rFonts w:hint="eastAsia" w:hAnsi="宋体"/>
          <w:b/>
          <w:bCs/>
          <w:color w:val="auto"/>
          <w:sz w:val="24"/>
          <w:highlight w:val="none"/>
        </w:rPr>
        <w:sectPr>
          <w:footerReference r:id="rId10" w:type="default"/>
          <w:pgSz w:w="11907" w:h="16840"/>
          <w:pgMar w:top="1304" w:right="1418" w:bottom="1418" w:left="1418" w:header="851" w:footer="851" w:gutter="0"/>
          <w:pgNumType w:fmt="decimal"/>
          <w:cols w:space="720" w:num="1"/>
          <w:docGrid w:linePitch="462" w:charSpace="0"/>
        </w:sectPr>
      </w:pPr>
    </w:p>
    <w:p w14:paraId="736A04BD">
      <w:pPr>
        <w:pStyle w:val="45"/>
        <w:ind w:firstLine="560"/>
        <w:rPr>
          <w:rFonts w:hint="eastAsia"/>
          <w:color w:val="auto"/>
          <w:highlight w:val="none"/>
        </w:rPr>
      </w:pPr>
    </w:p>
    <w:p w14:paraId="19785B69">
      <w:pPr>
        <w:shd w:val="clear" w:color="auto" w:fill="FFFFFF"/>
        <w:snapToGrid w:val="0"/>
        <w:spacing w:after="50"/>
        <w:rPr>
          <w:rFonts w:hint="eastAsia" w:hAnsi="宋体"/>
          <w:b/>
          <w:bCs/>
          <w:color w:val="auto"/>
          <w:szCs w:val="21"/>
          <w:highlight w:val="none"/>
        </w:rPr>
      </w:pPr>
      <w:bookmarkStart w:id="59" w:name="_Toc29098_WPSOffice_Level1"/>
      <w:bookmarkStart w:id="60" w:name="_Toc28333_WPSOffice_Level1"/>
      <w:r>
        <w:rPr>
          <w:rFonts w:hint="eastAsia" w:hAnsi="宋体"/>
          <w:b/>
          <w:bCs/>
          <w:color w:val="auto"/>
          <w:szCs w:val="21"/>
          <w:highlight w:val="none"/>
        </w:rPr>
        <w:t>2.报价文件外包装封面格式：</w:t>
      </w:r>
      <w:bookmarkEnd w:id="59"/>
      <w:bookmarkEnd w:id="60"/>
    </w:p>
    <w:p w14:paraId="18F266CB">
      <w:pPr>
        <w:shd w:val="clear" w:color="auto" w:fill="FFFFFF"/>
        <w:snapToGrid w:val="0"/>
        <w:spacing w:after="50"/>
        <w:jc w:val="right"/>
        <w:rPr>
          <w:rFonts w:hint="eastAsia" w:hAnsi="宋体"/>
          <w:b/>
          <w:bCs/>
          <w:color w:val="auto"/>
          <w:sz w:val="24"/>
          <w:highlight w:val="none"/>
        </w:rPr>
      </w:pPr>
    </w:p>
    <w:p w14:paraId="2EBAF39E">
      <w:pPr>
        <w:shd w:val="clear" w:color="auto" w:fill="FFFFFF"/>
        <w:snapToGrid w:val="0"/>
        <w:spacing w:after="50"/>
        <w:jc w:val="right"/>
        <w:rPr>
          <w:rFonts w:hAnsi="宋体"/>
          <w:b/>
          <w:bCs/>
          <w:color w:val="auto"/>
          <w:sz w:val="24"/>
          <w:highlight w:val="none"/>
        </w:rPr>
      </w:pPr>
      <w:bookmarkStart w:id="61" w:name="_Toc9148_WPSOffice_Level1"/>
      <w:bookmarkStart w:id="62" w:name="_Toc16512_WPSOffice_Level1"/>
      <w:bookmarkStart w:id="63" w:name="_Toc12814_WPSOffice_Level1"/>
      <w:bookmarkStart w:id="64" w:name="_Toc1739_WPSOffice_Level1"/>
      <w:bookmarkStart w:id="65" w:name="_Toc32578_WPSOffice_Level1"/>
      <w:r>
        <w:rPr>
          <w:rFonts w:hint="eastAsia" w:hAnsi="宋体"/>
          <w:b/>
          <w:bCs/>
          <w:color w:val="auto"/>
          <w:sz w:val="24"/>
          <w:highlight w:val="none"/>
        </w:rPr>
        <w:t>正本/或副本</w:t>
      </w:r>
      <w:bookmarkEnd w:id="61"/>
      <w:bookmarkEnd w:id="62"/>
      <w:bookmarkEnd w:id="63"/>
      <w:bookmarkEnd w:id="64"/>
      <w:bookmarkEnd w:id="65"/>
    </w:p>
    <w:p w14:paraId="02A4827F">
      <w:pPr>
        <w:spacing w:line="200" w:lineRule="exact"/>
        <w:rPr>
          <w:rFonts w:hint="eastAsia"/>
          <w:color w:val="auto"/>
          <w:sz w:val="20"/>
          <w:highlight w:val="none"/>
        </w:rPr>
      </w:pPr>
    </w:p>
    <w:p w14:paraId="0B268D27">
      <w:pPr>
        <w:spacing w:line="440" w:lineRule="exact"/>
        <w:rPr>
          <w:rFonts w:hint="eastAsia" w:eastAsia="黑体"/>
          <w:color w:val="auto"/>
          <w:sz w:val="36"/>
          <w:szCs w:val="36"/>
          <w:highlight w:val="none"/>
        </w:rPr>
      </w:pPr>
    </w:p>
    <w:p w14:paraId="314D697E">
      <w:pPr>
        <w:jc w:val="center"/>
        <w:rPr>
          <w:rFonts w:eastAsia="黑体"/>
          <w:color w:val="auto"/>
          <w:sz w:val="36"/>
          <w:szCs w:val="36"/>
          <w:highlight w:val="none"/>
        </w:rPr>
      </w:pPr>
      <w:r>
        <w:rPr>
          <w:rFonts w:eastAsia="黑体"/>
          <w:color w:val="auto"/>
          <w:sz w:val="36"/>
          <w:szCs w:val="36"/>
          <w:highlight w:val="none"/>
          <w:u w:val="single"/>
        </w:rPr>
        <w:t xml:space="preserve">                 </w:t>
      </w:r>
      <w:bookmarkStart w:id="66" w:name="_Toc26694_WPSOffice_Level2"/>
      <w:bookmarkStart w:id="67" w:name="_Toc18449_WPSOffice_Level2"/>
      <w:bookmarkStart w:id="68" w:name="_Toc23962_WPSOffice_Level2"/>
      <w:bookmarkStart w:id="69" w:name="_Toc18598_WPSOffice_Level2"/>
      <w:r>
        <w:rPr>
          <w:rFonts w:hint="eastAsia" w:eastAsia="黑体" w:cs="黑体"/>
          <w:color w:val="auto"/>
          <w:sz w:val="36"/>
          <w:szCs w:val="36"/>
          <w:highlight w:val="none"/>
        </w:rPr>
        <w:t>（项目名称）项目</w:t>
      </w:r>
      <w:bookmarkEnd w:id="66"/>
      <w:bookmarkEnd w:id="67"/>
      <w:bookmarkEnd w:id="68"/>
      <w:bookmarkEnd w:id="69"/>
    </w:p>
    <w:p w14:paraId="21E7AED5">
      <w:pPr>
        <w:spacing w:line="480" w:lineRule="auto"/>
        <w:ind w:left="630" w:leftChars="300"/>
        <w:rPr>
          <w:color w:val="auto"/>
          <w:sz w:val="24"/>
          <w:highlight w:val="none"/>
        </w:rPr>
      </w:pPr>
    </w:p>
    <w:p w14:paraId="30B52D70">
      <w:pPr>
        <w:spacing w:line="480" w:lineRule="auto"/>
        <w:ind w:left="630" w:leftChars="300"/>
        <w:rPr>
          <w:color w:val="auto"/>
          <w:sz w:val="24"/>
          <w:highlight w:val="none"/>
        </w:rPr>
      </w:pPr>
    </w:p>
    <w:p w14:paraId="5CF66CCD">
      <w:pPr>
        <w:spacing w:line="480" w:lineRule="auto"/>
        <w:ind w:left="630" w:leftChars="300"/>
        <w:rPr>
          <w:color w:val="auto"/>
          <w:sz w:val="24"/>
          <w:highlight w:val="none"/>
        </w:rPr>
      </w:pPr>
    </w:p>
    <w:p w14:paraId="2810DDD2">
      <w:pPr>
        <w:spacing w:line="480" w:lineRule="auto"/>
        <w:ind w:left="630" w:leftChars="300"/>
        <w:rPr>
          <w:color w:val="auto"/>
          <w:sz w:val="24"/>
          <w:highlight w:val="none"/>
        </w:rPr>
      </w:pPr>
    </w:p>
    <w:p w14:paraId="445FD0DB">
      <w:pPr>
        <w:jc w:val="center"/>
        <w:rPr>
          <w:rFonts w:eastAsia="黑体"/>
          <w:color w:val="auto"/>
          <w:sz w:val="72"/>
          <w:szCs w:val="72"/>
          <w:highlight w:val="none"/>
        </w:rPr>
      </w:pPr>
      <w:r>
        <w:rPr>
          <w:rFonts w:hint="eastAsia" w:eastAsia="黑体" w:cs="黑体"/>
          <w:color w:val="auto"/>
          <w:sz w:val="72"/>
          <w:szCs w:val="72"/>
          <w:highlight w:val="none"/>
        </w:rPr>
        <w:t>投</w:t>
      </w:r>
      <w:r>
        <w:rPr>
          <w:rFonts w:eastAsia="黑体"/>
          <w:color w:val="auto"/>
          <w:sz w:val="72"/>
          <w:szCs w:val="72"/>
          <w:highlight w:val="none"/>
        </w:rPr>
        <w:t xml:space="preserve"> </w:t>
      </w:r>
      <w:r>
        <w:rPr>
          <w:rFonts w:hint="eastAsia" w:eastAsia="黑体" w:cs="黑体"/>
          <w:color w:val="auto"/>
          <w:sz w:val="72"/>
          <w:szCs w:val="72"/>
          <w:highlight w:val="none"/>
        </w:rPr>
        <w:t>标</w:t>
      </w:r>
      <w:r>
        <w:rPr>
          <w:rFonts w:eastAsia="黑体"/>
          <w:color w:val="auto"/>
          <w:sz w:val="72"/>
          <w:szCs w:val="72"/>
          <w:highlight w:val="none"/>
        </w:rPr>
        <w:t xml:space="preserve"> </w:t>
      </w:r>
      <w:r>
        <w:rPr>
          <w:rFonts w:hint="eastAsia" w:eastAsia="黑体" w:cs="黑体"/>
          <w:color w:val="auto"/>
          <w:sz w:val="72"/>
          <w:szCs w:val="72"/>
          <w:highlight w:val="none"/>
        </w:rPr>
        <w:t>文</w:t>
      </w:r>
      <w:r>
        <w:rPr>
          <w:rFonts w:eastAsia="黑体"/>
          <w:color w:val="auto"/>
          <w:sz w:val="72"/>
          <w:szCs w:val="72"/>
          <w:highlight w:val="none"/>
        </w:rPr>
        <w:t xml:space="preserve"> </w:t>
      </w:r>
      <w:r>
        <w:rPr>
          <w:rFonts w:hint="eastAsia" w:eastAsia="黑体" w:cs="黑体"/>
          <w:color w:val="auto"/>
          <w:sz w:val="72"/>
          <w:szCs w:val="72"/>
          <w:highlight w:val="none"/>
        </w:rPr>
        <w:t>件</w:t>
      </w:r>
    </w:p>
    <w:p w14:paraId="7F059E56">
      <w:pPr>
        <w:rPr>
          <w:rFonts w:eastAsia="黑体"/>
          <w:color w:val="auto"/>
          <w:sz w:val="28"/>
          <w:szCs w:val="28"/>
          <w:highlight w:val="none"/>
        </w:rPr>
      </w:pPr>
    </w:p>
    <w:p w14:paraId="216FFCAB">
      <w:pPr>
        <w:spacing w:line="480" w:lineRule="auto"/>
        <w:ind w:left="630" w:leftChars="300"/>
        <w:jc w:val="center"/>
        <w:rPr>
          <w:color w:val="auto"/>
          <w:sz w:val="24"/>
          <w:highlight w:val="none"/>
        </w:rPr>
      </w:pPr>
      <w:r>
        <w:rPr>
          <w:rFonts w:hint="eastAsia" w:eastAsia="黑体" w:cs="黑体"/>
          <w:color w:val="auto"/>
          <w:sz w:val="52"/>
          <w:szCs w:val="52"/>
          <w:highlight w:val="none"/>
        </w:rPr>
        <w:t>报价文件</w:t>
      </w:r>
    </w:p>
    <w:p w14:paraId="609EA57F">
      <w:pPr>
        <w:spacing w:line="480" w:lineRule="auto"/>
        <w:ind w:left="630" w:leftChars="300"/>
        <w:rPr>
          <w:color w:val="auto"/>
          <w:sz w:val="24"/>
          <w:highlight w:val="none"/>
        </w:rPr>
      </w:pPr>
    </w:p>
    <w:p w14:paraId="08A93458">
      <w:pPr>
        <w:spacing w:line="480" w:lineRule="auto"/>
        <w:ind w:left="630" w:leftChars="300"/>
        <w:rPr>
          <w:color w:val="auto"/>
          <w:sz w:val="24"/>
          <w:highlight w:val="none"/>
        </w:rPr>
      </w:pPr>
    </w:p>
    <w:p w14:paraId="45A514C6">
      <w:pPr>
        <w:spacing w:line="480" w:lineRule="auto"/>
        <w:ind w:left="630" w:leftChars="300"/>
        <w:rPr>
          <w:color w:val="auto"/>
          <w:sz w:val="24"/>
          <w:highlight w:val="none"/>
        </w:rPr>
      </w:pPr>
    </w:p>
    <w:p w14:paraId="640EBE17">
      <w:pPr>
        <w:spacing w:line="480" w:lineRule="auto"/>
        <w:ind w:left="630" w:leftChars="300"/>
        <w:rPr>
          <w:color w:val="auto"/>
          <w:sz w:val="24"/>
          <w:highlight w:val="none"/>
        </w:rPr>
      </w:pPr>
    </w:p>
    <w:p w14:paraId="6FECE2F0">
      <w:pPr>
        <w:spacing w:line="480" w:lineRule="auto"/>
        <w:ind w:left="630" w:leftChars="300"/>
        <w:rPr>
          <w:color w:val="auto"/>
          <w:sz w:val="24"/>
          <w:highlight w:val="none"/>
        </w:rPr>
      </w:pPr>
    </w:p>
    <w:p w14:paraId="5E213F13">
      <w:pPr>
        <w:spacing w:line="480" w:lineRule="auto"/>
        <w:ind w:left="630" w:leftChars="300"/>
        <w:rPr>
          <w:color w:val="auto"/>
          <w:sz w:val="24"/>
          <w:highlight w:val="none"/>
        </w:rPr>
      </w:pPr>
    </w:p>
    <w:p w14:paraId="3A3AE5AE">
      <w:pPr>
        <w:spacing w:line="480" w:lineRule="auto"/>
        <w:jc w:val="center"/>
        <w:rPr>
          <w:rFonts w:eastAsia="黑体"/>
          <w:color w:val="auto"/>
          <w:sz w:val="28"/>
          <w:szCs w:val="28"/>
          <w:highlight w:val="none"/>
          <w:u w:val="single"/>
        </w:rPr>
      </w:pPr>
      <w:r>
        <w:rPr>
          <w:rFonts w:hint="eastAsia" w:eastAsia="黑体" w:cs="黑体"/>
          <w:color w:val="auto"/>
          <w:sz w:val="28"/>
          <w:szCs w:val="28"/>
          <w:highlight w:val="none"/>
        </w:rPr>
        <w:t>投标人：</w:t>
      </w:r>
      <w:r>
        <w:rPr>
          <w:rFonts w:eastAsia="黑体"/>
          <w:color w:val="auto"/>
          <w:sz w:val="28"/>
          <w:szCs w:val="28"/>
          <w:highlight w:val="none"/>
          <w:u w:val="single"/>
        </w:rPr>
        <w:t xml:space="preserve">                              </w:t>
      </w:r>
      <w:r>
        <w:rPr>
          <w:rFonts w:hint="eastAsia" w:eastAsia="黑体" w:cs="黑体"/>
          <w:color w:val="auto"/>
          <w:sz w:val="28"/>
          <w:szCs w:val="28"/>
          <w:highlight w:val="none"/>
        </w:rPr>
        <w:t>（盖单位章）</w:t>
      </w:r>
    </w:p>
    <w:p w14:paraId="0ED61B18">
      <w:pPr>
        <w:spacing w:line="480" w:lineRule="auto"/>
        <w:jc w:val="center"/>
        <w:rPr>
          <w:rFonts w:eastAsia="黑体"/>
          <w:color w:val="auto"/>
          <w:sz w:val="28"/>
          <w:szCs w:val="28"/>
          <w:highlight w:val="none"/>
        </w:rPr>
      </w:pPr>
      <w:r>
        <w:rPr>
          <w:rFonts w:eastAsia="黑体"/>
          <w:color w:val="auto"/>
          <w:sz w:val="28"/>
          <w:szCs w:val="28"/>
          <w:highlight w:val="none"/>
          <w:u w:val="single"/>
        </w:rPr>
        <w:t xml:space="preserve">        </w:t>
      </w:r>
      <w:r>
        <w:rPr>
          <w:rFonts w:hint="eastAsia" w:eastAsia="黑体" w:cs="黑体"/>
          <w:color w:val="auto"/>
          <w:sz w:val="28"/>
          <w:szCs w:val="28"/>
          <w:highlight w:val="none"/>
        </w:rPr>
        <w:t>年</w:t>
      </w:r>
      <w:r>
        <w:rPr>
          <w:rFonts w:eastAsia="黑体"/>
          <w:color w:val="auto"/>
          <w:sz w:val="28"/>
          <w:szCs w:val="28"/>
          <w:highlight w:val="none"/>
          <w:u w:val="single"/>
        </w:rPr>
        <w:t xml:space="preserve">        </w:t>
      </w:r>
      <w:r>
        <w:rPr>
          <w:rFonts w:hint="eastAsia" w:eastAsia="黑体" w:cs="黑体"/>
          <w:color w:val="auto"/>
          <w:sz w:val="28"/>
          <w:szCs w:val="28"/>
          <w:highlight w:val="none"/>
        </w:rPr>
        <w:t>月</w:t>
      </w:r>
      <w:r>
        <w:rPr>
          <w:rFonts w:eastAsia="黑体"/>
          <w:color w:val="auto"/>
          <w:sz w:val="28"/>
          <w:szCs w:val="28"/>
          <w:highlight w:val="none"/>
          <w:u w:val="single"/>
        </w:rPr>
        <w:t xml:space="preserve">        </w:t>
      </w:r>
      <w:r>
        <w:rPr>
          <w:rFonts w:hint="eastAsia" w:eastAsia="黑体" w:cs="黑体"/>
          <w:color w:val="auto"/>
          <w:sz w:val="28"/>
          <w:szCs w:val="28"/>
          <w:highlight w:val="none"/>
        </w:rPr>
        <w:t>日</w:t>
      </w:r>
    </w:p>
    <w:p w14:paraId="74A32788">
      <w:pPr>
        <w:rPr>
          <w:color w:val="auto"/>
          <w:highlight w:val="none"/>
        </w:rPr>
      </w:pPr>
    </w:p>
    <w:p w14:paraId="431AEEEB">
      <w:pPr>
        <w:rPr>
          <w:color w:val="auto"/>
          <w:highlight w:val="none"/>
        </w:rPr>
      </w:pPr>
    </w:p>
    <w:p w14:paraId="6AE6750A">
      <w:pPr>
        <w:spacing w:line="360" w:lineRule="auto"/>
        <w:ind w:left="630" w:leftChars="300"/>
        <w:jc w:val="center"/>
        <w:rPr>
          <w:rFonts w:hint="eastAsia" w:hAnsi="宋体"/>
          <w:b/>
          <w:bCs/>
          <w:color w:val="auto"/>
          <w:sz w:val="32"/>
          <w:szCs w:val="32"/>
          <w:highlight w:val="none"/>
        </w:rPr>
      </w:pPr>
    </w:p>
    <w:p w14:paraId="5FB8A8EA">
      <w:pPr>
        <w:spacing w:line="360" w:lineRule="auto"/>
        <w:jc w:val="center"/>
        <w:rPr>
          <w:rFonts w:hint="eastAsia" w:hAnsi="宋体"/>
          <w:b/>
          <w:bCs/>
          <w:color w:val="auto"/>
          <w:sz w:val="32"/>
          <w:szCs w:val="32"/>
          <w:highlight w:val="none"/>
        </w:rPr>
      </w:pPr>
    </w:p>
    <w:p w14:paraId="65C1EB2A">
      <w:pPr>
        <w:spacing w:line="360" w:lineRule="auto"/>
        <w:jc w:val="center"/>
        <w:rPr>
          <w:rFonts w:hint="eastAsia"/>
          <w:b/>
          <w:bCs/>
          <w:color w:val="auto"/>
          <w:sz w:val="32"/>
          <w:szCs w:val="32"/>
          <w:highlight w:val="none"/>
        </w:rPr>
      </w:pPr>
      <w:r>
        <w:rPr>
          <w:rFonts w:hint="eastAsia" w:hAnsi="宋体"/>
          <w:b/>
          <w:bCs/>
          <w:color w:val="auto"/>
          <w:sz w:val="32"/>
          <w:szCs w:val="32"/>
          <w:highlight w:val="none"/>
        </w:rPr>
        <w:t>目录</w:t>
      </w:r>
    </w:p>
    <w:p w14:paraId="68860B57">
      <w:pPr>
        <w:spacing w:line="440" w:lineRule="exact"/>
        <w:ind w:firstLine="420" w:firstLineChars="200"/>
        <w:rPr>
          <w:rFonts w:hint="eastAsia" w:hAnsi="宋体"/>
          <w:color w:val="auto"/>
          <w:szCs w:val="21"/>
          <w:highlight w:val="none"/>
        </w:rPr>
      </w:pPr>
      <w:r>
        <w:rPr>
          <w:rFonts w:hint="eastAsia" w:hAnsi="宋体"/>
          <w:color w:val="auto"/>
          <w:szCs w:val="21"/>
          <w:highlight w:val="none"/>
        </w:rPr>
        <w:t>（1）投标函</w:t>
      </w:r>
    </w:p>
    <w:p w14:paraId="5E53997B">
      <w:pPr>
        <w:spacing w:line="440" w:lineRule="exact"/>
        <w:ind w:firstLine="420" w:firstLineChars="200"/>
        <w:rPr>
          <w:rFonts w:hint="eastAsia" w:hAnsi="宋体"/>
          <w:color w:val="auto"/>
          <w:szCs w:val="21"/>
          <w:highlight w:val="none"/>
        </w:rPr>
      </w:pPr>
      <w:r>
        <w:rPr>
          <w:rFonts w:hint="eastAsia" w:hAnsi="宋体"/>
          <w:color w:val="auto"/>
          <w:szCs w:val="21"/>
          <w:highlight w:val="none"/>
        </w:rPr>
        <w:t>（2）开标一览表</w:t>
      </w:r>
    </w:p>
    <w:p w14:paraId="05938F6E">
      <w:pPr>
        <w:spacing w:line="440" w:lineRule="exact"/>
        <w:ind w:firstLine="420" w:firstLineChars="200"/>
        <w:rPr>
          <w:rFonts w:hint="eastAsia"/>
          <w:color w:val="auto"/>
          <w:highlight w:val="none"/>
        </w:rPr>
      </w:pPr>
      <w:r>
        <w:rPr>
          <w:rFonts w:hint="eastAsia" w:hAnsi="宋体"/>
          <w:color w:val="auto"/>
          <w:szCs w:val="21"/>
          <w:highlight w:val="none"/>
        </w:rPr>
        <w:t>（3）分项报价表（明细报价表）</w:t>
      </w:r>
    </w:p>
    <w:p w14:paraId="01FC6BBA">
      <w:pPr>
        <w:spacing w:line="440" w:lineRule="exact"/>
        <w:ind w:firstLine="420" w:firstLineChars="200"/>
        <w:rPr>
          <w:rFonts w:hint="eastAsia" w:hAnsi="宋体" w:cs="宋体"/>
          <w:color w:val="auto"/>
          <w:szCs w:val="21"/>
          <w:highlight w:val="none"/>
        </w:rPr>
      </w:pPr>
      <w:r>
        <w:rPr>
          <w:rFonts w:hint="eastAsia"/>
          <w:color w:val="auto"/>
          <w:szCs w:val="21"/>
          <w:highlight w:val="none"/>
        </w:rPr>
        <w:t>（</w:t>
      </w:r>
      <w:r>
        <w:rPr>
          <w:rFonts w:hint="eastAsia" w:hAnsi="宋体"/>
          <w:color w:val="auto"/>
          <w:szCs w:val="21"/>
          <w:highlight w:val="none"/>
          <w:lang w:val="en-US" w:eastAsia="zh-CN"/>
        </w:rPr>
        <w:t>4</w:t>
      </w:r>
      <w:r>
        <w:rPr>
          <w:rFonts w:hint="eastAsia" w:hAnsi="宋体"/>
          <w:color w:val="auto"/>
          <w:szCs w:val="21"/>
          <w:highlight w:val="none"/>
        </w:rPr>
        <w:t>）投标人针对报价需要说明的其他文件和说明</w:t>
      </w:r>
    </w:p>
    <w:p w14:paraId="7A2D0CE8">
      <w:pPr>
        <w:shd w:val="clear" w:color="auto" w:fill="FFFFFF"/>
        <w:snapToGrid w:val="0"/>
        <w:spacing w:before="50" w:line="360" w:lineRule="exact"/>
        <w:rPr>
          <w:rFonts w:hint="eastAsia" w:hAnsi="宋体"/>
          <w:b/>
          <w:bCs/>
          <w:color w:val="auto"/>
          <w:szCs w:val="21"/>
          <w:highlight w:val="none"/>
        </w:rPr>
      </w:pPr>
      <w:r>
        <w:rPr>
          <w:rFonts w:ascii="楷体_GB2312" w:eastAsia="楷体_GB2312"/>
          <w:b/>
          <w:snapToGrid w:val="0"/>
          <w:color w:val="auto"/>
          <w:spacing w:val="8"/>
          <w:szCs w:val="21"/>
          <w:highlight w:val="none"/>
        </w:rPr>
        <w:br w:type="page"/>
      </w:r>
      <w:r>
        <w:rPr>
          <w:rFonts w:hint="eastAsia" w:hAnsi="宋体"/>
          <w:b/>
          <w:bCs/>
          <w:color w:val="auto"/>
          <w:szCs w:val="21"/>
          <w:highlight w:val="none"/>
        </w:rPr>
        <w:t>附件1</w:t>
      </w:r>
    </w:p>
    <w:p w14:paraId="28DBBD9B">
      <w:pPr>
        <w:rPr>
          <w:color w:val="auto"/>
          <w:szCs w:val="21"/>
          <w:highlight w:val="none"/>
        </w:rPr>
      </w:pPr>
    </w:p>
    <w:p w14:paraId="4B544B67">
      <w:pPr>
        <w:shd w:val="clear" w:color="auto" w:fill="FFFFFF"/>
        <w:snapToGrid w:val="0"/>
        <w:spacing w:after="50"/>
        <w:jc w:val="center"/>
        <w:rPr>
          <w:rFonts w:hAnsi="宋体"/>
          <w:b/>
          <w:bCs/>
          <w:color w:val="auto"/>
          <w:szCs w:val="21"/>
          <w:highlight w:val="none"/>
        </w:rPr>
      </w:pPr>
      <w:bookmarkStart w:id="70" w:name="_Toc8466_WPSOffice_Level1"/>
      <w:bookmarkStart w:id="71" w:name="_Toc6707_WPSOffice_Level1"/>
      <w:bookmarkStart w:id="72" w:name="_Toc13673_WPSOffice_Level1"/>
      <w:bookmarkStart w:id="73" w:name="_Toc28762_WPSOffice_Level1"/>
      <w:bookmarkStart w:id="74" w:name="_Toc10788_WPSOffice_Level1"/>
      <w:bookmarkStart w:id="75" w:name="_Toc14493_WPSOffice_Level1"/>
      <w:r>
        <w:rPr>
          <w:rFonts w:hint="eastAsia" w:hAnsi="宋体"/>
          <w:b/>
          <w:bCs/>
          <w:color w:val="auto"/>
          <w:szCs w:val="21"/>
          <w:highlight w:val="none"/>
        </w:rPr>
        <w:t>一、投 标 函</w:t>
      </w:r>
      <w:bookmarkEnd w:id="70"/>
      <w:bookmarkEnd w:id="71"/>
      <w:bookmarkEnd w:id="72"/>
      <w:bookmarkEnd w:id="73"/>
      <w:bookmarkEnd w:id="74"/>
      <w:bookmarkEnd w:id="75"/>
    </w:p>
    <w:p w14:paraId="6D161E13">
      <w:pPr>
        <w:shd w:val="clear" w:color="auto" w:fill="FFFFFF"/>
        <w:snapToGrid w:val="0"/>
        <w:spacing w:line="360" w:lineRule="exact"/>
        <w:rPr>
          <w:rFonts w:hAnsi="宋体"/>
          <w:color w:val="auto"/>
          <w:szCs w:val="21"/>
          <w:highlight w:val="none"/>
        </w:rPr>
      </w:pPr>
      <w:r>
        <w:rPr>
          <w:rFonts w:hint="eastAsia" w:hAnsi="宋体"/>
          <w:color w:val="auto"/>
          <w:szCs w:val="21"/>
          <w:highlight w:val="none"/>
        </w:rPr>
        <w:t> </w:t>
      </w:r>
    </w:p>
    <w:p w14:paraId="387B3FE2">
      <w:pPr>
        <w:shd w:val="clear" w:color="auto" w:fill="FFFFFF"/>
        <w:snapToGrid w:val="0"/>
        <w:spacing w:line="440" w:lineRule="exact"/>
        <w:rPr>
          <w:rFonts w:hAnsi="宋体"/>
          <w:color w:val="auto"/>
          <w:szCs w:val="21"/>
          <w:highlight w:val="none"/>
        </w:rPr>
      </w:pPr>
      <w:r>
        <w:rPr>
          <w:rFonts w:hint="eastAsia" w:hAnsi="宋体"/>
          <w:color w:val="auto"/>
          <w:szCs w:val="21"/>
          <w:highlight w:val="none"/>
        </w:rPr>
        <w:t>致：</w:t>
      </w:r>
      <w:r>
        <w:rPr>
          <w:rFonts w:hint="eastAsia" w:hAnsi="宋体"/>
          <w:color w:val="auto"/>
          <w:szCs w:val="21"/>
          <w:highlight w:val="none"/>
          <w:u w:val="single"/>
        </w:rPr>
        <w:t xml:space="preserve">              </w:t>
      </w:r>
      <w:r>
        <w:rPr>
          <w:rFonts w:hint="eastAsia" w:hAnsi="宋体"/>
          <w:color w:val="auto"/>
          <w:szCs w:val="21"/>
          <w:highlight w:val="none"/>
        </w:rPr>
        <w:t>（采购单位名称）：</w:t>
      </w:r>
    </w:p>
    <w:p w14:paraId="1667E378">
      <w:pPr>
        <w:shd w:val="clear" w:color="auto" w:fill="FFFFFF"/>
        <w:snapToGrid w:val="0"/>
        <w:spacing w:line="440" w:lineRule="exact"/>
        <w:ind w:firstLine="480"/>
        <w:rPr>
          <w:rFonts w:hAnsi="宋体"/>
          <w:color w:val="auto"/>
          <w:szCs w:val="21"/>
          <w:highlight w:val="none"/>
        </w:rPr>
      </w:pPr>
      <w:r>
        <w:rPr>
          <w:rFonts w:hint="eastAsia" w:hAnsi="宋体"/>
          <w:color w:val="auto"/>
          <w:szCs w:val="21"/>
          <w:highlight w:val="none"/>
        </w:rPr>
        <w:t>根据贵方为项目的招标公告（项目编号：</w:t>
      </w:r>
      <w:r>
        <w:rPr>
          <w:rFonts w:hint="eastAsia" w:hAnsi="宋体"/>
          <w:color w:val="auto"/>
          <w:szCs w:val="21"/>
          <w:highlight w:val="none"/>
          <w:u w:val="single"/>
        </w:rPr>
        <w:t xml:space="preserve">       </w:t>
      </w:r>
      <w:r>
        <w:rPr>
          <w:rFonts w:hint="eastAsia" w:hAnsi="宋体"/>
          <w:color w:val="auto"/>
          <w:szCs w:val="21"/>
          <w:highlight w:val="none"/>
        </w:rPr>
        <w:t>），签字代表</w:t>
      </w:r>
      <w:r>
        <w:rPr>
          <w:rFonts w:hint="eastAsia" w:hAnsi="宋体"/>
          <w:color w:val="auto"/>
          <w:szCs w:val="21"/>
          <w:highlight w:val="none"/>
          <w:u w:val="single"/>
        </w:rPr>
        <w:t xml:space="preserve">       </w:t>
      </w:r>
      <w:r>
        <w:rPr>
          <w:rFonts w:hint="eastAsia" w:hAnsi="宋体"/>
          <w:color w:val="auto"/>
          <w:szCs w:val="21"/>
          <w:highlight w:val="none"/>
        </w:rPr>
        <w:t>（全名）经正式授权并代表投标人</w:t>
      </w:r>
      <w:r>
        <w:rPr>
          <w:rFonts w:hint="eastAsia" w:hAnsi="宋体"/>
          <w:color w:val="auto"/>
          <w:szCs w:val="21"/>
          <w:highlight w:val="none"/>
          <w:u w:val="single"/>
        </w:rPr>
        <w:t xml:space="preserve">                  </w:t>
      </w:r>
      <w:r>
        <w:rPr>
          <w:rFonts w:hint="eastAsia" w:hAnsi="宋体"/>
          <w:color w:val="auto"/>
          <w:szCs w:val="21"/>
          <w:highlight w:val="none"/>
        </w:rPr>
        <w:t>（投标人名称）提交资信技术文件、报价文件正本各一份、副本各四份。</w:t>
      </w:r>
    </w:p>
    <w:p w14:paraId="594F92E6">
      <w:pPr>
        <w:shd w:val="clear" w:color="auto" w:fill="FFFFFF"/>
        <w:snapToGrid w:val="0"/>
        <w:spacing w:line="440" w:lineRule="exact"/>
        <w:ind w:firstLine="420" w:firstLineChars="200"/>
        <w:rPr>
          <w:rFonts w:hAnsi="宋体"/>
          <w:color w:val="auto"/>
          <w:szCs w:val="21"/>
          <w:highlight w:val="none"/>
        </w:rPr>
      </w:pPr>
      <w:r>
        <w:rPr>
          <w:rFonts w:hint="eastAsia" w:hAnsi="宋体"/>
          <w:color w:val="auto"/>
          <w:szCs w:val="21"/>
          <w:highlight w:val="none"/>
        </w:rPr>
        <w:t>据此函，签字代表宣布同意如下：</w:t>
      </w:r>
    </w:p>
    <w:p w14:paraId="26FA9EB2">
      <w:pPr>
        <w:shd w:val="clear" w:color="auto" w:fill="FFFFFF"/>
        <w:snapToGrid w:val="0"/>
        <w:spacing w:line="440" w:lineRule="exact"/>
        <w:ind w:firstLine="420" w:firstLineChars="200"/>
        <w:rPr>
          <w:rFonts w:hAnsi="宋体"/>
          <w:color w:val="auto"/>
          <w:szCs w:val="21"/>
          <w:highlight w:val="none"/>
        </w:rPr>
      </w:pPr>
      <w:r>
        <w:rPr>
          <w:rFonts w:hint="eastAsia" w:hAnsi="宋体"/>
          <w:color w:val="auto"/>
          <w:szCs w:val="21"/>
          <w:highlight w:val="none"/>
        </w:rPr>
        <w:t>1.投标人已详细审查全部“招标文件”，包括修改文件（如有的话）以及全部参考资料和有关附件，已经了解我方对于招标文件、采购过程、采购结果有依法进行询问、质疑、投诉的权利及相关渠道和要求。</w:t>
      </w:r>
    </w:p>
    <w:p w14:paraId="480BAE96">
      <w:pPr>
        <w:shd w:val="clear" w:color="auto" w:fill="FFFFFF"/>
        <w:snapToGrid w:val="0"/>
        <w:spacing w:line="440" w:lineRule="exact"/>
        <w:ind w:firstLine="420" w:firstLineChars="200"/>
        <w:rPr>
          <w:rFonts w:hAnsi="宋体"/>
          <w:color w:val="auto"/>
          <w:szCs w:val="21"/>
          <w:highlight w:val="none"/>
        </w:rPr>
      </w:pPr>
      <w:r>
        <w:rPr>
          <w:rFonts w:hint="eastAsia" w:hAnsi="宋体"/>
          <w:color w:val="auto"/>
          <w:szCs w:val="21"/>
          <w:highlight w:val="none"/>
        </w:rPr>
        <w:t>2.投标人在投标之前已经与贵方进行了充分的沟通，完全理解并接受招标文件的各项规定和要求，对招标文件的合理性、合法性不再有异议。</w:t>
      </w:r>
    </w:p>
    <w:p w14:paraId="77CBE92F">
      <w:pPr>
        <w:shd w:val="clear" w:color="auto" w:fill="FFFFFF"/>
        <w:snapToGrid w:val="0"/>
        <w:spacing w:line="440" w:lineRule="exact"/>
        <w:ind w:firstLine="420" w:firstLineChars="200"/>
        <w:rPr>
          <w:rFonts w:hAnsi="宋体"/>
          <w:color w:val="auto"/>
          <w:szCs w:val="21"/>
          <w:highlight w:val="none"/>
        </w:rPr>
      </w:pPr>
      <w:r>
        <w:rPr>
          <w:rFonts w:hint="eastAsia" w:hAnsi="宋体"/>
          <w:color w:val="auto"/>
          <w:szCs w:val="21"/>
          <w:highlight w:val="none"/>
        </w:rPr>
        <w:t>3.本投标有效期自开标日起 ______天。</w:t>
      </w:r>
    </w:p>
    <w:p w14:paraId="2BCD7C51">
      <w:pPr>
        <w:shd w:val="clear" w:color="auto" w:fill="FFFFFF"/>
        <w:snapToGrid w:val="0"/>
        <w:spacing w:line="440" w:lineRule="exact"/>
        <w:ind w:firstLine="420" w:firstLineChars="200"/>
        <w:rPr>
          <w:rFonts w:hAnsi="宋体"/>
          <w:color w:val="auto"/>
          <w:szCs w:val="21"/>
          <w:highlight w:val="none"/>
        </w:rPr>
      </w:pPr>
      <w:r>
        <w:rPr>
          <w:rFonts w:hint="eastAsia" w:hAnsi="宋体"/>
          <w:color w:val="auto"/>
          <w:szCs w:val="21"/>
          <w:highlight w:val="none"/>
        </w:rPr>
        <w:t>4.如中标，本投标文件至本项目合同履行完毕止均保持有效，本投标人将按“招标文件”及政府采购法律、法规的规定履行合同责任和义务。</w:t>
      </w:r>
    </w:p>
    <w:p w14:paraId="700521DA">
      <w:pPr>
        <w:shd w:val="clear" w:color="auto" w:fill="FFFFFF"/>
        <w:snapToGrid w:val="0"/>
        <w:spacing w:line="440" w:lineRule="exact"/>
        <w:ind w:firstLine="420" w:firstLineChars="200"/>
        <w:rPr>
          <w:rFonts w:hAnsi="宋体"/>
          <w:color w:val="auto"/>
          <w:szCs w:val="21"/>
          <w:highlight w:val="none"/>
        </w:rPr>
      </w:pPr>
      <w:r>
        <w:rPr>
          <w:rFonts w:hint="eastAsia" w:hAnsi="宋体"/>
          <w:color w:val="auto"/>
          <w:szCs w:val="21"/>
          <w:highlight w:val="none"/>
        </w:rPr>
        <w:t>5.投标人同意按照贵方要求提供与投标有关的一切数据或资料。</w:t>
      </w:r>
    </w:p>
    <w:p w14:paraId="0C483373">
      <w:pPr>
        <w:shd w:val="clear" w:color="auto" w:fill="FFFFFF"/>
        <w:snapToGrid w:val="0"/>
        <w:spacing w:line="440" w:lineRule="exact"/>
        <w:ind w:firstLine="420" w:firstLineChars="200"/>
        <w:rPr>
          <w:rFonts w:hint="eastAsia" w:hAnsi="宋体"/>
          <w:color w:val="auto"/>
          <w:szCs w:val="21"/>
          <w:highlight w:val="none"/>
        </w:rPr>
      </w:pPr>
      <w:r>
        <w:rPr>
          <w:rFonts w:hint="eastAsia" w:hAnsi="宋体"/>
          <w:color w:val="auto"/>
          <w:szCs w:val="21"/>
          <w:highlight w:val="none"/>
        </w:rPr>
        <w:t>6.与本投标有关的一切正式往来信函请寄：</w:t>
      </w:r>
    </w:p>
    <w:p w14:paraId="4E742E1B">
      <w:pPr>
        <w:shd w:val="clear" w:color="auto" w:fill="FFFFFF"/>
        <w:snapToGrid w:val="0"/>
        <w:spacing w:line="440" w:lineRule="exact"/>
        <w:ind w:firstLine="420" w:firstLineChars="200"/>
        <w:rPr>
          <w:rFonts w:hint="eastAsia" w:hAnsi="宋体"/>
          <w:color w:val="auto"/>
          <w:szCs w:val="21"/>
          <w:highlight w:val="none"/>
        </w:rPr>
      </w:pPr>
    </w:p>
    <w:p w14:paraId="24C90B49">
      <w:pPr>
        <w:shd w:val="clear" w:color="auto" w:fill="FFFFFF"/>
        <w:snapToGrid w:val="0"/>
        <w:spacing w:line="440" w:lineRule="exact"/>
        <w:ind w:firstLine="420" w:firstLineChars="200"/>
        <w:rPr>
          <w:rFonts w:hint="eastAsia" w:hAnsi="宋体"/>
          <w:color w:val="auto"/>
          <w:szCs w:val="21"/>
          <w:highlight w:val="none"/>
        </w:rPr>
      </w:pPr>
    </w:p>
    <w:p w14:paraId="7734A6D8">
      <w:pPr>
        <w:shd w:val="clear" w:color="auto" w:fill="FFFFFF"/>
        <w:snapToGrid w:val="0"/>
        <w:spacing w:line="440" w:lineRule="exact"/>
        <w:rPr>
          <w:rFonts w:hAnsi="宋体"/>
          <w:color w:val="auto"/>
          <w:szCs w:val="21"/>
          <w:highlight w:val="none"/>
        </w:rPr>
      </w:pPr>
      <w:r>
        <w:rPr>
          <w:rFonts w:hint="eastAsia" w:hAnsi="宋体"/>
          <w:color w:val="auto"/>
          <w:szCs w:val="21"/>
          <w:highlight w:val="none"/>
        </w:rPr>
        <w:t>地址：</w:t>
      </w:r>
      <w:r>
        <w:rPr>
          <w:rFonts w:hint="eastAsia" w:hAnsi="宋体"/>
          <w:color w:val="auto"/>
          <w:szCs w:val="21"/>
          <w:highlight w:val="none"/>
          <w:u w:val="single"/>
        </w:rPr>
        <w:t xml:space="preserve">              </w:t>
      </w:r>
      <w:r>
        <w:rPr>
          <w:rFonts w:hint="eastAsia" w:hAnsi="宋体"/>
          <w:color w:val="auto"/>
          <w:szCs w:val="21"/>
          <w:highlight w:val="none"/>
        </w:rPr>
        <w:t>邮编：__________   电话：______________</w:t>
      </w:r>
    </w:p>
    <w:p w14:paraId="6EBFB3AF">
      <w:pPr>
        <w:shd w:val="clear" w:color="auto" w:fill="FFFFFF"/>
        <w:snapToGrid w:val="0"/>
        <w:spacing w:line="440" w:lineRule="exact"/>
        <w:rPr>
          <w:rFonts w:hAnsi="宋体"/>
          <w:color w:val="auto"/>
          <w:szCs w:val="21"/>
          <w:highlight w:val="none"/>
        </w:rPr>
      </w:pPr>
      <w:r>
        <w:rPr>
          <w:rFonts w:hint="eastAsia" w:hAnsi="宋体"/>
          <w:color w:val="auto"/>
          <w:szCs w:val="21"/>
          <w:highlight w:val="none"/>
        </w:rPr>
        <w:t>传真：______________投标人代表姓名 ___________  职务：_____________</w:t>
      </w:r>
    </w:p>
    <w:p w14:paraId="58CBE55A">
      <w:pPr>
        <w:shd w:val="clear" w:color="auto" w:fill="FFFFFF"/>
        <w:snapToGrid w:val="0"/>
        <w:spacing w:line="440" w:lineRule="exact"/>
        <w:rPr>
          <w:rFonts w:hAnsi="宋体"/>
          <w:color w:val="auto"/>
          <w:szCs w:val="21"/>
          <w:highlight w:val="none"/>
        </w:rPr>
      </w:pPr>
      <w:r>
        <w:rPr>
          <w:rFonts w:hint="eastAsia" w:hAnsi="宋体"/>
          <w:color w:val="auto"/>
          <w:szCs w:val="21"/>
          <w:highlight w:val="none"/>
        </w:rPr>
        <w:t>投标人名称(公章):___________________</w:t>
      </w:r>
    </w:p>
    <w:p w14:paraId="482FF8C9">
      <w:pPr>
        <w:shd w:val="clear" w:color="auto" w:fill="FFFFFF"/>
        <w:snapToGrid w:val="0"/>
        <w:spacing w:line="440" w:lineRule="exact"/>
        <w:rPr>
          <w:rFonts w:hAnsi="宋体"/>
          <w:color w:val="auto"/>
          <w:szCs w:val="21"/>
          <w:highlight w:val="none"/>
        </w:rPr>
      </w:pPr>
      <w:r>
        <w:rPr>
          <w:rFonts w:hint="eastAsia" w:hAnsi="宋体"/>
          <w:color w:val="auto"/>
          <w:szCs w:val="21"/>
          <w:highlight w:val="none"/>
        </w:rPr>
        <w:t xml:space="preserve">授权代表签字:___________ </w:t>
      </w:r>
    </w:p>
    <w:p w14:paraId="1C4161E6">
      <w:pPr>
        <w:shd w:val="clear" w:color="auto" w:fill="FFFFFF"/>
        <w:snapToGrid w:val="0"/>
        <w:spacing w:line="440" w:lineRule="exact"/>
        <w:rPr>
          <w:rFonts w:hAnsi="宋体"/>
          <w:color w:val="auto"/>
          <w:szCs w:val="21"/>
          <w:highlight w:val="none"/>
        </w:rPr>
      </w:pPr>
      <w:r>
        <w:rPr>
          <w:rFonts w:hint="eastAsia" w:hAnsi="宋体"/>
          <w:color w:val="auto"/>
          <w:szCs w:val="21"/>
          <w:highlight w:val="none"/>
        </w:rPr>
        <w:t>日期:_____年___月___日</w:t>
      </w:r>
    </w:p>
    <w:p w14:paraId="0C55AB04">
      <w:pPr>
        <w:shd w:val="clear" w:color="auto" w:fill="FFFFFF"/>
        <w:snapToGrid w:val="0"/>
        <w:spacing w:before="50"/>
        <w:rPr>
          <w:rFonts w:hAnsi="宋体"/>
          <w:b/>
          <w:bCs/>
          <w:color w:val="auto"/>
          <w:szCs w:val="21"/>
          <w:highlight w:val="none"/>
        </w:rPr>
      </w:pPr>
      <w:r>
        <w:rPr>
          <w:rFonts w:hint="eastAsia" w:hAnsi="宋体"/>
          <w:b/>
          <w:bCs/>
          <w:color w:val="auto"/>
          <w:szCs w:val="21"/>
          <w:highlight w:val="none"/>
        </w:rPr>
        <w:t> </w:t>
      </w:r>
    </w:p>
    <w:p w14:paraId="3F73695B">
      <w:pPr>
        <w:shd w:val="clear" w:color="auto" w:fill="FFFFFF"/>
        <w:snapToGrid w:val="0"/>
        <w:spacing w:before="50"/>
        <w:rPr>
          <w:rFonts w:hAnsi="宋体"/>
          <w:b/>
          <w:bCs/>
          <w:color w:val="auto"/>
          <w:szCs w:val="21"/>
          <w:highlight w:val="none"/>
        </w:rPr>
      </w:pPr>
      <w:r>
        <w:rPr>
          <w:rFonts w:hint="eastAsia" w:hAnsi="宋体"/>
          <w:b/>
          <w:bCs/>
          <w:color w:val="auto"/>
          <w:szCs w:val="21"/>
          <w:highlight w:val="none"/>
        </w:rPr>
        <w:t> </w:t>
      </w:r>
    </w:p>
    <w:p w14:paraId="2AD82C61">
      <w:pPr>
        <w:shd w:val="clear" w:color="auto" w:fill="FFFFFF"/>
        <w:snapToGrid w:val="0"/>
        <w:spacing w:before="50" w:after="50"/>
        <w:jc w:val="center"/>
        <w:rPr>
          <w:rFonts w:hAnsi="宋体"/>
          <w:b/>
          <w:bCs/>
          <w:color w:val="auto"/>
          <w:szCs w:val="21"/>
          <w:highlight w:val="none"/>
        </w:rPr>
      </w:pPr>
      <w:r>
        <w:rPr>
          <w:rFonts w:hint="eastAsia" w:hAnsi="宋体"/>
          <w:b/>
          <w:bCs/>
          <w:color w:val="auto"/>
          <w:szCs w:val="21"/>
          <w:highlight w:val="none"/>
        </w:rPr>
        <w:t> </w:t>
      </w:r>
    </w:p>
    <w:p w14:paraId="04736B2E">
      <w:pPr>
        <w:shd w:val="clear" w:color="auto" w:fill="FFFFFF"/>
        <w:snapToGrid w:val="0"/>
        <w:spacing w:before="50" w:after="50"/>
        <w:jc w:val="center"/>
        <w:rPr>
          <w:rFonts w:hAnsi="宋体"/>
          <w:b/>
          <w:bCs/>
          <w:color w:val="auto"/>
          <w:szCs w:val="21"/>
          <w:highlight w:val="none"/>
        </w:rPr>
      </w:pPr>
      <w:r>
        <w:rPr>
          <w:rFonts w:hint="eastAsia" w:hAnsi="宋体"/>
          <w:b/>
          <w:bCs/>
          <w:color w:val="auto"/>
          <w:szCs w:val="21"/>
          <w:highlight w:val="none"/>
        </w:rPr>
        <w:t> </w:t>
      </w:r>
    </w:p>
    <w:p w14:paraId="56FCCE9C">
      <w:pPr>
        <w:shd w:val="clear" w:color="auto" w:fill="FFFFFF"/>
        <w:snapToGrid w:val="0"/>
        <w:spacing w:before="50" w:after="50"/>
        <w:jc w:val="center"/>
        <w:rPr>
          <w:rFonts w:hAnsi="宋体"/>
          <w:b/>
          <w:bCs/>
          <w:color w:val="auto"/>
          <w:szCs w:val="21"/>
          <w:highlight w:val="none"/>
        </w:rPr>
      </w:pPr>
      <w:r>
        <w:rPr>
          <w:rFonts w:hint="eastAsia" w:hAnsi="宋体"/>
          <w:b/>
          <w:bCs/>
          <w:color w:val="auto"/>
          <w:szCs w:val="21"/>
          <w:highlight w:val="none"/>
        </w:rPr>
        <w:t> </w:t>
      </w:r>
    </w:p>
    <w:p w14:paraId="749E8596">
      <w:pPr>
        <w:shd w:val="clear" w:color="auto" w:fill="FFFFFF"/>
        <w:snapToGrid w:val="0"/>
        <w:spacing w:before="50" w:after="50"/>
        <w:jc w:val="center"/>
        <w:rPr>
          <w:rFonts w:hAnsi="宋体"/>
          <w:b/>
          <w:bCs/>
          <w:color w:val="auto"/>
          <w:szCs w:val="21"/>
          <w:highlight w:val="none"/>
        </w:rPr>
      </w:pPr>
      <w:r>
        <w:rPr>
          <w:rFonts w:hint="eastAsia" w:hAnsi="宋体"/>
          <w:b/>
          <w:bCs/>
          <w:color w:val="auto"/>
          <w:szCs w:val="21"/>
          <w:highlight w:val="none"/>
        </w:rPr>
        <w:t> </w:t>
      </w:r>
    </w:p>
    <w:p w14:paraId="601A7719">
      <w:pPr>
        <w:shd w:val="clear" w:color="auto" w:fill="FFFFFF"/>
        <w:snapToGrid w:val="0"/>
        <w:spacing w:before="50" w:after="50"/>
        <w:rPr>
          <w:rFonts w:hint="eastAsia" w:hAnsi="宋体"/>
          <w:b/>
          <w:bCs/>
          <w:color w:val="auto"/>
          <w:szCs w:val="21"/>
          <w:highlight w:val="none"/>
        </w:rPr>
      </w:pPr>
      <w:r>
        <w:rPr>
          <w:rFonts w:hint="eastAsia" w:hAnsi="宋体"/>
          <w:b/>
          <w:bCs/>
          <w:color w:val="auto"/>
          <w:szCs w:val="21"/>
          <w:highlight w:val="none"/>
        </w:rPr>
        <w:br w:type="page"/>
      </w:r>
      <w:r>
        <w:rPr>
          <w:rFonts w:hint="eastAsia" w:hAnsi="宋体"/>
          <w:b/>
          <w:bCs/>
          <w:color w:val="auto"/>
          <w:szCs w:val="21"/>
          <w:highlight w:val="none"/>
        </w:rPr>
        <w:t>附件2</w:t>
      </w:r>
    </w:p>
    <w:p w14:paraId="652655BB">
      <w:pPr>
        <w:numPr>
          <w:ilvl w:val="0"/>
          <w:numId w:val="7"/>
        </w:numPr>
        <w:shd w:val="clear" w:color="auto" w:fill="FFFFFF"/>
        <w:snapToGrid w:val="0"/>
        <w:spacing w:before="50" w:after="50"/>
        <w:jc w:val="center"/>
        <w:rPr>
          <w:rFonts w:hint="eastAsia" w:hAnsi="宋体"/>
          <w:b/>
          <w:bCs/>
          <w:color w:val="auto"/>
          <w:szCs w:val="21"/>
          <w:highlight w:val="none"/>
        </w:rPr>
      </w:pPr>
      <w:bookmarkStart w:id="76" w:name="_Toc22138_WPSOffice_Level1"/>
      <w:bookmarkStart w:id="77" w:name="_Toc7583_WPSOffice_Level1"/>
      <w:bookmarkStart w:id="78" w:name="_Toc19447_WPSOffice_Level1"/>
      <w:r>
        <w:rPr>
          <w:rFonts w:hint="eastAsia" w:hAnsi="宋体"/>
          <w:b/>
          <w:bCs/>
          <w:color w:val="auto"/>
          <w:szCs w:val="21"/>
          <w:highlight w:val="none"/>
        </w:rPr>
        <w:t>开标一览表</w:t>
      </w:r>
      <w:bookmarkEnd w:id="76"/>
      <w:bookmarkEnd w:id="77"/>
      <w:bookmarkEnd w:id="78"/>
    </w:p>
    <w:tbl>
      <w:tblPr>
        <w:tblStyle w:val="46"/>
        <w:tblW w:w="9317"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957"/>
        <w:gridCol w:w="3893"/>
        <w:gridCol w:w="1167"/>
        <w:gridCol w:w="1065"/>
        <w:gridCol w:w="2235"/>
      </w:tblGrid>
      <w:tr w14:paraId="19390BE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8" w:hRule="atLeast"/>
          <w:jc w:val="center"/>
        </w:trPr>
        <w:tc>
          <w:tcPr>
            <w:tcW w:w="9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79EDD4">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序号</w:t>
            </w:r>
          </w:p>
        </w:tc>
        <w:tc>
          <w:tcPr>
            <w:tcW w:w="389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CE4679">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内容</w:t>
            </w:r>
          </w:p>
        </w:tc>
        <w:tc>
          <w:tcPr>
            <w:tcW w:w="11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69D220">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数量</w:t>
            </w:r>
          </w:p>
        </w:tc>
        <w:tc>
          <w:tcPr>
            <w:tcW w:w="10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ECBD00">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单位</w:t>
            </w:r>
          </w:p>
        </w:tc>
        <w:tc>
          <w:tcPr>
            <w:tcW w:w="22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AEABD0">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投标总报价（元）</w:t>
            </w:r>
          </w:p>
        </w:tc>
      </w:tr>
      <w:tr w14:paraId="3F3668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84" w:hRule="atLeast"/>
          <w:jc w:val="center"/>
        </w:trPr>
        <w:tc>
          <w:tcPr>
            <w:tcW w:w="9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28617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38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C1758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婺城区2025-2026年水库（山塘）维修养护（物业化管理）项目</w:t>
            </w:r>
          </w:p>
        </w:tc>
        <w:tc>
          <w:tcPr>
            <w:tcW w:w="11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DEB871">
            <w:pPr>
              <w:jc w:val="center"/>
              <w:rPr>
                <w:rFonts w:hint="eastAsia" w:ascii="宋体" w:hAnsi="宋体" w:eastAsia="宋体" w:cs="宋体"/>
                <w:i w:val="0"/>
                <w:iCs w:val="0"/>
                <w:color w:val="auto"/>
                <w:sz w:val="21"/>
                <w:szCs w:val="21"/>
                <w:highlight w:val="none"/>
                <w:u w:val="none"/>
                <w:lang w:val="en-US" w:eastAsia="zh-CN"/>
              </w:rPr>
            </w:pPr>
            <w:r>
              <w:rPr>
                <w:rFonts w:hint="eastAsia" w:ascii="宋体" w:hAnsi="宋体" w:eastAsia="宋体" w:cs="宋体"/>
                <w:i w:val="0"/>
                <w:iCs w:val="0"/>
                <w:color w:val="auto"/>
                <w:sz w:val="21"/>
                <w:szCs w:val="21"/>
                <w:highlight w:val="none"/>
                <w:u w:val="none"/>
                <w:lang w:val="en-US" w:eastAsia="zh-CN"/>
              </w:rPr>
              <w:t>68</w:t>
            </w:r>
          </w:p>
        </w:tc>
        <w:tc>
          <w:tcPr>
            <w:tcW w:w="10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636E42">
            <w:pPr>
              <w:jc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座</w:t>
            </w:r>
          </w:p>
        </w:tc>
        <w:tc>
          <w:tcPr>
            <w:tcW w:w="22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F3987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 xml:space="preserve"> </w:t>
            </w:r>
          </w:p>
        </w:tc>
      </w:tr>
      <w:tr w14:paraId="2B522B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1" w:hRule="atLeast"/>
          <w:jc w:val="center"/>
        </w:trPr>
        <w:tc>
          <w:tcPr>
            <w:tcW w:w="9317"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C15646">
            <w:pPr>
              <w:snapToGrid w:val="0"/>
              <w:spacing w:line="360" w:lineRule="exact"/>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color w:val="auto"/>
                <w:sz w:val="21"/>
                <w:szCs w:val="21"/>
                <w:highlight w:val="none"/>
                <w:lang w:val="en-US" w:eastAsia="zh-CN"/>
              </w:rPr>
              <w:t>投标报价</w:t>
            </w:r>
            <w:r>
              <w:rPr>
                <w:rFonts w:hint="eastAsia" w:ascii="宋体" w:hAnsi="宋体" w:eastAsia="宋体" w:cs="宋体"/>
                <w:color w:val="auto"/>
                <w:sz w:val="21"/>
                <w:szCs w:val="21"/>
                <w:highlight w:val="none"/>
              </w:rPr>
              <w:t>（人民币）大写：</w:t>
            </w:r>
          </w:p>
        </w:tc>
      </w:tr>
      <w:tr w14:paraId="7BAC6C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5" w:hRule="atLeast"/>
          <w:jc w:val="center"/>
        </w:trPr>
        <w:tc>
          <w:tcPr>
            <w:tcW w:w="9317"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0C7D93">
            <w:pPr>
              <w:widowControl/>
              <w:spacing w:line="360" w:lineRule="exact"/>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color w:val="auto"/>
                <w:sz w:val="21"/>
                <w:szCs w:val="21"/>
                <w:highlight w:val="none"/>
              </w:rPr>
              <w:t>服务期限：</w:t>
            </w:r>
          </w:p>
        </w:tc>
      </w:tr>
    </w:tbl>
    <w:p w14:paraId="46FEACCC">
      <w:pPr>
        <w:shd w:val="clear" w:color="auto" w:fill="FFFFFF"/>
        <w:snapToGrid w:val="0"/>
        <w:spacing w:before="50" w:after="50" w:line="360" w:lineRule="exact"/>
        <w:rPr>
          <w:rFonts w:hAnsi="宋体"/>
          <w:color w:val="auto"/>
          <w:szCs w:val="21"/>
          <w:highlight w:val="none"/>
        </w:rPr>
      </w:pPr>
    </w:p>
    <w:p w14:paraId="775E070F">
      <w:pPr>
        <w:shd w:val="clear" w:color="auto" w:fill="FFFFFF"/>
        <w:snapToGrid w:val="0"/>
        <w:spacing w:before="50" w:after="50" w:line="44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注: 1、报价一经涂改，应在涂改处加盖单位公章或者由法定代表人或授权委托人签字或盖章，否则其投标作无效标处理。</w:t>
      </w:r>
    </w:p>
    <w:p w14:paraId="6A2D4147">
      <w:pPr>
        <w:widowControl/>
        <w:snapToGrid w:val="0"/>
        <w:spacing w:line="500" w:lineRule="exact"/>
        <w:ind w:firstLine="420" w:firstLineChars="200"/>
        <w:jc w:val="left"/>
        <w:rPr>
          <w:rFonts w:hint="eastAsia" w:ascii="宋体" w:hAnsi="宋体" w:eastAsia="宋体" w:cs="宋体"/>
          <w:color w:val="auto"/>
          <w:highlight w:val="none"/>
        </w:rPr>
      </w:pPr>
      <w:r>
        <w:rPr>
          <w:rFonts w:hint="eastAsia" w:ascii="宋体" w:hAnsi="宋体" w:eastAsia="宋体" w:cs="宋体"/>
          <w:color w:val="auto"/>
          <w:szCs w:val="21"/>
          <w:highlight w:val="none"/>
        </w:rPr>
        <w:t>2、</w:t>
      </w:r>
      <w:r>
        <w:rPr>
          <w:rFonts w:hint="eastAsia" w:ascii="宋体" w:hAnsi="宋体" w:eastAsia="宋体" w:cs="宋体"/>
          <w:snapToGrid w:val="0"/>
          <w:color w:val="auto"/>
          <w:szCs w:val="21"/>
          <w:highlight w:val="none"/>
        </w:rPr>
        <w:t>投标报价中应包括本项目所发生的所有费用，包括但不限于以下费用：服务、巡查、保洁、维修费、养护、材料、机械、工具、服装、保险、企业管理费、利润、规费、税金、风险费用等各项应有费用</w:t>
      </w:r>
      <w:r>
        <w:rPr>
          <w:rFonts w:hint="eastAsia" w:ascii="宋体" w:hAnsi="宋体" w:eastAsia="宋体" w:cs="宋体"/>
          <w:color w:val="auto"/>
          <w:szCs w:val="21"/>
          <w:highlight w:val="none"/>
        </w:rPr>
        <w:t>。即投标人所投报的投标报价为投标人所能承受的整个项目的一次性最终报价，如有漏项，视同已包含在其它项目中，合同总价不做调整。</w:t>
      </w:r>
    </w:p>
    <w:p w14:paraId="0F76E5F9">
      <w:pPr>
        <w:spacing w:line="44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 供应商应对本项目</w:t>
      </w:r>
      <w:r>
        <w:rPr>
          <w:rFonts w:hint="eastAsia" w:ascii="宋体" w:hAnsi="宋体" w:eastAsia="宋体" w:cs="宋体"/>
          <w:color w:val="auto"/>
          <w:szCs w:val="21"/>
          <w:highlight w:val="none"/>
          <w:lang w:val="en-US" w:eastAsia="zh-CN"/>
        </w:rPr>
        <w:t>单价及总价</w:t>
      </w:r>
      <w:r>
        <w:rPr>
          <w:rFonts w:hint="eastAsia" w:ascii="宋体" w:hAnsi="宋体" w:eastAsia="宋体" w:cs="宋体"/>
          <w:color w:val="auto"/>
          <w:szCs w:val="21"/>
          <w:highlight w:val="none"/>
        </w:rPr>
        <w:t>进行报价，不得高于</w:t>
      </w:r>
      <w:r>
        <w:rPr>
          <w:rFonts w:hint="eastAsia" w:ascii="宋体" w:hAnsi="宋体" w:eastAsia="宋体" w:cs="宋体"/>
          <w:color w:val="auto"/>
          <w:szCs w:val="21"/>
          <w:highlight w:val="none"/>
          <w:lang w:val="en-US" w:eastAsia="zh-CN"/>
        </w:rPr>
        <w:t>单价最高限价及总价</w:t>
      </w:r>
      <w:r>
        <w:rPr>
          <w:rFonts w:hint="eastAsia" w:ascii="宋体" w:hAnsi="宋体" w:eastAsia="宋体" w:cs="宋体"/>
          <w:color w:val="auto"/>
          <w:sz w:val="21"/>
          <w:szCs w:val="21"/>
          <w:highlight w:val="none"/>
          <w:lang w:val="en-US" w:eastAsia="zh-CN"/>
        </w:rPr>
        <w:t>最高限价</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否则其投标作无效标处理。</w:t>
      </w:r>
    </w:p>
    <w:p w14:paraId="59DE40D1">
      <w:pPr>
        <w:shd w:val="clear" w:color="auto" w:fill="FFFFFF"/>
        <w:snapToGrid w:val="0"/>
        <w:spacing w:before="50" w:after="50" w:line="360" w:lineRule="exact"/>
        <w:ind w:firstLine="420" w:firstLineChars="200"/>
        <w:rPr>
          <w:rFonts w:hAnsi="宋体"/>
          <w:color w:val="auto"/>
          <w:szCs w:val="21"/>
          <w:highlight w:val="none"/>
        </w:rPr>
      </w:pPr>
    </w:p>
    <w:p w14:paraId="16D7D8E8">
      <w:pPr>
        <w:shd w:val="clear" w:color="auto" w:fill="FFFFFF"/>
        <w:snapToGrid w:val="0"/>
        <w:spacing w:before="50" w:after="50" w:line="360" w:lineRule="exact"/>
        <w:ind w:firstLine="480"/>
        <w:rPr>
          <w:rFonts w:hAnsi="宋体"/>
          <w:color w:val="auto"/>
          <w:szCs w:val="21"/>
          <w:highlight w:val="none"/>
        </w:rPr>
      </w:pPr>
    </w:p>
    <w:p w14:paraId="6E6F1573">
      <w:pPr>
        <w:shd w:val="clear" w:color="auto" w:fill="FFFFFF"/>
        <w:snapToGrid w:val="0"/>
        <w:spacing w:before="50" w:after="50" w:line="360" w:lineRule="auto"/>
        <w:ind w:firstLine="480"/>
        <w:rPr>
          <w:rFonts w:hAnsi="宋体"/>
          <w:color w:val="auto"/>
          <w:szCs w:val="21"/>
          <w:highlight w:val="none"/>
        </w:rPr>
      </w:pPr>
      <w:r>
        <w:rPr>
          <w:rFonts w:hint="eastAsia" w:hAnsi="宋体"/>
          <w:color w:val="auto"/>
          <w:szCs w:val="21"/>
          <w:highlight w:val="none"/>
        </w:rPr>
        <w:t> </w:t>
      </w:r>
    </w:p>
    <w:p w14:paraId="702DD5DE">
      <w:pPr>
        <w:shd w:val="clear" w:color="auto" w:fill="FFFFFF"/>
        <w:snapToGrid w:val="0"/>
        <w:spacing w:before="50" w:after="50"/>
        <w:ind w:left="-21" w:leftChars="-72" w:right="-817" w:rightChars="-389" w:hanging="130" w:hangingChars="62"/>
        <w:rPr>
          <w:rFonts w:hAnsi="宋体"/>
          <w:color w:val="auto"/>
          <w:szCs w:val="21"/>
          <w:highlight w:val="none"/>
        </w:rPr>
      </w:pPr>
      <w:r>
        <w:rPr>
          <w:rFonts w:hint="eastAsia" w:hAnsi="宋体"/>
          <w:color w:val="auto"/>
          <w:szCs w:val="21"/>
          <w:highlight w:val="none"/>
        </w:rPr>
        <w:t> </w:t>
      </w:r>
    </w:p>
    <w:p w14:paraId="3DB4DD74">
      <w:pPr>
        <w:shd w:val="clear" w:color="auto" w:fill="FFFFFF"/>
        <w:snapToGrid w:val="0"/>
        <w:spacing w:before="50" w:after="50" w:line="360" w:lineRule="exact"/>
        <w:rPr>
          <w:rFonts w:hint="eastAsia" w:hAnsi="宋体" w:cs="宋体"/>
          <w:color w:val="auto"/>
          <w:szCs w:val="21"/>
          <w:highlight w:val="none"/>
        </w:rPr>
      </w:pPr>
      <w:r>
        <w:rPr>
          <w:rFonts w:hint="eastAsia" w:hAnsi="宋体" w:cs="宋体"/>
          <w:color w:val="auto"/>
          <w:szCs w:val="21"/>
          <w:highlight w:val="none"/>
        </w:rPr>
        <w:t>法定代表人或授权代表</w:t>
      </w:r>
      <w:r>
        <w:rPr>
          <w:rFonts w:hint="eastAsia" w:ascii="宋体" w:hAnsi="宋体" w:eastAsia="宋体" w:cs="宋体"/>
          <w:color w:val="auto"/>
          <w:szCs w:val="21"/>
          <w:highlight w:val="none"/>
        </w:rPr>
        <w:t>签字或盖章</w:t>
      </w:r>
      <w:r>
        <w:rPr>
          <w:rFonts w:hint="eastAsia" w:hAnsi="宋体" w:cs="宋体"/>
          <w:color w:val="auto"/>
          <w:szCs w:val="21"/>
          <w:highlight w:val="none"/>
        </w:rPr>
        <w:t xml:space="preserve">：             </w:t>
      </w:r>
    </w:p>
    <w:p w14:paraId="0D9DA483">
      <w:pPr>
        <w:shd w:val="clear" w:color="auto" w:fill="FFFFFF"/>
        <w:snapToGrid w:val="0"/>
        <w:spacing w:before="50" w:after="50" w:line="360" w:lineRule="exact"/>
        <w:rPr>
          <w:rFonts w:hint="eastAsia" w:hAnsi="宋体" w:cs="宋体"/>
          <w:color w:val="auto"/>
          <w:szCs w:val="21"/>
          <w:highlight w:val="none"/>
        </w:rPr>
      </w:pPr>
      <w:r>
        <w:rPr>
          <w:rFonts w:hint="eastAsia" w:hAnsi="宋体" w:cs="宋体"/>
          <w:color w:val="auto"/>
          <w:szCs w:val="21"/>
          <w:highlight w:val="none"/>
        </w:rPr>
        <w:t xml:space="preserve">供应商公章：                                     </w:t>
      </w:r>
    </w:p>
    <w:p w14:paraId="2E0A84A4">
      <w:pPr>
        <w:shd w:val="clear" w:color="auto" w:fill="FFFFFF"/>
        <w:snapToGrid w:val="0"/>
        <w:spacing w:before="50" w:after="50" w:line="360" w:lineRule="exact"/>
        <w:rPr>
          <w:rFonts w:hint="eastAsia" w:hAnsi="宋体" w:cs="宋体"/>
          <w:color w:val="auto"/>
          <w:szCs w:val="21"/>
          <w:highlight w:val="none"/>
        </w:rPr>
      </w:pPr>
      <w:r>
        <w:rPr>
          <w:rFonts w:hint="eastAsia" w:hAnsi="宋体" w:cs="宋体"/>
          <w:color w:val="auto"/>
          <w:szCs w:val="21"/>
          <w:highlight w:val="none"/>
        </w:rPr>
        <w:t>年    月    日</w:t>
      </w:r>
    </w:p>
    <w:p w14:paraId="63C70EBD">
      <w:pPr>
        <w:pStyle w:val="3"/>
        <w:rPr>
          <w:rFonts w:hint="eastAsia" w:ascii="宋体" w:hAnsi="宋体" w:eastAsia="宋体" w:cs="宋体"/>
          <w:b w:val="0"/>
          <w:bCs w:val="0"/>
          <w:color w:val="auto"/>
          <w:sz w:val="21"/>
          <w:szCs w:val="21"/>
          <w:highlight w:val="none"/>
        </w:rPr>
      </w:pPr>
    </w:p>
    <w:p w14:paraId="6341FF77">
      <w:pPr>
        <w:rPr>
          <w:rFonts w:hint="eastAsia" w:hAnsi="宋体" w:cs="宋体"/>
          <w:color w:val="auto"/>
          <w:szCs w:val="21"/>
          <w:highlight w:val="none"/>
        </w:rPr>
      </w:pPr>
    </w:p>
    <w:p w14:paraId="733DC115">
      <w:pPr>
        <w:pStyle w:val="3"/>
        <w:rPr>
          <w:rFonts w:hint="eastAsia" w:ascii="宋体" w:hAnsi="宋体" w:eastAsia="宋体" w:cs="宋体"/>
          <w:b w:val="0"/>
          <w:bCs w:val="0"/>
          <w:color w:val="auto"/>
          <w:sz w:val="21"/>
          <w:szCs w:val="21"/>
          <w:highlight w:val="none"/>
        </w:rPr>
      </w:pPr>
    </w:p>
    <w:p w14:paraId="10918474">
      <w:pPr>
        <w:rPr>
          <w:rFonts w:hint="eastAsia" w:hAnsi="宋体" w:cs="宋体"/>
          <w:color w:val="auto"/>
          <w:szCs w:val="21"/>
          <w:highlight w:val="none"/>
        </w:rPr>
      </w:pPr>
    </w:p>
    <w:p w14:paraId="14CFD38D">
      <w:pPr>
        <w:rPr>
          <w:rFonts w:hint="eastAsia" w:hAnsi="宋体" w:cs="宋体"/>
          <w:color w:val="auto"/>
          <w:szCs w:val="21"/>
          <w:highlight w:val="none"/>
        </w:rPr>
      </w:pPr>
    </w:p>
    <w:p w14:paraId="081AD28A">
      <w:pPr>
        <w:rPr>
          <w:rFonts w:hint="eastAsia" w:hAnsi="宋体" w:cs="宋体"/>
          <w:color w:val="auto"/>
          <w:szCs w:val="21"/>
          <w:highlight w:val="none"/>
        </w:rPr>
      </w:pPr>
    </w:p>
    <w:p w14:paraId="11ECA451">
      <w:pPr>
        <w:rPr>
          <w:rFonts w:hint="eastAsia" w:hAnsi="宋体" w:cs="宋体"/>
          <w:color w:val="auto"/>
          <w:szCs w:val="21"/>
          <w:highlight w:val="none"/>
        </w:rPr>
      </w:pPr>
    </w:p>
    <w:p w14:paraId="5BDDC970">
      <w:pPr>
        <w:rPr>
          <w:rFonts w:hint="eastAsia" w:hAnsi="宋体" w:cs="宋体"/>
          <w:color w:val="auto"/>
          <w:szCs w:val="21"/>
          <w:highlight w:val="none"/>
        </w:rPr>
      </w:pPr>
    </w:p>
    <w:p w14:paraId="411BC1B3">
      <w:pPr>
        <w:shd w:val="clear" w:color="auto" w:fill="FFFFFF"/>
        <w:snapToGrid w:val="0"/>
        <w:spacing w:before="50" w:after="50"/>
        <w:rPr>
          <w:rFonts w:hint="eastAsia" w:hAnsi="宋体"/>
          <w:b/>
          <w:bCs/>
          <w:color w:val="auto"/>
          <w:szCs w:val="21"/>
          <w:highlight w:val="none"/>
        </w:rPr>
      </w:pPr>
      <w:r>
        <w:rPr>
          <w:rFonts w:hint="eastAsia" w:hAnsi="宋体"/>
          <w:b/>
          <w:bCs/>
          <w:color w:val="auto"/>
          <w:szCs w:val="21"/>
          <w:highlight w:val="none"/>
        </w:rPr>
        <w:t>附件3</w:t>
      </w:r>
    </w:p>
    <w:p w14:paraId="77325A0D">
      <w:pPr>
        <w:jc w:val="center"/>
        <w:rPr>
          <w:rFonts w:hint="eastAsia" w:hAnsi="宋体"/>
          <w:b/>
          <w:color w:val="auto"/>
          <w:sz w:val="28"/>
          <w:szCs w:val="28"/>
          <w:highlight w:val="none"/>
        </w:rPr>
      </w:pPr>
      <w:bookmarkStart w:id="79" w:name="_Toc31071_WPSOffice_Level2"/>
      <w:r>
        <w:rPr>
          <w:rFonts w:hint="eastAsia" w:hAnsi="宋体"/>
          <w:b/>
          <w:color w:val="auto"/>
          <w:sz w:val="28"/>
          <w:szCs w:val="28"/>
          <w:highlight w:val="none"/>
        </w:rPr>
        <w:t>分项报价表（明细报价表）</w:t>
      </w:r>
      <w:bookmarkEnd w:id="79"/>
    </w:p>
    <w:tbl>
      <w:tblPr>
        <w:tblStyle w:val="46"/>
        <w:tblW w:w="9667"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858"/>
        <w:gridCol w:w="2506"/>
        <w:gridCol w:w="810"/>
        <w:gridCol w:w="739"/>
        <w:gridCol w:w="1662"/>
        <w:gridCol w:w="1404"/>
        <w:gridCol w:w="1688"/>
      </w:tblGrid>
      <w:tr w14:paraId="2646D60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17" w:hRule="atLeast"/>
          <w:jc w:val="center"/>
        </w:trPr>
        <w:tc>
          <w:tcPr>
            <w:tcW w:w="8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308DCC">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序号</w:t>
            </w:r>
          </w:p>
        </w:tc>
        <w:tc>
          <w:tcPr>
            <w:tcW w:w="25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8B4BCD">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内容</w:t>
            </w: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EA8902">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数量</w:t>
            </w:r>
          </w:p>
        </w:tc>
        <w:tc>
          <w:tcPr>
            <w:tcW w:w="7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CE7CD1">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单位</w:t>
            </w:r>
          </w:p>
        </w:tc>
        <w:tc>
          <w:tcPr>
            <w:tcW w:w="16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466796">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单价（元）</w:t>
            </w:r>
          </w:p>
        </w:tc>
        <w:tc>
          <w:tcPr>
            <w:tcW w:w="14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7DAB96">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服务期限（年）</w:t>
            </w:r>
          </w:p>
        </w:tc>
        <w:tc>
          <w:tcPr>
            <w:tcW w:w="16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4CEED4">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总价（元）</w:t>
            </w:r>
          </w:p>
        </w:tc>
      </w:tr>
      <w:tr w14:paraId="2E06BCC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jc w:val="center"/>
        </w:trPr>
        <w:tc>
          <w:tcPr>
            <w:tcW w:w="8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3171C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25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2F6E8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小（1）型水库</w:t>
            </w: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35DC5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10</w:t>
            </w:r>
          </w:p>
        </w:tc>
        <w:tc>
          <w:tcPr>
            <w:tcW w:w="7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E5CBF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座</w:t>
            </w:r>
          </w:p>
        </w:tc>
        <w:tc>
          <w:tcPr>
            <w:tcW w:w="16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81158F">
            <w:pPr>
              <w:jc w:val="center"/>
              <w:rPr>
                <w:rFonts w:hint="eastAsia" w:ascii="宋体" w:hAnsi="宋体" w:eastAsia="宋体" w:cs="宋体"/>
                <w:i w:val="0"/>
                <w:iCs w:val="0"/>
                <w:color w:val="auto"/>
                <w:sz w:val="21"/>
                <w:szCs w:val="21"/>
                <w:highlight w:val="none"/>
                <w:u w:val="none"/>
                <w:lang w:val="en-US" w:eastAsia="zh-CN"/>
              </w:rPr>
            </w:pPr>
            <w:r>
              <w:rPr>
                <w:rFonts w:hint="eastAsia" w:ascii="宋体" w:hAnsi="宋体" w:eastAsia="宋体" w:cs="宋体"/>
                <w:i w:val="0"/>
                <w:iCs w:val="0"/>
                <w:color w:val="auto"/>
                <w:sz w:val="21"/>
                <w:szCs w:val="21"/>
                <w:highlight w:val="none"/>
                <w:u w:val="none"/>
                <w:lang w:val="en-US" w:eastAsia="zh-CN"/>
              </w:rPr>
              <w:t>/</w:t>
            </w:r>
          </w:p>
        </w:tc>
        <w:tc>
          <w:tcPr>
            <w:tcW w:w="14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880BC5">
            <w:pPr>
              <w:jc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2年</w:t>
            </w:r>
          </w:p>
        </w:tc>
        <w:tc>
          <w:tcPr>
            <w:tcW w:w="16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BB2D4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p>
        </w:tc>
      </w:tr>
      <w:tr w14:paraId="5DD03BC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9" w:hRule="atLeast"/>
          <w:jc w:val="center"/>
        </w:trPr>
        <w:tc>
          <w:tcPr>
            <w:tcW w:w="8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B2FBEC">
            <w:pPr>
              <w:keepNext w:val="0"/>
              <w:keepLines w:val="0"/>
              <w:widowControl/>
              <w:suppressLineNumbers w:val="0"/>
              <w:jc w:val="center"/>
              <w:textAlignment w:val="center"/>
              <w:rPr>
                <w:rFonts w:hint="default" w:ascii="宋体" w:hAnsi="宋体" w:eastAsia="宋体" w:cs="宋体"/>
                <w:i w:val="0"/>
                <w:iCs w:val="0"/>
                <w:color w:val="auto"/>
                <w:sz w:val="21"/>
                <w:szCs w:val="21"/>
                <w:highlight w:val="none"/>
                <w:u w:val="none"/>
                <w:lang w:val="en-US"/>
              </w:rPr>
            </w:pPr>
            <w:r>
              <w:rPr>
                <w:rFonts w:hint="eastAsia" w:ascii="宋体" w:hAnsi="宋体" w:eastAsia="宋体" w:cs="宋体"/>
                <w:i w:val="0"/>
                <w:iCs w:val="0"/>
                <w:color w:val="auto"/>
                <w:kern w:val="0"/>
                <w:sz w:val="21"/>
                <w:szCs w:val="21"/>
                <w:highlight w:val="none"/>
                <w:u w:val="none"/>
                <w:lang w:val="en-US" w:eastAsia="zh-CN" w:bidi="ar"/>
              </w:rPr>
              <w:t>1.1</w:t>
            </w:r>
          </w:p>
        </w:tc>
        <w:tc>
          <w:tcPr>
            <w:tcW w:w="25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B48BC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水库巡查，保洁、增设水位特性值标记</w:t>
            </w:r>
            <w:r>
              <w:rPr>
                <w:rFonts w:hint="eastAsia" w:ascii="宋体" w:hAnsi="宋体" w:cs="宋体"/>
                <w:i w:val="0"/>
                <w:iCs w:val="0"/>
                <w:color w:val="auto"/>
                <w:kern w:val="0"/>
                <w:sz w:val="21"/>
                <w:szCs w:val="21"/>
                <w:highlight w:val="none"/>
                <w:u w:val="none"/>
                <w:lang w:val="en-US" w:eastAsia="zh-CN" w:bidi="ar"/>
              </w:rPr>
              <w:t>，大坝坝顶、坝面、溢洪道等维修</w:t>
            </w: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A1E5E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10</w:t>
            </w:r>
          </w:p>
        </w:tc>
        <w:tc>
          <w:tcPr>
            <w:tcW w:w="7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5DF8D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座</w:t>
            </w:r>
          </w:p>
        </w:tc>
        <w:tc>
          <w:tcPr>
            <w:tcW w:w="16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99560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 xml:space="preserve">  元/座/年</w:t>
            </w:r>
          </w:p>
        </w:tc>
        <w:tc>
          <w:tcPr>
            <w:tcW w:w="14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6AA00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2年</w:t>
            </w:r>
          </w:p>
        </w:tc>
        <w:tc>
          <w:tcPr>
            <w:tcW w:w="16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3B362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p>
        </w:tc>
      </w:tr>
      <w:tr w14:paraId="36C23A4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9" w:hRule="atLeast"/>
          <w:jc w:val="center"/>
        </w:trPr>
        <w:tc>
          <w:tcPr>
            <w:tcW w:w="8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AA35D7">
            <w:pPr>
              <w:keepNext w:val="0"/>
              <w:keepLines w:val="0"/>
              <w:widowControl/>
              <w:suppressLineNumbers w:val="0"/>
              <w:jc w:val="center"/>
              <w:textAlignment w:val="center"/>
              <w:rPr>
                <w:rFonts w:hint="default" w:ascii="宋体" w:hAnsi="宋体" w:eastAsia="宋体" w:cs="宋体"/>
                <w:i w:val="0"/>
                <w:iCs w:val="0"/>
                <w:color w:val="auto"/>
                <w:sz w:val="21"/>
                <w:szCs w:val="21"/>
                <w:highlight w:val="none"/>
                <w:u w:val="none"/>
                <w:lang w:val="en-US"/>
              </w:rPr>
            </w:pPr>
            <w:r>
              <w:rPr>
                <w:rFonts w:hint="eastAsia" w:ascii="宋体" w:hAnsi="宋体" w:eastAsia="宋体" w:cs="宋体"/>
                <w:i w:val="0"/>
                <w:iCs w:val="0"/>
                <w:color w:val="auto"/>
                <w:kern w:val="0"/>
                <w:sz w:val="21"/>
                <w:szCs w:val="21"/>
                <w:highlight w:val="none"/>
                <w:u w:val="none"/>
                <w:lang w:val="en-US" w:eastAsia="zh-CN" w:bidi="ar"/>
              </w:rPr>
              <w:t>1.2</w:t>
            </w:r>
          </w:p>
        </w:tc>
        <w:tc>
          <w:tcPr>
            <w:tcW w:w="25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0C91E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坝体表面水平位移、垂直位移观测</w:t>
            </w: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43F1D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9</w:t>
            </w:r>
          </w:p>
        </w:tc>
        <w:tc>
          <w:tcPr>
            <w:tcW w:w="7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8E159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座</w:t>
            </w:r>
          </w:p>
        </w:tc>
        <w:tc>
          <w:tcPr>
            <w:tcW w:w="16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17931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 xml:space="preserve">  元/座/年</w:t>
            </w:r>
          </w:p>
        </w:tc>
        <w:tc>
          <w:tcPr>
            <w:tcW w:w="14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CE0F4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2年</w:t>
            </w:r>
          </w:p>
        </w:tc>
        <w:tc>
          <w:tcPr>
            <w:tcW w:w="16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961B1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p>
        </w:tc>
      </w:tr>
      <w:tr w14:paraId="1A5CE18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9" w:hRule="atLeast"/>
          <w:jc w:val="center"/>
        </w:trPr>
        <w:tc>
          <w:tcPr>
            <w:tcW w:w="8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698E9B">
            <w:pPr>
              <w:keepNext w:val="0"/>
              <w:keepLines w:val="0"/>
              <w:widowControl/>
              <w:suppressLineNumbers w:val="0"/>
              <w:jc w:val="center"/>
              <w:textAlignment w:val="center"/>
              <w:rPr>
                <w:rFonts w:hint="default" w:ascii="宋体" w:hAnsi="宋体" w:eastAsia="宋体" w:cs="宋体"/>
                <w:i w:val="0"/>
                <w:iCs w:val="0"/>
                <w:color w:val="auto"/>
                <w:sz w:val="21"/>
                <w:szCs w:val="21"/>
                <w:highlight w:val="none"/>
                <w:u w:val="none"/>
                <w:lang w:val="en-US"/>
              </w:rPr>
            </w:pPr>
            <w:r>
              <w:rPr>
                <w:rFonts w:hint="eastAsia" w:ascii="宋体" w:hAnsi="宋体" w:eastAsia="宋体" w:cs="宋体"/>
                <w:i w:val="0"/>
                <w:iCs w:val="0"/>
                <w:color w:val="auto"/>
                <w:kern w:val="0"/>
                <w:sz w:val="21"/>
                <w:szCs w:val="21"/>
                <w:highlight w:val="none"/>
                <w:u w:val="none"/>
                <w:lang w:val="en-US" w:eastAsia="zh-CN" w:bidi="ar"/>
              </w:rPr>
              <w:t>1.3</w:t>
            </w:r>
          </w:p>
        </w:tc>
        <w:tc>
          <w:tcPr>
            <w:tcW w:w="25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431BF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坝体渗流压力观测（测压管观测、渗流量）</w:t>
            </w: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286F0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9</w:t>
            </w:r>
          </w:p>
        </w:tc>
        <w:tc>
          <w:tcPr>
            <w:tcW w:w="7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49440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座</w:t>
            </w:r>
          </w:p>
        </w:tc>
        <w:tc>
          <w:tcPr>
            <w:tcW w:w="16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D881A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 xml:space="preserve">  元/座/年</w:t>
            </w:r>
          </w:p>
        </w:tc>
        <w:tc>
          <w:tcPr>
            <w:tcW w:w="14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54C5A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2年</w:t>
            </w:r>
          </w:p>
        </w:tc>
        <w:tc>
          <w:tcPr>
            <w:tcW w:w="16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39E89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p>
        </w:tc>
      </w:tr>
      <w:tr w14:paraId="3C25AEC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2" w:hRule="atLeast"/>
          <w:jc w:val="center"/>
        </w:trPr>
        <w:tc>
          <w:tcPr>
            <w:tcW w:w="8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D7AD1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w:t>
            </w:r>
          </w:p>
        </w:tc>
        <w:tc>
          <w:tcPr>
            <w:tcW w:w="25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CAE17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小（2）型水库</w:t>
            </w: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AAF45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46</w:t>
            </w:r>
          </w:p>
        </w:tc>
        <w:tc>
          <w:tcPr>
            <w:tcW w:w="7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79E30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座</w:t>
            </w:r>
          </w:p>
        </w:tc>
        <w:tc>
          <w:tcPr>
            <w:tcW w:w="16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98F1C4">
            <w:pPr>
              <w:jc w:val="center"/>
              <w:rPr>
                <w:rFonts w:hint="eastAsia" w:ascii="宋体" w:hAnsi="宋体" w:eastAsia="宋体" w:cs="宋体"/>
                <w:i w:val="0"/>
                <w:iCs w:val="0"/>
                <w:color w:val="auto"/>
                <w:sz w:val="21"/>
                <w:szCs w:val="21"/>
                <w:highlight w:val="none"/>
                <w:u w:val="none"/>
                <w:lang w:val="en-US" w:eastAsia="zh-CN"/>
              </w:rPr>
            </w:pPr>
            <w:r>
              <w:rPr>
                <w:rFonts w:hint="eastAsia" w:ascii="宋体" w:hAnsi="宋体" w:eastAsia="宋体" w:cs="宋体"/>
                <w:i w:val="0"/>
                <w:iCs w:val="0"/>
                <w:color w:val="auto"/>
                <w:sz w:val="21"/>
                <w:szCs w:val="21"/>
                <w:highlight w:val="none"/>
                <w:u w:val="none"/>
                <w:lang w:val="en-US" w:eastAsia="zh-CN"/>
              </w:rPr>
              <w:t>/</w:t>
            </w:r>
          </w:p>
        </w:tc>
        <w:tc>
          <w:tcPr>
            <w:tcW w:w="14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9245EE">
            <w:pPr>
              <w:jc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2年</w:t>
            </w:r>
          </w:p>
        </w:tc>
        <w:tc>
          <w:tcPr>
            <w:tcW w:w="16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37D62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p>
        </w:tc>
      </w:tr>
      <w:tr w14:paraId="187BF79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9" w:hRule="atLeast"/>
          <w:jc w:val="center"/>
        </w:trPr>
        <w:tc>
          <w:tcPr>
            <w:tcW w:w="8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5D39EF">
            <w:pPr>
              <w:keepNext w:val="0"/>
              <w:keepLines w:val="0"/>
              <w:widowControl/>
              <w:suppressLineNumbers w:val="0"/>
              <w:jc w:val="center"/>
              <w:textAlignment w:val="center"/>
              <w:rPr>
                <w:rFonts w:hint="default" w:ascii="宋体" w:hAnsi="宋体" w:eastAsia="宋体" w:cs="宋体"/>
                <w:i w:val="0"/>
                <w:iCs w:val="0"/>
                <w:color w:val="auto"/>
                <w:sz w:val="21"/>
                <w:szCs w:val="21"/>
                <w:highlight w:val="none"/>
                <w:u w:val="none"/>
                <w:lang w:val="en-US"/>
              </w:rPr>
            </w:pPr>
            <w:r>
              <w:rPr>
                <w:rFonts w:hint="eastAsia" w:ascii="宋体" w:hAnsi="宋体" w:eastAsia="宋体" w:cs="宋体"/>
                <w:i w:val="0"/>
                <w:iCs w:val="0"/>
                <w:color w:val="auto"/>
                <w:kern w:val="0"/>
                <w:sz w:val="21"/>
                <w:szCs w:val="21"/>
                <w:highlight w:val="none"/>
                <w:u w:val="none"/>
                <w:lang w:val="en-US" w:eastAsia="zh-CN" w:bidi="ar"/>
              </w:rPr>
              <w:t>2.1</w:t>
            </w:r>
          </w:p>
        </w:tc>
        <w:tc>
          <w:tcPr>
            <w:tcW w:w="25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10B73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水库巡查，保洁、增设水位特性值标记</w:t>
            </w:r>
            <w:r>
              <w:rPr>
                <w:rFonts w:hint="eastAsia" w:ascii="宋体" w:hAnsi="宋体" w:cs="宋体"/>
                <w:i w:val="0"/>
                <w:iCs w:val="0"/>
                <w:color w:val="auto"/>
                <w:kern w:val="0"/>
                <w:sz w:val="21"/>
                <w:szCs w:val="21"/>
                <w:highlight w:val="none"/>
                <w:u w:val="none"/>
                <w:lang w:val="en-US" w:eastAsia="zh-CN" w:bidi="ar"/>
              </w:rPr>
              <w:t>，大坝坝顶、坝面、溢洪道等维修</w:t>
            </w: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4D28C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46</w:t>
            </w:r>
          </w:p>
        </w:tc>
        <w:tc>
          <w:tcPr>
            <w:tcW w:w="7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CDCA0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座</w:t>
            </w:r>
          </w:p>
        </w:tc>
        <w:tc>
          <w:tcPr>
            <w:tcW w:w="16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E9ADB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 xml:space="preserve">  元/座/年</w:t>
            </w:r>
          </w:p>
        </w:tc>
        <w:tc>
          <w:tcPr>
            <w:tcW w:w="14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88476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2年</w:t>
            </w:r>
          </w:p>
        </w:tc>
        <w:tc>
          <w:tcPr>
            <w:tcW w:w="16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140B4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p>
        </w:tc>
      </w:tr>
      <w:tr w14:paraId="39920DA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9" w:hRule="atLeast"/>
          <w:jc w:val="center"/>
        </w:trPr>
        <w:tc>
          <w:tcPr>
            <w:tcW w:w="8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BAE317">
            <w:pPr>
              <w:keepNext w:val="0"/>
              <w:keepLines w:val="0"/>
              <w:widowControl/>
              <w:suppressLineNumbers w:val="0"/>
              <w:jc w:val="center"/>
              <w:textAlignment w:val="center"/>
              <w:rPr>
                <w:rFonts w:hint="default" w:ascii="宋体" w:hAnsi="宋体" w:eastAsia="宋体" w:cs="宋体"/>
                <w:i w:val="0"/>
                <w:iCs w:val="0"/>
                <w:color w:val="auto"/>
                <w:sz w:val="21"/>
                <w:szCs w:val="21"/>
                <w:highlight w:val="none"/>
                <w:u w:val="none"/>
                <w:lang w:val="en-US"/>
              </w:rPr>
            </w:pPr>
            <w:r>
              <w:rPr>
                <w:rFonts w:hint="eastAsia" w:ascii="宋体" w:hAnsi="宋体" w:eastAsia="宋体" w:cs="宋体"/>
                <w:i w:val="0"/>
                <w:iCs w:val="0"/>
                <w:color w:val="auto"/>
                <w:kern w:val="0"/>
                <w:sz w:val="21"/>
                <w:szCs w:val="21"/>
                <w:highlight w:val="none"/>
                <w:u w:val="none"/>
                <w:lang w:val="en-US" w:eastAsia="zh-CN" w:bidi="ar"/>
              </w:rPr>
              <w:t>2.2</w:t>
            </w:r>
          </w:p>
        </w:tc>
        <w:tc>
          <w:tcPr>
            <w:tcW w:w="25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44C40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坝体表面水平位移、垂直位移观测</w:t>
            </w: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ACE53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46</w:t>
            </w:r>
          </w:p>
        </w:tc>
        <w:tc>
          <w:tcPr>
            <w:tcW w:w="7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76216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座</w:t>
            </w:r>
          </w:p>
        </w:tc>
        <w:tc>
          <w:tcPr>
            <w:tcW w:w="16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6B044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 xml:space="preserve">  元/座/年</w:t>
            </w:r>
          </w:p>
        </w:tc>
        <w:tc>
          <w:tcPr>
            <w:tcW w:w="14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AF64E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2年</w:t>
            </w:r>
          </w:p>
        </w:tc>
        <w:tc>
          <w:tcPr>
            <w:tcW w:w="16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D9FEE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p>
        </w:tc>
      </w:tr>
      <w:tr w14:paraId="0400A87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9" w:hRule="atLeast"/>
          <w:jc w:val="center"/>
        </w:trPr>
        <w:tc>
          <w:tcPr>
            <w:tcW w:w="8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C72E6A">
            <w:pPr>
              <w:keepNext w:val="0"/>
              <w:keepLines w:val="0"/>
              <w:widowControl/>
              <w:suppressLineNumbers w:val="0"/>
              <w:jc w:val="center"/>
              <w:textAlignment w:val="center"/>
              <w:rPr>
                <w:rFonts w:hint="default" w:ascii="宋体" w:hAnsi="宋体" w:eastAsia="宋体" w:cs="宋体"/>
                <w:i w:val="0"/>
                <w:iCs w:val="0"/>
                <w:color w:val="auto"/>
                <w:sz w:val="21"/>
                <w:szCs w:val="21"/>
                <w:highlight w:val="none"/>
                <w:u w:val="none"/>
                <w:lang w:val="en-US"/>
              </w:rPr>
            </w:pPr>
            <w:r>
              <w:rPr>
                <w:rFonts w:hint="eastAsia" w:ascii="宋体" w:hAnsi="宋体" w:eastAsia="宋体" w:cs="宋体"/>
                <w:i w:val="0"/>
                <w:iCs w:val="0"/>
                <w:color w:val="auto"/>
                <w:kern w:val="0"/>
                <w:sz w:val="21"/>
                <w:szCs w:val="21"/>
                <w:highlight w:val="none"/>
                <w:u w:val="none"/>
                <w:lang w:val="en-US" w:eastAsia="zh-CN" w:bidi="ar"/>
              </w:rPr>
              <w:t>2.3</w:t>
            </w:r>
          </w:p>
        </w:tc>
        <w:tc>
          <w:tcPr>
            <w:tcW w:w="25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036EF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坝体渗流压力观测（测压管观测、渗流量）</w:t>
            </w: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7B1D9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11</w:t>
            </w:r>
          </w:p>
        </w:tc>
        <w:tc>
          <w:tcPr>
            <w:tcW w:w="7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96D84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座</w:t>
            </w:r>
          </w:p>
        </w:tc>
        <w:tc>
          <w:tcPr>
            <w:tcW w:w="16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65F79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 xml:space="preserve">  元/座/年</w:t>
            </w:r>
          </w:p>
        </w:tc>
        <w:tc>
          <w:tcPr>
            <w:tcW w:w="14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00F03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2年</w:t>
            </w:r>
          </w:p>
        </w:tc>
        <w:tc>
          <w:tcPr>
            <w:tcW w:w="16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CE619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p>
        </w:tc>
      </w:tr>
      <w:tr w14:paraId="0A4E1D1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70" w:hRule="atLeast"/>
          <w:jc w:val="center"/>
        </w:trPr>
        <w:tc>
          <w:tcPr>
            <w:tcW w:w="8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B360A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w:t>
            </w:r>
          </w:p>
        </w:tc>
        <w:tc>
          <w:tcPr>
            <w:tcW w:w="25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4BA02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山塘</w:t>
            </w: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38AAD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12</w:t>
            </w:r>
          </w:p>
        </w:tc>
        <w:tc>
          <w:tcPr>
            <w:tcW w:w="7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97E3C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座</w:t>
            </w:r>
          </w:p>
        </w:tc>
        <w:tc>
          <w:tcPr>
            <w:tcW w:w="16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698506">
            <w:pPr>
              <w:jc w:val="center"/>
              <w:rPr>
                <w:rFonts w:hint="eastAsia" w:ascii="宋体" w:hAnsi="宋体" w:eastAsia="宋体" w:cs="宋体"/>
                <w:i w:val="0"/>
                <w:iCs w:val="0"/>
                <w:color w:val="auto"/>
                <w:sz w:val="21"/>
                <w:szCs w:val="21"/>
                <w:highlight w:val="none"/>
                <w:u w:val="none"/>
                <w:lang w:val="en-US" w:eastAsia="zh-CN"/>
              </w:rPr>
            </w:pPr>
            <w:r>
              <w:rPr>
                <w:rFonts w:hint="eastAsia" w:ascii="宋体" w:hAnsi="宋体" w:eastAsia="宋体" w:cs="宋体"/>
                <w:i w:val="0"/>
                <w:iCs w:val="0"/>
                <w:color w:val="auto"/>
                <w:sz w:val="21"/>
                <w:szCs w:val="21"/>
                <w:highlight w:val="none"/>
                <w:u w:val="none"/>
                <w:lang w:val="en-US" w:eastAsia="zh-CN"/>
              </w:rPr>
              <w:t>/</w:t>
            </w:r>
          </w:p>
        </w:tc>
        <w:tc>
          <w:tcPr>
            <w:tcW w:w="14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FCDDA0">
            <w:pPr>
              <w:jc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2年</w:t>
            </w:r>
          </w:p>
        </w:tc>
        <w:tc>
          <w:tcPr>
            <w:tcW w:w="16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0B0B79">
            <w:pPr>
              <w:jc w:val="center"/>
              <w:rPr>
                <w:rFonts w:hint="eastAsia" w:ascii="宋体" w:hAnsi="宋体" w:eastAsia="宋体" w:cs="宋体"/>
                <w:i w:val="0"/>
                <w:iCs w:val="0"/>
                <w:color w:val="auto"/>
                <w:sz w:val="21"/>
                <w:szCs w:val="21"/>
                <w:highlight w:val="none"/>
                <w:u w:val="none"/>
              </w:rPr>
            </w:pPr>
          </w:p>
        </w:tc>
      </w:tr>
      <w:tr w14:paraId="093E9E5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1" w:hRule="atLeast"/>
          <w:jc w:val="center"/>
        </w:trPr>
        <w:tc>
          <w:tcPr>
            <w:tcW w:w="8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8AF7CB">
            <w:pPr>
              <w:keepNext w:val="0"/>
              <w:keepLines w:val="0"/>
              <w:widowControl/>
              <w:suppressLineNumbers w:val="0"/>
              <w:jc w:val="center"/>
              <w:textAlignment w:val="center"/>
              <w:rPr>
                <w:rFonts w:hint="default" w:ascii="宋体" w:hAnsi="宋体" w:cs="宋体"/>
                <w:i w:val="0"/>
                <w:iCs w:val="0"/>
                <w:color w:val="auto"/>
                <w:kern w:val="0"/>
                <w:sz w:val="21"/>
                <w:szCs w:val="21"/>
                <w:highlight w:val="none"/>
                <w:u w:val="none"/>
                <w:lang w:val="en-US" w:eastAsia="zh-CN" w:bidi="ar"/>
              </w:rPr>
            </w:pPr>
            <w:r>
              <w:rPr>
                <w:rFonts w:hint="eastAsia" w:ascii="宋体" w:hAnsi="宋体" w:cs="宋体"/>
                <w:i w:val="0"/>
                <w:iCs w:val="0"/>
                <w:color w:val="auto"/>
                <w:kern w:val="0"/>
                <w:sz w:val="21"/>
                <w:szCs w:val="21"/>
                <w:highlight w:val="none"/>
                <w:u w:val="none"/>
                <w:lang w:val="en-US" w:eastAsia="zh-CN" w:bidi="ar"/>
              </w:rPr>
              <w:t>3.1</w:t>
            </w:r>
          </w:p>
        </w:tc>
        <w:tc>
          <w:tcPr>
            <w:tcW w:w="25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A4A02E">
            <w:pPr>
              <w:keepNext w:val="0"/>
              <w:keepLines w:val="0"/>
              <w:widowControl/>
              <w:suppressLineNumbers w:val="0"/>
              <w:jc w:val="center"/>
              <w:textAlignment w:val="center"/>
              <w:rPr>
                <w:rFonts w:hint="eastAsia" w:ascii="宋体" w:hAnsi="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山塘巡查，保洁、增设水位特性值标记</w:t>
            </w:r>
            <w:r>
              <w:rPr>
                <w:rFonts w:hint="eastAsia" w:ascii="宋体" w:hAnsi="宋体" w:cs="宋体"/>
                <w:i w:val="0"/>
                <w:iCs w:val="0"/>
                <w:color w:val="auto"/>
                <w:kern w:val="0"/>
                <w:sz w:val="21"/>
                <w:szCs w:val="21"/>
                <w:highlight w:val="none"/>
                <w:u w:val="none"/>
                <w:lang w:val="en-US" w:eastAsia="zh-CN" w:bidi="ar"/>
              </w:rPr>
              <w:t>，大坝坝顶、坝面、溢洪道等维修</w:t>
            </w:r>
            <w:bookmarkStart w:id="80" w:name="_GoBack"/>
            <w:bookmarkEnd w:id="80"/>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D10F5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12</w:t>
            </w:r>
          </w:p>
        </w:tc>
        <w:tc>
          <w:tcPr>
            <w:tcW w:w="7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82698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座</w:t>
            </w:r>
          </w:p>
        </w:tc>
        <w:tc>
          <w:tcPr>
            <w:tcW w:w="16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087E3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 xml:space="preserve">  元/座/年</w:t>
            </w:r>
          </w:p>
        </w:tc>
        <w:tc>
          <w:tcPr>
            <w:tcW w:w="14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82FB2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2年</w:t>
            </w:r>
          </w:p>
        </w:tc>
        <w:tc>
          <w:tcPr>
            <w:tcW w:w="16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BA094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p>
        </w:tc>
      </w:tr>
      <w:tr w14:paraId="6111337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1" w:hRule="atLeast"/>
          <w:jc w:val="center"/>
        </w:trPr>
        <w:tc>
          <w:tcPr>
            <w:tcW w:w="8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053CBD">
            <w:pPr>
              <w:keepNext w:val="0"/>
              <w:keepLines w:val="0"/>
              <w:widowControl/>
              <w:suppressLineNumbers w:val="0"/>
              <w:jc w:val="center"/>
              <w:textAlignment w:val="center"/>
              <w:rPr>
                <w:rFonts w:hint="default"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w:t>
            </w:r>
          </w:p>
        </w:tc>
        <w:tc>
          <w:tcPr>
            <w:tcW w:w="7121"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0A734C">
            <w:pPr>
              <w:keepNext w:val="0"/>
              <w:keepLines w:val="0"/>
              <w:widowControl/>
              <w:suppressLineNumbers w:val="0"/>
              <w:jc w:val="center"/>
              <w:textAlignment w:val="center"/>
              <w:rPr>
                <w:rFonts w:hint="default"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合计费用4=1+2+3</w:t>
            </w:r>
          </w:p>
        </w:tc>
        <w:tc>
          <w:tcPr>
            <w:tcW w:w="16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8AB12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p>
        </w:tc>
      </w:tr>
    </w:tbl>
    <w:p w14:paraId="41F77FF4">
      <w:pPr>
        <w:pStyle w:val="60"/>
        <w:rPr>
          <w:rFonts w:hint="eastAsia"/>
          <w:color w:val="auto"/>
          <w:highlight w:val="none"/>
        </w:rPr>
      </w:pPr>
    </w:p>
    <w:sectPr>
      <w:headerReference r:id="rId12" w:type="first"/>
      <w:footerReference r:id="rId14" w:type="first"/>
      <w:headerReference r:id="rId11" w:type="default"/>
      <w:footerReference r:id="rId13" w:type="default"/>
      <w:pgSz w:w="11907" w:h="16840"/>
      <w:pgMar w:top="1304" w:right="1418" w:bottom="1418" w:left="1418" w:header="851" w:footer="851" w:gutter="0"/>
      <w:pgNumType w:fmt="decimal"/>
      <w:cols w:space="720" w:num="1"/>
      <w:titlePg/>
      <w:docGrid w:linePitch="46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pple-system">
    <w:altName w:val="微软雅黑"/>
    <w:panose1 w:val="00000000000000000000"/>
    <w:charset w:val="00"/>
    <w:family w:val="auto"/>
    <w:pitch w:val="default"/>
    <w:sig w:usb0="00000000" w:usb1="00000000" w:usb2="00000000" w:usb3="00000000" w:csb0="00040001" w:csb1="00000000"/>
  </w:font>
  <w:font w:name="微软雅黑">
    <w:panose1 w:val="020B0503020204020204"/>
    <w:charset w:val="86"/>
    <w:family w:val="auto"/>
    <w:pitch w:val="default"/>
    <w:sig w:usb0="80000287" w:usb1="2ACF3C50" w:usb2="00000016" w:usb3="00000000" w:csb0="0004001F" w:csb1="00000000"/>
  </w:font>
  <w:font w:name="Helvetica Neue">
    <w:altName w:val="Sylfaen"/>
    <w:panose1 w:val="00000000000000000000"/>
    <w:charset w:val="00"/>
    <w:family w:val="auto"/>
    <w:pitch w:val="default"/>
    <w:sig w:usb0="00000000" w:usb1="00000000" w:usb2="00000010" w:usb3="00000000" w:csb0="00000000" w:csb1="00000000"/>
  </w:font>
  <w:font w:name="Sylfaen">
    <w:panose1 w:val="010A0502050306030303"/>
    <w:charset w:val="00"/>
    <w:family w:val="auto"/>
    <w:pitch w:val="default"/>
    <w:sig w:usb0="04000687" w:usb1="00000000" w:usb2="00000000" w:usb3="00000000" w:csb0="2000009F" w:csb1="00000000"/>
  </w:font>
  <w:font w:name="Arial Unicode MS">
    <w:panose1 w:val="020B0604020202020204"/>
    <w:charset w:val="86"/>
    <w:family w:val="roman"/>
    <w:pitch w:val="default"/>
    <w:sig w:usb0="FFFFFFFF" w:usb1="E9FFFFFF" w:usb2="0000003F" w:usb3="00000000" w:csb0="603F01FF" w:csb1="FFFF0000"/>
  </w:font>
  <w:font w:name="Tahoma">
    <w:panose1 w:val="020B0604030504040204"/>
    <w:charset w:val="00"/>
    <w:family w:val="swiss"/>
    <w:pitch w:val="default"/>
    <w:sig w:usb0="E1002EFF" w:usb1="C000605B" w:usb2="00000029" w:usb3="00000000" w:csb0="200101FF" w:csb1="2028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Book Antiqua">
    <w:panose1 w:val="02040602050305030304"/>
    <w:charset w:val="00"/>
    <w:family w:val="roman"/>
    <w:pitch w:val="default"/>
    <w:sig w:usb0="00000287" w:usb1="00000000" w:usb2="00000000" w:usb3="00000000" w:csb0="2000009F" w:csb1="DFD7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84DFD1">
    <w:pPr>
      <w:pStyle w:val="31"/>
      <w:tabs>
        <w:tab w:val="left" w:pos="5271"/>
        <w:tab w:val="right" w:pos="8306"/>
        <w:tab w:val="clear" w:pos="4140"/>
        <w:tab w:val="clear" w:pos="8300"/>
      </w:tabs>
      <w:rPr>
        <w:rFonts w:hint="eastAsia"/>
        <w:lang w:eastAsia="zh-CN"/>
      </w:rPr>
    </w:pPr>
    <w:r>
      <w:rPr>
        <w:rFonts w:hint="eastAsia"/>
        <w:lang w:eastAsia="zh-CN"/>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99D8E5">
    <w:pPr>
      <w:pStyle w:val="31"/>
      <w:tabs>
        <w:tab w:val="center" w:pos="4153"/>
        <w:tab w:val="right" w:pos="8306"/>
        <w:tab w:val="clear" w:pos="4140"/>
        <w:tab w:val="clear" w:pos="8300"/>
      </w:tabs>
      <w:jc w:val="center"/>
    </w:pPr>
    <w:r>
      <w:fldChar w:fldCharType="begin"/>
    </w:r>
    <w:r>
      <w:rPr>
        <w:rStyle w:val="50"/>
      </w:rPr>
      <w:instrText xml:space="preserve"> PAGE </w:instrText>
    </w:r>
    <w:r>
      <w:fldChar w:fldCharType="separate"/>
    </w:r>
    <w:r>
      <w:rPr>
        <w:rStyle w:val="50"/>
      </w:rPr>
      <w:t>0</w:t>
    </w:r>
    <w: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F502CC">
    <w:pPr>
      <w:pStyle w:val="31"/>
      <w:tabs>
        <w:tab w:val="left" w:pos="5271"/>
        <w:tab w:val="right" w:pos="8306"/>
        <w:tab w:val="clear" w:pos="4140"/>
        <w:tab w:val="clear" w:pos="8300"/>
      </w:tabs>
      <w:rPr>
        <w:rFonts w:hint="eastAsia"/>
        <w:lang w:eastAsia="zh-CN"/>
      </w:rPr>
    </w:pPr>
    <w:r>
      <w:rPr>
        <w:rFonts w:hint="eastAsia"/>
        <w:lang w:eastAsia="zh-CN"/>
      </w:rPr>
      <w:tab/>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2CFD3B">
    <w:pPr>
      <w:pStyle w:val="31"/>
      <w:tabs>
        <w:tab w:val="left" w:pos="5271"/>
        <w:tab w:val="right" w:pos="8306"/>
        <w:tab w:val="clear" w:pos="4140"/>
        <w:tab w:val="clear" w:pos="8300"/>
      </w:tabs>
      <w:rPr>
        <w:rFonts w:hint="eastAsia"/>
        <w:lang w:eastAsia="zh-CN"/>
      </w:rPr>
    </w:pPr>
    <w:r>
      <w:rPr>
        <w:rFonts w:hint="eastAsia"/>
        <w:lang w:eastAsia="zh-CN"/>
      </w:rPr>
      <w:tab/>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E753F9">
    <w:pPr>
      <w:pStyle w:val="31"/>
      <w:tabs>
        <w:tab w:val="center" w:pos="4153"/>
        <w:tab w:val="right" w:pos="8306"/>
        <w:tab w:val="clear" w:pos="4140"/>
        <w:tab w:val="clear" w:pos="8300"/>
      </w:tabs>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ABB15B">
    <w:pPr>
      <w:pStyle w:val="31"/>
      <w:tabs>
        <w:tab w:val="left" w:pos="5271"/>
        <w:tab w:val="right" w:pos="8306"/>
        <w:tab w:val="clear" w:pos="4140"/>
        <w:tab w:val="clear" w:pos="8300"/>
      </w:tabs>
      <w:rPr>
        <w:rFonts w:hint="eastAsia"/>
        <w:lang w:eastAsia="zh-CN"/>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16BA5BA">
                          <w:pPr>
                            <w:pStyle w:val="31"/>
                          </w:pPr>
                          <w:r>
                            <w:fldChar w:fldCharType="begin"/>
                          </w:r>
                          <w:r>
                            <w:instrText xml:space="preserve"> PAGE  \* MERGEFORMAT </w:instrText>
                          </w:r>
                          <w:r>
                            <w:fldChar w:fldCharType="separate"/>
                          </w:r>
                          <w:r>
                            <w:t>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716BA5BA">
                    <w:pPr>
                      <w:pStyle w:val="31"/>
                    </w:pPr>
                    <w:r>
                      <w:fldChar w:fldCharType="begin"/>
                    </w:r>
                    <w:r>
                      <w:instrText xml:space="preserve"> PAGE  \* MERGEFORMAT </w:instrText>
                    </w:r>
                    <w:r>
                      <w:fldChar w:fldCharType="separate"/>
                    </w:r>
                    <w:r>
                      <w:t>5</w:t>
                    </w:r>
                    <w:r>
                      <w:fldChar w:fldCharType="end"/>
                    </w:r>
                  </w:p>
                </w:txbxContent>
              </v:textbox>
            </v:shape>
          </w:pict>
        </mc:Fallback>
      </mc:AlternateContent>
    </w:r>
    <w:r>
      <w:rPr>
        <w:rFonts w:hint="eastAsia"/>
        <w:lang w:eastAsia="zh-CN"/>
      </w:rPr>
      <w:tab/>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DB363A">
    <w:pPr>
      <w:pStyle w:val="31"/>
      <w:tabs>
        <w:tab w:val="center" w:pos="4153"/>
        <w:tab w:val="right" w:pos="8306"/>
        <w:tab w:val="clear" w:pos="4140"/>
        <w:tab w:val="clear" w:pos="8300"/>
      </w:tabs>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8EFDEBE">
                          <w:pPr>
                            <w:pStyle w:val="31"/>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28EFDEBE">
                    <w:pPr>
                      <w:pStyle w:val="31"/>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CD653E">
    <w:pPr>
      <w:pStyle w:val="31"/>
      <w:tabs>
        <w:tab w:val="left" w:pos="5271"/>
        <w:tab w:val="right" w:pos="8306"/>
        <w:tab w:val="clear" w:pos="4140"/>
        <w:tab w:val="clear" w:pos="8300"/>
      </w:tabs>
      <w:rPr>
        <w:rFonts w:hint="eastAsia"/>
        <w:lang w:eastAsia="zh-CN"/>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8B987B1">
                          <w:pPr>
                            <w:pStyle w:val="31"/>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48B987B1">
                    <w:pPr>
                      <w:pStyle w:val="31"/>
                    </w:pPr>
                    <w:r>
                      <w:fldChar w:fldCharType="begin"/>
                    </w:r>
                    <w:r>
                      <w:instrText xml:space="preserve"> PAGE  \* MERGEFORMAT </w:instrText>
                    </w:r>
                    <w:r>
                      <w:fldChar w:fldCharType="separate"/>
                    </w:r>
                    <w:r>
                      <w:t>1</w:t>
                    </w:r>
                    <w:r>
                      <w:fldChar w:fldCharType="end"/>
                    </w:r>
                  </w:p>
                </w:txbxContent>
              </v:textbox>
            </v:shape>
          </w:pict>
        </mc:Fallback>
      </mc:AlternateContent>
    </w:r>
    <w:r>
      <w:rPr>
        <w:rFonts w:hint="eastAsia"/>
        <w:lang w:eastAsia="zh-CN"/>
      </w:rPr>
      <w:tab/>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B0C76C">
    <w:pPr>
      <w:pStyle w:val="31"/>
      <w:tabs>
        <w:tab w:val="center" w:pos="4153"/>
        <w:tab w:val="right" w:pos="8306"/>
        <w:tab w:val="clear" w:pos="4140"/>
        <w:tab w:val="clear" w:pos="8300"/>
      </w:tabs>
      <w:jc w:val="cente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671431B">
                          <w:pPr>
                            <w:pStyle w:val="31"/>
                          </w:pPr>
                          <w:r>
                            <w:fldChar w:fldCharType="begin"/>
                          </w:r>
                          <w:r>
                            <w:instrText xml:space="preserve"> PAGE  \* MERGEFORMAT </w:instrText>
                          </w:r>
                          <w:r>
                            <w:fldChar w:fldCharType="separate"/>
                          </w:r>
                          <w:r>
                            <w:t>49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6671431B">
                    <w:pPr>
                      <w:pStyle w:val="31"/>
                    </w:pPr>
                    <w:r>
                      <w:fldChar w:fldCharType="begin"/>
                    </w:r>
                    <w:r>
                      <w:instrText xml:space="preserve"> PAGE  \* MERGEFORMAT </w:instrText>
                    </w:r>
                    <w:r>
                      <w:fldChar w:fldCharType="separate"/>
                    </w:r>
                    <w:r>
                      <w:t>49</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BAEAB9">
    <w:pPr>
      <w:pStyle w:val="31"/>
      <w:tabs>
        <w:tab w:val="center" w:pos="4153"/>
        <w:tab w:val="right" w:pos="8306"/>
        <w:tab w:val="clear" w:pos="4140"/>
        <w:tab w:val="clear" w:pos="8300"/>
      </w:tabs>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319435C">
                          <w:pPr>
                            <w:pStyle w:val="31"/>
                          </w:pPr>
                          <w:r>
                            <w:fldChar w:fldCharType="begin"/>
                          </w:r>
                          <w:r>
                            <w:instrText xml:space="preserve"> PAGE  \* MERGEFORMAT </w:instrText>
                          </w:r>
                          <w:r>
                            <w:fldChar w:fldCharType="separate"/>
                          </w:r>
                          <w:r>
                            <w:t>48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1319435C">
                    <w:pPr>
                      <w:pStyle w:val="31"/>
                    </w:pPr>
                    <w:r>
                      <w:fldChar w:fldCharType="begin"/>
                    </w:r>
                    <w:r>
                      <w:instrText xml:space="preserve"> PAGE  \* MERGEFORMAT </w:instrText>
                    </w:r>
                    <w:r>
                      <w:fldChar w:fldCharType="separate"/>
                    </w:r>
                    <w:r>
                      <w:t>48</w:t>
                    </w:r>
                    <w:r>
                      <w:fldChar w:fldCharType="end"/>
                    </w:r>
                  </w:p>
                </w:txbxContent>
              </v:textbox>
            </v:shape>
          </w:pict>
        </mc:Fallback>
      </mc:AlternateContent>
    </w:r>
    <w:r>
      <w:rPr>
        <w:rFonts w:hint="eastAsia"/>
      </w:rPr>
      <w:t xml:space="preserve">                                            </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7E5E22">
    <w:pPr>
      <w:pStyle w:val="32"/>
      <w:pBdr>
        <w:bottom w:val="none" w:color="auto" w:sz="0" w:space="1"/>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5E901B">
    <w:pPr>
      <w:pStyle w:val="32"/>
      <w:pBdr>
        <w:bottom w:val="none" w:color="auto" w:sz="0" w:space="1"/>
      </w:pBdr>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6278A29"/>
    <w:multiLevelType w:val="singleLevel"/>
    <w:tmpl w:val="96278A29"/>
    <w:lvl w:ilvl="0" w:tentative="0">
      <w:start w:val="2"/>
      <w:numFmt w:val="chineseCounting"/>
      <w:suff w:val="nothing"/>
      <w:lvlText w:val="%1、"/>
      <w:lvlJc w:val="left"/>
      <w:rPr>
        <w:rFonts w:hint="eastAsia"/>
      </w:rPr>
    </w:lvl>
  </w:abstractNum>
  <w:abstractNum w:abstractNumId="1">
    <w:nsid w:val="9C059464"/>
    <w:multiLevelType w:val="singleLevel"/>
    <w:tmpl w:val="9C059464"/>
    <w:lvl w:ilvl="0" w:tentative="0">
      <w:start w:val="1"/>
      <w:numFmt w:val="bullet"/>
      <w:pStyle w:val="23"/>
      <w:lvlText w:val=""/>
      <w:lvlJc w:val="left"/>
      <w:pPr>
        <w:tabs>
          <w:tab w:val="left" w:pos="780"/>
        </w:tabs>
        <w:ind w:left="780" w:hanging="360"/>
      </w:pPr>
      <w:rPr>
        <w:rFonts w:hint="default" w:ascii="Wingdings" w:hAnsi="Wingdings"/>
      </w:rPr>
    </w:lvl>
  </w:abstractNum>
  <w:abstractNum w:abstractNumId="2">
    <w:nsid w:val="BF83C8AF"/>
    <w:multiLevelType w:val="singleLevel"/>
    <w:tmpl w:val="BF83C8AF"/>
    <w:lvl w:ilvl="0" w:tentative="0">
      <w:start w:val="3"/>
      <w:numFmt w:val="decimal"/>
      <w:suff w:val="nothing"/>
      <w:lvlText w:val="（%1）"/>
      <w:lvlJc w:val="left"/>
    </w:lvl>
  </w:abstractNum>
  <w:abstractNum w:abstractNumId="3">
    <w:nsid w:val="EEF3C02F"/>
    <w:multiLevelType w:val="singleLevel"/>
    <w:tmpl w:val="EEF3C02F"/>
    <w:lvl w:ilvl="0" w:tentative="0">
      <w:start w:val="1"/>
      <w:numFmt w:val="decimal"/>
      <w:suff w:val="nothing"/>
      <w:lvlText w:val="%1、"/>
      <w:lvlJc w:val="left"/>
    </w:lvl>
  </w:abstractNum>
  <w:abstractNum w:abstractNumId="4">
    <w:nsid w:val="00000002"/>
    <w:multiLevelType w:val="multilevel"/>
    <w:tmpl w:val="00000002"/>
    <w:lvl w:ilvl="0" w:tentative="0">
      <w:start w:val="1"/>
      <w:numFmt w:val="decimal"/>
      <w:lvlText w:val="%1."/>
      <w:lvlJc w:val="left"/>
      <w:pPr>
        <w:tabs>
          <w:tab w:val="left" w:pos="0"/>
        </w:tabs>
        <w:ind w:left="562" w:hanging="42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5">
    <w:nsid w:val="32F1B4E1"/>
    <w:multiLevelType w:val="singleLevel"/>
    <w:tmpl w:val="32F1B4E1"/>
    <w:lvl w:ilvl="0" w:tentative="0">
      <w:start w:val="1"/>
      <w:numFmt w:val="decimal"/>
      <w:suff w:val="space"/>
      <w:lvlText w:val="%1."/>
      <w:lvlJc w:val="left"/>
    </w:lvl>
  </w:abstractNum>
  <w:abstractNum w:abstractNumId="6">
    <w:nsid w:val="34CF23E9"/>
    <w:multiLevelType w:val="multilevel"/>
    <w:tmpl w:val="34CF23E9"/>
    <w:lvl w:ilvl="0" w:tentative="0">
      <w:start w:val="1"/>
      <w:numFmt w:val="decimal"/>
      <w:pStyle w:val="108"/>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1"/>
  </w:num>
  <w:num w:numId="2">
    <w:abstractNumId w:val="6"/>
  </w:num>
  <w:num w:numId="3">
    <w:abstractNumId w:val="4"/>
  </w:num>
  <w:num w:numId="4">
    <w:abstractNumId w:val="3"/>
  </w:num>
  <w:num w:numId="5">
    <w:abstractNumId w:val="5"/>
  </w:num>
  <w:num w:numId="6">
    <w:abstractNumId w:val="2"/>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displayBackgroundShape w:val="1"/>
  <w:bordersDoNotSurroundHeader w:val="0"/>
  <w:bordersDoNotSurroundFooter w:val="0"/>
  <w:documentProtection w:enforcement="0"/>
  <w:defaultTabStop w:val="720"/>
  <w:hyphenationZone w:val="360"/>
  <w:drawingGridHorizontalSpacing w:val="170"/>
  <w:drawingGridVerticalSpacing w:val="230"/>
  <w:displayHorizontalDrawingGridEvery w:val="1"/>
  <w:displayVerticalDrawingGridEvery w:val="1"/>
  <w:doNotShadeFormData w:val="1"/>
  <w:noPunctuationKerning w:val="1"/>
  <w:characterSpacingControl w:val="doNotCompress"/>
  <w:doNotValidateAgainstSchema/>
  <w:doNotDemarcateInvalidXml/>
  <w:hdrShapeDefaults>
    <o:shapelayout v:ext="edit">
      <o:idmap v:ext="edit" data="1,3"/>
    </o:shapelayout>
  </w:hdrShapeDefaults>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FkZTk5OGZhZGZmY2Q4OTE1M2FhMjVhY2ZmOTc4MmUifQ=="/>
  </w:docVars>
  <w:rsids>
    <w:rsidRoot w:val="00172A27"/>
    <w:rsid w:val="000005B4"/>
    <w:rsid w:val="000017CE"/>
    <w:rsid w:val="0000215B"/>
    <w:rsid w:val="00003641"/>
    <w:rsid w:val="00004C9F"/>
    <w:rsid w:val="00005649"/>
    <w:rsid w:val="00005BDF"/>
    <w:rsid w:val="000061FA"/>
    <w:rsid w:val="00007AC9"/>
    <w:rsid w:val="000100C2"/>
    <w:rsid w:val="00010267"/>
    <w:rsid w:val="0001088D"/>
    <w:rsid w:val="0001098B"/>
    <w:rsid w:val="00010ADA"/>
    <w:rsid w:val="00010F7E"/>
    <w:rsid w:val="0001167F"/>
    <w:rsid w:val="00011A06"/>
    <w:rsid w:val="0001290F"/>
    <w:rsid w:val="00013ED8"/>
    <w:rsid w:val="0001486D"/>
    <w:rsid w:val="00014CF0"/>
    <w:rsid w:val="00015130"/>
    <w:rsid w:val="0001584B"/>
    <w:rsid w:val="000159D6"/>
    <w:rsid w:val="00016E51"/>
    <w:rsid w:val="000171A2"/>
    <w:rsid w:val="00017368"/>
    <w:rsid w:val="0001762D"/>
    <w:rsid w:val="0002005F"/>
    <w:rsid w:val="0002059F"/>
    <w:rsid w:val="00020F1F"/>
    <w:rsid w:val="00020F7A"/>
    <w:rsid w:val="0002213E"/>
    <w:rsid w:val="00022DA0"/>
    <w:rsid w:val="0002306F"/>
    <w:rsid w:val="00023542"/>
    <w:rsid w:val="0002556F"/>
    <w:rsid w:val="00025DC0"/>
    <w:rsid w:val="000263D5"/>
    <w:rsid w:val="0002723D"/>
    <w:rsid w:val="0002758B"/>
    <w:rsid w:val="00027707"/>
    <w:rsid w:val="0002796A"/>
    <w:rsid w:val="00027C70"/>
    <w:rsid w:val="000305EF"/>
    <w:rsid w:val="00030A59"/>
    <w:rsid w:val="0003137B"/>
    <w:rsid w:val="00031A45"/>
    <w:rsid w:val="00033BC3"/>
    <w:rsid w:val="00034538"/>
    <w:rsid w:val="0003477C"/>
    <w:rsid w:val="00034816"/>
    <w:rsid w:val="00034E51"/>
    <w:rsid w:val="00035CF4"/>
    <w:rsid w:val="00035D4C"/>
    <w:rsid w:val="00035FF2"/>
    <w:rsid w:val="00036453"/>
    <w:rsid w:val="0003794F"/>
    <w:rsid w:val="000401AC"/>
    <w:rsid w:val="00040816"/>
    <w:rsid w:val="00040BC7"/>
    <w:rsid w:val="00041239"/>
    <w:rsid w:val="00041E17"/>
    <w:rsid w:val="000420F4"/>
    <w:rsid w:val="000423D3"/>
    <w:rsid w:val="0004244A"/>
    <w:rsid w:val="00042A1A"/>
    <w:rsid w:val="00042AF4"/>
    <w:rsid w:val="00042B38"/>
    <w:rsid w:val="000432B0"/>
    <w:rsid w:val="00043B3E"/>
    <w:rsid w:val="00043F61"/>
    <w:rsid w:val="00044039"/>
    <w:rsid w:val="00044184"/>
    <w:rsid w:val="00044604"/>
    <w:rsid w:val="000448FF"/>
    <w:rsid w:val="00044C4F"/>
    <w:rsid w:val="00045D2E"/>
    <w:rsid w:val="00045E62"/>
    <w:rsid w:val="00045EBA"/>
    <w:rsid w:val="000461BC"/>
    <w:rsid w:val="00046BA4"/>
    <w:rsid w:val="00046C18"/>
    <w:rsid w:val="00046F6F"/>
    <w:rsid w:val="00047EA0"/>
    <w:rsid w:val="00047EB5"/>
    <w:rsid w:val="0005009C"/>
    <w:rsid w:val="00050109"/>
    <w:rsid w:val="0005017D"/>
    <w:rsid w:val="00050D6D"/>
    <w:rsid w:val="0005149F"/>
    <w:rsid w:val="00051992"/>
    <w:rsid w:val="00051B47"/>
    <w:rsid w:val="000520AA"/>
    <w:rsid w:val="00052215"/>
    <w:rsid w:val="00053022"/>
    <w:rsid w:val="00053A7A"/>
    <w:rsid w:val="0005470F"/>
    <w:rsid w:val="00054B61"/>
    <w:rsid w:val="000550F6"/>
    <w:rsid w:val="00055908"/>
    <w:rsid w:val="000607A3"/>
    <w:rsid w:val="00060814"/>
    <w:rsid w:val="00060900"/>
    <w:rsid w:val="00060E80"/>
    <w:rsid w:val="0006149D"/>
    <w:rsid w:val="000618FC"/>
    <w:rsid w:val="00061F7E"/>
    <w:rsid w:val="00062975"/>
    <w:rsid w:val="00062EA2"/>
    <w:rsid w:val="00063380"/>
    <w:rsid w:val="00064659"/>
    <w:rsid w:val="000648C0"/>
    <w:rsid w:val="00064D0B"/>
    <w:rsid w:val="00064F23"/>
    <w:rsid w:val="000650F7"/>
    <w:rsid w:val="0006534D"/>
    <w:rsid w:val="000656A6"/>
    <w:rsid w:val="0006598D"/>
    <w:rsid w:val="000659A4"/>
    <w:rsid w:val="00066644"/>
    <w:rsid w:val="00066DE5"/>
    <w:rsid w:val="00067301"/>
    <w:rsid w:val="00067359"/>
    <w:rsid w:val="00070358"/>
    <w:rsid w:val="00070498"/>
    <w:rsid w:val="00070F93"/>
    <w:rsid w:val="000714A5"/>
    <w:rsid w:val="00071536"/>
    <w:rsid w:val="00072C30"/>
    <w:rsid w:val="0007310C"/>
    <w:rsid w:val="00073FBF"/>
    <w:rsid w:val="0007401A"/>
    <w:rsid w:val="00074CBA"/>
    <w:rsid w:val="0007518E"/>
    <w:rsid w:val="000751A5"/>
    <w:rsid w:val="00075643"/>
    <w:rsid w:val="00075987"/>
    <w:rsid w:val="0007668B"/>
    <w:rsid w:val="000766FC"/>
    <w:rsid w:val="00076E22"/>
    <w:rsid w:val="00077106"/>
    <w:rsid w:val="000773C8"/>
    <w:rsid w:val="00077882"/>
    <w:rsid w:val="00077C54"/>
    <w:rsid w:val="000800B1"/>
    <w:rsid w:val="00080BA2"/>
    <w:rsid w:val="00081F54"/>
    <w:rsid w:val="00082F74"/>
    <w:rsid w:val="000831A4"/>
    <w:rsid w:val="00083769"/>
    <w:rsid w:val="00083D53"/>
    <w:rsid w:val="00084027"/>
    <w:rsid w:val="00084868"/>
    <w:rsid w:val="00084DB0"/>
    <w:rsid w:val="00085DDC"/>
    <w:rsid w:val="0008751A"/>
    <w:rsid w:val="000877F3"/>
    <w:rsid w:val="000902AC"/>
    <w:rsid w:val="0009096B"/>
    <w:rsid w:val="00090D18"/>
    <w:rsid w:val="00092154"/>
    <w:rsid w:val="00092A18"/>
    <w:rsid w:val="00092AC7"/>
    <w:rsid w:val="00093399"/>
    <w:rsid w:val="00093A21"/>
    <w:rsid w:val="00094266"/>
    <w:rsid w:val="0009429E"/>
    <w:rsid w:val="00094BDF"/>
    <w:rsid w:val="00094EE3"/>
    <w:rsid w:val="00096534"/>
    <w:rsid w:val="00096853"/>
    <w:rsid w:val="00096953"/>
    <w:rsid w:val="00096FB4"/>
    <w:rsid w:val="000A0043"/>
    <w:rsid w:val="000A0244"/>
    <w:rsid w:val="000A03B7"/>
    <w:rsid w:val="000A07B9"/>
    <w:rsid w:val="000A0FF0"/>
    <w:rsid w:val="000A2D45"/>
    <w:rsid w:val="000A31C7"/>
    <w:rsid w:val="000A3A0E"/>
    <w:rsid w:val="000A4216"/>
    <w:rsid w:val="000A5620"/>
    <w:rsid w:val="000A5724"/>
    <w:rsid w:val="000A57FA"/>
    <w:rsid w:val="000A5A85"/>
    <w:rsid w:val="000A6055"/>
    <w:rsid w:val="000A65B7"/>
    <w:rsid w:val="000A6C75"/>
    <w:rsid w:val="000A7805"/>
    <w:rsid w:val="000A7C5C"/>
    <w:rsid w:val="000B0172"/>
    <w:rsid w:val="000B0297"/>
    <w:rsid w:val="000B031F"/>
    <w:rsid w:val="000B169A"/>
    <w:rsid w:val="000B19D1"/>
    <w:rsid w:val="000B2093"/>
    <w:rsid w:val="000B2C16"/>
    <w:rsid w:val="000B3604"/>
    <w:rsid w:val="000B3FBF"/>
    <w:rsid w:val="000B411D"/>
    <w:rsid w:val="000B4488"/>
    <w:rsid w:val="000B45CC"/>
    <w:rsid w:val="000B5B13"/>
    <w:rsid w:val="000B5CE8"/>
    <w:rsid w:val="000B5E63"/>
    <w:rsid w:val="000B6107"/>
    <w:rsid w:val="000B7478"/>
    <w:rsid w:val="000B7DD9"/>
    <w:rsid w:val="000B7FD5"/>
    <w:rsid w:val="000C0301"/>
    <w:rsid w:val="000C0BFE"/>
    <w:rsid w:val="000C0EB7"/>
    <w:rsid w:val="000C1B28"/>
    <w:rsid w:val="000C2471"/>
    <w:rsid w:val="000C24D0"/>
    <w:rsid w:val="000C2E06"/>
    <w:rsid w:val="000C33DE"/>
    <w:rsid w:val="000C36F7"/>
    <w:rsid w:val="000C4116"/>
    <w:rsid w:val="000C41A0"/>
    <w:rsid w:val="000C49C2"/>
    <w:rsid w:val="000C4A5C"/>
    <w:rsid w:val="000C511B"/>
    <w:rsid w:val="000C5323"/>
    <w:rsid w:val="000C53D8"/>
    <w:rsid w:val="000C58D1"/>
    <w:rsid w:val="000C5CE4"/>
    <w:rsid w:val="000C5D53"/>
    <w:rsid w:val="000C6415"/>
    <w:rsid w:val="000C6E68"/>
    <w:rsid w:val="000C760C"/>
    <w:rsid w:val="000D118C"/>
    <w:rsid w:val="000D1794"/>
    <w:rsid w:val="000D2BFC"/>
    <w:rsid w:val="000D2E18"/>
    <w:rsid w:val="000D44F3"/>
    <w:rsid w:val="000D46DA"/>
    <w:rsid w:val="000D4890"/>
    <w:rsid w:val="000D4899"/>
    <w:rsid w:val="000D4965"/>
    <w:rsid w:val="000D4A17"/>
    <w:rsid w:val="000D4A2D"/>
    <w:rsid w:val="000D4E9B"/>
    <w:rsid w:val="000D57FD"/>
    <w:rsid w:val="000D61DF"/>
    <w:rsid w:val="000D6485"/>
    <w:rsid w:val="000D65B0"/>
    <w:rsid w:val="000D65D3"/>
    <w:rsid w:val="000D6DFB"/>
    <w:rsid w:val="000D6F38"/>
    <w:rsid w:val="000D70A3"/>
    <w:rsid w:val="000D760C"/>
    <w:rsid w:val="000E0EA9"/>
    <w:rsid w:val="000E0EB6"/>
    <w:rsid w:val="000E1F10"/>
    <w:rsid w:val="000E2F08"/>
    <w:rsid w:val="000E3047"/>
    <w:rsid w:val="000E397B"/>
    <w:rsid w:val="000E398A"/>
    <w:rsid w:val="000E3C64"/>
    <w:rsid w:val="000E4719"/>
    <w:rsid w:val="000E4907"/>
    <w:rsid w:val="000E5FB0"/>
    <w:rsid w:val="000E696B"/>
    <w:rsid w:val="000E6A3C"/>
    <w:rsid w:val="000E6FDF"/>
    <w:rsid w:val="000E6FFA"/>
    <w:rsid w:val="000E76F1"/>
    <w:rsid w:val="000E79F2"/>
    <w:rsid w:val="000F075F"/>
    <w:rsid w:val="000F18BB"/>
    <w:rsid w:val="000F1AEE"/>
    <w:rsid w:val="000F228B"/>
    <w:rsid w:val="000F2770"/>
    <w:rsid w:val="000F2DE7"/>
    <w:rsid w:val="000F38F8"/>
    <w:rsid w:val="000F3FA1"/>
    <w:rsid w:val="000F40DD"/>
    <w:rsid w:val="000F47B8"/>
    <w:rsid w:val="000F4929"/>
    <w:rsid w:val="000F537E"/>
    <w:rsid w:val="000F53EE"/>
    <w:rsid w:val="000F57DF"/>
    <w:rsid w:val="000F641D"/>
    <w:rsid w:val="000F6F5C"/>
    <w:rsid w:val="000F7DD1"/>
    <w:rsid w:val="000F7DFC"/>
    <w:rsid w:val="00100808"/>
    <w:rsid w:val="00100B1C"/>
    <w:rsid w:val="00101630"/>
    <w:rsid w:val="0010174C"/>
    <w:rsid w:val="00101B07"/>
    <w:rsid w:val="00102B24"/>
    <w:rsid w:val="00102BE3"/>
    <w:rsid w:val="00102E06"/>
    <w:rsid w:val="00102FB7"/>
    <w:rsid w:val="00103266"/>
    <w:rsid w:val="00103341"/>
    <w:rsid w:val="00103381"/>
    <w:rsid w:val="00104582"/>
    <w:rsid w:val="0010510C"/>
    <w:rsid w:val="0010567C"/>
    <w:rsid w:val="00105DF6"/>
    <w:rsid w:val="00106E1F"/>
    <w:rsid w:val="0010717D"/>
    <w:rsid w:val="00107482"/>
    <w:rsid w:val="00107BE5"/>
    <w:rsid w:val="00107BEB"/>
    <w:rsid w:val="00110057"/>
    <w:rsid w:val="00110871"/>
    <w:rsid w:val="00110BB3"/>
    <w:rsid w:val="001110B5"/>
    <w:rsid w:val="001112EA"/>
    <w:rsid w:val="00111477"/>
    <w:rsid w:val="00111ABC"/>
    <w:rsid w:val="001125CC"/>
    <w:rsid w:val="00112696"/>
    <w:rsid w:val="00112C5A"/>
    <w:rsid w:val="0011338B"/>
    <w:rsid w:val="0011339C"/>
    <w:rsid w:val="001133FE"/>
    <w:rsid w:val="00113825"/>
    <w:rsid w:val="00114320"/>
    <w:rsid w:val="0011437E"/>
    <w:rsid w:val="001147E8"/>
    <w:rsid w:val="001153A1"/>
    <w:rsid w:val="00115E0B"/>
    <w:rsid w:val="00117039"/>
    <w:rsid w:val="00120511"/>
    <w:rsid w:val="00120721"/>
    <w:rsid w:val="00120A24"/>
    <w:rsid w:val="00120BB2"/>
    <w:rsid w:val="00120D30"/>
    <w:rsid w:val="00120D71"/>
    <w:rsid w:val="00120F6F"/>
    <w:rsid w:val="001212CB"/>
    <w:rsid w:val="00121A55"/>
    <w:rsid w:val="001220B1"/>
    <w:rsid w:val="00122B21"/>
    <w:rsid w:val="00122EF4"/>
    <w:rsid w:val="00123580"/>
    <w:rsid w:val="00124770"/>
    <w:rsid w:val="001247EC"/>
    <w:rsid w:val="00124B45"/>
    <w:rsid w:val="00125056"/>
    <w:rsid w:val="001253E3"/>
    <w:rsid w:val="00125442"/>
    <w:rsid w:val="001257BD"/>
    <w:rsid w:val="00125F1F"/>
    <w:rsid w:val="00126AF1"/>
    <w:rsid w:val="00126CFD"/>
    <w:rsid w:val="00127069"/>
    <w:rsid w:val="00130909"/>
    <w:rsid w:val="00130DDB"/>
    <w:rsid w:val="001313DA"/>
    <w:rsid w:val="00131683"/>
    <w:rsid w:val="0013190C"/>
    <w:rsid w:val="00131A88"/>
    <w:rsid w:val="00131B57"/>
    <w:rsid w:val="00131E90"/>
    <w:rsid w:val="00131F10"/>
    <w:rsid w:val="00133646"/>
    <w:rsid w:val="00133ADF"/>
    <w:rsid w:val="001349BA"/>
    <w:rsid w:val="00134E70"/>
    <w:rsid w:val="00134F30"/>
    <w:rsid w:val="0013585B"/>
    <w:rsid w:val="00135C72"/>
    <w:rsid w:val="00136289"/>
    <w:rsid w:val="00136BF6"/>
    <w:rsid w:val="00137BA3"/>
    <w:rsid w:val="00137DB4"/>
    <w:rsid w:val="0014012C"/>
    <w:rsid w:val="00141125"/>
    <w:rsid w:val="00141417"/>
    <w:rsid w:val="001417AD"/>
    <w:rsid w:val="001418E2"/>
    <w:rsid w:val="00142760"/>
    <w:rsid w:val="00142D54"/>
    <w:rsid w:val="00143595"/>
    <w:rsid w:val="00143758"/>
    <w:rsid w:val="00143CA2"/>
    <w:rsid w:val="00144AFF"/>
    <w:rsid w:val="00144F43"/>
    <w:rsid w:val="001452C3"/>
    <w:rsid w:val="0014589F"/>
    <w:rsid w:val="00145D8D"/>
    <w:rsid w:val="0014600F"/>
    <w:rsid w:val="00146A2C"/>
    <w:rsid w:val="00146ACF"/>
    <w:rsid w:val="00146DC4"/>
    <w:rsid w:val="00147A6D"/>
    <w:rsid w:val="001503AE"/>
    <w:rsid w:val="00150A43"/>
    <w:rsid w:val="001515C6"/>
    <w:rsid w:val="001518B3"/>
    <w:rsid w:val="0015194D"/>
    <w:rsid w:val="001527A2"/>
    <w:rsid w:val="00152BA8"/>
    <w:rsid w:val="001531B2"/>
    <w:rsid w:val="00154D03"/>
    <w:rsid w:val="0015519E"/>
    <w:rsid w:val="001553CF"/>
    <w:rsid w:val="001555F0"/>
    <w:rsid w:val="00155758"/>
    <w:rsid w:val="00155845"/>
    <w:rsid w:val="001559DE"/>
    <w:rsid w:val="001565E4"/>
    <w:rsid w:val="00156C6C"/>
    <w:rsid w:val="001570C7"/>
    <w:rsid w:val="00157C85"/>
    <w:rsid w:val="00157F7F"/>
    <w:rsid w:val="00160681"/>
    <w:rsid w:val="0016196E"/>
    <w:rsid w:val="001623F5"/>
    <w:rsid w:val="0016280F"/>
    <w:rsid w:val="00163838"/>
    <w:rsid w:val="001639D2"/>
    <w:rsid w:val="00163B59"/>
    <w:rsid w:val="00163D52"/>
    <w:rsid w:val="001643AC"/>
    <w:rsid w:val="00164559"/>
    <w:rsid w:val="001649C0"/>
    <w:rsid w:val="00164C3F"/>
    <w:rsid w:val="00165FE2"/>
    <w:rsid w:val="00166B7D"/>
    <w:rsid w:val="0016785D"/>
    <w:rsid w:val="001678CC"/>
    <w:rsid w:val="0016790C"/>
    <w:rsid w:val="00167CE4"/>
    <w:rsid w:val="001707BE"/>
    <w:rsid w:val="00170923"/>
    <w:rsid w:val="00170A6F"/>
    <w:rsid w:val="00171BB5"/>
    <w:rsid w:val="001725C6"/>
    <w:rsid w:val="001727B0"/>
    <w:rsid w:val="00172862"/>
    <w:rsid w:val="0017286B"/>
    <w:rsid w:val="00172A27"/>
    <w:rsid w:val="00172FC8"/>
    <w:rsid w:val="00173F5B"/>
    <w:rsid w:val="00174489"/>
    <w:rsid w:val="001747C2"/>
    <w:rsid w:val="00174DF1"/>
    <w:rsid w:val="0017571A"/>
    <w:rsid w:val="001770F6"/>
    <w:rsid w:val="001778F0"/>
    <w:rsid w:val="00177990"/>
    <w:rsid w:val="00177BD1"/>
    <w:rsid w:val="00180BB1"/>
    <w:rsid w:val="00180D44"/>
    <w:rsid w:val="00180E0C"/>
    <w:rsid w:val="00181379"/>
    <w:rsid w:val="00181794"/>
    <w:rsid w:val="00181F41"/>
    <w:rsid w:val="00182677"/>
    <w:rsid w:val="00183302"/>
    <w:rsid w:val="001836DF"/>
    <w:rsid w:val="00183D08"/>
    <w:rsid w:val="001840C8"/>
    <w:rsid w:val="00184B63"/>
    <w:rsid w:val="00184D38"/>
    <w:rsid w:val="00184E79"/>
    <w:rsid w:val="00184F78"/>
    <w:rsid w:val="001851B0"/>
    <w:rsid w:val="001853E7"/>
    <w:rsid w:val="00185795"/>
    <w:rsid w:val="001868AB"/>
    <w:rsid w:val="00186F87"/>
    <w:rsid w:val="00187BDD"/>
    <w:rsid w:val="00190005"/>
    <w:rsid w:val="00190665"/>
    <w:rsid w:val="0019090F"/>
    <w:rsid w:val="00190967"/>
    <w:rsid w:val="00190B6B"/>
    <w:rsid w:val="00191016"/>
    <w:rsid w:val="00191230"/>
    <w:rsid w:val="00191605"/>
    <w:rsid w:val="00192339"/>
    <w:rsid w:val="00192795"/>
    <w:rsid w:val="00193898"/>
    <w:rsid w:val="001938CC"/>
    <w:rsid w:val="00195655"/>
    <w:rsid w:val="00195996"/>
    <w:rsid w:val="001971E2"/>
    <w:rsid w:val="001978D4"/>
    <w:rsid w:val="001978DE"/>
    <w:rsid w:val="00197A2D"/>
    <w:rsid w:val="00197E10"/>
    <w:rsid w:val="00197EDA"/>
    <w:rsid w:val="001A027B"/>
    <w:rsid w:val="001A23B6"/>
    <w:rsid w:val="001A39CE"/>
    <w:rsid w:val="001A4250"/>
    <w:rsid w:val="001A4923"/>
    <w:rsid w:val="001A4A2E"/>
    <w:rsid w:val="001A5113"/>
    <w:rsid w:val="001A5288"/>
    <w:rsid w:val="001A59E6"/>
    <w:rsid w:val="001A5B8F"/>
    <w:rsid w:val="001A5C63"/>
    <w:rsid w:val="001A71C6"/>
    <w:rsid w:val="001A7390"/>
    <w:rsid w:val="001A79C4"/>
    <w:rsid w:val="001B02B7"/>
    <w:rsid w:val="001B06F3"/>
    <w:rsid w:val="001B113D"/>
    <w:rsid w:val="001B1D19"/>
    <w:rsid w:val="001B2237"/>
    <w:rsid w:val="001B254F"/>
    <w:rsid w:val="001B2AA2"/>
    <w:rsid w:val="001B311A"/>
    <w:rsid w:val="001B31B5"/>
    <w:rsid w:val="001B330E"/>
    <w:rsid w:val="001B33E8"/>
    <w:rsid w:val="001B3509"/>
    <w:rsid w:val="001B3EC8"/>
    <w:rsid w:val="001B4BCB"/>
    <w:rsid w:val="001B4BD0"/>
    <w:rsid w:val="001B5050"/>
    <w:rsid w:val="001B52D3"/>
    <w:rsid w:val="001B541E"/>
    <w:rsid w:val="001B5651"/>
    <w:rsid w:val="001B565A"/>
    <w:rsid w:val="001B63D8"/>
    <w:rsid w:val="001B6DBA"/>
    <w:rsid w:val="001B77E2"/>
    <w:rsid w:val="001C0AA1"/>
    <w:rsid w:val="001C1169"/>
    <w:rsid w:val="001C1716"/>
    <w:rsid w:val="001C17B5"/>
    <w:rsid w:val="001C196F"/>
    <w:rsid w:val="001C1E01"/>
    <w:rsid w:val="001C3A02"/>
    <w:rsid w:val="001C41C6"/>
    <w:rsid w:val="001C4890"/>
    <w:rsid w:val="001C5007"/>
    <w:rsid w:val="001C5341"/>
    <w:rsid w:val="001C5550"/>
    <w:rsid w:val="001C576A"/>
    <w:rsid w:val="001C58AE"/>
    <w:rsid w:val="001C5997"/>
    <w:rsid w:val="001C5C1B"/>
    <w:rsid w:val="001C5F11"/>
    <w:rsid w:val="001C6EAF"/>
    <w:rsid w:val="001C7DC0"/>
    <w:rsid w:val="001C7E4C"/>
    <w:rsid w:val="001D0389"/>
    <w:rsid w:val="001D060D"/>
    <w:rsid w:val="001D08EC"/>
    <w:rsid w:val="001D1454"/>
    <w:rsid w:val="001D1B65"/>
    <w:rsid w:val="001D2174"/>
    <w:rsid w:val="001D31A2"/>
    <w:rsid w:val="001D3375"/>
    <w:rsid w:val="001D3A57"/>
    <w:rsid w:val="001D42C6"/>
    <w:rsid w:val="001D51FD"/>
    <w:rsid w:val="001D59BD"/>
    <w:rsid w:val="001D5D94"/>
    <w:rsid w:val="001D60F0"/>
    <w:rsid w:val="001D6529"/>
    <w:rsid w:val="001D70DB"/>
    <w:rsid w:val="001D7C1B"/>
    <w:rsid w:val="001D7D78"/>
    <w:rsid w:val="001E0088"/>
    <w:rsid w:val="001E02E3"/>
    <w:rsid w:val="001E07EC"/>
    <w:rsid w:val="001E1F80"/>
    <w:rsid w:val="001E1FD0"/>
    <w:rsid w:val="001E34E3"/>
    <w:rsid w:val="001E4529"/>
    <w:rsid w:val="001E5811"/>
    <w:rsid w:val="001F03A9"/>
    <w:rsid w:val="001F0926"/>
    <w:rsid w:val="001F0937"/>
    <w:rsid w:val="001F26EA"/>
    <w:rsid w:val="001F2A69"/>
    <w:rsid w:val="001F3BC3"/>
    <w:rsid w:val="001F44A5"/>
    <w:rsid w:val="001F56AF"/>
    <w:rsid w:val="001F5849"/>
    <w:rsid w:val="001F64BC"/>
    <w:rsid w:val="001F6B21"/>
    <w:rsid w:val="001F6D82"/>
    <w:rsid w:val="001F70B1"/>
    <w:rsid w:val="001F7464"/>
    <w:rsid w:val="001F78BC"/>
    <w:rsid w:val="001F7996"/>
    <w:rsid w:val="00200CEE"/>
    <w:rsid w:val="00202603"/>
    <w:rsid w:val="00202682"/>
    <w:rsid w:val="002027A3"/>
    <w:rsid w:val="00202C9F"/>
    <w:rsid w:val="0020317A"/>
    <w:rsid w:val="00203685"/>
    <w:rsid w:val="00203A1D"/>
    <w:rsid w:val="00204867"/>
    <w:rsid w:val="00205373"/>
    <w:rsid w:val="0020558D"/>
    <w:rsid w:val="00205BF3"/>
    <w:rsid w:val="00206953"/>
    <w:rsid w:val="00206DD3"/>
    <w:rsid w:val="00206F02"/>
    <w:rsid w:val="00206F72"/>
    <w:rsid w:val="0020760D"/>
    <w:rsid w:val="0020764E"/>
    <w:rsid w:val="002079C7"/>
    <w:rsid w:val="00207C37"/>
    <w:rsid w:val="00210162"/>
    <w:rsid w:val="002103BE"/>
    <w:rsid w:val="00212516"/>
    <w:rsid w:val="00212C52"/>
    <w:rsid w:val="002134B4"/>
    <w:rsid w:val="00213CBB"/>
    <w:rsid w:val="00213CF1"/>
    <w:rsid w:val="00213EFB"/>
    <w:rsid w:val="00214695"/>
    <w:rsid w:val="00214A06"/>
    <w:rsid w:val="002152FC"/>
    <w:rsid w:val="002156E2"/>
    <w:rsid w:val="00215857"/>
    <w:rsid w:val="00215C50"/>
    <w:rsid w:val="002161D5"/>
    <w:rsid w:val="00216456"/>
    <w:rsid w:val="00216605"/>
    <w:rsid w:val="00216ABB"/>
    <w:rsid w:val="00216ED0"/>
    <w:rsid w:val="0021710C"/>
    <w:rsid w:val="00217129"/>
    <w:rsid w:val="00217373"/>
    <w:rsid w:val="00217A98"/>
    <w:rsid w:val="00217CE7"/>
    <w:rsid w:val="002201EB"/>
    <w:rsid w:val="002206E7"/>
    <w:rsid w:val="0022093D"/>
    <w:rsid w:val="00220ED3"/>
    <w:rsid w:val="00221C35"/>
    <w:rsid w:val="00222AFF"/>
    <w:rsid w:val="00222BC5"/>
    <w:rsid w:val="00223274"/>
    <w:rsid w:val="002233A2"/>
    <w:rsid w:val="00223718"/>
    <w:rsid w:val="0022420C"/>
    <w:rsid w:val="0022422A"/>
    <w:rsid w:val="002246A9"/>
    <w:rsid w:val="002254B3"/>
    <w:rsid w:val="00225948"/>
    <w:rsid w:val="002262F3"/>
    <w:rsid w:val="002264A8"/>
    <w:rsid w:val="002267F3"/>
    <w:rsid w:val="0022752D"/>
    <w:rsid w:val="002275EA"/>
    <w:rsid w:val="00230AD1"/>
    <w:rsid w:val="00230EB8"/>
    <w:rsid w:val="00231717"/>
    <w:rsid w:val="002319B5"/>
    <w:rsid w:val="00231FCD"/>
    <w:rsid w:val="002323B9"/>
    <w:rsid w:val="00232619"/>
    <w:rsid w:val="00232672"/>
    <w:rsid w:val="00232FC5"/>
    <w:rsid w:val="00233493"/>
    <w:rsid w:val="00233BD9"/>
    <w:rsid w:val="00233D0B"/>
    <w:rsid w:val="00233D90"/>
    <w:rsid w:val="00233ECD"/>
    <w:rsid w:val="002346A9"/>
    <w:rsid w:val="002354AB"/>
    <w:rsid w:val="00235595"/>
    <w:rsid w:val="00235C68"/>
    <w:rsid w:val="00236111"/>
    <w:rsid w:val="00236CD4"/>
    <w:rsid w:val="00237049"/>
    <w:rsid w:val="00237800"/>
    <w:rsid w:val="00237933"/>
    <w:rsid w:val="002379DB"/>
    <w:rsid w:val="002404A5"/>
    <w:rsid w:val="002420F5"/>
    <w:rsid w:val="00242535"/>
    <w:rsid w:val="0024277E"/>
    <w:rsid w:val="00243070"/>
    <w:rsid w:val="002433D2"/>
    <w:rsid w:val="0024349E"/>
    <w:rsid w:val="00243814"/>
    <w:rsid w:val="00243D88"/>
    <w:rsid w:val="0024449D"/>
    <w:rsid w:val="00244575"/>
    <w:rsid w:val="00244AF9"/>
    <w:rsid w:val="0024544E"/>
    <w:rsid w:val="00245DEA"/>
    <w:rsid w:val="00246747"/>
    <w:rsid w:val="00246B0D"/>
    <w:rsid w:val="00246FA6"/>
    <w:rsid w:val="002478B2"/>
    <w:rsid w:val="0025019B"/>
    <w:rsid w:val="002519A7"/>
    <w:rsid w:val="00251D70"/>
    <w:rsid w:val="00251F32"/>
    <w:rsid w:val="00252795"/>
    <w:rsid w:val="00252CE5"/>
    <w:rsid w:val="00252E76"/>
    <w:rsid w:val="002530F4"/>
    <w:rsid w:val="002533AB"/>
    <w:rsid w:val="00253947"/>
    <w:rsid w:val="00253975"/>
    <w:rsid w:val="00253CE4"/>
    <w:rsid w:val="00253E83"/>
    <w:rsid w:val="00254BDB"/>
    <w:rsid w:val="00254C35"/>
    <w:rsid w:val="0025500C"/>
    <w:rsid w:val="00255024"/>
    <w:rsid w:val="002551A0"/>
    <w:rsid w:val="00256377"/>
    <w:rsid w:val="00257D33"/>
    <w:rsid w:val="00257F49"/>
    <w:rsid w:val="002602B8"/>
    <w:rsid w:val="00260FE6"/>
    <w:rsid w:val="0026121F"/>
    <w:rsid w:val="002613C9"/>
    <w:rsid w:val="00261482"/>
    <w:rsid w:val="00262221"/>
    <w:rsid w:val="0026251B"/>
    <w:rsid w:val="002629B7"/>
    <w:rsid w:val="00263B0A"/>
    <w:rsid w:val="00263D51"/>
    <w:rsid w:val="002641AE"/>
    <w:rsid w:val="002643A0"/>
    <w:rsid w:val="0026465A"/>
    <w:rsid w:val="00264ADF"/>
    <w:rsid w:val="00266C18"/>
    <w:rsid w:val="00266C5C"/>
    <w:rsid w:val="00266C93"/>
    <w:rsid w:val="00267076"/>
    <w:rsid w:val="00267424"/>
    <w:rsid w:val="00267AA4"/>
    <w:rsid w:val="00270687"/>
    <w:rsid w:val="00270907"/>
    <w:rsid w:val="0027098C"/>
    <w:rsid w:val="00270B06"/>
    <w:rsid w:val="00270DE2"/>
    <w:rsid w:val="00271200"/>
    <w:rsid w:val="0027134B"/>
    <w:rsid w:val="00271B20"/>
    <w:rsid w:val="0027259F"/>
    <w:rsid w:val="002727D0"/>
    <w:rsid w:val="00272F6E"/>
    <w:rsid w:val="00273889"/>
    <w:rsid w:val="00273898"/>
    <w:rsid w:val="00274960"/>
    <w:rsid w:val="00274CC9"/>
    <w:rsid w:val="00275018"/>
    <w:rsid w:val="002750CB"/>
    <w:rsid w:val="00275148"/>
    <w:rsid w:val="002751BE"/>
    <w:rsid w:val="002751CA"/>
    <w:rsid w:val="0027524B"/>
    <w:rsid w:val="00275257"/>
    <w:rsid w:val="002754E7"/>
    <w:rsid w:val="00275A03"/>
    <w:rsid w:val="00275F47"/>
    <w:rsid w:val="002764FE"/>
    <w:rsid w:val="0027654B"/>
    <w:rsid w:val="00276892"/>
    <w:rsid w:val="00277373"/>
    <w:rsid w:val="00277CBE"/>
    <w:rsid w:val="0028168C"/>
    <w:rsid w:val="00281897"/>
    <w:rsid w:val="00281BAB"/>
    <w:rsid w:val="00281CC2"/>
    <w:rsid w:val="00282BBA"/>
    <w:rsid w:val="002830B3"/>
    <w:rsid w:val="00283263"/>
    <w:rsid w:val="00283A35"/>
    <w:rsid w:val="00283BCF"/>
    <w:rsid w:val="00285230"/>
    <w:rsid w:val="00285A2F"/>
    <w:rsid w:val="00285E44"/>
    <w:rsid w:val="00286189"/>
    <w:rsid w:val="00286E44"/>
    <w:rsid w:val="00286F16"/>
    <w:rsid w:val="0028721A"/>
    <w:rsid w:val="002875BA"/>
    <w:rsid w:val="002876A6"/>
    <w:rsid w:val="002900E5"/>
    <w:rsid w:val="0029025B"/>
    <w:rsid w:val="002909B6"/>
    <w:rsid w:val="0029123D"/>
    <w:rsid w:val="0029170E"/>
    <w:rsid w:val="002917E2"/>
    <w:rsid w:val="00291E2D"/>
    <w:rsid w:val="0029249A"/>
    <w:rsid w:val="00292603"/>
    <w:rsid w:val="0029282C"/>
    <w:rsid w:val="00293804"/>
    <w:rsid w:val="00293ABA"/>
    <w:rsid w:val="00295C22"/>
    <w:rsid w:val="00295E58"/>
    <w:rsid w:val="00295EA3"/>
    <w:rsid w:val="002969CE"/>
    <w:rsid w:val="00297914"/>
    <w:rsid w:val="00297AEF"/>
    <w:rsid w:val="002A01A1"/>
    <w:rsid w:val="002A0D1D"/>
    <w:rsid w:val="002A18ED"/>
    <w:rsid w:val="002A2EE4"/>
    <w:rsid w:val="002A2F3B"/>
    <w:rsid w:val="002A3614"/>
    <w:rsid w:val="002A364D"/>
    <w:rsid w:val="002A376F"/>
    <w:rsid w:val="002A3965"/>
    <w:rsid w:val="002A3C87"/>
    <w:rsid w:val="002A49C7"/>
    <w:rsid w:val="002A546F"/>
    <w:rsid w:val="002A5472"/>
    <w:rsid w:val="002A58FB"/>
    <w:rsid w:val="002A5C22"/>
    <w:rsid w:val="002A5D7C"/>
    <w:rsid w:val="002A6210"/>
    <w:rsid w:val="002A654C"/>
    <w:rsid w:val="002A680E"/>
    <w:rsid w:val="002A6D63"/>
    <w:rsid w:val="002A6E16"/>
    <w:rsid w:val="002A741A"/>
    <w:rsid w:val="002A771C"/>
    <w:rsid w:val="002A77E1"/>
    <w:rsid w:val="002A7874"/>
    <w:rsid w:val="002A7D3D"/>
    <w:rsid w:val="002B1154"/>
    <w:rsid w:val="002B1330"/>
    <w:rsid w:val="002B2238"/>
    <w:rsid w:val="002B2244"/>
    <w:rsid w:val="002B2AB0"/>
    <w:rsid w:val="002B2F68"/>
    <w:rsid w:val="002B3342"/>
    <w:rsid w:val="002B4A20"/>
    <w:rsid w:val="002B6354"/>
    <w:rsid w:val="002C1453"/>
    <w:rsid w:val="002C1C01"/>
    <w:rsid w:val="002C1EEC"/>
    <w:rsid w:val="002C2579"/>
    <w:rsid w:val="002C3426"/>
    <w:rsid w:val="002C35E6"/>
    <w:rsid w:val="002C3A0E"/>
    <w:rsid w:val="002C44FD"/>
    <w:rsid w:val="002C46C8"/>
    <w:rsid w:val="002C4EFB"/>
    <w:rsid w:val="002C52BE"/>
    <w:rsid w:val="002C5450"/>
    <w:rsid w:val="002C5491"/>
    <w:rsid w:val="002C557A"/>
    <w:rsid w:val="002C58A1"/>
    <w:rsid w:val="002C5DAD"/>
    <w:rsid w:val="002C612A"/>
    <w:rsid w:val="002C6404"/>
    <w:rsid w:val="002C653C"/>
    <w:rsid w:val="002C6989"/>
    <w:rsid w:val="002C7007"/>
    <w:rsid w:val="002C7E2A"/>
    <w:rsid w:val="002D0C00"/>
    <w:rsid w:val="002D0EB8"/>
    <w:rsid w:val="002D1061"/>
    <w:rsid w:val="002D113B"/>
    <w:rsid w:val="002D1187"/>
    <w:rsid w:val="002D1E41"/>
    <w:rsid w:val="002D1EDD"/>
    <w:rsid w:val="002D218B"/>
    <w:rsid w:val="002D287C"/>
    <w:rsid w:val="002D2EFB"/>
    <w:rsid w:val="002D308A"/>
    <w:rsid w:val="002D324D"/>
    <w:rsid w:val="002D3300"/>
    <w:rsid w:val="002D3780"/>
    <w:rsid w:val="002D39A4"/>
    <w:rsid w:val="002D45D6"/>
    <w:rsid w:val="002D462F"/>
    <w:rsid w:val="002D4BB7"/>
    <w:rsid w:val="002D4E6F"/>
    <w:rsid w:val="002D5250"/>
    <w:rsid w:val="002D5648"/>
    <w:rsid w:val="002D57D0"/>
    <w:rsid w:val="002D59B1"/>
    <w:rsid w:val="002D5A9A"/>
    <w:rsid w:val="002D602D"/>
    <w:rsid w:val="002D6E4A"/>
    <w:rsid w:val="002D7E99"/>
    <w:rsid w:val="002E0427"/>
    <w:rsid w:val="002E2151"/>
    <w:rsid w:val="002E2764"/>
    <w:rsid w:val="002E2FC5"/>
    <w:rsid w:val="002E31B9"/>
    <w:rsid w:val="002E3412"/>
    <w:rsid w:val="002E3B63"/>
    <w:rsid w:val="002E3BCF"/>
    <w:rsid w:val="002E3DC2"/>
    <w:rsid w:val="002E40D8"/>
    <w:rsid w:val="002E46A3"/>
    <w:rsid w:val="002E48D5"/>
    <w:rsid w:val="002E58F7"/>
    <w:rsid w:val="002E5DA4"/>
    <w:rsid w:val="002E6130"/>
    <w:rsid w:val="002E6497"/>
    <w:rsid w:val="002E6D25"/>
    <w:rsid w:val="002E70F4"/>
    <w:rsid w:val="002E73DA"/>
    <w:rsid w:val="002E74ED"/>
    <w:rsid w:val="002F0271"/>
    <w:rsid w:val="002F0768"/>
    <w:rsid w:val="002F0D8E"/>
    <w:rsid w:val="002F0EC9"/>
    <w:rsid w:val="002F0F0C"/>
    <w:rsid w:val="002F0F22"/>
    <w:rsid w:val="002F12F2"/>
    <w:rsid w:val="002F13EC"/>
    <w:rsid w:val="002F2049"/>
    <w:rsid w:val="002F23A1"/>
    <w:rsid w:val="002F270C"/>
    <w:rsid w:val="002F289F"/>
    <w:rsid w:val="002F2E3B"/>
    <w:rsid w:val="002F31E6"/>
    <w:rsid w:val="002F324D"/>
    <w:rsid w:val="002F3843"/>
    <w:rsid w:val="002F41D3"/>
    <w:rsid w:val="002F4774"/>
    <w:rsid w:val="002F57CC"/>
    <w:rsid w:val="002F7382"/>
    <w:rsid w:val="00300269"/>
    <w:rsid w:val="00300C9B"/>
    <w:rsid w:val="00300D7A"/>
    <w:rsid w:val="00301203"/>
    <w:rsid w:val="00301586"/>
    <w:rsid w:val="00302AFD"/>
    <w:rsid w:val="00304591"/>
    <w:rsid w:val="00304F25"/>
    <w:rsid w:val="0030509A"/>
    <w:rsid w:val="00305146"/>
    <w:rsid w:val="0030520E"/>
    <w:rsid w:val="00305629"/>
    <w:rsid w:val="003059D2"/>
    <w:rsid w:val="00305A04"/>
    <w:rsid w:val="00305ADC"/>
    <w:rsid w:val="00306046"/>
    <w:rsid w:val="0030660B"/>
    <w:rsid w:val="00306DD9"/>
    <w:rsid w:val="00307176"/>
    <w:rsid w:val="00310CFB"/>
    <w:rsid w:val="00310D5B"/>
    <w:rsid w:val="00311266"/>
    <w:rsid w:val="003112C3"/>
    <w:rsid w:val="0031134E"/>
    <w:rsid w:val="00311ADD"/>
    <w:rsid w:val="0031308F"/>
    <w:rsid w:val="0031325A"/>
    <w:rsid w:val="00313415"/>
    <w:rsid w:val="00313A71"/>
    <w:rsid w:val="00313AFE"/>
    <w:rsid w:val="00314265"/>
    <w:rsid w:val="003149D0"/>
    <w:rsid w:val="00314E8A"/>
    <w:rsid w:val="003153BC"/>
    <w:rsid w:val="00315F9A"/>
    <w:rsid w:val="003161CF"/>
    <w:rsid w:val="00316B01"/>
    <w:rsid w:val="0031706E"/>
    <w:rsid w:val="00320395"/>
    <w:rsid w:val="00320A7A"/>
    <w:rsid w:val="00320B22"/>
    <w:rsid w:val="003211FA"/>
    <w:rsid w:val="0032191E"/>
    <w:rsid w:val="00322BDD"/>
    <w:rsid w:val="00323B03"/>
    <w:rsid w:val="00323CAC"/>
    <w:rsid w:val="00324062"/>
    <w:rsid w:val="0032492F"/>
    <w:rsid w:val="00324FD1"/>
    <w:rsid w:val="003251C4"/>
    <w:rsid w:val="0032622C"/>
    <w:rsid w:val="0032729D"/>
    <w:rsid w:val="00327953"/>
    <w:rsid w:val="00327DBB"/>
    <w:rsid w:val="003303DD"/>
    <w:rsid w:val="003307CC"/>
    <w:rsid w:val="00330DAD"/>
    <w:rsid w:val="00331AB5"/>
    <w:rsid w:val="003321CD"/>
    <w:rsid w:val="003326E2"/>
    <w:rsid w:val="0033309B"/>
    <w:rsid w:val="00333279"/>
    <w:rsid w:val="00333579"/>
    <w:rsid w:val="003349BD"/>
    <w:rsid w:val="00334C32"/>
    <w:rsid w:val="00334D18"/>
    <w:rsid w:val="003352DC"/>
    <w:rsid w:val="003354B1"/>
    <w:rsid w:val="00335F20"/>
    <w:rsid w:val="0033622E"/>
    <w:rsid w:val="00336248"/>
    <w:rsid w:val="0033631A"/>
    <w:rsid w:val="00336548"/>
    <w:rsid w:val="003369AC"/>
    <w:rsid w:val="00336A16"/>
    <w:rsid w:val="00336CC4"/>
    <w:rsid w:val="003414D2"/>
    <w:rsid w:val="003415D7"/>
    <w:rsid w:val="00341665"/>
    <w:rsid w:val="003428B8"/>
    <w:rsid w:val="00342A93"/>
    <w:rsid w:val="00343200"/>
    <w:rsid w:val="00343AEA"/>
    <w:rsid w:val="00343CF1"/>
    <w:rsid w:val="00343EAC"/>
    <w:rsid w:val="003447F6"/>
    <w:rsid w:val="00344986"/>
    <w:rsid w:val="00344BD2"/>
    <w:rsid w:val="00344C32"/>
    <w:rsid w:val="00344C74"/>
    <w:rsid w:val="003455FE"/>
    <w:rsid w:val="0034587C"/>
    <w:rsid w:val="00345C0C"/>
    <w:rsid w:val="00346BCD"/>
    <w:rsid w:val="00346D15"/>
    <w:rsid w:val="003477B3"/>
    <w:rsid w:val="003501DA"/>
    <w:rsid w:val="0035070B"/>
    <w:rsid w:val="00350A22"/>
    <w:rsid w:val="00350AE2"/>
    <w:rsid w:val="003512EC"/>
    <w:rsid w:val="003517F3"/>
    <w:rsid w:val="00351AE0"/>
    <w:rsid w:val="00352257"/>
    <w:rsid w:val="003522E8"/>
    <w:rsid w:val="00352560"/>
    <w:rsid w:val="00352F27"/>
    <w:rsid w:val="00353751"/>
    <w:rsid w:val="00353827"/>
    <w:rsid w:val="00353D86"/>
    <w:rsid w:val="00354667"/>
    <w:rsid w:val="003549B9"/>
    <w:rsid w:val="003549FB"/>
    <w:rsid w:val="00354AE7"/>
    <w:rsid w:val="00354CE9"/>
    <w:rsid w:val="00355772"/>
    <w:rsid w:val="00355D1F"/>
    <w:rsid w:val="0035652A"/>
    <w:rsid w:val="00356C98"/>
    <w:rsid w:val="00357601"/>
    <w:rsid w:val="00357B6F"/>
    <w:rsid w:val="0036083F"/>
    <w:rsid w:val="00360DBB"/>
    <w:rsid w:val="003613A3"/>
    <w:rsid w:val="00361414"/>
    <w:rsid w:val="00361592"/>
    <w:rsid w:val="003616AE"/>
    <w:rsid w:val="00361C5A"/>
    <w:rsid w:val="003621F8"/>
    <w:rsid w:val="003630F5"/>
    <w:rsid w:val="00363589"/>
    <w:rsid w:val="003636B6"/>
    <w:rsid w:val="00363AA2"/>
    <w:rsid w:val="00363C1E"/>
    <w:rsid w:val="0036526F"/>
    <w:rsid w:val="003653A7"/>
    <w:rsid w:val="00365FD8"/>
    <w:rsid w:val="003664EC"/>
    <w:rsid w:val="00367BA7"/>
    <w:rsid w:val="00367F82"/>
    <w:rsid w:val="00370383"/>
    <w:rsid w:val="00370400"/>
    <w:rsid w:val="00370C6F"/>
    <w:rsid w:val="00370CB1"/>
    <w:rsid w:val="0037127D"/>
    <w:rsid w:val="00371675"/>
    <w:rsid w:val="003718E8"/>
    <w:rsid w:val="00371BBF"/>
    <w:rsid w:val="0037212D"/>
    <w:rsid w:val="003722CE"/>
    <w:rsid w:val="00373B9A"/>
    <w:rsid w:val="003741C3"/>
    <w:rsid w:val="00374AA3"/>
    <w:rsid w:val="00374E36"/>
    <w:rsid w:val="003756F7"/>
    <w:rsid w:val="00376013"/>
    <w:rsid w:val="003763C0"/>
    <w:rsid w:val="00376655"/>
    <w:rsid w:val="00376C34"/>
    <w:rsid w:val="00376FD4"/>
    <w:rsid w:val="00380202"/>
    <w:rsid w:val="00381026"/>
    <w:rsid w:val="00381459"/>
    <w:rsid w:val="00381481"/>
    <w:rsid w:val="00382027"/>
    <w:rsid w:val="00382800"/>
    <w:rsid w:val="00384125"/>
    <w:rsid w:val="0038434C"/>
    <w:rsid w:val="003844D5"/>
    <w:rsid w:val="003846BE"/>
    <w:rsid w:val="00384839"/>
    <w:rsid w:val="00385442"/>
    <w:rsid w:val="0038670C"/>
    <w:rsid w:val="003908DF"/>
    <w:rsid w:val="00392392"/>
    <w:rsid w:val="003924ED"/>
    <w:rsid w:val="003929AD"/>
    <w:rsid w:val="00392CF6"/>
    <w:rsid w:val="00392D0A"/>
    <w:rsid w:val="00392DCA"/>
    <w:rsid w:val="0039432F"/>
    <w:rsid w:val="003948DE"/>
    <w:rsid w:val="00394CD6"/>
    <w:rsid w:val="00395A20"/>
    <w:rsid w:val="0039605F"/>
    <w:rsid w:val="003971E2"/>
    <w:rsid w:val="0039784A"/>
    <w:rsid w:val="00397918"/>
    <w:rsid w:val="00397A26"/>
    <w:rsid w:val="00397EB6"/>
    <w:rsid w:val="003A1085"/>
    <w:rsid w:val="003A1D40"/>
    <w:rsid w:val="003A21BC"/>
    <w:rsid w:val="003A2B12"/>
    <w:rsid w:val="003A31AF"/>
    <w:rsid w:val="003A377A"/>
    <w:rsid w:val="003A3E80"/>
    <w:rsid w:val="003A3EFD"/>
    <w:rsid w:val="003A3F57"/>
    <w:rsid w:val="003A406A"/>
    <w:rsid w:val="003A496E"/>
    <w:rsid w:val="003A55B0"/>
    <w:rsid w:val="003A5969"/>
    <w:rsid w:val="003A5E72"/>
    <w:rsid w:val="003A60A1"/>
    <w:rsid w:val="003A6C09"/>
    <w:rsid w:val="003A6D56"/>
    <w:rsid w:val="003A6FC3"/>
    <w:rsid w:val="003A731A"/>
    <w:rsid w:val="003A7496"/>
    <w:rsid w:val="003B054E"/>
    <w:rsid w:val="003B090B"/>
    <w:rsid w:val="003B0938"/>
    <w:rsid w:val="003B0F40"/>
    <w:rsid w:val="003B10CB"/>
    <w:rsid w:val="003B1354"/>
    <w:rsid w:val="003B14A3"/>
    <w:rsid w:val="003B1891"/>
    <w:rsid w:val="003B2A98"/>
    <w:rsid w:val="003B3470"/>
    <w:rsid w:val="003B4E4D"/>
    <w:rsid w:val="003B733E"/>
    <w:rsid w:val="003B77D1"/>
    <w:rsid w:val="003C0360"/>
    <w:rsid w:val="003C0D72"/>
    <w:rsid w:val="003C1380"/>
    <w:rsid w:val="003C1469"/>
    <w:rsid w:val="003C14A1"/>
    <w:rsid w:val="003C18F4"/>
    <w:rsid w:val="003C29F0"/>
    <w:rsid w:val="003C2BD2"/>
    <w:rsid w:val="003C36E7"/>
    <w:rsid w:val="003C3DE2"/>
    <w:rsid w:val="003C42CE"/>
    <w:rsid w:val="003C4A80"/>
    <w:rsid w:val="003C52A4"/>
    <w:rsid w:val="003C6004"/>
    <w:rsid w:val="003D0C23"/>
    <w:rsid w:val="003D0F87"/>
    <w:rsid w:val="003D100E"/>
    <w:rsid w:val="003D1B10"/>
    <w:rsid w:val="003D230B"/>
    <w:rsid w:val="003D231E"/>
    <w:rsid w:val="003D2CEF"/>
    <w:rsid w:val="003D34F0"/>
    <w:rsid w:val="003D35BC"/>
    <w:rsid w:val="003D37A4"/>
    <w:rsid w:val="003D3B8D"/>
    <w:rsid w:val="003D4630"/>
    <w:rsid w:val="003D49BF"/>
    <w:rsid w:val="003D5CA3"/>
    <w:rsid w:val="003D5F9D"/>
    <w:rsid w:val="003D6063"/>
    <w:rsid w:val="003D61C9"/>
    <w:rsid w:val="003D6525"/>
    <w:rsid w:val="003D6DF0"/>
    <w:rsid w:val="003D72BB"/>
    <w:rsid w:val="003E00B1"/>
    <w:rsid w:val="003E06B7"/>
    <w:rsid w:val="003E11E7"/>
    <w:rsid w:val="003E1785"/>
    <w:rsid w:val="003E18CD"/>
    <w:rsid w:val="003E33B1"/>
    <w:rsid w:val="003E3418"/>
    <w:rsid w:val="003E3933"/>
    <w:rsid w:val="003E4158"/>
    <w:rsid w:val="003E4353"/>
    <w:rsid w:val="003E474B"/>
    <w:rsid w:val="003E6108"/>
    <w:rsid w:val="003E6540"/>
    <w:rsid w:val="003E664A"/>
    <w:rsid w:val="003E68ED"/>
    <w:rsid w:val="003E7546"/>
    <w:rsid w:val="003E757E"/>
    <w:rsid w:val="003E77C0"/>
    <w:rsid w:val="003E7FFE"/>
    <w:rsid w:val="003F03E4"/>
    <w:rsid w:val="003F0809"/>
    <w:rsid w:val="003F0A38"/>
    <w:rsid w:val="003F11DD"/>
    <w:rsid w:val="003F129B"/>
    <w:rsid w:val="003F1465"/>
    <w:rsid w:val="003F1E21"/>
    <w:rsid w:val="003F5967"/>
    <w:rsid w:val="003F59E6"/>
    <w:rsid w:val="003F5CAA"/>
    <w:rsid w:val="003F6A00"/>
    <w:rsid w:val="003F70A2"/>
    <w:rsid w:val="003F70C9"/>
    <w:rsid w:val="003F7386"/>
    <w:rsid w:val="003F7AB4"/>
    <w:rsid w:val="003F7DD4"/>
    <w:rsid w:val="00400035"/>
    <w:rsid w:val="004001B5"/>
    <w:rsid w:val="004003E1"/>
    <w:rsid w:val="004008FD"/>
    <w:rsid w:val="0040107C"/>
    <w:rsid w:val="00402216"/>
    <w:rsid w:val="004024A3"/>
    <w:rsid w:val="0040254B"/>
    <w:rsid w:val="0040255F"/>
    <w:rsid w:val="004026A4"/>
    <w:rsid w:val="004032F6"/>
    <w:rsid w:val="004036B4"/>
    <w:rsid w:val="0040375E"/>
    <w:rsid w:val="00403A1B"/>
    <w:rsid w:val="004048FD"/>
    <w:rsid w:val="00404AEC"/>
    <w:rsid w:val="00404DA7"/>
    <w:rsid w:val="00405392"/>
    <w:rsid w:val="00406104"/>
    <w:rsid w:val="0040648F"/>
    <w:rsid w:val="00406B6D"/>
    <w:rsid w:val="0040772D"/>
    <w:rsid w:val="00407C8A"/>
    <w:rsid w:val="00410D44"/>
    <w:rsid w:val="00410F21"/>
    <w:rsid w:val="0041166F"/>
    <w:rsid w:val="00411B36"/>
    <w:rsid w:val="00411FE6"/>
    <w:rsid w:val="00412015"/>
    <w:rsid w:val="0041298C"/>
    <w:rsid w:val="00413362"/>
    <w:rsid w:val="004134DF"/>
    <w:rsid w:val="00416054"/>
    <w:rsid w:val="004167D9"/>
    <w:rsid w:val="00416856"/>
    <w:rsid w:val="00417285"/>
    <w:rsid w:val="0041736D"/>
    <w:rsid w:val="00417817"/>
    <w:rsid w:val="00417E20"/>
    <w:rsid w:val="004207AD"/>
    <w:rsid w:val="00421273"/>
    <w:rsid w:val="004217F3"/>
    <w:rsid w:val="00421CE9"/>
    <w:rsid w:val="0042217E"/>
    <w:rsid w:val="00422254"/>
    <w:rsid w:val="004224ED"/>
    <w:rsid w:val="0042252D"/>
    <w:rsid w:val="00422E4B"/>
    <w:rsid w:val="00422E88"/>
    <w:rsid w:val="00423161"/>
    <w:rsid w:val="004240AB"/>
    <w:rsid w:val="00424126"/>
    <w:rsid w:val="00424B8A"/>
    <w:rsid w:val="004250C5"/>
    <w:rsid w:val="00425739"/>
    <w:rsid w:val="00425E2B"/>
    <w:rsid w:val="0042682D"/>
    <w:rsid w:val="00426AA5"/>
    <w:rsid w:val="00426AD8"/>
    <w:rsid w:val="00426B1E"/>
    <w:rsid w:val="00426E2D"/>
    <w:rsid w:val="004278D2"/>
    <w:rsid w:val="00427D59"/>
    <w:rsid w:val="004305B7"/>
    <w:rsid w:val="004305ED"/>
    <w:rsid w:val="00430B9A"/>
    <w:rsid w:val="00430D2E"/>
    <w:rsid w:val="004310A0"/>
    <w:rsid w:val="004315A5"/>
    <w:rsid w:val="00431B3E"/>
    <w:rsid w:val="004333E9"/>
    <w:rsid w:val="004335F7"/>
    <w:rsid w:val="0043368C"/>
    <w:rsid w:val="00433922"/>
    <w:rsid w:val="00433F9B"/>
    <w:rsid w:val="00434072"/>
    <w:rsid w:val="004342B5"/>
    <w:rsid w:val="0043531F"/>
    <w:rsid w:val="004356CD"/>
    <w:rsid w:val="00435AC9"/>
    <w:rsid w:val="004373D9"/>
    <w:rsid w:val="004377F3"/>
    <w:rsid w:val="004406EF"/>
    <w:rsid w:val="00441D24"/>
    <w:rsid w:val="00442E84"/>
    <w:rsid w:val="004435D5"/>
    <w:rsid w:val="00443D07"/>
    <w:rsid w:val="0044417A"/>
    <w:rsid w:val="0044551F"/>
    <w:rsid w:val="0044559E"/>
    <w:rsid w:val="00445BA4"/>
    <w:rsid w:val="00445F46"/>
    <w:rsid w:val="00446EFD"/>
    <w:rsid w:val="004471A5"/>
    <w:rsid w:val="00447369"/>
    <w:rsid w:val="00447624"/>
    <w:rsid w:val="004478C0"/>
    <w:rsid w:val="00447C4C"/>
    <w:rsid w:val="00450699"/>
    <w:rsid w:val="0045073B"/>
    <w:rsid w:val="00450DE4"/>
    <w:rsid w:val="00451705"/>
    <w:rsid w:val="00451B38"/>
    <w:rsid w:val="0045214B"/>
    <w:rsid w:val="00452C04"/>
    <w:rsid w:val="00452E17"/>
    <w:rsid w:val="00453086"/>
    <w:rsid w:val="0045390E"/>
    <w:rsid w:val="00453A1C"/>
    <w:rsid w:val="00453C06"/>
    <w:rsid w:val="00453C94"/>
    <w:rsid w:val="004541D7"/>
    <w:rsid w:val="0045562B"/>
    <w:rsid w:val="00455B3E"/>
    <w:rsid w:val="00455CB0"/>
    <w:rsid w:val="0045614A"/>
    <w:rsid w:val="0045697A"/>
    <w:rsid w:val="004571FC"/>
    <w:rsid w:val="00457BB6"/>
    <w:rsid w:val="00457F21"/>
    <w:rsid w:val="00460182"/>
    <w:rsid w:val="004601BC"/>
    <w:rsid w:val="00461606"/>
    <w:rsid w:val="004619DA"/>
    <w:rsid w:val="00461AEF"/>
    <w:rsid w:val="00461B29"/>
    <w:rsid w:val="00462220"/>
    <w:rsid w:val="004622D1"/>
    <w:rsid w:val="00462707"/>
    <w:rsid w:val="004628C0"/>
    <w:rsid w:val="00463602"/>
    <w:rsid w:val="00464010"/>
    <w:rsid w:val="0046404B"/>
    <w:rsid w:val="00464A02"/>
    <w:rsid w:val="00464B79"/>
    <w:rsid w:val="0046611E"/>
    <w:rsid w:val="00466280"/>
    <w:rsid w:val="004662D6"/>
    <w:rsid w:val="00466CD1"/>
    <w:rsid w:val="00466D3A"/>
    <w:rsid w:val="00467AED"/>
    <w:rsid w:val="00470316"/>
    <w:rsid w:val="00470449"/>
    <w:rsid w:val="00470D65"/>
    <w:rsid w:val="00471206"/>
    <w:rsid w:val="00471884"/>
    <w:rsid w:val="00471C99"/>
    <w:rsid w:val="00472AD6"/>
    <w:rsid w:val="004741D6"/>
    <w:rsid w:val="00475126"/>
    <w:rsid w:val="004765C3"/>
    <w:rsid w:val="004768D4"/>
    <w:rsid w:val="00476D9F"/>
    <w:rsid w:val="00477187"/>
    <w:rsid w:val="004771CB"/>
    <w:rsid w:val="004775A3"/>
    <w:rsid w:val="00477955"/>
    <w:rsid w:val="00477B0D"/>
    <w:rsid w:val="00480DE2"/>
    <w:rsid w:val="004810D3"/>
    <w:rsid w:val="00481535"/>
    <w:rsid w:val="004818B3"/>
    <w:rsid w:val="0048211F"/>
    <w:rsid w:val="00482408"/>
    <w:rsid w:val="00482861"/>
    <w:rsid w:val="00483BB3"/>
    <w:rsid w:val="00483FB0"/>
    <w:rsid w:val="004847E4"/>
    <w:rsid w:val="004848E4"/>
    <w:rsid w:val="00485041"/>
    <w:rsid w:val="0048565A"/>
    <w:rsid w:val="00485690"/>
    <w:rsid w:val="004858F0"/>
    <w:rsid w:val="00485BE9"/>
    <w:rsid w:val="00485C7F"/>
    <w:rsid w:val="004866B0"/>
    <w:rsid w:val="00486A96"/>
    <w:rsid w:val="00486B2F"/>
    <w:rsid w:val="00486CDE"/>
    <w:rsid w:val="0048747C"/>
    <w:rsid w:val="0048773E"/>
    <w:rsid w:val="00487921"/>
    <w:rsid w:val="00487A23"/>
    <w:rsid w:val="0049105B"/>
    <w:rsid w:val="00491B59"/>
    <w:rsid w:val="00491B9E"/>
    <w:rsid w:val="0049200B"/>
    <w:rsid w:val="00493603"/>
    <w:rsid w:val="004937D5"/>
    <w:rsid w:val="004943F5"/>
    <w:rsid w:val="0049446E"/>
    <w:rsid w:val="0049493F"/>
    <w:rsid w:val="00494CF9"/>
    <w:rsid w:val="0049523A"/>
    <w:rsid w:val="00495290"/>
    <w:rsid w:val="0049571A"/>
    <w:rsid w:val="004958F9"/>
    <w:rsid w:val="00495C97"/>
    <w:rsid w:val="0049634E"/>
    <w:rsid w:val="00496427"/>
    <w:rsid w:val="0049653F"/>
    <w:rsid w:val="004967F8"/>
    <w:rsid w:val="00496982"/>
    <w:rsid w:val="004969B0"/>
    <w:rsid w:val="00496B1E"/>
    <w:rsid w:val="00496C0E"/>
    <w:rsid w:val="00497006"/>
    <w:rsid w:val="004970EA"/>
    <w:rsid w:val="004A0ECF"/>
    <w:rsid w:val="004A1AE8"/>
    <w:rsid w:val="004A1EFF"/>
    <w:rsid w:val="004A26A6"/>
    <w:rsid w:val="004A28E3"/>
    <w:rsid w:val="004A2DB3"/>
    <w:rsid w:val="004A3885"/>
    <w:rsid w:val="004A3D08"/>
    <w:rsid w:val="004A3FF9"/>
    <w:rsid w:val="004A40EA"/>
    <w:rsid w:val="004A4355"/>
    <w:rsid w:val="004A579C"/>
    <w:rsid w:val="004A591E"/>
    <w:rsid w:val="004A6396"/>
    <w:rsid w:val="004A71A6"/>
    <w:rsid w:val="004A743E"/>
    <w:rsid w:val="004A75B2"/>
    <w:rsid w:val="004A78B1"/>
    <w:rsid w:val="004A78DB"/>
    <w:rsid w:val="004A7DA4"/>
    <w:rsid w:val="004A7F8E"/>
    <w:rsid w:val="004B00BA"/>
    <w:rsid w:val="004B04DF"/>
    <w:rsid w:val="004B17D8"/>
    <w:rsid w:val="004B18F3"/>
    <w:rsid w:val="004B268C"/>
    <w:rsid w:val="004B2E48"/>
    <w:rsid w:val="004B4B50"/>
    <w:rsid w:val="004B61AC"/>
    <w:rsid w:val="004B6518"/>
    <w:rsid w:val="004B7137"/>
    <w:rsid w:val="004B7269"/>
    <w:rsid w:val="004B7638"/>
    <w:rsid w:val="004B7B4A"/>
    <w:rsid w:val="004C0799"/>
    <w:rsid w:val="004C1F78"/>
    <w:rsid w:val="004C2F0A"/>
    <w:rsid w:val="004C2F45"/>
    <w:rsid w:val="004C47D9"/>
    <w:rsid w:val="004C490D"/>
    <w:rsid w:val="004C6509"/>
    <w:rsid w:val="004C6D0E"/>
    <w:rsid w:val="004C6FAB"/>
    <w:rsid w:val="004C7710"/>
    <w:rsid w:val="004C7D0D"/>
    <w:rsid w:val="004C7DA9"/>
    <w:rsid w:val="004D0D55"/>
    <w:rsid w:val="004D0E7B"/>
    <w:rsid w:val="004D0F62"/>
    <w:rsid w:val="004D1136"/>
    <w:rsid w:val="004D1686"/>
    <w:rsid w:val="004D1DB9"/>
    <w:rsid w:val="004D2269"/>
    <w:rsid w:val="004D2502"/>
    <w:rsid w:val="004D2779"/>
    <w:rsid w:val="004D2AEC"/>
    <w:rsid w:val="004D2BEA"/>
    <w:rsid w:val="004D2CDB"/>
    <w:rsid w:val="004D2F15"/>
    <w:rsid w:val="004D3F7A"/>
    <w:rsid w:val="004D3FFD"/>
    <w:rsid w:val="004D436D"/>
    <w:rsid w:val="004D47A8"/>
    <w:rsid w:val="004D48D1"/>
    <w:rsid w:val="004D5B21"/>
    <w:rsid w:val="004D5BDA"/>
    <w:rsid w:val="004D61B1"/>
    <w:rsid w:val="004D628E"/>
    <w:rsid w:val="004D682A"/>
    <w:rsid w:val="004D6867"/>
    <w:rsid w:val="004D69E8"/>
    <w:rsid w:val="004D6D4F"/>
    <w:rsid w:val="004E0431"/>
    <w:rsid w:val="004E09E6"/>
    <w:rsid w:val="004E0A37"/>
    <w:rsid w:val="004E0B4A"/>
    <w:rsid w:val="004E105E"/>
    <w:rsid w:val="004E116B"/>
    <w:rsid w:val="004E14BF"/>
    <w:rsid w:val="004E21EC"/>
    <w:rsid w:val="004E2333"/>
    <w:rsid w:val="004E346B"/>
    <w:rsid w:val="004E3724"/>
    <w:rsid w:val="004E3F53"/>
    <w:rsid w:val="004E4191"/>
    <w:rsid w:val="004E4351"/>
    <w:rsid w:val="004E4608"/>
    <w:rsid w:val="004E4959"/>
    <w:rsid w:val="004E49C9"/>
    <w:rsid w:val="004E4E50"/>
    <w:rsid w:val="004E504B"/>
    <w:rsid w:val="004E5F7B"/>
    <w:rsid w:val="004E608E"/>
    <w:rsid w:val="004E6784"/>
    <w:rsid w:val="004E7592"/>
    <w:rsid w:val="004E7810"/>
    <w:rsid w:val="004E7FF2"/>
    <w:rsid w:val="004F0F80"/>
    <w:rsid w:val="004F101B"/>
    <w:rsid w:val="004F1373"/>
    <w:rsid w:val="004F1A7A"/>
    <w:rsid w:val="004F1F5A"/>
    <w:rsid w:val="004F25EA"/>
    <w:rsid w:val="004F2783"/>
    <w:rsid w:val="004F30CE"/>
    <w:rsid w:val="004F37C0"/>
    <w:rsid w:val="004F3B1F"/>
    <w:rsid w:val="004F4EB1"/>
    <w:rsid w:val="004F4FD7"/>
    <w:rsid w:val="004F610A"/>
    <w:rsid w:val="004F6F91"/>
    <w:rsid w:val="004F77C3"/>
    <w:rsid w:val="004F7AA9"/>
    <w:rsid w:val="00500703"/>
    <w:rsid w:val="00500799"/>
    <w:rsid w:val="005008E5"/>
    <w:rsid w:val="00500A7B"/>
    <w:rsid w:val="00500A99"/>
    <w:rsid w:val="005012E4"/>
    <w:rsid w:val="00501500"/>
    <w:rsid w:val="00502591"/>
    <w:rsid w:val="0050276A"/>
    <w:rsid w:val="00502E86"/>
    <w:rsid w:val="00503A44"/>
    <w:rsid w:val="00503B98"/>
    <w:rsid w:val="00504277"/>
    <w:rsid w:val="005046F1"/>
    <w:rsid w:val="005053FD"/>
    <w:rsid w:val="00505E59"/>
    <w:rsid w:val="005067AF"/>
    <w:rsid w:val="00506875"/>
    <w:rsid w:val="0050687A"/>
    <w:rsid w:val="005077CC"/>
    <w:rsid w:val="00507D73"/>
    <w:rsid w:val="00510E5C"/>
    <w:rsid w:val="00511455"/>
    <w:rsid w:val="0051191D"/>
    <w:rsid w:val="0051278B"/>
    <w:rsid w:val="0051295A"/>
    <w:rsid w:val="00512C92"/>
    <w:rsid w:val="00513500"/>
    <w:rsid w:val="005136F9"/>
    <w:rsid w:val="005137F8"/>
    <w:rsid w:val="00513B38"/>
    <w:rsid w:val="00513BCA"/>
    <w:rsid w:val="00514B47"/>
    <w:rsid w:val="005161EE"/>
    <w:rsid w:val="005165CC"/>
    <w:rsid w:val="00516B4A"/>
    <w:rsid w:val="0051764B"/>
    <w:rsid w:val="0052019F"/>
    <w:rsid w:val="0052054D"/>
    <w:rsid w:val="00520B9A"/>
    <w:rsid w:val="00520CEE"/>
    <w:rsid w:val="00520D6F"/>
    <w:rsid w:val="00520D80"/>
    <w:rsid w:val="0052103E"/>
    <w:rsid w:val="0052167C"/>
    <w:rsid w:val="00521B25"/>
    <w:rsid w:val="00521B75"/>
    <w:rsid w:val="005222C5"/>
    <w:rsid w:val="00522400"/>
    <w:rsid w:val="00522E8F"/>
    <w:rsid w:val="0052341F"/>
    <w:rsid w:val="00523736"/>
    <w:rsid w:val="00523D2B"/>
    <w:rsid w:val="00523E89"/>
    <w:rsid w:val="00524339"/>
    <w:rsid w:val="005248E4"/>
    <w:rsid w:val="00524995"/>
    <w:rsid w:val="00524D79"/>
    <w:rsid w:val="0052551B"/>
    <w:rsid w:val="005255D6"/>
    <w:rsid w:val="005258AF"/>
    <w:rsid w:val="00525C41"/>
    <w:rsid w:val="00525F37"/>
    <w:rsid w:val="005262FE"/>
    <w:rsid w:val="0052651A"/>
    <w:rsid w:val="00526D8B"/>
    <w:rsid w:val="005278F7"/>
    <w:rsid w:val="00527ECC"/>
    <w:rsid w:val="0053078B"/>
    <w:rsid w:val="00530D6F"/>
    <w:rsid w:val="00531E58"/>
    <w:rsid w:val="005321FE"/>
    <w:rsid w:val="005323F4"/>
    <w:rsid w:val="005324E4"/>
    <w:rsid w:val="00532F72"/>
    <w:rsid w:val="00532F9E"/>
    <w:rsid w:val="005330FC"/>
    <w:rsid w:val="0053373C"/>
    <w:rsid w:val="00533FCB"/>
    <w:rsid w:val="0053468E"/>
    <w:rsid w:val="005348A4"/>
    <w:rsid w:val="00534B51"/>
    <w:rsid w:val="00535653"/>
    <w:rsid w:val="00535CEA"/>
    <w:rsid w:val="005362BC"/>
    <w:rsid w:val="00536351"/>
    <w:rsid w:val="005364D7"/>
    <w:rsid w:val="00536F6B"/>
    <w:rsid w:val="005377ED"/>
    <w:rsid w:val="005403A9"/>
    <w:rsid w:val="00542214"/>
    <w:rsid w:val="0054268F"/>
    <w:rsid w:val="00544488"/>
    <w:rsid w:val="005451CF"/>
    <w:rsid w:val="00545597"/>
    <w:rsid w:val="005456F8"/>
    <w:rsid w:val="00545848"/>
    <w:rsid w:val="00545DA9"/>
    <w:rsid w:val="0054607B"/>
    <w:rsid w:val="00546714"/>
    <w:rsid w:val="005469A6"/>
    <w:rsid w:val="00546A77"/>
    <w:rsid w:val="005479AB"/>
    <w:rsid w:val="0055096D"/>
    <w:rsid w:val="00550E15"/>
    <w:rsid w:val="00551363"/>
    <w:rsid w:val="00551E95"/>
    <w:rsid w:val="005525BC"/>
    <w:rsid w:val="005529E6"/>
    <w:rsid w:val="00552D41"/>
    <w:rsid w:val="00554490"/>
    <w:rsid w:val="00554673"/>
    <w:rsid w:val="005548F6"/>
    <w:rsid w:val="00554D99"/>
    <w:rsid w:val="0055504D"/>
    <w:rsid w:val="0055565C"/>
    <w:rsid w:val="00555690"/>
    <w:rsid w:val="005556D0"/>
    <w:rsid w:val="00555928"/>
    <w:rsid w:val="0055593A"/>
    <w:rsid w:val="00557159"/>
    <w:rsid w:val="00557169"/>
    <w:rsid w:val="005572F3"/>
    <w:rsid w:val="0055758A"/>
    <w:rsid w:val="00557832"/>
    <w:rsid w:val="00557D18"/>
    <w:rsid w:val="00560182"/>
    <w:rsid w:val="005610CB"/>
    <w:rsid w:val="0056128A"/>
    <w:rsid w:val="00561C6B"/>
    <w:rsid w:val="005623C5"/>
    <w:rsid w:val="0056278B"/>
    <w:rsid w:val="00562CB1"/>
    <w:rsid w:val="005631D3"/>
    <w:rsid w:val="005644DA"/>
    <w:rsid w:val="005647FA"/>
    <w:rsid w:val="00564818"/>
    <w:rsid w:val="00564B38"/>
    <w:rsid w:val="00564B54"/>
    <w:rsid w:val="00565676"/>
    <w:rsid w:val="00566FF2"/>
    <w:rsid w:val="00570AA8"/>
    <w:rsid w:val="00571169"/>
    <w:rsid w:val="005712CD"/>
    <w:rsid w:val="0057173E"/>
    <w:rsid w:val="00572852"/>
    <w:rsid w:val="00572E04"/>
    <w:rsid w:val="00572EC5"/>
    <w:rsid w:val="005730D1"/>
    <w:rsid w:val="00573C18"/>
    <w:rsid w:val="005744B2"/>
    <w:rsid w:val="005748B1"/>
    <w:rsid w:val="00574BAD"/>
    <w:rsid w:val="00574C60"/>
    <w:rsid w:val="0057552E"/>
    <w:rsid w:val="00575D85"/>
    <w:rsid w:val="0057735C"/>
    <w:rsid w:val="00577501"/>
    <w:rsid w:val="00580761"/>
    <w:rsid w:val="00580E5E"/>
    <w:rsid w:val="00581666"/>
    <w:rsid w:val="00581C78"/>
    <w:rsid w:val="0058235A"/>
    <w:rsid w:val="00583651"/>
    <w:rsid w:val="005838D6"/>
    <w:rsid w:val="005846B4"/>
    <w:rsid w:val="00584A68"/>
    <w:rsid w:val="00584EBE"/>
    <w:rsid w:val="00585008"/>
    <w:rsid w:val="005851BA"/>
    <w:rsid w:val="00585A50"/>
    <w:rsid w:val="00585E3C"/>
    <w:rsid w:val="0058663A"/>
    <w:rsid w:val="0058690C"/>
    <w:rsid w:val="00586ADB"/>
    <w:rsid w:val="00587162"/>
    <w:rsid w:val="00587210"/>
    <w:rsid w:val="00587581"/>
    <w:rsid w:val="00587894"/>
    <w:rsid w:val="00587FFA"/>
    <w:rsid w:val="0059007E"/>
    <w:rsid w:val="00590635"/>
    <w:rsid w:val="0059097A"/>
    <w:rsid w:val="00590B53"/>
    <w:rsid w:val="00590F4C"/>
    <w:rsid w:val="005913BD"/>
    <w:rsid w:val="00592C8A"/>
    <w:rsid w:val="00592FDB"/>
    <w:rsid w:val="005934D5"/>
    <w:rsid w:val="00593926"/>
    <w:rsid w:val="00593B09"/>
    <w:rsid w:val="00593FCC"/>
    <w:rsid w:val="00594D95"/>
    <w:rsid w:val="00594F85"/>
    <w:rsid w:val="00595ECF"/>
    <w:rsid w:val="00596010"/>
    <w:rsid w:val="005966F3"/>
    <w:rsid w:val="00596A34"/>
    <w:rsid w:val="005970AE"/>
    <w:rsid w:val="005974AA"/>
    <w:rsid w:val="00597BAC"/>
    <w:rsid w:val="00597D75"/>
    <w:rsid w:val="00597FEF"/>
    <w:rsid w:val="005A0811"/>
    <w:rsid w:val="005A1167"/>
    <w:rsid w:val="005A1574"/>
    <w:rsid w:val="005A1901"/>
    <w:rsid w:val="005A1BC5"/>
    <w:rsid w:val="005A2B40"/>
    <w:rsid w:val="005A2CC6"/>
    <w:rsid w:val="005A2EC5"/>
    <w:rsid w:val="005A37F0"/>
    <w:rsid w:val="005A3F20"/>
    <w:rsid w:val="005A3F4C"/>
    <w:rsid w:val="005A45A7"/>
    <w:rsid w:val="005A4AC5"/>
    <w:rsid w:val="005A4B13"/>
    <w:rsid w:val="005A4BA6"/>
    <w:rsid w:val="005A5833"/>
    <w:rsid w:val="005A68EF"/>
    <w:rsid w:val="005A6BBE"/>
    <w:rsid w:val="005A6FCB"/>
    <w:rsid w:val="005A7060"/>
    <w:rsid w:val="005A743E"/>
    <w:rsid w:val="005A78FF"/>
    <w:rsid w:val="005A7F74"/>
    <w:rsid w:val="005B02E7"/>
    <w:rsid w:val="005B0B5B"/>
    <w:rsid w:val="005B0D6B"/>
    <w:rsid w:val="005B18A6"/>
    <w:rsid w:val="005B2A38"/>
    <w:rsid w:val="005B2AD5"/>
    <w:rsid w:val="005B34AB"/>
    <w:rsid w:val="005B34F0"/>
    <w:rsid w:val="005B3CA5"/>
    <w:rsid w:val="005B3EFE"/>
    <w:rsid w:val="005B4500"/>
    <w:rsid w:val="005B4A48"/>
    <w:rsid w:val="005B5694"/>
    <w:rsid w:val="005B6420"/>
    <w:rsid w:val="005B692F"/>
    <w:rsid w:val="005B6992"/>
    <w:rsid w:val="005B6BE9"/>
    <w:rsid w:val="005B7693"/>
    <w:rsid w:val="005B7CEF"/>
    <w:rsid w:val="005B7EDA"/>
    <w:rsid w:val="005C102D"/>
    <w:rsid w:val="005C19E7"/>
    <w:rsid w:val="005C1F99"/>
    <w:rsid w:val="005C228E"/>
    <w:rsid w:val="005C23DD"/>
    <w:rsid w:val="005C24DB"/>
    <w:rsid w:val="005C25A4"/>
    <w:rsid w:val="005C2672"/>
    <w:rsid w:val="005C274C"/>
    <w:rsid w:val="005C2F08"/>
    <w:rsid w:val="005C326F"/>
    <w:rsid w:val="005C38AD"/>
    <w:rsid w:val="005C3F27"/>
    <w:rsid w:val="005C495B"/>
    <w:rsid w:val="005C49FF"/>
    <w:rsid w:val="005C529A"/>
    <w:rsid w:val="005C59F6"/>
    <w:rsid w:val="005C5F4E"/>
    <w:rsid w:val="005C630F"/>
    <w:rsid w:val="005C7898"/>
    <w:rsid w:val="005C7C75"/>
    <w:rsid w:val="005C7FC5"/>
    <w:rsid w:val="005D0890"/>
    <w:rsid w:val="005D16E5"/>
    <w:rsid w:val="005D1D97"/>
    <w:rsid w:val="005D26E0"/>
    <w:rsid w:val="005D29E8"/>
    <w:rsid w:val="005D30EA"/>
    <w:rsid w:val="005D4603"/>
    <w:rsid w:val="005D498F"/>
    <w:rsid w:val="005D4CF7"/>
    <w:rsid w:val="005D4FED"/>
    <w:rsid w:val="005D5659"/>
    <w:rsid w:val="005D5775"/>
    <w:rsid w:val="005D57DD"/>
    <w:rsid w:val="005D5984"/>
    <w:rsid w:val="005D5AB7"/>
    <w:rsid w:val="005D5F8B"/>
    <w:rsid w:val="005D6085"/>
    <w:rsid w:val="005D75C8"/>
    <w:rsid w:val="005D7A25"/>
    <w:rsid w:val="005D7FFD"/>
    <w:rsid w:val="005E01BA"/>
    <w:rsid w:val="005E096B"/>
    <w:rsid w:val="005E222F"/>
    <w:rsid w:val="005E22B7"/>
    <w:rsid w:val="005E3393"/>
    <w:rsid w:val="005E3488"/>
    <w:rsid w:val="005E3D90"/>
    <w:rsid w:val="005E43A4"/>
    <w:rsid w:val="005E6635"/>
    <w:rsid w:val="005E752B"/>
    <w:rsid w:val="005E76FD"/>
    <w:rsid w:val="005E7E62"/>
    <w:rsid w:val="005F04A2"/>
    <w:rsid w:val="005F0A44"/>
    <w:rsid w:val="005F0D5D"/>
    <w:rsid w:val="005F1836"/>
    <w:rsid w:val="005F2051"/>
    <w:rsid w:val="005F20EC"/>
    <w:rsid w:val="005F24F1"/>
    <w:rsid w:val="005F33D0"/>
    <w:rsid w:val="005F4350"/>
    <w:rsid w:val="005F4CF9"/>
    <w:rsid w:val="005F5975"/>
    <w:rsid w:val="005F5E8B"/>
    <w:rsid w:val="005F6334"/>
    <w:rsid w:val="005F6604"/>
    <w:rsid w:val="005F6B63"/>
    <w:rsid w:val="005F6B7A"/>
    <w:rsid w:val="00600B81"/>
    <w:rsid w:val="006014C2"/>
    <w:rsid w:val="00601DE4"/>
    <w:rsid w:val="006020E1"/>
    <w:rsid w:val="00602671"/>
    <w:rsid w:val="006026B1"/>
    <w:rsid w:val="00602E8A"/>
    <w:rsid w:val="00602FF3"/>
    <w:rsid w:val="00603B76"/>
    <w:rsid w:val="006046DF"/>
    <w:rsid w:val="00604C36"/>
    <w:rsid w:val="00605442"/>
    <w:rsid w:val="006055C3"/>
    <w:rsid w:val="00606219"/>
    <w:rsid w:val="00606256"/>
    <w:rsid w:val="00606321"/>
    <w:rsid w:val="00606646"/>
    <w:rsid w:val="00607051"/>
    <w:rsid w:val="006073EA"/>
    <w:rsid w:val="006075B0"/>
    <w:rsid w:val="00607B7D"/>
    <w:rsid w:val="00607D8B"/>
    <w:rsid w:val="00607E8C"/>
    <w:rsid w:val="0061040D"/>
    <w:rsid w:val="006112C2"/>
    <w:rsid w:val="0061168B"/>
    <w:rsid w:val="00611794"/>
    <w:rsid w:val="00611BE1"/>
    <w:rsid w:val="00612729"/>
    <w:rsid w:val="00612737"/>
    <w:rsid w:val="006127CB"/>
    <w:rsid w:val="00612A91"/>
    <w:rsid w:val="006130D4"/>
    <w:rsid w:val="006134F3"/>
    <w:rsid w:val="0061529F"/>
    <w:rsid w:val="006152DE"/>
    <w:rsid w:val="00617170"/>
    <w:rsid w:val="00617181"/>
    <w:rsid w:val="00617413"/>
    <w:rsid w:val="0061781A"/>
    <w:rsid w:val="00617C94"/>
    <w:rsid w:val="00620B88"/>
    <w:rsid w:val="006214F4"/>
    <w:rsid w:val="0062151B"/>
    <w:rsid w:val="0062154C"/>
    <w:rsid w:val="006216CC"/>
    <w:rsid w:val="0062190C"/>
    <w:rsid w:val="00621B63"/>
    <w:rsid w:val="00621BF3"/>
    <w:rsid w:val="00621D47"/>
    <w:rsid w:val="00622D5E"/>
    <w:rsid w:val="006232B8"/>
    <w:rsid w:val="00623D75"/>
    <w:rsid w:val="006244A2"/>
    <w:rsid w:val="00624DF5"/>
    <w:rsid w:val="00625382"/>
    <w:rsid w:val="00625B6B"/>
    <w:rsid w:val="00626922"/>
    <w:rsid w:val="0062750D"/>
    <w:rsid w:val="00627674"/>
    <w:rsid w:val="006302E9"/>
    <w:rsid w:val="006303EB"/>
    <w:rsid w:val="00630A04"/>
    <w:rsid w:val="00631120"/>
    <w:rsid w:val="00631C7C"/>
    <w:rsid w:val="00632E97"/>
    <w:rsid w:val="00634462"/>
    <w:rsid w:val="0063487E"/>
    <w:rsid w:val="00634968"/>
    <w:rsid w:val="00635643"/>
    <w:rsid w:val="006357F8"/>
    <w:rsid w:val="00635AB3"/>
    <w:rsid w:val="0063656B"/>
    <w:rsid w:val="00636A5A"/>
    <w:rsid w:val="00636AFB"/>
    <w:rsid w:val="00636E9F"/>
    <w:rsid w:val="00637AA4"/>
    <w:rsid w:val="006404DD"/>
    <w:rsid w:val="006410FC"/>
    <w:rsid w:val="006411E0"/>
    <w:rsid w:val="00641429"/>
    <w:rsid w:val="006437A9"/>
    <w:rsid w:val="00643C1E"/>
    <w:rsid w:val="00645A2E"/>
    <w:rsid w:val="0064645E"/>
    <w:rsid w:val="00647F9F"/>
    <w:rsid w:val="00650056"/>
    <w:rsid w:val="006506D0"/>
    <w:rsid w:val="0065074D"/>
    <w:rsid w:val="00650BD0"/>
    <w:rsid w:val="00650C08"/>
    <w:rsid w:val="0065111C"/>
    <w:rsid w:val="006511CF"/>
    <w:rsid w:val="006517EE"/>
    <w:rsid w:val="00651929"/>
    <w:rsid w:val="00652AEF"/>
    <w:rsid w:val="00652BBD"/>
    <w:rsid w:val="00653232"/>
    <w:rsid w:val="00653CE5"/>
    <w:rsid w:val="006548CF"/>
    <w:rsid w:val="00654B5A"/>
    <w:rsid w:val="00655352"/>
    <w:rsid w:val="0065549F"/>
    <w:rsid w:val="00655701"/>
    <w:rsid w:val="00655735"/>
    <w:rsid w:val="006559C6"/>
    <w:rsid w:val="0065621F"/>
    <w:rsid w:val="00656297"/>
    <w:rsid w:val="0065653C"/>
    <w:rsid w:val="00656736"/>
    <w:rsid w:val="00656E0F"/>
    <w:rsid w:val="00657234"/>
    <w:rsid w:val="0065776B"/>
    <w:rsid w:val="00657852"/>
    <w:rsid w:val="006579D8"/>
    <w:rsid w:val="00660735"/>
    <w:rsid w:val="0066082C"/>
    <w:rsid w:val="00660DF6"/>
    <w:rsid w:val="006618EE"/>
    <w:rsid w:val="00661B61"/>
    <w:rsid w:val="00661FEE"/>
    <w:rsid w:val="006621CC"/>
    <w:rsid w:val="00662A98"/>
    <w:rsid w:val="00663CB4"/>
    <w:rsid w:val="00665588"/>
    <w:rsid w:val="006657ED"/>
    <w:rsid w:val="00665B46"/>
    <w:rsid w:val="00666E2B"/>
    <w:rsid w:val="006671DA"/>
    <w:rsid w:val="006672B7"/>
    <w:rsid w:val="00667E02"/>
    <w:rsid w:val="00667FC5"/>
    <w:rsid w:val="00670149"/>
    <w:rsid w:val="006705E6"/>
    <w:rsid w:val="006711C7"/>
    <w:rsid w:val="00671354"/>
    <w:rsid w:val="00671B7E"/>
    <w:rsid w:val="00672F26"/>
    <w:rsid w:val="0067333B"/>
    <w:rsid w:val="00674CBB"/>
    <w:rsid w:val="006752EC"/>
    <w:rsid w:val="006760D2"/>
    <w:rsid w:val="00676410"/>
    <w:rsid w:val="00676767"/>
    <w:rsid w:val="00676EE3"/>
    <w:rsid w:val="00677353"/>
    <w:rsid w:val="00677A0E"/>
    <w:rsid w:val="00680907"/>
    <w:rsid w:val="00680C61"/>
    <w:rsid w:val="00681409"/>
    <w:rsid w:val="006816AF"/>
    <w:rsid w:val="00681791"/>
    <w:rsid w:val="006826A4"/>
    <w:rsid w:val="006828C5"/>
    <w:rsid w:val="0068295D"/>
    <w:rsid w:val="006835B2"/>
    <w:rsid w:val="006836B4"/>
    <w:rsid w:val="006841FB"/>
    <w:rsid w:val="00684B63"/>
    <w:rsid w:val="00686C24"/>
    <w:rsid w:val="0068725A"/>
    <w:rsid w:val="0068757C"/>
    <w:rsid w:val="00687FDC"/>
    <w:rsid w:val="00690787"/>
    <w:rsid w:val="00691677"/>
    <w:rsid w:val="006917CB"/>
    <w:rsid w:val="00691B12"/>
    <w:rsid w:val="00691ECA"/>
    <w:rsid w:val="006921AA"/>
    <w:rsid w:val="00692486"/>
    <w:rsid w:val="00692855"/>
    <w:rsid w:val="006938E8"/>
    <w:rsid w:val="00693F86"/>
    <w:rsid w:val="006942A6"/>
    <w:rsid w:val="00694AA1"/>
    <w:rsid w:val="006956F7"/>
    <w:rsid w:val="00695E20"/>
    <w:rsid w:val="006961C1"/>
    <w:rsid w:val="00696946"/>
    <w:rsid w:val="00696D94"/>
    <w:rsid w:val="00696EC8"/>
    <w:rsid w:val="0069704C"/>
    <w:rsid w:val="00697394"/>
    <w:rsid w:val="00697A4C"/>
    <w:rsid w:val="00697E58"/>
    <w:rsid w:val="006A0C9B"/>
    <w:rsid w:val="006A0EC1"/>
    <w:rsid w:val="006A19B9"/>
    <w:rsid w:val="006A1EC1"/>
    <w:rsid w:val="006A2A6E"/>
    <w:rsid w:val="006A2B05"/>
    <w:rsid w:val="006A3437"/>
    <w:rsid w:val="006A3528"/>
    <w:rsid w:val="006A3716"/>
    <w:rsid w:val="006A3AE2"/>
    <w:rsid w:val="006A4F5F"/>
    <w:rsid w:val="006A51D2"/>
    <w:rsid w:val="006A5220"/>
    <w:rsid w:val="006A5A04"/>
    <w:rsid w:val="006A5A6B"/>
    <w:rsid w:val="006A5BA4"/>
    <w:rsid w:val="006A5DA4"/>
    <w:rsid w:val="006A5F04"/>
    <w:rsid w:val="006A69BC"/>
    <w:rsid w:val="006A6AEC"/>
    <w:rsid w:val="006A7B2D"/>
    <w:rsid w:val="006B0900"/>
    <w:rsid w:val="006B111F"/>
    <w:rsid w:val="006B11C4"/>
    <w:rsid w:val="006B1792"/>
    <w:rsid w:val="006B1EB5"/>
    <w:rsid w:val="006B2526"/>
    <w:rsid w:val="006B25DE"/>
    <w:rsid w:val="006B2BDF"/>
    <w:rsid w:val="006B4038"/>
    <w:rsid w:val="006B4144"/>
    <w:rsid w:val="006B4209"/>
    <w:rsid w:val="006B43D9"/>
    <w:rsid w:val="006B57F7"/>
    <w:rsid w:val="006B5AC9"/>
    <w:rsid w:val="006B5BDE"/>
    <w:rsid w:val="006B63FB"/>
    <w:rsid w:val="006B64F1"/>
    <w:rsid w:val="006B740C"/>
    <w:rsid w:val="006B7FC3"/>
    <w:rsid w:val="006C0079"/>
    <w:rsid w:val="006C0371"/>
    <w:rsid w:val="006C05E3"/>
    <w:rsid w:val="006C08BF"/>
    <w:rsid w:val="006C10A1"/>
    <w:rsid w:val="006C11F9"/>
    <w:rsid w:val="006C175C"/>
    <w:rsid w:val="006C18A8"/>
    <w:rsid w:val="006C2415"/>
    <w:rsid w:val="006C2F49"/>
    <w:rsid w:val="006C3050"/>
    <w:rsid w:val="006C3919"/>
    <w:rsid w:val="006C40DF"/>
    <w:rsid w:val="006C46A0"/>
    <w:rsid w:val="006C60FD"/>
    <w:rsid w:val="006C64B8"/>
    <w:rsid w:val="006C6FD3"/>
    <w:rsid w:val="006C71D7"/>
    <w:rsid w:val="006C7DDB"/>
    <w:rsid w:val="006C7F4F"/>
    <w:rsid w:val="006D0190"/>
    <w:rsid w:val="006D0408"/>
    <w:rsid w:val="006D0930"/>
    <w:rsid w:val="006D0B95"/>
    <w:rsid w:val="006D0FA9"/>
    <w:rsid w:val="006D30C8"/>
    <w:rsid w:val="006D4D67"/>
    <w:rsid w:val="006D5448"/>
    <w:rsid w:val="006D66F9"/>
    <w:rsid w:val="006D6B83"/>
    <w:rsid w:val="006D7EE5"/>
    <w:rsid w:val="006E0568"/>
    <w:rsid w:val="006E0828"/>
    <w:rsid w:val="006E087B"/>
    <w:rsid w:val="006E1000"/>
    <w:rsid w:val="006E173D"/>
    <w:rsid w:val="006E1C8D"/>
    <w:rsid w:val="006E1F8C"/>
    <w:rsid w:val="006E2B10"/>
    <w:rsid w:val="006E4761"/>
    <w:rsid w:val="006E4D7A"/>
    <w:rsid w:val="006E4E8E"/>
    <w:rsid w:val="006E4F55"/>
    <w:rsid w:val="006E4F5A"/>
    <w:rsid w:val="006E5273"/>
    <w:rsid w:val="006E5311"/>
    <w:rsid w:val="006E61CA"/>
    <w:rsid w:val="006E6931"/>
    <w:rsid w:val="006E79ED"/>
    <w:rsid w:val="006F0312"/>
    <w:rsid w:val="006F16A3"/>
    <w:rsid w:val="006F18F7"/>
    <w:rsid w:val="006F18FE"/>
    <w:rsid w:val="006F32D2"/>
    <w:rsid w:val="006F343C"/>
    <w:rsid w:val="006F3991"/>
    <w:rsid w:val="006F42B9"/>
    <w:rsid w:val="006F4A57"/>
    <w:rsid w:val="006F4CEF"/>
    <w:rsid w:val="006F5335"/>
    <w:rsid w:val="006F533A"/>
    <w:rsid w:val="006F5AB0"/>
    <w:rsid w:val="006F5D65"/>
    <w:rsid w:val="006F5EF0"/>
    <w:rsid w:val="006F6CAF"/>
    <w:rsid w:val="006F6F2C"/>
    <w:rsid w:val="00700F26"/>
    <w:rsid w:val="0070122B"/>
    <w:rsid w:val="0070140A"/>
    <w:rsid w:val="00701E24"/>
    <w:rsid w:val="00701FFD"/>
    <w:rsid w:val="0070277D"/>
    <w:rsid w:val="00704362"/>
    <w:rsid w:val="007050B2"/>
    <w:rsid w:val="00705162"/>
    <w:rsid w:val="007059DD"/>
    <w:rsid w:val="00705E68"/>
    <w:rsid w:val="007062F7"/>
    <w:rsid w:val="00706640"/>
    <w:rsid w:val="00706FD5"/>
    <w:rsid w:val="007079F2"/>
    <w:rsid w:val="00707F4B"/>
    <w:rsid w:val="00710351"/>
    <w:rsid w:val="00710A43"/>
    <w:rsid w:val="00711172"/>
    <w:rsid w:val="0071186A"/>
    <w:rsid w:val="0071194A"/>
    <w:rsid w:val="007129C7"/>
    <w:rsid w:val="00712E40"/>
    <w:rsid w:val="00712E6A"/>
    <w:rsid w:val="00713F9C"/>
    <w:rsid w:val="00714750"/>
    <w:rsid w:val="00714C5E"/>
    <w:rsid w:val="00714E6C"/>
    <w:rsid w:val="007150CA"/>
    <w:rsid w:val="007153E6"/>
    <w:rsid w:val="007158C8"/>
    <w:rsid w:val="00715A2E"/>
    <w:rsid w:val="00715E6A"/>
    <w:rsid w:val="00716B79"/>
    <w:rsid w:val="00716E5C"/>
    <w:rsid w:val="00717328"/>
    <w:rsid w:val="00717464"/>
    <w:rsid w:val="007176FD"/>
    <w:rsid w:val="00717F04"/>
    <w:rsid w:val="007200EC"/>
    <w:rsid w:val="00720387"/>
    <w:rsid w:val="00720815"/>
    <w:rsid w:val="0072089B"/>
    <w:rsid w:val="00720CB6"/>
    <w:rsid w:val="00721585"/>
    <w:rsid w:val="00721E89"/>
    <w:rsid w:val="007221FA"/>
    <w:rsid w:val="0072270C"/>
    <w:rsid w:val="00722765"/>
    <w:rsid w:val="00722AAE"/>
    <w:rsid w:val="00722C7A"/>
    <w:rsid w:val="00724403"/>
    <w:rsid w:val="007244AE"/>
    <w:rsid w:val="00724782"/>
    <w:rsid w:val="0072498A"/>
    <w:rsid w:val="00724F2F"/>
    <w:rsid w:val="00725441"/>
    <w:rsid w:val="007254FB"/>
    <w:rsid w:val="007263C6"/>
    <w:rsid w:val="00726588"/>
    <w:rsid w:val="0072683A"/>
    <w:rsid w:val="00726A6F"/>
    <w:rsid w:val="00727364"/>
    <w:rsid w:val="0072741D"/>
    <w:rsid w:val="007308E6"/>
    <w:rsid w:val="007310EC"/>
    <w:rsid w:val="007319D7"/>
    <w:rsid w:val="00731D78"/>
    <w:rsid w:val="00732313"/>
    <w:rsid w:val="007326B4"/>
    <w:rsid w:val="00732EB0"/>
    <w:rsid w:val="0073328C"/>
    <w:rsid w:val="00733875"/>
    <w:rsid w:val="007341C7"/>
    <w:rsid w:val="007347E2"/>
    <w:rsid w:val="00735556"/>
    <w:rsid w:val="007360A6"/>
    <w:rsid w:val="00736177"/>
    <w:rsid w:val="0073651A"/>
    <w:rsid w:val="00736A6C"/>
    <w:rsid w:val="007371A9"/>
    <w:rsid w:val="0073782A"/>
    <w:rsid w:val="0074011A"/>
    <w:rsid w:val="00740127"/>
    <w:rsid w:val="007420B8"/>
    <w:rsid w:val="00742A42"/>
    <w:rsid w:val="007437CC"/>
    <w:rsid w:val="00743D80"/>
    <w:rsid w:val="00744109"/>
    <w:rsid w:val="0074462D"/>
    <w:rsid w:val="00744C7D"/>
    <w:rsid w:val="00745BE4"/>
    <w:rsid w:val="00745D39"/>
    <w:rsid w:val="00745D61"/>
    <w:rsid w:val="0074619A"/>
    <w:rsid w:val="007461F7"/>
    <w:rsid w:val="007463DD"/>
    <w:rsid w:val="007467AC"/>
    <w:rsid w:val="00747266"/>
    <w:rsid w:val="00747543"/>
    <w:rsid w:val="007475B0"/>
    <w:rsid w:val="00747829"/>
    <w:rsid w:val="00747BCD"/>
    <w:rsid w:val="00747EAB"/>
    <w:rsid w:val="00750410"/>
    <w:rsid w:val="0075062F"/>
    <w:rsid w:val="0075068B"/>
    <w:rsid w:val="007508AD"/>
    <w:rsid w:val="0075099F"/>
    <w:rsid w:val="00750DC5"/>
    <w:rsid w:val="007510F0"/>
    <w:rsid w:val="00751DFC"/>
    <w:rsid w:val="00751E54"/>
    <w:rsid w:val="007521A8"/>
    <w:rsid w:val="0075263A"/>
    <w:rsid w:val="007532B0"/>
    <w:rsid w:val="00753C43"/>
    <w:rsid w:val="00753FD5"/>
    <w:rsid w:val="00753FF3"/>
    <w:rsid w:val="00754B0A"/>
    <w:rsid w:val="00754CB5"/>
    <w:rsid w:val="00754E33"/>
    <w:rsid w:val="007557A1"/>
    <w:rsid w:val="00755A33"/>
    <w:rsid w:val="00756955"/>
    <w:rsid w:val="00756E18"/>
    <w:rsid w:val="007575FE"/>
    <w:rsid w:val="0075767A"/>
    <w:rsid w:val="00757F4C"/>
    <w:rsid w:val="00760E91"/>
    <w:rsid w:val="0076114B"/>
    <w:rsid w:val="0076132A"/>
    <w:rsid w:val="0076174B"/>
    <w:rsid w:val="00761862"/>
    <w:rsid w:val="007621FD"/>
    <w:rsid w:val="00762934"/>
    <w:rsid w:val="007632D6"/>
    <w:rsid w:val="00763F0B"/>
    <w:rsid w:val="0076503F"/>
    <w:rsid w:val="00765374"/>
    <w:rsid w:val="007654B7"/>
    <w:rsid w:val="00765857"/>
    <w:rsid w:val="00765899"/>
    <w:rsid w:val="00766A3B"/>
    <w:rsid w:val="0076720A"/>
    <w:rsid w:val="0076734E"/>
    <w:rsid w:val="007708A3"/>
    <w:rsid w:val="00770B72"/>
    <w:rsid w:val="00772F23"/>
    <w:rsid w:val="00773221"/>
    <w:rsid w:val="007732BE"/>
    <w:rsid w:val="00773D18"/>
    <w:rsid w:val="00773E5B"/>
    <w:rsid w:val="00773F88"/>
    <w:rsid w:val="007740D0"/>
    <w:rsid w:val="00774156"/>
    <w:rsid w:val="00775394"/>
    <w:rsid w:val="0077637D"/>
    <w:rsid w:val="00776490"/>
    <w:rsid w:val="00777187"/>
    <w:rsid w:val="00777374"/>
    <w:rsid w:val="0077785C"/>
    <w:rsid w:val="00777E2F"/>
    <w:rsid w:val="00777F32"/>
    <w:rsid w:val="00780131"/>
    <w:rsid w:val="007804F7"/>
    <w:rsid w:val="0078075B"/>
    <w:rsid w:val="007808C9"/>
    <w:rsid w:val="0078242F"/>
    <w:rsid w:val="00782671"/>
    <w:rsid w:val="007837EA"/>
    <w:rsid w:val="00783888"/>
    <w:rsid w:val="007841D3"/>
    <w:rsid w:val="00784730"/>
    <w:rsid w:val="007847F9"/>
    <w:rsid w:val="0078600F"/>
    <w:rsid w:val="007868FA"/>
    <w:rsid w:val="00787584"/>
    <w:rsid w:val="0078796D"/>
    <w:rsid w:val="00787CE3"/>
    <w:rsid w:val="00790168"/>
    <w:rsid w:val="00790B7D"/>
    <w:rsid w:val="00790F99"/>
    <w:rsid w:val="00791384"/>
    <w:rsid w:val="007913AD"/>
    <w:rsid w:val="007913E2"/>
    <w:rsid w:val="00791D8A"/>
    <w:rsid w:val="007925FA"/>
    <w:rsid w:val="0079310A"/>
    <w:rsid w:val="00793BE8"/>
    <w:rsid w:val="00794934"/>
    <w:rsid w:val="00794F8D"/>
    <w:rsid w:val="007957C0"/>
    <w:rsid w:val="00795E56"/>
    <w:rsid w:val="00796703"/>
    <w:rsid w:val="00797E8D"/>
    <w:rsid w:val="007A039F"/>
    <w:rsid w:val="007A0617"/>
    <w:rsid w:val="007A0E7E"/>
    <w:rsid w:val="007A1620"/>
    <w:rsid w:val="007A24DE"/>
    <w:rsid w:val="007A268C"/>
    <w:rsid w:val="007A271C"/>
    <w:rsid w:val="007A2EB1"/>
    <w:rsid w:val="007A30DB"/>
    <w:rsid w:val="007A3E1E"/>
    <w:rsid w:val="007A4093"/>
    <w:rsid w:val="007A4955"/>
    <w:rsid w:val="007A4DA6"/>
    <w:rsid w:val="007A5468"/>
    <w:rsid w:val="007A565B"/>
    <w:rsid w:val="007A606E"/>
    <w:rsid w:val="007A68E1"/>
    <w:rsid w:val="007A76DD"/>
    <w:rsid w:val="007A7E73"/>
    <w:rsid w:val="007B05BC"/>
    <w:rsid w:val="007B0A1C"/>
    <w:rsid w:val="007B260E"/>
    <w:rsid w:val="007B3185"/>
    <w:rsid w:val="007B31B9"/>
    <w:rsid w:val="007B389A"/>
    <w:rsid w:val="007B39D3"/>
    <w:rsid w:val="007B48C2"/>
    <w:rsid w:val="007B4D20"/>
    <w:rsid w:val="007B598B"/>
    <w:rsid w:val="007B6593"/>
    <w:rsid w:val="007B6CB9"/>
    <w:rsid w:val="007B6E3A"/>
    <w:rsid w:val="007B7403"/>
    <w:rsid w:val="007B7812"/>
    <w:rsid w:val="007B79AF"/>
    <w:rsid w:val="007B7BF3"/>
    <w:rsid w:val="007B7D1A"/>
    <w:rsid w:val="007B7FE3"/>
    <w:rsid w:val="007C0102"/>
    <w:rsid w:val="007C060A"/>
    <w:rsid w:val="007C0E67"/>
    <w:rsid w:val="007C1181"/>
    <w:rsid w:val="007C1832"/>
    <w:rsid w:val="007C18C0"/>
    <w:rsid w:val="007C2171"/>
    <w:rsid w:val="007C3344"/>
    <w:rsid w:val="007C36E7"/>
    <w:rsid w:val="007C46E8"/>
    <w:rsid w:val="007C49F5"/>
    <w:rsid w:val="007C503D"/>
    <w:rsid w:val="007C5701"/>
    <w:rsid w:val="007C6EF5"/>
    <w:rsid w:val="007C7AAB"/>
    <w:rsid w:val="007D02A0"/>
    <w:rsid w:val="007D06FA"/>
    <w:rsid w:val="007D19EF"/>
    <w:rsid w:val="007D2DBA"/>
    <w:rsid w:val="007D4296"/>
    <w:rsid w:val="007D42AB"/>
    <w:rsid w:val="007D46ED"/>
    <w:rsid w:val="007D491D"/>
    <w:rsid w:val="007D4CEA"/>
    <w:rsid w:val="007D5C2A"/>
    <w:rsid w:val="007D600E"/>
    <w:rsid w:val="007D60D8"/>
    <w:rsid w:val="007D6852"/>
    <w:rsid w:val="007D68B9"/>
    <w:rsid w:val="007D6D4F"/>
    <w:rsid w:val="007D7026"/>
    <w:rsid w:val="007D76B8"/>
    <w:rsid w:val="007D7963"/>
    <w:rsid w:val="007E05CD"/>
    <w:rsid w:val="007E0814"/>
    <w:rsid w:val="007E0C59"/>
    <w:rsid w:val="007E0D9E"/>
    <w:rsid w:val="007E131B"/>
    <w:rsid w:val="007E1F28"/>
    <w:rsid w:val="007E21C7"/>
    <w:rsid w:val="007E227A"/>
    <w:rsid w:val="007E29D0"/>
    <w:rsid w:val="007E2A41"/>
    <w:rsid w:val="007E2B7A"/>
    <w:rsid w:val="007E2C5C"/>
    <w:rsid w:val="007E2E41"/>
    <w:rsid w:val="007E4120"/>
    <w:rsid w:val="007E4813"/>
    <w:rsid w:val="007E76B3"/>
    <w:rsid w:val="007E7D86"/>
    <w:rsid w:val="007F0CCF"/>
    <w:rsid w:val="007F1079"/>
    <w:rsid w:val="007F1089"/>
    <w:rsid w:val="007F1363"/>
    <w:rsid w:val="007F1C59"/>
    <w:rsid w:val="007F1D05"/>
    <w:rsid w:val="007F216D"/>
    <w:rsid w:val="007F277B"/>
    <w:rsid w:val="007F3053"/>
    <w:rsid w:val="007F34C9"/>
    <w:rsid w:val="007F35B9"/>
    <w:rsid w:val="007F398A"/>
    <w:rsid w:val="007F4A53"/>
    <w:rsid w:val="007F4BC1"/>
    <w:rsid w:val="007F4D76"/>
    <w:rsid w:val="007F52B9"/>
    <w:rsid w:val="007F5ACC"/>
    <w:rsid w:val="007F60F8"/>
    <w:rsid w:val="007F65CB"/>
    <w:rsid w:val="007F6C97"/>
    <w:rsid w:val="007F7899"/>
    <w:rsid w:val="007F7C0C"/>
    <w:rsid w:val="007F7EF3"/>
    <w:rsid w:val="007F7FEA"/>
    <w:rsid w:val="008003EC"/>
    <w:rsid w:val="008007FF"/>
    <w:rsid w:val="00800FE1"/>
    <w:rsid w:val="00801372"/>
    <w:rsid w:val="00801486"/>
    <w:rsid w:val="00801E43"/>
    <w:rsid w:val="00802716"/>
    <w:rsid w:val="008027E2"/>
    <w:rsid w:val="00803008"/>
    <w:rsid w:val="008031F7"/>
    <w:rsid w:val="008040DF"/>
    <w:rsid w:val="008046A6"/>
    <w:rsid w:val="00805947"/>
    <w:rsid w:val="00805B1E"/>
    <w:rsid w:val="00805EC0"/>
    <w:rsid w:val="00806DB5"/>
    <w:rsid w:val="00807283"/>
    <w:rsid w:val="008074D6"/>
    <w:rsid w:val="00807D94"/>
    <w:rsid w:val="00807F47"/>
    <w:rsid w:val="008104CD"/>
    <w:rsid w:val="00810952"/>
    <w:rsid w:val="00811D23"/>
    <w:rsid w:val="00812909"/>
    <w:rsid w:val="00812A07"/>
    <w:rsid w:val="00812D32"/>
    <w:rsid w:val="0081382C"/>
    <w:rsid w:val="008138D4"/>
    <w:rsid w:val="00813F71"/>
    <w:rsid w:val="00815918"/>
    <w:rsid w:val="00815DDE"/>
    <w:rsid w:val="00816491"/>
    <w:rsid w:val="00816E28"/>
    <w:rsid w:val="00816E81"/>
    <w:rsid w:val="00817BEB"/>
    <w:rsid w:val="00817CB2"/>
    <w:rsid w:val="00817D61"/>
    <w:rsid w:val="00820771"/>
    <w:rsid w:val="00821572"/>
    <w:rsid w:val="0082165F"/>
    <w:rsid w:val="00821740"/>
    <w:rsid w:val="00821991"/>
    <w:rsid w:val="00821E5E"/>
    <w:rsid w:val="00822B13"/>
    <w:rsid w:val="00822C69"/>
    <w:rsid w:val="00822D24"/>
    <w:rsid w:val="008231DD"/>
    <w:rsid w:val="008239D7"/>
    <w:rsid w:val="00823D68"/>
    <w:rsid w:val="0082400D"/>
    <w:rsid w:val="00824F68"/>
    <w:rsid w:val="008254C9"/>
    <w:rsid w:val="00826042"/>
    <w:rsid w:val="008263B0"/>
    <w:rsid w:val="00826914"/>
    <w:rsid w:val="00826DE8"/>
    <w:rsid w:val="00827F6E"/>
    <w:rsid w:val="00830407"/>
    <w:rsid w:val="0083061A"/>
    <w:rsid w:val="0083080C"/>
    <w:rsid w:val="00830DE8"/>
    <w:rsid w:val="00830EC7"/>
    <w:rsid w:val="00831944"/>
    <w:rsid w:val="00831978"/>
    <w:rsid w:val="00831A9F"/>
    <w:rsid w:val="00831CB8"/>
    <w:rsid w:val="00831DEF"/>
    <w:rsid w:val="00832D19"/>
    <w:rsid w:val="00832D88"/>
    <w:rsid w:val="00833DE7"/>
    <w:rsid w:val="00834870"/>
    <w:rsid w:val="00835346"/>
    <w:rsid w:val="00835700"/>
    <w:rsid w:val="00836160"/>
    <w:rsid w:val="008364FC"/>
    <w:rsid w:val="008375D4"/>
    <w:rsid w:val="00837886"/>
    <w:rsid w:val="008379FD"/>
    <w:rsid w:val="00837AB9"/>
    <w:rsid w:val="00837D77"/>
    <w:rsid w:val="00837F1B"/>
    <w:rsid w:val="008405B2"/>
    <w:rsid w:val="008407A4"/>
    <w:rsid w:val="0084106E"/>
    <w:rsid w:val="00841174"/>
    <w:rsid w:val="00841C53"/>
    <w:rsid w:val="00842168"/>
    <w:rsid w:val="008422B7"/>
    <w:rsid w:val="00842411"/>
    <w:rsid w:val="00842EF7"/>
    <w:rsid w:val="00843030"/>
    <w:rsid w:val="00843389"/>
    <w:rsid w:val="008433A3"/>
    <w:rsid w:val="00844C2D"/>
    <w:rsid w:val="008452A8"/>
    <w:rsid w:val="008458AB"/>
    <w:rsid w:val="00845F57"/>
    <w:rsid w:val="008461B5"/>
    <w:rsid w:val="0084666F"/>
    <w:rsid w:val="00846794"/>
    <w:rsid w:val="00846B1E"/>
    <w:rsid w:val="00846B24"/>
    <w:rsid w:val="00846E08"/>
    <w:rsid w:val="0085055E"/>
    <w:rsid w:val="0085095C"/>
    <w:rsid w:val="00850AF3"/>
    <w:rsid w:val="008511AA"/>
    <w:rsid w:val="008513AF"/>
    <w:rsid w:val="008514B3"/>
    <w:rsid w:val="0085153D"/>
    <w:rsid w:val="008519BF"/>
    <w:rsid w:val="0085205D"/>
    <w:rsid w:val="008521DD"/>
    <w:rsid w:val="00852F5C"/>
    <w:rsid w:val="008545D5"/>
    <w:rsid w:val="00854B3A"/>
    <w:rsid w:val="008552FF"/>
    <w:rsid w:val="008556E5"/>
    <w:rsid w:val="00855797"/>
    <w:rsid w:val="00855929"/>
    <w:rsid w:val="00856481"/>
    <w:rsid w:val="00856D44"/>
    <w:rsid w:val="00857240"/>
    <w:rsid w:val="00857C2A"/>
    <w:rsid w:val="00857C87"/>
    <w:rsid w:val="00857CD6"/>
    <w:rsid w:val="008606EE"/>
    <w:rsid w:val="00862966"/>
    <w:rsid w:val="00862C26"/>
    <w:rsid w:val="00862EF6"/>
    <w:rsid w:val="00863972"/>
    <w:rsid w:val="00863B69"/>
    <w:rsid w:val="008647B1"/>
    <w:rsid w:val="00864884"/>
    <w:rsid w:val="00866282"/>
    <w:rsid w:val="008662D8"/>
    <w:rsid w:val="008666DF"/>
    <w:rsid w:val="008667CA"/>
    <w:rsid w:val="008672C0"/>
    <w:rsid w:val="008672F7"/>
    <w:rsid w:val="00867365"/>
    <w:rsid w:val="0086743D"/>
    <w:rsid w:val="00867543"/>
    <w:rsid w:val="00867942"/>
    <w:rsid w:val="0087047F"/>
    <w:rsid w:val="00870BCB"/>
    <w:rsid w:val="00871422"/>
    <w:rsid w:val="0087350B"/>
    <w:rsid w:val="008743C9"/>
    <w:rsid w:val="00874697"/>
    <w:rsid w:val="008749DC"/>
    <w:rsid w:val="00874B3D"/>
    <w:rsid w:val="00874D06"/>
    <w:rsid w:val="00875560"/>
    <w:rsid w:val="00875AF6"/>
    <w:rsid w:val="00875CBA"/>
    <w:rsid w:val="00876FCB"/>
    <w:rsid w:val="00877BF2"/>
    <w:rsid w:val="00877F9F"/>
    <w:rsid w:val="00880000"/>
    <w:rsid w:val="0088030A"/>
    <w:rsid w:val="008804F0"/>
    <w:rsid w:val="008805DD"/>
    <w:rsid w:val="00880FF9"/>
    <w:rsid w:val="00882A30"/>
    <w:rsid w:val="00882AD4"/>
    <w:rsid w:val="00882B5F"/>
    <w:rsid w:val="00882E97"/>
    <w:rsid w:val="00883FA8"/>
    <w:rsid w:val="00884612"/>
    <w:rsid w:val="008853B1"/>
    <w:rsid w:val="00885603"/>
    <w:rsid w:val="0088638C"/>
    <w:rsid w:val="00886B7E"/>
    <w:rsid w:val="00887C00"/>
    <w:rsid w:val="008902D3"/>
    <w:rsid w:val="008903C3"/>
    <w:rsid w:val="008904F2"/>
    <w:rsid w:val="008906D3"/>
    <w:rsid w:val="00890BD6"/>
    <w:rsid w:val="0089111F"/>
    <w:rsid w:val="008914FF"/>
    <w:rsid w:val="0089221B"/>
    <w:rsid w:val="008923D3"/>
    <w:rsid w:val="0089289F"/>
    <w:rsid w:val="00892C8D"/>
    <w:rsid w:val="00893CD5"/>
    <w:rsid w:val="00894E56"/>
    <w:rsid w:val="0089751C"/>
    <w:rsid w:val="00897890"/>
    <w:rsid w:val="00897E3F"/>
    <w:rsid w:val="008A075E"/>
    <w:rsid w:val="008A1129"/>
    <w:rsid w:val="008A11F9"/>
    <w:rsid w:val="008A2ABE"/>
    <w:rsid w:val="008A2C63"/>
    <w:rsid w:val="008A2F74"/>
    <w:rsid w:val="008A3680"/>
    <w:rsid w:val="008A4A5B"/>
    <w:rsid w:val="008A4C50"/>
    <w:rsid w:val="008A5C22"/>
    <w:rsid w:val="008A5E47"/>
    <w:rsid w:val="008A6754"/>
    <w:rsid w:val="008A6C97"/>
    <w:rsid w:val="008A75F8"/>
    <w:rsid w:val="008A7E43"/>
    <w:rsid w:val="008B044E"/>
    <w:rsid w:val="008B1077"/>
    <w:rsid w:val="008B17D4"/>
    <w:rsid w:val="008B1AD2"/>
    <w:rsid w:val="008B1E30"/>
    <w:rsid w:val="008B219F"/>
    <w:rsid w:val="008B21C1"/>
    <w:rsid w:val="008B33C4"/>
    <w:rsid w:val="008B3EF9"/>
    <w:rsid w:val="008B4248"/>
    <w:rsid w:val="008B42FF"/>
    <w:rsid w:val="008B44EC"/>
    <w:rsid w:val="008B4D4A"/>
    <w:rsid w:val="008B610D"/>
    <w:rsid w:val="008B62A6"/>
    <w:rsid w:val="008B7172"/>
    <w:rsid w:val="008B79A0"/>
    <w:rsid w:val="008C03EB"/>
    <w:rsid w:val="008C0B08"/>
    <w:rsid w:val="008C0D30"/>
    <w:rsid w:val="008C15DC"/>
    <w:rsid w:val="008C26B1"/>
    <w:rsid w:val="008C2EE2"/>
    <w:rsid w:val="008C35F6"/>
    <w:rsid w:val="008C37B4"/>
    <w:rsid w:val="008C3853"/>
    <w:rsid w:val="008C3A3F"/>
    <w:rsid w:val="008C4A56"/>
    <w:rsid w:val="008C4DBB"/>
    <w:rsid w:val="008C5523"/>
    <w:rsid w:val="008C62EA"/>
    <w:rsid w:val="008C637F"/>
    <w:rsid w:val="008C67AF"/>
    <w:rsid w:val="008C68CE"/>
    <w:rsid w:val="008C7FA6"/>
    <w:rsid w:val="008D04DE"/>
    <w:rsid w:val="008D0C0A"/>
    <w:rsid w:val="008D124F"/>
    <w:rsid w:val="008D152F"/>
    <w:rsid w:val="008D2E4E"/>
    <w:rsid w:val="008D2FEE"/>
    <w:rsid w:val="008D3139"/>
    <w:rsid w:val="008D3766"/>
    <w:rsid w:val="008D3E96"/>
    <w:rsid w:val="008D4ABB"/>
    <w:rsid w:val="008D4B8E"/>
    <w:rsid w:val="008D5092"/>
    <w:rsid w:val="008D523F"/>
    <w:rsid w:val="008D5271"/>
    <w:rsid w:val="008D5692"/>
    <w:rsid w:val="008D59A0"/>
    <w:rsid w:val="008D5BB1"/>
    <w:rsid w:val="008D7128"/>
    <w:rsid w:val="008D74A3"/>
    <w:rsid w:val="008D7762"/>
    <w:rsid w:val="008D77A3"/>
    <w:rsid w:val="008D7E8B"/>
    <w:rsid w:val="008E05A0"/>
    <w:rsid w:val="008E078E"/>
    <w:rsid w:val="008E08BB"/>
    <w:rsid w:val="008E0DA8"/>
    <w:rsid w:val="008E19FB"/>
    <w:rsid w:val="008E1F48"/>
    <w:rsid w:val="008E2113"/>
    <w:rsid w:val="008E26B7"/>
    <w:rsid w:val="008E28AD"/>
    <w:rsid w:val="008E307B"/>
    <w:rsid w:val="008E327C"/>
    <w:rsid w:val="008E3A67"/>
    <w:rsid w:val="008E3B2E"/>
    <w:rsid w:val="008E3D6E"/>
    <w:rsid w:val="008E4110"/>
    <w:rsid w:val="008E4361"/>
    <w:rsid w:val="008E567A"/>
    <w:rsid w:val="008E60A5"/>
    <w:rsid w:val="008E62D1"/>
    <w:rsid w:val="008E63CD"/>
    <w:rsid w:val="008E6707"/>
    <w:rsid w:val="008E6893"/>
    <w:rsid w:val="008E72E1"/>
    <w:rsid w:val="008E7A83"/>
    <w:rsid w:val="008F10E0"/>
    <w:rsid w:val="008F1678"/>
    <w:rsid w:val="008F1B77"/>
    <w:rsid w:val="008F1DED"/>
    <w:rsid w:val="008F2081"/>
    <w:rsid w:val="008F2646"/>
    <w:rsid w:val="008F26A0"/>
    <w:rsid w:val="008F26FB"/>
    <w:rsid w:val="008F3151"/>
    <w:rsid w:val="008F39DC"/>
    <w:rsid w:val="008F3DDA"/>
    <w:rsid w:val="008F4272"/>
    <w:rsid w:val="008F4E80"/>
    <w:rsid w:val="008F5528"/>
    <w:rsid w:val="008F5609"/>
    <w:rsid w:val="008F5A93"/>
    <w:rsid w:val="008F5C67"/>
    <w:rsid w:val="008F5D35"/>
    <w:rsid w:val="008F5DC2"/>
    <w:rsid w:val="008F5F20"/>
    <w:rsid w:val="008F60E3"/>
    <w:rsid w:val="008F6991"/>
    <w:rsid w:val="008F6BA2"/>
    <w:rsid w:val="0090095E"/>
    <w:rsid w:val="00901194"/>
    <w:rsid w:val="00902850"/>
    <w:rsid w:val="00902B42"/>
    <w:rsid w:val="00903170"/>
    <w:rsid w:val="009042A8"/>
    <w:rsid w:val="00904726"/>
    <w:rsid w:val="00904921"/>
    <w:rsid w:val="009050ED"/>
    <w:rsid w:val="009057D3"/>
    <w:rsid w:val="009057EE"/>
    <w:rsid w:val="00905990"/>
    <w:rsid w:val="009066B1"/>
    <w:rsid w:val="00907413"/>
    <w:rsid w:val="009077F6"/>
    <w:rsid w:val="009115FD"/>
    <w:rsid w:val="00911C88"/>
    <w:rsid w:val="00912F25"/>
    <w:rsid w:val="009131A4"/>
    <w:rsid w:val="009131D5"/>
    <w:rsid w:val="00913256"/>
    <w:rsid w:val="009134B9"/>
    <w:rsid w:val="009136B7"/>
    <w:rsid w:val="009138E2"/>
    <w:rsid w:val="00913E21"/>
    <w:rsid w:val="0091452B"/>
    <w:rsid w:val="00915376"/>
    <w:rsid w:val="00915F5D"/>
    <w:rsid w:val="00915FA8"/>
    <w:rsid w:val="00916366"/>
    <w:rsid w:val="00916533"/>
    <w:rsid w:val="009168E1"/>
    <w:rsid w:val="009176CD"/>
    <w:rsid w:val="009177F2"/>
    <w:rsid w:val="00920667"/>
    <w:rsid w:val="00920BAA"/>
    <w:rsid w:val="00921025"/>
    <w:rsid w:val="00921546"/>
    <w:rsid w:val="0092174F"/>
    <w:rsid w:val="00921885"/>
    <w:rsid w:val="00921E7C"/>
    <w:rsid w:val="0092297A"/>
    <w:rsid w:val="00923349"/>
    <w:rsid w:val="00923AD0"/>
    <w:rsid w:val="00924FB9"/>
    <w:rsid w:val="0092500C"/>
    <w:rsid w:val="00925343"/>
    <w:rsid w:val="00925CE9"/>
    <w:rsid w:val="00926F1B"/>
    <w:rsid w:val="009271C3"/>
    <w:rsid w:val="009272A3"/>
    <w:rsid w:val="0092751B"/>
    <w:rsid w:val="0093038B"/>
    <w:rsid w:val="00930A02"/>
    <w:rsid w:val="0093129F"/>
    <w:rsid w:val="00931EF7"/>
    <w:rsid w:val="0093221E"/>
    <w:rsid w:val="0093286F"/>
    <w:rsid w:val="0093360E"/>
    <w:rsid w:val="00933C18"/>
    <w:rsid w:val="0093402E"/>
    <w:rsid w:val="0093468F"/>
    <w:rsid w:val="00934CE8"/>
    <w:rsid w:val="00934D50"/>
    <w:rsid w:val="00934FA1"/>
    <w:rsid w:val="009351F8"/>
    <w:rsid w:val="00935357"/>
    <w:rsid w:val="0093546D"/>
    <w:rsid w:val="00935EEB"/>
    <w:rsid w:val="00936260"/>
    <w:rsid w:val="0093661C"/>
    <w:rsid w:val="00936BB1"/>
    <w:rsid w:val="0093710C"/>
    <w:rsid w:val="00937260"/>
    <w:rsid w:val="009376A0"/>
    <w:rsid w:val="00940176"/>
    <w:rsid w:val="0094022B"/>
    <w:rsid w:val="009403C4"/>
    <w:rsid w:val="00940533"/>
    <w:rsid w:val="009405BC"/>
    <w:rsid w:val="009407D8"/>
    <w:rsid w:val="009411EB"/>
    <w:rsid w:val="00941206"/>
    <w:rsid w:val="00941897"/>
    <w:rsid w:val="00941BA3"/>
    <w:rsid w:val="0094240D"/>
    <w:rsid w:val="009439E4"/>
    <w:rsid w:val="00944E56"/>
    <w:rsid w:val="00946DF7"/>
    <w:rsid w:val="009470D0"/>
    <w:rsid w:val="0094712B"/>
    <w:rsid w:val="00947255"/>
    <w:rsid w:val="00947CF0"/>
    <w:rsid w:val="00947E2A"/>
    <w:rsid w:val="009500B2"/>
    <w:rsid w:val="00950ACA"/>
    <w:rsid w:val="00950AF1"/>
    <w:rsid w:val="009514AE"/>
    <w:rsid w:val="009518DE"/>
    <w:rsid w:val="009519D3"/>
    <w:rsid w:val="009529B1"/>
    <w:rsid w:val="0095321C"/>
    <w:rsid w:val="009550E8"/>
    <w:rsid w:val="00955E34"/>
    <w:rsid w:val="00956387"/>
    <w:rsid w:val="00960490"/>
    <w:rsid w:val="009604B9"/>
    <w:rsid w:val="009615FB"/>
    <w:rsid w:val="00961635"/>
    <w:rsid w:val="009616A2"/>
    <w:rsid w:val="0096185D"/>
    <w:rsid w:val="00961FBE"/>
    <w:rsid w:val="00962232"/>
    <w:rsid w:val="009629B8"/>
    <w:rsid w:val="00962EB1"/>
    <w:rsid w:val="00963D16"/>
    <w:rsid w:val="00963F8F"/>
    <w:rsid w:val="0096413A"/>
    <w:rsid w:val="00964456"/>
    <w:rsid w:val="009646E7"/>
    <w:rsid w:val="00964717"/>
    <w:rsid w:val="00965090"/>
    <w:rsid w:val="009652EB"/>
    <w:rsid w:val="0096784A"/>
    <w:rsid w:val="0097009C"/>
    <w:rsid w:val="00970809"/>
    <w:rsid w:val="00971342"/>
    <w:rsid w:val="00971991"/>
    <w:rsid w:val="00971DFE"/>
    <w:rsid w:val="0097259F"/>
    <w:rsid w:val="0097279E"/>
    <w:rsid w:val="00972A77"/>
    <w:rsid w:val="009734BF"/>
    <w:rsid w:val="00973729"/>
    <w:rsid w:val="009739EB"/>
    <w:rsid w:val="00973AA7"/>
    <w:rsid w:val="00973F0E"/>
    <w:rsid w:val="009749EC"/>
    <w:rsid w:val="009758EE"/>
    <w:rsid w:val="009759F6"/>
    <w:rsid w:val="00975AD7"/>
    <w:rsid w:val="0097637A"/>
    <w:rsid w:val="0097678F"/>
    <w:rsid w:val="009770A3"/>
    <w:rsid w:val="0097768D"/>
    <w:rsid w:val="00977C33"/>
    <w:rsid w:val="00980C30"/>
    <w:rsid w:val="009816B7"/>
    <w:rsid w:val="00981DA6"/>
    <w:rsid w:val="00982190"/>
    <w:rsid w:val="0098281E"/>
    <w:rsid w:val="00982AD2"/>
    <w:rsid w:val="00983538"/>
    <w:rsid w:val="00984188"/>
    <w:rsid w:val="0098439C"/>
    <w:rsid w:val="00985241"/>
    <w:rsid w:val="009858DB"/>
    <w:rsid w:val="00985B82"/>
    <w:rsid w:val="00985F6D"/>
    <w:rsid w:val="00986291"/>
    <w:rsid w:val="00986613"/>
    <w:rsid w:val="00986F98"/>
    <w:rsid w:val="0098737B"/>
    <w:rsid w:val="00987702"/>
    <w:rsid w:val="00987AD1"/>
    <w:rsid w:val="00990103"/>
    <w:rsid w:val="00990AAD"/>
    <w:rsid w:val="009912D1"/>
    <w:rsid w:val="00991D93"/>
    <w:rsid w:val="009927AD"/>
    <w:rsid w:val="0099299E"/>
    <w:rsid w:val="00992A00"/>
    <w:rsid w:val="00992C4C"/>
    <w:rsid w:val="00992CF6"/>
    <w:rsid w:val="009933E3"/>
    <w:rsid w:val="0099357D"/>
    <w:rsid w:val="00993CCF"/>
    <w:rsid w:val="009942AF"/>
    <w:rsid w:val="00994993"/>
    <w:rsid w:val="00994DE9"/>
    <w:rsid w:val="0099508B"/>
    <w:rsid w:val="00995345"/>
    <w:rsid w:val="009955D9"/>
    <w:rsid w:val="0099621C"/>
    <w:rsid w:val="00996C7C"/>
    <w:rsid w:val="00997447"/>
    <w:rsid w:val="0099757E"/>
    <w:rsid w:val="00997611"/>
    <w:rsid w:val="00997AB0"/>
    <w:rsid w:val="009A0375"/>
    <w:rsid w:val="009A091D"/>
    <w:rsid w:val="009A09DF"/>
    <w:rsid w:val="009A0D2D"/>
    <w:rsid w:val="009A0DD6"/>
    <w:rsid w:val="009A145A"/>
    <w:rsid w:val="009A19BA"/>
    <w:rsid w:val="009A1E1E"/>
    <w:rsid w:val="009A2505"/>
    <w:rsid w:val="009A2DD2"/>
    <w:rsid w:val="009A362A"/>
    <w:rsid w:val="009A3E50"/>
    <w:rsid w:val="009A3F3D"/>
    <w:rsid w:val="009A3FD9"/>
    <w:rsid w:val="009A4AE3"/>
    <w:rsid w:val="009A59DD"/>
    <w:rsid w:val="009A60D1"/>
    <w:rsid w:val="009A64F5"/>
    <w:rsid w:val="009A6DEB"/>
    <w:rsid w:val="009A7533"/>
    <w:rsid w:val="009A7E30"/>
    <w:rsid w:val="009B06AA"/>
    <w:rsid w:val="009B0B62"/>
    <w:rsid w:val="009B10C6"/>
    <w:rsid w:val="009B1158"/>
    <w:rsid w:val="009B1986"/>
    <w:rsid w:val="009B2102"/>
    <w:rsid w:val="009B2C65"/>
    <w:rsid w:val="009B2D90"/>
    <w:rsid w:val="009B31A5"/>
    <w:rsid w:val="009B31DC"/>
    <w:rsid w:val="009B3202"/>
    <w:rsid w:val="009B328B"/>
    <w:rsid w:val="009B34EF"/>
    <w:rsid w:val="009B3C2C"/>
    <w:rsid w:val="009B4859"/>
    <w:rsid w:val="009B4E07"/>
    <w:rsid w:val="009B5F4E"/>
    <w:rsid w:val="009B6005"/>
    <w:rsid w:val="009B68A0"/>
    <w:rsid w:val="009B6DE0"/>
    <w:rsid w:val="009B716A"/>
    <w:rsid w:val="009B725C"/>
    <w:rsid w:val="009B76E3"/>
    <w:rsid w:val="009B7C6B"/>
    <w:rsid w:val="009C04F9"/>
    <w:rsid w:val="009C07E3"/>
    <w:rsid w:val="009C0A8C"/>
    <w:rsid w:val="009C0AA8"/>
    <w:rsid w:val="009C0B34"/>
    <w:rsid w:val="009C1087"/>
    <w:rsid w:val="009C1544"/>
    <w:rsid w:val="009C192D"/>
    <w:rsid w:val="009C1C71"/>
    <w:rsid w:val="009C252D"/>
    <w:rsid w:val="009C2AE3"/>
    <w:rsid w:val="009C394C"/>
    <w:rsid w:val="009C413A"/>
    <w:rsid w:val="009C41E8"/>
    <w:rsid w:val="009C486D"/>
    <w:rsid w:val="009C4BD2"/>
    <w:rsid w:val="009C5047"/>
    <w:rsid w:val="009C53D1"/>
    <w:rsid w:val="009C5437"/>
    <w:rsid w:val="009C6067"/>
    <w:rsid w:val="009C607F"/>
    <w:rsid w:val="009C60FD"/>
    <w:rsid w:val="009C6640"/>
    <w:rsid w:val="009C66A0"/>
    <w:rsid w:val="009C6D6F"/>
    <w:rsid w:val="009C74E7"/>
    <w:rsid w:val="009D0957"/>
    <w:rsid w:val="009D0A7A"/>
    <w:rsid w:val="009D0D67"/>
    <w:rsid w:val="009D0EBA"/>
    <w:rsid w:val="009D1E7F"/>
    <w:rsid w:val="009D2F78"/>
    <w:rsid w:val="009D3025"/>
    <w:rsid w:val="009D3F2E"/>
    <w:rsid w:val="009D5807"/>
    <w:rsid w:val="009D5ED4"/>
    <w:rsid w:val="009D6988"/>
    <w:rsid w:val="009D69CB"/>
    <w:rsid w:val="009D7090"/>
    <w:rsid w:val="009D72E5"/>
    <w:rsid w:val="009D7DFB"/>
    <w:rsid w:val="009D7F47"/>
    <w:rsid w:val="009E03DA"/>
    <w:rsid w:val="009E0C21"/>
    <w:rsid w:val="009E223B"/>
    <w:rsid w:val="009E3008"/>
    <w:rsid w:val="009E38AA"/>
    <w:rsid w:val="009E40CC"/>
    <w:rsid w:val="009E42F4"/>
    <w:rsid w:val="009E45D8"/>
    <w:rsid w:val="009E4D29"/>
    <w:rsid w:val="009E595C"/>
    <w:rsid w:val="009E6D39"/>
    <w:rsid w:val="009E6EC3"/>
    <w:rsid w:val="009E77A8"/>
    <w:rsid w:val="009E7E0D"/>
    <w:rsid w:val="009F01CB"/>
    <w:rsid w:val="009F02AA"/>
    <w:rsid w:val="009F0676"/>
    <w:rsid w:val="009F09D7"/>
    <w:rsid w:val="009F0F2C"/>
    <w:rsid w:val="009F348D"/>
    <w:rsid w:val="009F4265"/>
    <w:rsid w:val="009F4BB2"/>
    <w:rsid w:val="009F4BC4"/>
    <w:rsid w:val="009F52A5"/>
    <w:rsid w:val="009F5DE6"/>
    <w:rsid w:val="009F5FBA"/>
    <w:rsid w:val="009F65DF"/>
    <w:rsid w:val="009F6EE5"/>
    <w:rsid w:val="009F74DF"/>
    <w:rsid w:val="009F78E8"/>
    <w:rsid w:val="009F7DF7"/>
    <w:rsid w:val="009F7FFE"/>
    <w:rsid w:val="00A000D6"/>
    <w:rsid w:val="00A0078E"/>
    <w:rsid w:val="00A01091"/>
    <w:rsid w:val="00A015C2"/>
    <w:rsid w:val="00A01915"/>
    <w:rsid w:val="00A01DBA"/>
    <w:rsid w:val="00A01F78"/>
    <w:rsid w:val="00A021B0"/>
    <w:rsid w:val="00A02402"/>
    <w:rsid w:val="00A02A38"/>
    <w:rsid w:val="00A02BA7"/>
    <w:rsid w:val="00A03219"/>
    <w:rsid w:val="00A038DC"/>
    <w:rsid w:val="00A04798"/>
    <w:rsid w:val="00A049E1"/>
    <w:rsid w:val="00A04BC5"/>
    <w:rsid w:val="00A056F2"/>
    <w:rsid w:val="00A06EE0"/>
    <w:rsid w:val="00A074BB"/>
    <w:rsid w:val="00A077BA"/>
    <w:rsid w:val="00A101C0"/>
    <w:rsid w:val="00A10679"/>
    <w:rsid w:val="00A10A00"/>
    <w:rsid w:val="00A11AF7"/>
    <w:rsid w:val="00A122C7"/>
    <w:rsid w:val="00A123DC"/>
    <w:rsid w:val="00A13295"/>
    <w:rsid w:val="00A13588"/>
    <w:rsid w:val="00A13BCB"/>
    <w:rsid w:val="00A14887"/>
    <w:rsid w:val="00A156CC"/>
    <w:rsid w:val="00A15810"/>
    <w:rsid w:val="00A15DFC"/>
    <w:rsid w:val="00A16330"/>
    <w:rsid w:val="00A16382"/>
    <w:rsid w:val="00A167A1"/>
    <w:rsid w:val="00A16919"/>
    <w:rsid w:val="00A16F55"/>
    <w:rsid w:val="00A17084"/>
    <w:rsid w:val="00A1767D"/>
    <w:rsid w:val="00A176AF"/>
    <w:rsid w:val="00A1799C"/>
    <w:rsid w:val="00A2014F"/>
    <w:rsid w:val="00A20472"/>
    <w:rsid w:val="00A20632"/>
    <w:rsid w:val="00A209F1"/>
    <w:rsid w:val="00A20E17"/>
    <w:rsid w:val="00A2119F"/>
    <w:rsid w:val="00A218A4"/>
    <w:rsid w:val="00A21999"/>
    <w:rsid w:val="00A22509"/>
    <w:rsid w:val="00A22D6C"/>
    <w:rsid w:val="00A231C3"/>
    <w:rsid w:val="00A2370E"/>
    <w:rsid w:val="00A23BDC"/>
    <w:rsid w:val="00A23BDF"/>
    <w:rsid w:val="00A251E6"/>
    <w:rsid w:val="00A257F1"/>
    <w:rsid w:val="00A265AB"/>
    <w:rsid w:val="00A26B73"/>
    <w:rsid w:val="00A26C85"/>
    <w:rsid w:val="00A26CEE"/>
    <w:rsid w:val="00A27217"/>
    <w:rsid w:val="00A2738A"/>
    <w:rsid w:val="00A27A25"/>
    <w:rsid w:val="00A30108"/>
    <w:rsid w:val="00A3067C"/>
    <w:rsid w:val="00A3076D"/>
    <w:rsid w:val="00A30DFE"/>
    <w:rsid w:val="00A30FB4"/>
    <w:rsid w:val="00A31B47"/>
    <w:rsid w:val="00A31DD6"/>
    <w:rsid w:val="00A326D3"/>
    <w:rsid w:val="00A32702"/>
    <w:rsid w:val="00A32863"/>
    <w:rsid w:val="00A32F72"/>
    <w:rsid w:val="00A33272"/>
    <w:rsid w:val="00A33577"/>
    <w:rsid w:val="00A3383A"/>
    <w:rsid w:val="00A33848"/>
    <w:rsid w:val="00A34023"/>
    <w:rsid w:val="00A343CB"/>
    <w:rsid w:val="00A34460"/>
    <w:rsid w:val="00A3594F"/>
    <w:rsid w:val="00A35F0D"/>
    <w:rsid w:val="00A36A96"/>
    <w:rsid w:val="00A371DA"/>
    <w:rsid w:val="00A372C7"/>
    <w:rsid w:val="00A37909"/>
    <w:rsid w:val="00A37A19"/>
    <w:rsid w:val="00A37B32"/>
    <w:rsid w:val="00A37B4D"/>
    <w:rsid w:val="00A40EB1"/>
    <w:rsid w:val="00A4146E"/>
    <w:rsid w:val="00A42919"/>
    <w:rsid w:val="00A42DE5"/>
    <w:rsid w:val="00A44497"/>
    <w:rsid w:val="00A446AD"/>
    <w:rsid w:val="00A44C88"/>
    <w:rsid w:val="00A452CF"/>
    <w:rsid w:val="00A458E2"/>
    <w:rsid w:val="00A45EF4"/>
    <w:rsid w:val="00A4605B"/>
    <w:rsid w:val="00A46069"/>
    <w:rsid w:val="00A4644D"/>
    <w:rsid w:val="00A465F6"/>
    <w:rsid w:val="00A46651"/>
    <w:rsid w:val="00A46B6B"/>
    <w:rsid w:val="00A46E59"/>
    <w:rsid w:val="00A46E6C"/>
    <w:rsid w:val="00A4702B"/>
    <w:rsid w:val="00A47779"/>
    <w:rsid w:val="00A4789A"/>
    <w:rsid w:val="00A50EB2"/>
    <w:rsid w:val="00A5192B"/>
    <w:rsid w:val="00A51AD0"/>
    <w:rsid w:val="00A51EE0"/>
    <w:rsid w:val="00A5328B"/>
    <w:rsid w:val="00A533F7"/>
    <w:rsid w:val="00A53417"/>
    <w:rsid w:val="00A5369E"/>
    <w:rsid w:val="00A53923"/>
    <w:rsid w:val="00A563F7"/>
    <w:rsid w:val="00A57CEE"/>
    <w:rsid w:val="00A57F4F"/>
    <w:rsid w:val="00A6129F"/>
    <w:rsid w:val="00A61CE8"/>
    <w:rsid w:val="00A62421"/>
    <w:rsid w:val="00A624FA"/>
    <w:rsid w:val="00A625DC"/>
    <w:rsid w:val="00A62C2D"/>
    <w:rsid w:val="00A65EF1"/>
    <w:rsid w:val="00A66A17"/>
    <w:rsid w:val="00A7065A"/>
    <w:rsid w:val="00A70B03"/>
    <w:rsid w:val="00A70E97"/>
    <w:rsid w:val="00A70ECA"/>
    <w:rsid w:val="00A71081"/>
    <w:rsid w:val="00A7180C"/>
    <w:rsid w:val="00A733AA"/>
    <w:rsid w:val="00A733B3"/>
    <w:rsid w:val="00A74151"/>
    <w:rsid w:val="00A7440C"/>
    <w:rsid w:val="00A7446A"/>
    <w:rsid w:val="00A7447D"/>
    <w:rsid w:val="00A746C7"/>
    <w:rsid w:val="00A74AF1"/>
    <w:rsid w:val="00A75467"/>
    <w:rsid w:val="00A754E3"/>
    <w:rsid w:val="00A75592"/>
    <w:rsid w:val="00A76B1B"/>
    <w:rsid w:val="00A778AA"/>
    <w:rsid w:val="00A77CAD"/>
    <w:rsid w:val="00A77F18"/>
    <w:rsid w:val="00A80498"/>
    <w:rsid w:val="00A80F09"/>
    <w:rsid w:val="00A81663"/>
    <w:rsid w:val="00A81778"/>
    <w:rsid w:val="00A81CE2"/>
    <w:rsid w:val="00A81E53"/>
    <w:rsid w:val="00A823FC"/>
    <w:rsid w:val="00A828A8"/>
    <w:rsid w:val="00A82A93"/>
    <w:rsid w:val="00A82BFF"/>
    <w:rsid w:val="00A831D6"/>
    <w:rsid w:val="00A835AE"/>
    <w:rsid w:val="00A85A5F"/>
    <w:rsid w:val="00A868CC"/>
    <w:rsid w:val="00A86E38"/>
    <w:rsid w:val="00A871F0"/>
    <w:rsid w:val="00A877C4"/>
    <w:rsid w:val="00A87B2C"/>
    <w:rsid w:val="00A87D36"/>
    <w:rsid w:val="00A87FF7"/>
    <w:rsid w:val="00A9053E"/>
    <w:rsid w:val="00A90E41"/>
    <w:rsid w:val="00A90EC9"/>
    <w:rsid w:val="00A911F7"/>
    <w:rsid w:val="00A91E47"/>
    <w:rsid w:val="00A9218E"/>
    <w:rsid w:val="00A92E19"/>
    <w:rsid w:val="00A931A2"/>
    <w:rsid w:val="00A93201"/>
    <w:rsid w:val="00A94DB2"/>
    <w:rsid w:val="00A95175"/>
    <w:rsid w:val="00A95346"/>
    <w:rsid w:val="00A958E1"/>
    <w:rsid w:val="00A969BD"/>
    <w:rsid w:val="00A96BE6"/>
    <w:rsid w:val="00A96DB0"/>
    <w:rsid w:val="00AA01CD"/>
    <w:rsid w:val="00AA0BF0"/>
    <w:rsid w:val="00AA1316"/>
    <w:rsid w:val="00AA1C3D"/>
    <w:rsid w:val="00AA2DEF"/>
    <w:rsid w:val="00AA34B7"/>
    <w:rsid w:val="00AA3701"/>
    <w:rsid w:val="00AA3AB4"/>
    <w:rsid w:val="00AA4861"/>
    <w:rsid w:val="00AA54B1"/>
    <w:rsid w:val="00AA66C5"/>
    <w:rsid w:val="00AA6DFB"/>
    <w:rsid w:val="00AB0140"/>
    <w:rsid w:val="00AB079C"/>
    <w:rsid w:val="00AB0E23"/>
    <w:rsid w:val="00AB151C"/>
    <w:rsid w:val="00AB1682"/>
    <w:rsid w:val="00AB1982"/>
    <w:rsid w:val="00AB1B4B"/>
    <w:rsid w:val="00AB1EB2"/>
    <w:rsid w:val="00AB2BD2"/>
    <w:rsid w:val="00AB315D"/>
    <w:rsid w:val="00AB320E"/>
    <w:rsid w:val="00AB3561"/>
    <w:rsid w:val="00AB3694"/>
    <w:rsid w:val="00AB405B"/>
    <w:rsid w:val="00AB41B7"/>
    <w:rsid w:val="00AB475A"/>
    <w:rsid w:val="00AB4910"/>
    <w:rsid w:val="00AB6022"/>
    <w:rsid w:val="00AB746A"/>
    <w:rsid w:val="00AB78FD"/>
    <w:rsid w:val="00AB7CFE"/>
    <w:rsid w:val="00AC04EB"/>
    <w:rsid w:val="00AC0937"/>
    <w:rsid w:val="00AC16CA"/>
    <w:rsid w:val="00AC18D5"/>
    <w:rsid w:val="00AC195A"/>
    <w:rsid w:val="00AC2676"/>
    <w:rsid w:val="00AC3BD7"/>
    <w:rsid w:val="00AC3F7A"/>
    <w:rsid w:val="00AC421F"/>
    <w:rsid w:val="00AC457E"/>
    <w:rsid w:val="00AC468B"/>
    <w:rsid w:val="00AC46E8"/>
    <w:rsid w:val="00AC47E6"/>
    <w:rsid w:val="00AC5D20"/>
    <w:rsid w:val="00AC746B"/>
    <w:rsid w:val="00AC7F2B"/>
    <w:rsid w:val="00AD0FCF"/>
    <w:rsid w:val="00AD2A92"/>
    <w:rsid w:val="00AD3220"/>
    <w:rsid w:val="00AD37D2"/>
    <w:rsid w:val="00AD39E5"/>
    <w:rsid w:val="00AD4982"/>
    <w:rsid w:val="00AD4FC4"/>
    <w:rsid w:val="00AD51C0"/>
    <w:rsid w:val="00AD525E"/>
    <w:rsid w:val="00AD58DF"/>
    <w:rsid w:val="00AD6293"/>
    <w:rsid w:val="00AD6529"/>
    <w:rsid w:val="00AD6ABF"/>
    <w:rsid w:val="00AD6B6E"/>
    <w:rsid w:val="00AD72C5"/>
    <w:rsid w:val="00AD7609"/>
    <w:rsid w:val="00AE0450"/>
    <w:rsid w:val="00AE092F"/>
    <w:rsid w:val="00AE0D43"/>
    <w:rsid w:val="00AE1659"/>
    <w:rsid w:val="00AE17D5"/>
    <w:rsid w:val="00AE2347"/>
    <w:rsid w:val="00AE2462"/>
    <w:rsid w:val="00AE316B"/>
    <w:rsid w:val="00AE3798"/>
    <w:rsid w:val="00AE4420"/>
    <w:rsid w:val="00AE4A0C"/>
    <w:rsid w:val="00AE4AE7"/>
    <w:rsid w:val="00AE5C9E"/>
    <w:rsid w:val="00AE605C"/>
    <w:rsid w:val="00AE63C5"/>
    <w:rsid w:val="00AE6CB2"/>
    <w:rsid w:val="00AE6F9D"/>
    <w:rsid w:val="00AE741B"/>
    <w:rsid w:val="00AE7B90"/>
    <w:rsid w:val="00AF0049"/>
    <w:rsid w:val="00AF034E"/>
    <w:rsid w:val="00AF16BA"/>
    <w:rsid w:val="00AF17A4"/>
    <w:rsid w:val="00AF2999"/>
    <w:rsid w:val="00AF2D66"/>
    <w:rsid w:val="00AF2FCF"/>
    <w:rsid w:val="00AF2FFB"/>
    <w:rsid w:val="00AF31D4"/>
    <w:rsid w:val="00AF334A"/>
    <w:rsid w:val="00AF4507"/>
    <w:rsid w:val="00AF45B3"/>
    <w:rsid w:val="00AF48C5"/>
    <w:rsid w:val="00AF4957"/>
    <w:rsid w:val="00AF5E82"/>
    <w:rsid w:val="00AF6204"/>
    <w:rsid w:val="00AF68CC"/>
    <w:rsid w:val="00AF7B7E"/>
    <w:rsid w:val="00AF7D73"/>
    <w:rsid w:val="00AF7F7E"/>
    <w:rsid w:val="00B00611"/>
    <w:rsid w:val="00B00B54"/>
    <w:rsid w:val="00B01ECA"/>
    <w:rsid w:val="00B021A9"/>
    <w:rsid w:val="00B02540"/>
    <w:rsid w:val="00B027A8"/>
    <w:rsid w:val="00B0343A"/>
    <w:rsid w:val="00B035E7"/>
    <w:rsid w:val="00B036A3"/>
    <w:rsid w:val="00B03C1F"/>
    <w:rsid w:val="00B04BA5"/>
    <w:rsid w:val="00B04E2E"/>
    <w:rsid w:val="00B054DB"/>
    <w:rsid w:val="00B055D5"/>
    <w:rsid w:val="00B061D5"/>
    <w:rsid w:val="00B067F3"/>
    <w:rsid w:val="00B06B15"/>
    <w:rsid w:val="00B07B6B"/>
    <w:rsid w:val="00B103BD"/>
    <w:rsid w:val="00B10481"/>
    <w:rsid w:val="00B107AD"/>
    <w:rsid w:val="00B10AEC"/>
    <w:rsid w:val="00B10B28"/>
    <w:rsid w:val="00B10C27"/>
    <w:rsid w:val="00B1145A"/>
    <w:rsid w:val="00B114CC"/>
    <w:rsid w:val="00B11B47"/>
    <w:rsid w:val="00B123BA"/>
    <w:rsid w:val="00B12A56"/>
    <w:rsid w:val="00B13321"/>
    <w:rsid w:val="00B1391F"/>
    <w:rsid w:val="00B139D0"/>
    <w:rsid w:val="00B13EC4"/>
    <w:rsid w:val="00B14A9A"/>
    <w:rsid w:val="00B1584C"/>
    <w:rsid w:val="00B16777"/>
    <w:rsid w:val="00B168A1"/>
    <w:rsid w:val="00B178AB"/>
    <w:rsid w:val="00B202BE"/>
    <w:rsid w:val="00B20A55"/>
    <w:rsid w:val="00B2115B"/>
    <w:rsid w:val="00B211B8"/>
    <w:rsid w:val="00B21508"/>
    <w:rsid w:val="00B22860"/>
    <w:rsid w:val="00B22CEB"/>
    <w:rsid w:val="00B231CD"/>
    <w:rsid w:val="00B2336D"/>
    <w:rsid w:val="00B23414"/>
    <w:rsid w:val="00B23A28"/>
    <w:rsid w:val="00B23D24"/>
    <w:rsid w:val="00B24121"/>
    <w:rsid w:val="00B2418D"/>
    <w:rsid w:val="00B243BF"/>
    <w:rsid w:val="00B24C58"/>
    <w:rsid w:val="00B24EBD"/>
    <w:rsid w:val="00B25539"/>
    <w:rsid w:val="00B25C98"/>
    <w:rsid w:val="00B25E01"/>
    <w:rsid w:val="00B25E82"/>
    <w:rsid w:val="00B260DD"/>
    <w:rsid w:val="00B26643"/>
    <w:rsid w:val="00B26BA6"/>
    <w:rsid w:val="00B27590"/>
    <w:rsid w:val="00B2767D"/>
    <w:rsid w:val="00B27C05"/>
    <w:rsid w:val="00B30216"/>
    <w:rsid w:val="00B30245"/>
    <w:rsid w:val="00B30551"/>
    <w:rsid w:val="00B3087F"/>
    <w:rsid w:val="00B310D1"/>
    <w:rsid w:val="00B315C8"/>
    <w:rsid w:val="00B3166D"/>
    <w:rsid w:val="00B317B9"/>
    <w:rsid w:val="00B31AA3"/>
    <w:rsid w:val="00B323C8"/>
    <w:rsid w:val="00B3325D"/>
    <w:rsid w:val="00B33F2A"/>
    <w:rsid w:val="00B34730"/>
    <w:rsid w:val="00B3521E"/>
    <w:rsid w:val="00B36DD7"/>
    <w:rsid w:val="00B372BD"/>
    <w:rsid w:val="00B3747B"/>
    <w:rsid w:val="00B37AAA"/>
    <w:rsid w:val="00B40A23"/>
    <w:rsid w:val="00B41436"/>
    <w:rsid w:val="00B4148B"/>
    <w:rsid w:val="00B41A20"/>
    <w:rsid w:val="00B41F07"/>
    <w:rsid w:val="00B4205B"/>
    <w:rsid w:val="00B4258F"/>
    <w:rsid w:val="00B426F6"/>
    <w:rsid w:val="00B42724"/>
    <w:rsid w:val="00B443CE"/>
    <w:rsid w:val="00B44D35"/>
    <w:rsid w:val="00B453B0"/>
    <w:rsid w:val="00B45E7C"/>
    <w:rsid w:val="00B46071"/>
    <w:rsid w:val="00B466BC"/>
    <w:rsid w:val="00B4747D"/>
    <w:rsid w:val="00B47515"/>
    <w:rsid w:val="00B523CD"/>
    <w:rsid w:val="00B53072"/>
    <w:rsid w:val="00B53528"/>
    <w:rsid w:val="00B53887"/>
    <w:rsid w:val="00B55E3D"/>
    <w:rsid w:val="00B5678D"/>
    <w:rsid w:val="00B570D8"/>
    <w:rsid w:val="00B5786F"/>
    <w:rsid w:val="00B57F2C"/>
    <w:rsid w:val="00B61078"/>
    <w:rsid w:val="00B61347"/>
    <w:rsid w:val="00B61C61"/>
    <w:rsid w:val="00B61FEE"/>
    <w:rsid w:val="00B626C7"/>
    <w:rsid w:val="00B627E1"/>
    <w:rsid w:val="00B62D75"/>
    <w:rsid w:val="00B62F53"/>
    <w:rsid w:val="00B6320E"/>
    <w:rsid w:val="00B63D36"/>
    <w:rsid w:val="00B63F0F"/>
    <w:rsid w:val="00B64163"/>
    <w:rsid w:val="00B642BF"/>
    <w:rsid w:val="00B64705"/>
    <w:rsid w:val="00B64841"/>
    <w:rsid w:val="00B6491A"/>
    <w:rsid w:val="00B64BA9"/>
    <w:rsid w:val="00B65357"/>
    <w:rsid w:val="00B6571A"/>
    <w:rsid w:val="00B658B4"/>
    <w:rsid w:val="00B65EDE"/>
    <w:rsid w:val="00B66EF7"/>
    <w:rsid w:val="00B67218"/>
    <w:rsid w:val="00B678C9"/>
    <w:rsid w:val="00B701DD"/>
    <w:rsid w:val="00B7038F"/>
    <w:rsid w:val="00B7125F"/>
    <w:rsid w:val="00B7154F"/>
    <w:rsid w:val="00B71A6F"/>
    <w:rsid w:val="00B71E46"/>
    <w:rsid w:val="00B72C7D"/>
    <w:rsid w:val="00B72CE6"/>
    <w:rsid w:val="00B733D7"/>
    <w:rsid w:val="00B73697"/>
    <w:rsid w:val="00B7399D"/>
    <w:rsid w:val="00B73E6B"/>
    <w:rsid w:val="00B74044"/>
    <w:rsid w:val="00B74106"/>
    <w:rsid w:val="00B75274"/>
    <w:rsid w:val="00B752EF"/>
    <w:rsid w:val="00B753F5"/>
    <w:rsid w:val="00B75696"/>
    <w:rsid w:val="00B7577C"/>
    <w:rsid w:val="00B75C7F"/>
    <w:rsid w:val="00B76037"/>
    <w:rsid w:val="00B76563"/>
    <w:rsid w:val="00B7682E"/>
    <w:rsid w:val="00B77582"/>
    <w:rsid w:val="00B8105F"/>
    <w:rsid w:val="00B8141D"/>
    <w:rsid w:val="00B81A7B"/>
    <w:rsid w:val="00B81B83"/>
    <w:rsid w:val="00B828CA"/>
    <w:rsid w:val="00B82AC3"/>
    <w:rsid w:val="00B82C8B"/>
    <w:rsid w:val="00B82CE3"/>
    <w:rsid w:val="00B83272"/>
    <w:rsid w:val="00B8391E"/>
    <w:rsid w:val="00B847D4"/>
    <w:rsid w:val="00B84B2F"/>
    <w:rsid w:val="00B84F31"/>
    <w:rsid w:val="00B851F8"/>
    <w:rsid w:val="00B8536F"/>
    <w:rsid w:val="00B858A4"/>
    <w:rsid w:val="00B858E4"/>
    <w:rsid w:val="00B8596B"/>
    <w:rsid w:val="00B86403"/>
    <w:rsid w:val="00B87052"/>
    <w:rsid w:val="00B87CF2"/>
    <w:rsid w:val="00B9063C"/>
    <w:rsid w:val="00B91300"/>
    <w:rsid w:val="00B91366"/>
    <w:rsid w:val="00B9156F"/>
    <w:rsid w:val="00B9191B"/>
    <w:rsid w:val="00B91923"/>
    <w:rsid w:val="00B925A1"/>
    <w:rsid w:val="00B928C5"/>
    <w:rsid w:val="00B92CEA"/>
    <w:rsid w:val="00B938ED"/>
    <w:rsid w:val="00B93D83"/>
    <w:rsid w:val="00B93DA6"/>
    <w:rsid w:val="00B93F03"/>
    <w:rsid w:val="00B94539"/>
    <w:rsid w:val="00B9524E"/>
    <w:rsid w:val="00B95CE4"/>
    <w:rsid w:val="00B966E2"/>
    <w:rsid w:val="00B96CF6"/>
    <w:rsid w:val="00B971FA"/>
    <w:rsid w:val="00B9746D"/>
    <w:rsid w:val="00B97921"/>
    <w:rsid w:val="00BA0046"/>
    <w:rsid w:val="00BA037A"/>
    <w:rsid w:val="00BA0462"/>
    <w:rsid w:val="00BA0646"/>
    <w:rsid w:val="00BA064C"/>
    <w:rsid w:val="00BA0E7C"/>
    <w:rsid w:val="00BA110D"/>
    <w:rsid w:val="00BA1CE8"/>
    <w:rsid w:val="00BA1EF5"/>
    <w:rsid w:val="00BA1F63"/>
    <w:rsid w:val="00BA4AA7"/>
    <w:rsid w:val="00BA5788"/>
    <w:rsid w:val="00BA61E3"/>
    <w:rsid w:val="00BA7931"/>
    <w:rsid w:val="00BA7CF9"/>
    <w:rsid w:val="00BB001D"/>
    <w:rsid w:val="00BB00EA"/>
    <w:rsid w:val="00BB0F5B"/>
    <w:rsid w:val="00BB1992"/>
    <w:rsid w:val="00BB1FB9"/>
    <w:rsid w:val="00BB2004"/>
    <w:rsid w:val="00BB29B1"/>
    <w:rsid w:val="00BB2E4C"/>
    <w:rsid w:val="00BB3866"/>
    <w:rsid w:val="00BB392C"/>
    <w:rsid w:val="00BB3EB4"/>
    <w:rsid w:val="00BB4361"/>
    <w:rsid w:val="00BB5BC8"/>
    <w:rsid w:val="00BB5CFE"/>
    <w:rsid w:val="00BB5DF6"/>
    <w:rsid w:val="00BB5EC9"/>
    <w:rsid w:val="00BB6AD3"/>
    <w:rsid w:val="00BB745C"/>
    <w:rsid w:val="00BB7663"/>
    <w:rsid w:val="00BB76AE"/>
    <w:rsid w:val="00BB7784"/>
    <w:rsid w:val="00BC0598"/>
    <w:rsid w:val="00BC19B7"/>
    <w:rsid w:val="00BC3E3C"/>
    <w:rsid w:val="00BC5146"/>
    <w:rsid w:val="00BC5D70"/>
    <w:rsid w:val="00BC67A5"/>
    <w:rsid w:val="00BC6F22"/>
    <w:rsid w:val="00BC6F9E"/>
    <w:rsid w:val="00BD004E"/>
    <w:rsid w:val="00BD0759"/>
    <w:rsid w:val="00BD0987"/>
    <w:rsid w:val="00BD0A28"/>
    <w:rsid w:val="00BD0A4E"/>
    <w:rsid w:val="00BD1A63"/>
    <w:rsid w:val="00BD3571"/>
    <w:rsid w:val="00BD43F2"/>
    <w:rsid w:val="00BD43F3"/>
    <w:rsid w:val="00BD4412"/>
    <w:rsid w:val="00BD59E3"/>
    <w:rsid w:val="00BD5C98"/>
    <w:rsid w:val="00BD71F5"/>
    <w:rsid w:val="00BD79A0"/>
    <w:rsid w:val="00BD7C2E"/>
    <w:rsid w:val="00BE0017"/>
    <w:rsid w:val="00BE0555"/>
    <w:rsid w:val="00BE1666"/>
    <w:rsid w:val="00BE282F"/>
    <w:rsid w:val="00BE2AD0"/>
    <w:rsid w:val="00BE3380"/>
    <w:rsid w:val="00BE40EB"/>
    <w:rsid w:val="00BE419D"/>
    <w:rsid w:val="00BE4367"/>
    <w:rsid w:val="00BE4E66"/>
    <w:rsid w:val="00BE58F5"/>
    <w:rsid w:val="00BE6013"/>
    <w:rsid w:val="00BE6959"/>
    <w:rsid w:val="00BE6DD6"/>
    <w:rsid w:val="00BE7004"/>
    <w:rsid w:val="00BE77D0"/>
    <w:rsid w:val="00BE7A03"/>
    <w:rsid w:val="00BE7A06"/>
    <w:rsid w:val="00BE7F3A"/>
    <w:rsid w:val="00BF03E4"/>
    <w:rsid w:val="00BF04F8"/>
    <w:rsid w:val="00BF068A"/>
    <w:rsid w:val="00BF0B04"/>
    <w:rsid w:val="00BF130F"/>
    <w:rsid w:val="00BF199C"/>
    <w:rsid w:val="00BF1B74"/>
    <w:rsid w:val="00BF1F54"/>
    <w:rsid w:val="00BF2029"/>
    <w:rsid w:val="00BF248C"/>
    <w:rsid w:val="00BF2E60"/>
    <w:rsid w:val="00BF384D"/>
    <w:rsid w:val="00BF3F79"/>
    <w:rsid w:val="00BF4086"/>
    <w:rsid w:val="00BF4158"/>
    <w:rsid w:val="00BF4595"/>
    <w:rsid w:val="00BF47D6"/>
    <w:rsid w:val="00BF48C8"/>
    <w:rsid w:val="00BF49FA"/>
    <w:rsid w:val="00BF5B75"/>
    <w:rsid w:val="00BF6518"/>
    <w:rsid w:val="00BF666E"/>
    <w:rsid w:val="00BF66FC"/>
    <w:rsid w:val="00BF69A2"/>
    <w:rsid w:val="00BF6DB4"/>
    <w:rsid w:val="00BF720B"/>
    <w:rsid w:val="00BF7648"/>
    <w:rsid w:val="00BF7A5C"/>
    <w:rsid w:val="00C004E0"/>
    <w:rsid w:val="00C0051E"/>
    <w:rsid w:val="00C00ADF"/>
    <w:rsid w:val="00C01ACD"/>
    <w:rsid w:val="00C01E36"/>
    <w:rsid w:val="00C02A37"/>
    <w:rsid w:val="00C02DFE"/>
    <w:rsid w:val="00C0478D"/>
    <w:rsid w:val="00C047B2"/>
    <w:rsid w:val="00C05179"/>
    <w:rsid w:val="00C053BC"/>
    <w:rsid w:val="00C05C45"/>
    <w:rsid w:val="00C0631A"/>
    <w:rsid w:val="00C064C8"/>
    <w:rsid w:val="00C0680E"/>
    <w:rsid w:val="00C06D4E"/>
    <w:rsid w:val="00C076D9"/>
    <w:rsid w:val="00C07A05"/>
    <w:rsid w:val="00C10051"/>
    <w:rsid w:val="00C11759"/>
    <w:rsid w:val="00C11AC1"/>
    <w:rsid w:val="00C11E4F"/>
    <w:rsid w:val="00C1263D"/>
    <w:rsid w:val="00C1290A"/>
    <w:rsid w:val="00C129A7"/>
    <w:rsid w:val="00C137C7"/>
    <w:rsid w:val="00C13B80"/>
    <w:rsid w:val="00C13BD5"/>
    <w:rsid w:val="00C14159"/>
    <w:rsid w:val="00C14676"/>
    <w:rsid w:val="00C14687"/>
    <w:rsid w:val="00C147F6"/>
    <w:rsid w:val="00C14A4C"/>
    <w:rsid w:val="00C15AB1"/>
    <w:rsid w:val="00C1662B"/>
    <w:rsid w:val="00C175CC"/>
    <w:rsid w:val="00C17F58"/>
    <w:rsid w:val="00C201DE"/>
    <w:rsid w:val="00C208A2"/>
    <w:rsid w:val="00C20BD5"/>
    <w:rsid w:val="00C21AB7"/>
    <w:rsid w:val="00C21E79"/>
    <w:rsid w:val="00C21F40"/>
    <w:rsid w:val="00C22E3F"/>
    <w:rsid w:val="00C24113"/>
    <w:rsid w:val="00C24592"/>
    <w:rsid w:val="00C246E6"/>
    <w:rsid w:val="00C2505C"/>
    <w:rsid w:val="00C257CA"/>
    <w:rsid w:val="00C26848"/>
    <w:rsid w:val="00C271CF"/>
    <w:rsid w:val="00C27782"/>
    <w:rsid w:val="00C30A24"/>
    <w:rsid w:val="00C318E5"/>
    <w:rsid w:val="00C31A27"/>
    <w:rsid w:val="00C31A8A"/>
    <w:rsid w:val="00C3337C"/>
    <w:rsid w:val="00C33391"/>
    <w:rsid w:val="00C33408"/>
    <w:rsid w:val="00C33F03"/>
    <w:rsid w:val="00C34042"/>
    <w:rsid w:val="00C342C8"/>
    <w:rsid w:val="00C35663"/>
    <w:rsid w:val="00C3634B"/>
    <w:rsid w:val="00C36AD1"/>
    <w:rsid w:val="00C36E72"/>
    <w:rsid w:val="00C373F1"/>
    <w:rsid w:val="00C37703"/>
    <w:rsid w:val="00C378FB"/>
    <w:rsid w:val="00C4086C"/>
    <w:rsid w:val="00C40970"/>
    <w:rsid w:val="00C4139C"/>
    <w:rsid w:val="00C415C0"/>
    <w:rsid w:val="00C41BAB"/>
    <w:rsid w:val="00C42A95"/>
    <w:rsid w:val="00C434C2"/>
    <w:rsid w:val="00C4368B"/>
    <w:rsid w:val="00C446BB"/>
    <w:rsid w:val="00C4564F"/>
    <w:rsid w:val="00C457F0"/>
    <w:rsid w:val="00C4634C"/>
    <w:rsid w:val="00C466DD"/>
    <w:rsid w:val="00C46E34"/>
    <w:rsid w:val="00C47BB0"/>
    <w:rsid w:val="00C47E74"/>
    <w:rsid w:val="00C500D6"/>
    <w:rsid w:val="00C50263"/>
    <w:rsid w:val="00C50A57"/>
    <w:rsid w:val="00C51628"/>
    <w:rsid w:val="00C5205C"/>
    <w:rsid w:val="00C5266C"/>
    <w:rsid w:val="00C52F3F"/>
    <w:rsid w:val="00C53095"/>
    <w:rsid w:val="00C5368F"/>
    <w:rsid w:val="00C53EE4"/>
    <w:rsid w:val="00C5536F"/>
    <w:rsid w:val="00C55BCF"/>
    <w:rsid w:val="00C56226"/>
    <w:rsid w:val="00C56277"/>
    <w:rsid w:val="00C56E43"/>
    <w:rsid w:val="00C56F84"/>
    <w:rsid w:val="00C57074"/>
    <w:rsid w:val="00C5723F"/>
    <w:rsid w:val="00C57A77"/>
    <w:rsid w:val="00C57B4A"/>
    <w:rsid w:val="00C60794"/>
    <w:rsid w:val="00C6101E"/>
    <w:rsid w:val="00C61810"/>
    <w:rsid w:val="00C61CA6"/>
    <w:rsid w:val="00C62743"/>
    <w:rsid w:val="00C62F90"/>
    <w:rsid w:val="00C631AB"/>
    <w:rsid w:val="00C633E3"/>
    <w:rsid w:val="00C63523"/>
    <w:rsid w:val="00C64AB0"/>
    <w:rsid w:val="00C6529A"/>
    <w:rsid w:val="00C6592B"/>
    <w:rsid w:val="00C65A6D"/>
    <w:rsid w:val="00C67DAE"/>
    <w:rsid w:val="00C67FDE"/>
    <w:rsid w:val="00C7114B"/>
    <w:rsid w:val="00C7119A"/>
    <w:rsid w:val="00C7158E"/>
    <w:rsid w:val="00C719A3"/>
    <w:rsid w:val="00C72664"/>
    <w:rsid w:val="00C72884"/>
    <w:rsid w:val="00C72899"/>
    <w:rsid w:val="00C73B87"/>
    <w:rsid w:val="00C73D14"/>
    <w:rsid w:val="00C73F02"/>
    <w:rsid w:val="00C74244"/>
    <w:rsid w:val="00C74262"/>
    <w:rsid w:val="00C74626"/>
    <w:rsid w:val="00C74D92"/>
    <w:rsid w:val="00C74DEB"/>
    <w:rsid w:val="00C7525A"/>
    <w:rsid w:val="00C757B8"/>
    <w:rsid w:val="00C75871"/>
    <w:rsid w:val="00C76189"/>
    <w:rsid w:val="00C765D4"/>
    <w:rsid w:val="00C770BC"/>
    <w:rsid w:val="00C77648"/>
    <w:rsid w:val="00C77B93"/>
    <w:rsid w:val="00C77CCE"/>
    <w:rsid w:val="00C809E4"/>
    <w:rsid w:val="00C81530"/>
    <w:rsid w:val="00C8185E"/>
    <w:rsid w:val="00C81DB4"/>
    <w:rsid w:val="00C81E9C"/>
    <w:rsid w:val="00C81F9B"/>
    <w:rsid w:val="00C822DD"/>
    <w:rsid w:val="00C82923"/>
    <w:rsid w:val="00C82C06"/>
    <w:rsid w:val="00C82DD2"/>
    <w:rsid w:val="00C83158"/>
    <w:rsid w:val="00C835F1"/>
    <w:rsid w:val="00C836A0"/>
    <w:rsid w:val="00C83BA9"/>
    <w:rsid w:val="00C84FA9"/>
    <w:rsid w:val="00C856BD"/>
    <w:rsid w:val="00C85910"/>
    <w:rsid w:val="00C85B38"/>
    <w:rsid w:val="00C8619C"/>
    <w:rsid w:val="00C864CB"/>
    <w:rsid w:val="00C869B9"/>
    <w:rsid w:val="00C86DD8"/>
    <w:rsid w:val="00C87CDB"/>
    <w:rsid w:val="00C901ED"/>
    <w:rsid w:val="00C90679"/>
    <w:rsid w:val="00C907AF"/>
    <w:rsid w:val="00C90EC3"/>
    <w:rsid w:val="00C91802"/>
    <w:rsid w:val="00C925AE"/>
    <w:rsid w:val="00C925C9"/>
    <w:rsid w:val="00C929A3"/>
    <w:rsid w:val="00C92EDD"/>
    <w:rsid w:val="00C933A5"/>
    <w:rsid w:val="00C938B5"/>
    <w:rsid w:val="00C93DE4"/>
    <w:rsid w:val="00C955DB"/>
    <w:rsid w:val="00C95FDA"/>
    <w:rsid w:val="00C964F2"/>
    <w:rsid w:val="00C96A05"/>
    <w:rsid w:val="00C972C5"/>
    <w:rsid w:val="00C97D0A"/>
    <w:rsid w:val="00CA0728"/>
    <w:rsid w:val="00CA1227"/>
    <w:rsid w:val="00CA12A4"/>
    <w:rsid w:val="00CA16F6"/>
    <w:rsid w:val="00CA18A0"/>
    <w:rsid w:val="00CA1E40"/>
    <w:rsid w:val="00CA2716"/>
    <w:rsid w:val="00CA2CAC"/>
    <w:rsid w:val="00CA2ECD"/>
    <w:rsid w:val="00CA2FC7"/>
    <w:rsid w:val="00CA35C2"/>
    <w:rsid w:val="00CA526A"/>
    <w:rsid w:val="00CA6002"/>
    <w:rsid w:val="00CA68DC"/>
    <w:rsid w:val="00CA6B9D"/>
    <w:rsid w:val="00CA6CAC"/>
    <w:rsid w:val="00CA7319"/>
    <w:rsid w:val="00CA741A"/>
    <w:rsid w:val="00CA7821"/>
    <w:rsid w:val="00CA7E40"/>
    <w:rsid w:val="00CB0023"/>
    <w:rsid w:val="00CB0062"/>
    <w:rsid w:val="00CB0066"/>
    <w:rsid w:val="00CB04CC"/>
    <w:rsid w:val="00CB19AD"/>
    <w:rsid w:val="00CB2379"/>
    <w:rsid w:val="00CB296C"/>
    <w:rsid w:val="00CB3070"/>
    <w:rsid w:val="00CB323F"/>
    <w:rsid w:val="00CB391C"/>
    <w:rsid w:val="00CB3A5F"/>
    <w:rsid w:val="00CB3F3D"/>
    <w:rsid w:val="00CB4987"/>
    <w:rsid w:val="00CB499F"/>
    <w:rsid w:val="00CB49A4"/>
    <w:rsid w:val="00CB655D"/>
    <w:rsid w:val="00CB6E06"/>
    <w:rsid w:val="00CB6F85"/>
    <w:rsid w:val="00CB705E"/>
    <w:rsid w:val="00CB72BB"/>
    <w:rsid w:val="00CB7D83"/>
    <w:rsid w:val="00CC07A1"/>
    <w:rsid w:val="00CC093C"/>
    <w:rsid w:val="00CC0B66"/>
    <w:rsid w:val="00CC0E83"/>
    <w:rsid w:val="00CC15FC"/>
    <w:rsid w:val="00CC236E"/>
    <w:rsid w:val="00CC2731"/>
    <w:rsid w:val="00CC293D"/>
    <w:rsid w:val="00CC3633"/>
    <w:rsid w:val="00CC3D17"/>
    <w:rsid w:val="00CC3E91"/>
    <w:rsid w:val="00CC4854"/>
    <w:rsid w:val="00CC5963"/>
    <w:rsid w:val="00CC5D67"/>
    <w:rsid w:val="00CC79A0"/>
    <w:rsid w:val="00CC7A6C"/>
    <w:rsid w:val="00CD00DC"/>
    <w:rsid w:val="00CD079F"/>
    <w:rsid w:val="00CD0E60"/>
    <w:rsid w:val="00CD0FC7"/>
    <w:rsid w:val="00CD1257"/>
    <w:rsid w:val="00CD15E4"/>
    <w:rsid w:val="00CD1972"/>
    <w:rsid w:val="00CD1999"/>
    <w:rsid w:val="00CD1F7F"/>
    <w:rsid w:val="00CD22A0"/>
    <w:rsid w:val="00CD388B"/>
    <w:rsid w:val="00CD4081"/>
    <w:rsid w:val="00CD42B6"/>
    <w:rsid w:val="00CD44D0"/>
    <w:rsid w:val="00CD49E9"/>
    <w:rsid w:val="00CD5846"/>
    <w:rsid w:val="00CD5D8D"/>
    <w:rsid w:val="00CD6518"/>
    <w:rsid w:val="00CD667A"/>
    <w:rsid w:val="00CD6EC9"/>
    <w:rsid w:val="00CD7CB4"/>
    <w:rsid w:val="00CE000A"/>
    <w:rsid w:val="00CE085D"/>
    <w:rsid w:val="00CE090A"/>
    <w:rsid w:val="00CE1222"/>
    <w:rsid w:val="00CE123D"/>
    <w:rsid w:val="00CE181F"/>
    <w:rsid w:val="00CE1CC3"/>
    <w:rsid w:val="00CE1F42"/>
    <w:rsid w:val="00CE26B6"/>
    <w:rsid w:val="00CE3047"/>
    <w:rsid w:val="00CE329D"/>
    <w:rsid w:val="00CE3304"/>
    <w:rsid w:val="00CE3BDB"/>
    <w:rsid w:val="00CE42C4"/>
    <w:rsid w:val="00CE4A4E"/>
    <w:rsid w:val="00CE5F92"/>
    <w:rsid w:val="00CE617C"/>
    <w:rsid w:val="00CE61E7"/>
    <w:rsid w:val="00CE7C99"/>
    <w:rsid w:val="00CF0CFA"/>
    <w:rsid w:val="00CF1622"/>
    <w:rsid w:val="00CF28F7"/>
    <w:rsid w:val="00CF2E62"/>
    <w:rsid w:val="00CF2EED"/>
    <w:rsid w:val="00CF3C38"/>
    <w:rsid w:val="00CF4396"/>
    <w:rsid w:val="00CF4731"/>
    <w:rsid w:val="00CF4B82"/>
    <w:rsid w:val="00CF592A"/>
    <w:rsid w:val="00CF5A68"/>
    <w:rsid w:val="00CF5B92"/>
    <w:rsid w:val="00CF6945"/>
    <w:rsid w:val="00CF6A5E"/>
    <w:rsid w:val="00CF6BDD"/>
    <w:rsid w:val="00CF769B"/>
    <w:rsid w:val="00CF78E6"/>
    <w:rsid w:val="00D0076F"/>
    <w:rsid w:val="00D00D06"/>
    <w:rsid w:val="00D01280"/>
    <w:rsid w:val="00D012F9"/>
    <w:rsid w:val="00D01DFA"/>
    <w:rsid w:val="00D02635"/>
    <w:rsid w:val="00D027E0"/>
    <w:rsid w:val="00D0417C"/>
    <w:rsid w:val="00D045FA"/>
    <w:rsid w:val="00D04A53"/>
    <w:rsid w:val="00D05621"/>
    <w:rsid w:val="00D056FF"/>
    <w:rsid w:val="00D06102"/>
    <w:rsid w:val="00D06E74"/>
    <w:rsid w:val="00D07242"/>
    <w:rsid w:val="00D0762C"/>
    <w:rsid w:val="00D07E07"/>
    <w:rsid w:val="00D10463"/>
    <w:rsid w:val="00D1066F"/>
    <w:rsid w:val="00D1079F"/>
    <w:rsid w:val="00D107EC"/>
    <w:rsid w:val="00D10814"/>
    <w:rsid w:val="00D11CEB"/>
    <w:rsid w:val="00D121BF"/>
    <w:rsid w:val="00D126BC"/>
    <w:rsid w:val="00D13BD4"/>
    <w:rsid w:val="00D14D4C"/>
    <w:rsid w:val="00D15180"/>
    <w:rsid w:val="00D156B9"/>
    <w:rsid w:val="00D1599E"/>
    <w:rsid w:val="00D15DDA"/>
    <w:rsid w:val="00D15E98"/>
    <w:rsid w:val="00D15EF4"/>
    <w:rsid w:val="00D166F8"/>
    <w:rsid w:val="00D17A0B"/>
    <w:rsid w:val="00D17BEC"/>
    <w:rsid w:val="00D17F76"/>
    <w:rsid w:val="00D20417"/>
    <w:rsid w:val="00D20E5B"/>
    <w:rsid w:val="00D21558"/>
    <w:rsid w:val="00D21AA5"/>
    <w:rsid w:val="00D21EEF"/>
    <w:rsid w:val="00D221FC"/>
    <w:rsid w:val="00D22351"/>
    <w:rsid w:val="00D229C4"/>
    <w:rsid w:val="00D23E16"/>
    <w:rsid w:val="00D23EAC"/>
    <w:rsid w:val="00D246AC"/>
    <w:rsid w:val="00D25860"/>
    <w:rsid w:val="00D26094"/>
    <w:rsid w:val="00D2674D"/>
    <w:rsid w:val="00D26BE5"/>
    <w:rsid w:val="00D2719F"/>
    <w:rsid w:val="00D27CD4"/>
    <w:rsid w:val="00D30623"/>
    <w:rsid w:val="00D30856"/>
    <w:rsid w:val="00D30B82"/>
    <w:rsid w:val="00D30D4C"/>
    <w:rsid w:val="00D313BD"/>
    <w:rsid w:val="00D3179F"/>
    <w:rsid w:val="00D318A2"/>
    <w:rsid w:val="00D318D5"/>
    <w:rsid w:val="00D3268D"/>
    <w:rsid w:val="00D32956"/>
    <w:rsid w:val="00D3346B"/>
    <w:rsid w:val="00D343B5"/>
    <w:rsid w:val="00D35EF8"/>
    <w:rsid w:val="00D36326"/>
    <w:rsid w:val="00D3686B"/>
    <w:rsid w:val="00D3687D"/>
    <w:rsid w:val="00D36A8C"/>
    <w:rsid w:val="00D37E92"/>
    <w:rsid w:val="00D37FE2"/>
    <w:rsid w:val="00D4119C"/>
    <w:rsid w:val="00D41967"/>
    <w:rsid w:val="00D41BE8"/>
    <w:rsid w:val="00D435AD"/>
    <w:rsid w:val="00D43A14"/>
    <w:rsid w:val="00D44DD1"/>
    <w:rsid w:val="00D45509"/>
    <w:rsid w:val="00D45A74"/>
    <w:rsid w:val="00D45A9A"/>
    <w:rsid w:val="00D4614B"/>
    <w:rsid w:val="00D4614D"/>
    <w:rsid w:val="00D46A33"/>
    <w:rsid w:val="00D4799F"/>
    <w:rsid w:val="00D5036C"/>
    <w:rsid w:val="00D50D88"/>
    <w:rsid w:val="00D51280"/>
    <w:rsid w:val="00D51BA0"/>
    <w:rsid w:val="00D51E1B"/>
    <w:rsid w:val="00D51E4C"/>
    <w:rsid w:val="00D52027"/>
    <w:rsid w:val="00D52CD8"/>
    <w:rsid w:val="00D52EB9"/>
    <w:rsid w:val="00D530F2"/>
    <w:rsid w:val="00D533ED"/>
    <w:rsid w:val="00D53982"/>
    <w:rsid w:val="00D54157"/>
    <w:rsid w:val="00D54239"/>
    <w:rsid w:val="00D553AE"/>
    <w:rsid w:val="00D553DD"/>
    <w:rsid w:val="00D55CA2"/>
    <w:rsid w:val="00D56EF3"/>
    <w:rsid w:val="00D572DC"/>
    <w:rsid w:val="00D57499"/>
    <w:rsid w:val="00D574AF"/>
    <w:rsid w:val="00D6022F"/>
    <w:rsid w:val="00D6054A"/>
    <w:rsid w:val="00D61064"/>
    <w:rsid w:val="00D612D3"/>
    <w:rsid w:val="00D615D2"/>
    <w:rsid w:val="00D62EAE"/>
    <w:rsid w:val="00D63C4A"/>
    <w:rsid w:val="00D63E36"/>
    <w:rsid w:val="00D64C05"/>
    <w:rsid w:val="00D64DE3"/>
    <w:rsid w:val="00D66952"/>
    <w:rsid w:val="00D67659"/>
    <w:rsid w:val="00D67790"/>
    <w:rsid w:val="00D7073E"/>
    <w:rsid w:val="00D70E49"/>
    <w:rsid w:val="00D71112"/>
    <w:rsid w:val="00D713AA"/>
    <w:rsid w:val="00D71A10"/>
    <w:rsid w:val="00D71D09"/>
    <w:rsid w:val="00D722DF"/>
    <w:rsid w:val="00D744DE"/>
    <w:rsid w:val="00D74B8B"/>
    <w:rsid w:val="00D74C61"/>
    <w:rsid w:val="00D755E3"/>
    <w:rsid w:val="00D75DC2"/>
    <w:rsid w:val="00D761F9"/>
    <w:rsid w:val="00D764AE"/>
    <w:rsid w:val="00D76F5C"/>
    <w:rsid w:val="00D770CE"/>
    <w:rsid w:val="00D77892"/>
    <w:rsid w:val="00D77954"/>
    <w:rsid w:val="00D77AA9"/>
    <w:rsid w:val="00D807DD"/>
    <w:rsid w:val="00D81276"/>
    <w:rsid w:val="00D81C38"/>
    <w:rsid w:val="00D81E77"/>
    <w:rsid w:val="00D82304"/>
    <w:rsid w:val="00D82442"/>
    <w:rsid w:val="00D82D6E"/>
    <w:rsid w:val="00D8346F"/>
    <w:rsid w:val="00D839FD"/>
    <w:rsid w:val="00D84054"/>
    <w:rsid w:val="00D84B86"/>
    <w:rsid w:val="00D85AE3"/>
    <w:rsid w:val="00D85D2B"/>
    <w:rsid w:val="00D85D3F"/>
    <w:rsid w:val="00D8632C"/>
    <w:rsid w:val="00D86A5C"/>
    <w:rsid w:val="00D86B09"/>
    <w:rsid w:val="00D8718E"/>
    <w:rsid w:val="00D87879"/>
    <w:rsid w:val="00D87D71"/>
    <w:rsid w:val="00D908A4"/>
    <w:rsid w:val="00D908EA"/>
    <w:rsid w:val="00D90DF3"/>
    <w:rsid w:val="00D90E13"/>
    <w:rsid w:val="00D9145C"/>
    <w:rsid w:val="00D91A66"/>
    <w:rsid w:val="00D92A83"/>
    <w:rsid w:val="00D93C08"/>
    <w:rsid w:val="00D93F44"/>
    <w:rsid w:val="00D9432B"/>
    <w:rsid w:val="00D94602"/>
    <w:rsid w:val="00D94FFF"/>
    <w:rsid w:val="00D95362"/>
    <w:rsid w:val="00D959D2"/>
    <w:rsid w:val="00D95BAC"/>
    <w:rsid w:val="00D95C80"/>
    <w:rsid w:val="00D961B0"/>
    <w:rsid w:val="00D962C1"/>
    <w:rsid w:val="00D9641E"/>
    <w:rsid w:val="00D96481"/>
    <w:rsid w:val="00D96C03"/>
    <w:rsid w:val="00D976C3"/>
    <w:rsid w:val="00D977B4"/>
    <w:rsid w:val="00D97BC0"/>
    <w:rsid w:val="00D97C1F"/>
    <w:rsid w:val="00D97C48"/>
    <w:rsid w:val="00DA0C4C"/>
    <w:rsid w:val="00DA0CED"/>
    <w:rsid w:val="00DA0D66"/>
    <w:rsid w:val="00DA122A"/>
    <w:rsid w:val="00DA164F"/>
    <w:rsid w:val="00DA1967"/>
    <w:rsid w:val="00DA1A00"/>
    <w:rsid w:val="00DA1AC3"/>
    <w:rsid w:val="00DA253B"/>
    <w:rsid w:val="00DA3520"/>
    <w:rsid w:val="00DA405A"/>
    <w:rsid w:val="00DA4847"/>
    <w:rsid w:val="00DA4B11"/>
    <w:rsid w:val="00DA4E3F"/>
    <w:rsid w:val="00DA4F01"/>
    <w:rsid w:val="00DA51C9"/>
    <w:rsid w:val="00DA528A"/>
    <w:rsid w:val="00DA68F3"/>
    <w:rsid w:val="00DA6D22"/>
    <w:rsid w:val="00DA71A8"/>
    <w:rsid w:val="00DA71E1"/>
    <w:rsid w:val="00DA75F2"/>
    <w:rsid w:val="00DA7757"/>
    <w:rsid w:val="00DA7C09"/>
    <w:rsid w:val="00DA7DBC"/>
    <w:rsid w:val="00DB053A"/>
    <w:rsid w:val="00DB0926"/>
    <w:rsid w:val="00DB0EB9"/>
    <w:rsid w:val="00DB2269"/>
    <w:rsid w:val="00DB2308"/>
    <w:rsid w:val="00DB37FD"/>
    <w:rsid w:val="00DB4125"/>
    <w:rsid w:val="00DB5B9F"/>
    <w:rsid w:val="00DB619E"/>
    <w:rsid w:val="00DB6C93"/>
    <w:rsid w:val="00DB6ECB"/>
    <w:rsid w:val="00DB7B08"/>
    <w:rsid w:val="00DC0BA5"/>
    <w:rsid w:val="00DC1611"/>
    <w:rsid w:val="00DC17A5"/>
    <w:rsid w:val="00DC1D9A"/>
    <w:rsid w:val="00DC1E9A"/>
    <w:rsid w:val="00DC2809"/>
    <w:rsid w:val="00DC3330"/>
    <w:rsid w:val="00DC337E"/>
    <w:rsid w:val="00DC3F10"/>
    <w:rsid w:val="00DC5455"/>
    <w:rsid w:val="00DC61C5"/>
    <w:rsid w:val="00DC6A9A"/>
    <w:rsid w:val="00DD0C5B"/>
    <w:rsid w:val="00DD12B2"/>
    <w:rsid w:val="00DD1C06"/>
    <w:rsid w:val="00DD1C3E"/>
    <w:rsid w:val="00DD22A5"/>
    <w:rsid w:val="00DD232C"/>
    <w:rsid w:val="00DD24AB"/>
    <w:rsid w:val="00DD2944"/>
    <w:rsid w:val="00DD2A76"/>
    <w:rsid w:val="00DD2AEF"/>
    <w:rsid w:val="00DD2BF0"/>
    <w:rsid w:val="00DD328A"/>
    <w:rsid w:val="00DD35C8"/>
    <w:rsid w:val="00DD366C"/>
    <w:rsid w:val="00DD377F"/>
    <w:rsid w:val="00DD3D4F"/>
    <w:rsid w:val="00DD4224"/>
    <w:rsid w:val="00DD4759"/>
    <w:rsid w:val="00DD5383"/>
    <w:rsid w:val="00DD6083"/>
    <w:rsid w:val="00DD61CD"/>
    <w:rsid w:val="00DD61EC"/>
    <w:rsid w:val="00DD6C0B"/>
    <w:rsid w:val="00DD6F15"/>
    <w:rsid w:val="00DD758A"/>
    <w:rsid w:val="00DD774B"/>
    <w:rsid w:val="00DD7E52"/>
    <w:rsid w:val="00DE0C4B"/>
    <w:rsid w:val="00DE121E"/>
    <w:rsid w:val="00DE2105"/>
    <w:rsid w:val="00DE21F3"/>
    <w:rsid w:val="00DE2490"/>
    <w:rsid w:val="00DE25BA"/>
    <w:rsid w:val="00DE28CB"/>
    <w:rsid w:val="00DE2E5E"/>
    <w:rsid w:val="00DE3F1E"/>
    <w:rsid w:val="00DE418C"/>
    <w:rsid w:val="00DE41AD"/>
    <w:rsid w:val="00DE4611"/>
    <w:rsid w:val="00DE54A7"/>
    <w:rsid w:val="00DE555E"/>
    <w:rsid w:val="00DE62A6"/>
    <w:rsid w:val="00DE64B3"/>
    <w:rsid w:val="00DE6B1A"/>
    <w:rsid w:val="00DE7082"/>
    <w:rsid w:val="00DF0EBD"/>
    <w:rsid w:val="00DF0EBE"/>
    <w:rsid w:val="00DF10D8"/>
    <w:rsid w:val="00DF1590"/>
    <w:rsid w:val="00DF19BC"/>
    <w:rsid w:val="00DF1DF8"/>
    <w:rsid w:val="00DF2F7F"/>
    <w:rsid w:val="00DF4C07"/>
    <w:rsid w:val="00DF5136"/>
    <w:rsid w:val="00DF5A94"/>
    <w:rsid w:val="00DF5E66"/>
    <w:rsid w:val="00DF5FDB"/>
    <w:rsid w:val="00DF6BA3"/>
    <w:rsid w:val="00DF767D"/>
    <w:rsid w:val="00DF76D9"/>
    <w:rsid w:val="00E013BC"/>
    <w:rsid w:val="00E01808"/>
    <w:rsid w:val="00E01A42"/>
    <w:rsid w:val="00E02006"/>
    <w:rsid w:val="00E02272"/>
    <w:rsid w:val="00E02FD1"/>
    <w:rsid w:val="00E030D5"/>
    <w:rsid w:val="00E03388"/>
    <w:rsid w:val="00E0339C"/>
    <w:rsid w:val="00E0421C"/>
    <w:rsid w:val="00E04385"/>
    <w:rsid w:val="00E04514"/>
    <w:rsid w:val="00E045FF"/>
    <w:rsid w:val="00E04D4D"/>
    <w:rsid w:val="00E04FD3"/>
    <w:rsid w:val="00E051CD"/>
    <w:rsid w:val="00E052DA"/>
    <w:rsid w:val="00E056AF"/>
    <w:rsid w:val="00E05718"/>
    <w:rsid w:val="00E05887"/>
    <w:rsid w:val="00E05A22"/>
    <w:rsid w:val="00E068A0"/>
    <w:rsid w:val="00E07049"/>
    <w:rsid w:val="00E073E6"/>
    <w:rsid w:val="00E07F31"/>
    <w:rsid w:val="00E1046B"/>
    <w:rsid w:val="00E106EF"/>
    <w:rsid w:val="00E1103F"/>
    <w:rsid w:val="00E11082"/>
    <w:rsid w:val="00E110D5"/>
    <w:rsid w:val="00E11986"/>
    <w:rsid w:val="00E119B5"/>
    <w:rsid w:val="00E11EA5"/>
    <w:rsid w:val="00E12636"/>
    <w:rsid w:val="00E12B4B"/>
    <w:rsid w:val="00E12D0F"/>
    <w:rsid w:val="00E12EF6"/>
    <w:rsid w:val="00E12F5C"/>
    <w:rsid w:val="00E1409A"/>
    <w:rsid w:val="00E14824"/>
    <w:rsid w:val="00E14CA9"/>
    <w:rsid w:val="00E14D77"/>
    <w:rsid w:val="00E15B12"/>
    <w:rsid w:val="00E15CB0"/>
    <w:rsid w:val="00E15E16"/>
    <w:rsid w:val="00E15F75"/>
    <w:rsid w:val="00E17DD4"/>
    <w:rsid w:val="00E203E8"/>
    <w:rsid w:val="00E209F0"/>
    <w:rsid w:val="00E21145"/>
    <w:rsid w:val="00E212DD"/>
    <w:rsid w:val="00E215BC"/>
    <w:rsid w:val="00E218C1"/>
    <w:rsid w:val="00E21EE7"/>
    <w:rsid w:val="00E23615"/>
    <w:rsid w:val="00E23A7E"/>
    <w:rsid w:val="00E24824"/>
    <w:rsid w:val="00E254D1"/>
    <w:rsid w:val="00E25918"/>
    <w:rsid w:val="00E27872"/>
    <w:rsid w:val="00E27EDD"/>
    <w:rsid w:val="00E300AA"/>
    <w:rsid w:val="00E30FB6"/>
    <w:rsid w:val="00E31234"/>
    <w:rsid w:val="00E314B2"/>
    <w:rsid w:val="00E3187F"/>
    <w:rsid w:val="00E319E8"/>
    <w:rsid w:val="00E31E14"/>
    <w:rsid w:val="00E31ED8"/>
    <w:rsid w:val="00E323B6"/>
    <w:rsid w:val="00E32461"/>
    <w:rsid w:val="00E32DCE"/>
    <w:rsid w:val="00E33160"/>
    <w:rsid w:val="00E33194"/>
    <w:rsid w:val="00E343D6"/>
    <w:rsid w:val="00E34796"/>
    <w:rsid w:val="00E34BCF"/>
    <w:rsid w:val="00E35181"/>
    <w:rsid w:val="00E35768"/>
    <w:rsid w:val="00E360B8"/>
    <w:rsid w:val="00E360C2"/>
    <w:rsid w:val="00E3692A"/>
    <w:rsid w:val="00E3757C"/>
    <w:rsid w:val="00E375FA"/>
    <w:rsid w:val="00E37C52"/>
    <w:rsid w:val="00E37E19"/>
    <w:rsid w:val="00E4026A"/>
    <w:rsid w:val="00E4043F"/>
    <w:rsid w:val="00E40717"/>
    <w:rsid w:val="00E40FF9"/>
    <w:rsid w:val="00E416D9"/>
    <w:rsid w:val="00E4288A"/>
    <w:rsid w:val="00E4400D"/>
    <w:rsid w:val="00E44218"/>
    <w:rsid w:val="00E44262"/>
    <w:rsid w:val="00E445E4"/>
    <w:rsid w:val="00E4462F"/>
    <w:rsid w:val="00E4546B"/>
    <w:rsid w:val="00E45AE7"/>
    <w:rsid w:val="00E45C1C"/>
    <w:rsid w:val="00E46482"/>
    <w:rsid w:val="00E466F0"/>
    <w:rsid w:val="00E476C0"/>
    <w:rsid w:val="00E5085F"/>
    <w:rsid w:val="00E50B8B"/>
    <w:rsid w:val="00E51100"/>
    <w:rsid w:val="00E51841"/>
    <w:rsid w:val="00E5224A"/>
    <w:rsid w:val="00E523A7"/>
    <w:rsid w:val="00E52456"/>
    <w:rsid w:val="00E5298A"/>
    <w:rsid w:val="00E52A5E"/>
    <w:rsid w:val="00E52CDF"/>
    <w:rsid w:val="00E52E44"/>
    <w:rsid w:val="00E53310"/>
    <w:rsid w:val="00E5386E"/>
    <w:rsid w:val="00E53934"/>
    <w:rsid w:val="00E53CD6"/>
    <w:rsid w:val="00E5479D"/>
    <w:rsid w:val="00E55DC0"/>
    <w:rsid w:val="00E56396"/>
    <w:rsid w:val="00E56451"/>
    <w:rsid w:val="00E5650F"/>
    <w:rsid w:val="00E56792"/>
    <w:rsid w:val="00E57345"/>
    <w:rsid w:val="00E603D3"/>
    <w:rsid w:val="00E607C5"/>
    <w:rsid w:val="00E60C99"/>
    <w:rsid w:val="00E61811"/>
    <w:rsid w:val="00E62D19"/>
    <w:rsid w:val="00E62EA7"/>
    <w:rsid w:val="00E64071"/>
    <w:rsid w:val="00E65A57"/>
    <w:rsid w:val="00E6612E"/>
    <w:rsid w:val="00E662D6"/>
    <w:rsid w:val="00E665CB"/>
    <w:rsid w:val="00E66692"/>
    <w:rsid w:val="00E66E52"/>
    <w:rsid w:val="00E6742D"/>
    <w:rsid w:val="00E675D1"/>
    <w:rsid w:val="00E67679"/>
    <w:rsid w:val="00E67759"/>
    <w:rsid w:val="00E708A1"/>
    <w:rsid w:val="00E70D7D"/>
    <w:rsid w:val="00E719BC"/>
    <w:rsid w:val="00E726BB"/>
    <w:rsid w:val="00E72AC0"/>
    <w:rsid w:val="00E72F87"/>
    <w:rsid w:val="00E737C8"/>
    <w:rsid w:val="00E739FB"/>
    <w:rsid w:val="00E747C2"/>
    <w:rsid w:val="00E749B8"/>
    <w:rsid w:val="00E74AB0"/>
    <w:rsid w:val="00E754BF"/>
    <w:rsid w:val="00E7552F"/>
    <w:rsid w:val="00E755C9"/>
    <w:rsid w:val="00E776C4"/>
    <w:rsid w:val="00E777C6"/>
    <w:rsid w:val="00E7790E"/>
    <w:rsid w:val="00E77CDA"/>
    <w:rsid w:val="00E80011"/>
    <w:rsid w:val="00E800D1"/>
    <w:rsid w:val="00E80299"/>
    <w:rsid w:val="00E803E1"/>
    <w:rsid w:val="00E812D4"/>
    <w:rsid w:val="00E81349"/>
    <w:rsid w:val="00E81C3C"/>
    <w:rsid w:val="00E81FFB"/>
    <w:rsid w:val="00E825BD"/>
    <w:rsid w:val="00E825C9"/>
    <w:rsid w:val="00E8271E"/>
    <w:rsid w:val="00E827B3"/>
    <w:rsid w:val="00E8288E"/>
    <w:rsid w:val="00E83496"/>
    <w:rsid w:val="00E84230"/>
    <w:rsid w:val="00E84939"/>
    <w:rsid w:val="00E856C0"/>
    <w:rsid w:val="00E858FF"/>
    <w:rsid w:val="00E859D8"/>
    <w:rsid w:val="00E85E86"/>
    <w:rsid w:val="00E86405"/>
    <w:rsid w:val="00E86620"/>
    <w:rsid w:val="00E8682B"/>
    <w:rsid w:val="00E86E2E"/>
    <w:rsid w:val="00E870B3"/>
    <w:rsid w:val="00E87ACB"/>
    <w:rsid w:val="00E90532"/>
    <w:rsid w:val="00E90FA7"/>
    <w:rsid w:val="00E91993"/>
    <w:rsid w:val="00E91E3B"/>
    <w:rsid w:val="00E91F85"/>
    <w:rsid w:val="00E921D0"/>
    <w:rsid w:val="00E92412"/>
    <w:rsid w:val="00E92498"/>
    <w:rsid w:val="00E92515"/>
    <w:rsid w:val="00E9252C"/>
    <w:rsid w:val="00E9272E"/>
    <w:rsid w:val="00E92816"/>
    <w:rsid w:val="00E9287B"/>
    <w:rsid w:val="00E930A4"/>
    <w:rsid w:val="00E9351F"/>
    <w:rsid w:val="00E939E1"/>
    <w:rsid w:val="00E94032"/>
    <w:rsid w:val="00E9521C"/>
    <w:rsid w:val="00E9644A"/>
    <w:rsid w:val="00E96766"/>
    <w:rsid w:val="00E96BF2"/>
    <w:rsid w:val="00E96E93"/>
    <w:rsid w:val="00E9744D"/>
    <w:rsid w:val="00E9771C"/>
    <w:rsid w:val="00E97828"/>
    <w:rsid w:val="00EA0B46"/>
    <w:rsid w:val="00EA0F80"/>
    <w:rsid w:val="00EA107D"/>
    <w:rsid w:val="00EA125D"/>
    <w:rsid w:val="00EA1842"/>
    <w:rsid w:val="00EA21DB"/>
    <w:rsid w:val="00EA2893"/>
    <w:rsid w:val="00EA2AAA"/>
    <w:rsid w:val="00EA2E12"/>
    <w:rsid w:val="00EA3A45"/>
    <w:rsid w:val="00EA3DF2"/>
    <w:rsid w:val="00EA4E3D"/>
    <w:rsid w:val="00EA50B6"/>
    <w:rsid w:val="00EA52E3"/>
    <w:rsid w:val="00EA54E6"/>
    <w:rsid w:val="00EA572F"/>
    <w:rsid w:val="00EA5B87"/>
    <w:rsid w:val="00EA5B8F"/>
    <w:rsid w:val="00EA6573"/>
    <w:rsid w:val="00EA69BC"/>
    <w:rsid w:val="00EA7928"/>
    <w:rsid w:val="00EB0204"/>
    <w:rsid w:val="00EB023D"/>
    <w:rsid w:val="00EB0872"/>
    <w:rsid w:val="00EB09E2"/>
    <w:rsid w:val="00EB1ED0"/>
    <w:rsid w:val="00EB2005"/>
    <w:rsid w:val="00EB21C9"/>
    <w:rsid w:val="00EB2E23"/>
    <w:rsid w:val="00EB3985"/>
    <w:rsid w:val="00EB4194"/>
    <w:rsid w:val="00EB47D9"/>
    <w:rsid w:val="00EB4995"/>
    <w:rsid w:val="00EB4D50"/>
    <w:rsid w:val="00EB538B"/>
    <w:rsid w:val="00EB5BF7"/>
    <w:rsid w:val="00EB68F2"/>
    <w:rsid w:val="00EB6C20"/>
    <w:rsid w:val="00EC0C4A"/>
    <w:rsid w:val="00EC101A"/>
    <w:rsid w:val="00EC1CE5"/>
    <w:rsid w:val="00EC2012"/>
    <w:rsid w:val="00EC24BA"/>
    <w:rsid w:val="00EC2530"/>
    <w:rsid w:val="00EC27A6"/>
    <w:rsid w:val="00EC2BA9"/>
    <w:rsid w:val="00EC3350"/>
    <w:rsid w:val="00EC33A9"/>
    <w:rsid w:val="00EC3AAB"/>
    <w:rsid w:val="00EC3EBA"/>
    <w:rsid w:val="00EC5138"/>
    <w:rsid w:val="00EC62B5"/>
    <w:rsid w:val="00EC66FE"/>
    <w:rsid w:val="00EC6E00"/>
    <w:rsid w:val="00EC6EF2"/>
    <w:rsid w:val="00EC6EF9"/>
    <w:rsid w:val="00EC70DF"/>
    <w:rsid w:val="00EC78BD"/>
    <w:rsid w:val="00EC792F"/>
    <w:rsid w:val="00EC7CB5"/>
    <w:rsid w:val="00ED090F"/>
    <w:rsid w:val="00ED1EFF"/>
    <w:rsid w:val="00ED2290"/>
    <w:rsid w:val="00ED2C3E"/>
    <w:rsid w:val="00ED2F4F"/>
    <w:rsid w:val="00ED30C4"/>
    <w:rsid w:val="00ED3160"/>
    <w:rsid w:val="00ED389A"/>
    <w:rsid w:val="00ED3BEA"/>
    <w:rsid w:val="00ED3E76"/>
    <w:rsid w:val="00ED4030"/>
    <w:rsid w:val="00ED43FA"/>
    <w:rsid w:val="00ED4469"/>
    <w:rsid w:val="00ED48C0"/>
    <w:rsid w:val="00ED4F04"/>
    <w:rsid w:val="00ED5826"/>
    <w:rsid w:val="00ED6517"/>
    <w:rsid w:val="00ED6901"/>
    <w:rsid w:val="00ED6ADC"/>
    <w:rsid w:val="00ED6C2F"/>
    <w:rsid w:val="00ED77FE"/>
    <w:rsid w:val="00EE0422"/>
    <w:rsid w:val="00EE0A18"/>
    <w:rsid w:val="00EE0C44"/>
    <w:rsid w:val="00EE0C96"/>
    <w:rsid w:val="00EE106B"/>
    <w:rsid w:val="00EE1512"/>
    <w:rsid w:val="00EE2614"/>
    <w:rsid w:val="00EE26D6"/>
    <w:rsid w:val="00EE2D03"/>
    <w:rsid w:val="00EE30B0"/>
    <w:rsid w:val="00EE369D"/>
    <w:rsid w:val="00EE394B"/>
    <w:rsid w:val="00EE3BDF"/>
    <w:rsid w:val="00EE4596"/>
    <w:rsid w:val="00EE4731"/>
    <w:rsid w:val="00EE4B76"/>
    <w:rsid w:val="00EE4DBB"/>
    <w:rsid w:val="00EE52D9"/>
    <w:rsid w:val="00EE54DB"/>
    <w:rsid w:val="00EE57DE"/>
    <w:rsid w:val="00EE5BA2"/>
    <w:rsid w:val="00EE5C8B"/>
    <w:rsid w:val="00EE60C3"/>
    <w:rsid w:val="00EE6F87"/>
    <w:rsid w:val="00EE75B2"/>
    <w:rsid w:val="00EE77ED"/>
    <w:rsid w:val="00EE7B90"/>
    <w:rsid w:val="00EF037C"/>
    <w:rsid w:val="00EF0E4C"/>
    <w:rsid w:val="00EF104B"/>
    <w:rsid w:val="00EF1304"/>
    <w:rsid w:val="00EF159A"/>
    <w:rsid w:val="00EF15E8"/>
    <w:rsid w:val="00EF3509"/>
    <w:rsid w:val="00EF36A4"/>
    <w:rsid w:val="00EF384C"/>
    <w:rsid w:val="00EF3891"/>
    <w:rsid w:val="00EF3904"/>
    <w:rsid w:val="00EF439F"/>
    <w:rsid w:val="00EF441B"/>
    <w:rsid w:val="00EF4C06"/>
    <w:rsid w:val="00EF5223"/>
    <w:rsid w:val="00EF54B1"/>
    <w:rsid w:val="00EF5C9C"/>
    <w:rsid w:val="00EF642C"/>
    <w:rsid w:val="00EF6447"/>
    <w:rsid w:val="00EF6741"/>
    <w:rsid w:val="00EF6EC0"/>
    <w:rsid w:val="00EF7634"/>
    <w:rsid w:val="00EF7781"/>
    <w:rsid w:val="00EF7786"/>
    <w:rsid w:val="00F00018"/>
    <w:rsid w:val="00F0023B"/>
    <w:rsid w:val="00F002C7"/>
    <w:rsid w:val="00F00F20"/>
    <w:rsid w:val="00F01103"/>
    <w:rsid w:val="00F0116F"/>
    <w:rsid w:val="00F0145F"/>
    <w:rsid w:val="00F016AA"/>
    <w:rsid w:val="00F01D86"/>
    <w:rsid w:val="00F02005"/>
    <w:rsid w:val="00F022BD"/>
    <w:rsid w:val="00F0272A"/>
    <w:rsid w:val="00F02914"/>
    <w:rsid w:val="00F0342E"/>
    <w:rsid w:val="00F03578"/>
    <w:rsid w:val="00F03BE1"/>
    <w:rsid w:val="00F047E4"/>
    <w:rsid w:val="00F05A99"/>
    <w:rsid w:val="00F05E32"/>
    <w:rsid w:val="00F05EC7"/>
    <w:rsid w:val="00F062B2"/>
    <w:rsid w:val="00F06A00"/>
    <w:rsid w:val="00F06DBC"/>
    <w:rsid w:val="00F074CD"/>
    <w:rsid w:val="00F07A5A"/>
    <w:rsid w:val="00F07C34"/>
    <w:rsid w:val="00F10389"/>
    <w:rsid w:val="00F10782"/>
    <w:rsid w:val="00F1079F"/>
    <w:rsid w:val="00F10EC5"/>
    <w:rsid w:val="00F10ED9"/>
    <w:rsid w:val="00F11C14"/>
    <w:rsid w:val="00F11EB9"/>
    <w:rsid w:val="00F12130"/>
    <w:rsid w:val="00F128F0"/>
    <w:rsid w:val="00F12A01"/>
    <w:rsid w:val="00F12D13"/>
    <w:rsid w:val="00F12E4F"/>
    <w:rsid w:val="00F13DA3"/>
    <w:rsid w:val="00F13FA6"/>
    <w:rsid w:val="00F14799"/>
    <w:rsid w:val="00F14B57"/>
    <w:rsid w:val="00F14CE7"/>
    <w:rsid w:val="00F1500D"/>
    <w:rsid w:val="00F160EC"/>
    <w:rsid w:val="00F16C4B"/>
    <w:rsid w:val="00F172B6"/>
    <w:rsid w:val="00F2001D"/>
    <w:rsid w:val="00F20B9B"/>
    <w:rsid w:val="00F21143"/>
    <w:rsid w:val="00F21C66"/>
    <w:rsid w:val="00F22156"/>
    <w:rsid w:val="00F222D7"/>
    <w:rsid w:val="00F22AE4"/>
    <w:rsid w:val="00F239FD"/>
    <w:rsid w:val="00F24744"/>
    <w:rsid w:val="00F24CB0"/>
    <w:rsid w:val="00F24D53"/>
    <w:rsid w:val="00F25466"/>
    <w:rsid w:val="00F25513"/>
    <w:rsid w:val="00F25850"/>
    <w:rsid w:val="00F26C84"/>
    <w:rsid w:val="00F272CA"/>
    <w:rsid w:val="00F2764B"/>
    <w:rsid w:val="00F27CC2"/>
    <w:rsid w:val="00F303F2"/>
    <w:rsid w:val="00F3096B"/>
    <w:rsid w:val="00F30FA5"/>
    <w:rsid w:val="00F31433"/>
    <w:rsid w:val="00F31902"/>
    <w:rsid w:val="00F32A8F"/>
    <w:rsid w:val="00F332FB"/>
    <w:rsid w:val="00F3357E"/>
    <w:rsid w:val="00F341FC"/>
    <w:rsid w:val="00F34488"/>
    <w:rsid w:val="00F34675"/>
    <w:rsid w:val="00F3505E"/>
    <w:rsid w:val="00F3559F"/>
    <w:rsid w:val="00F360FF"/>
    <w:rsid w:val="00F366A3"/>
    <w:rsid w:val="00F3795F"/>
    <w:rsid w:val="00F37CC3"/>
    <w:rsid w:val="00F37CF6"/>
    <w:rsid w:val="00F4084B"/>
    <w:rsid w:val="00F41ED4"/>
    <w:rsid w:val="00F427AE"/>
    <w:rsid w:val="00F42A0A"/>
    <w:rsid w:val="00F42D04"/>
    <w:rsid w:val="00F44229"/>
    <w:rsid w:val="00F44FD6"/>
    <w:rsid w:val="00F45DC9"/>
    <w:rsid w:val="00F461A9"/>
    <w:rsid w:val="00F461D9"/>
    <w:rsid w:val="00F46523"/>
    <w:rsid w:val="00F46843"/>
    <w:rsid w:val="00F46B5D"/>
    <w:rsid w:val="00F5017F"/>
    <w:rsid w:val="00F51724"/>
    <w:rsid w:val="00F518BD"/>
    <w:rsid w:val="00F52BC8"/>
    <w:rsid w:val="00F5301A"/>
    <w:rsid w:val="00F530B9"/>
    <w:rsid w:val="00F53205"/>
    <w:rsid w:val="00F53848"/>
    <w:rsid w:val="00F53A32"/>
    <w:rsid w:val="00F53E19"/>
    <w:rsid w:val="00F53F3A"/>
    <w:rsid w:val="00F55439"/>
    <w:rsid w:val="00F55D12"/>
    <w:rsid w:val="00F5636C"/>
    <w:rsid w:val="00F569C2"/>
    <w:rsid w:val="00F5794B"/>
    <w:rsid w:val="00F606BE"/>
    <w:rsid w:val="00F6097A"/>
    <w:rsid w:val="00F60CF8"/>
    <w:rsid w:val="00F6128D"/>
    <w:rsid w:val="00F61962"/>
    <w:rsid w:val="00F61A2A"/>
    <w:rsid w:val="00F61AF7"/>
    <w:rsid w:val="00F62D8E"/>
    <w:rsid w:val="00F639F9"/>
    <w:rsid w:val="00F64321"/>
    <w:rsid w:val="00F6476A"/>
    <w:rsid w:val="00F648BE"/>
    <w:rsid w:val="00F64ECB"/>
    <w:rsid w:val="00F65622"/>
    <w:rsid w:val="00F661ED"/>
    <w:rsid w:val="00F700FD"/>
    <w:rsid w:val="00F705E4"/>
    <w:rsid w:val="00F7072F"/>
    <w:rsid w:val="00F709A7"/>
    <w:rsid w:val="00F70D5B"/>
    <w:rsid w:val="00F70DC9"/>
    <w:rsid w:val="00F70FE1"/>
    <w:rsid w:val="00F7184F"/>
    <w:rsid w:val="00F71AD8"/>
    <w:rsid w:val="00F72078"/>
    <w:rsid w:val="00F73129"/>
    <w:rsid w:val="00F7344A"/>
    <w:rsid w:val="00F734AC"/>
    <w:rsid w:val="00F73678"/>
    <w:rsid w:val="00F73779"/>
    <w:rsid w:val="00F746BB"/>
    <w:rsid w:val="00F760BF"/>
    <w:rsid w:val="00F7726F"/>
    <w:rsid w:val="00F7792E"/>
    <w:rsid w:val="00F80D39"/>
    <w:rsid w:val="00F80F6C"/>
    <w:rsid w:val="00F812A1"/>
    <w:rsid w:val="00F818AA"/>
    <w:rsid w:val="00F8203D"/>
    <w:rsid w:val="00F84563"/>
    <w:rsid w:val="00F84983"/>
    <w:rsid w:val="00F84D10"/>
    <w:rsid w:val="00F850D6"/>
    <w:rsid w:val="00F853B6"/>
    <w:rsid w:val="00F85CB3"/>
    <w:rsid w:val="00F861A7"/>
    <w:rsid w:val="00F86576"/>
    <w:rsid w:val="00F86D9C"/>
    <w:rsid w:val="00F8716A"/>
    <w:rsid w:val="00F8719F"/>
    <w:rsid w:val="00F8725F"/>
    <w:rsid w:val="00F873CD"/>
    <w:rsid w:val="00F87443"/>
    <w:rsid w:val="00F87D03"/>
    <w:rsid w:val="00F900D2"/>
    <w:rsid w:val="00F909DD"/>
    <w:rsid w:val="00F90CD2"/>
    <w:rsid w:val="00F9101B"/>
    <w:rsid w:val="00F912C9"/>
    <w:rsid w:val="00F92636"/>
    <w:rsid w:val="00F9297B"/>
    <w:rsid w:val="00F92A2D"/>
    <w:rsid w:val="00F93AF2"/>
    <w:rsid w:val="00F94200"/>
    <w:rsid w:val="00F9484E"/>
    <w:rsid w:val="00F95AC5"/>
    <w:rsid w:val="00F9611C"/>
    <w:rsid w:val="00F9656F"/>
    <w:rsid w:val="00F97603"/>
    <w:rsid w:val="00F97880"/>
    <w:rsid w:val="00F97F67"/>
    <w:rsid w:val="00FA0190"/>
    <w:rsid w:val="00FA04A2"/>
    <w:rsid w:val="00FA09CD"/>
    <w:rsid w:val="00FA1252"/>
    <w:rsid w:val="00FA1951"/>
    <w:rsid w:val="00FA1BDA"/>
    <w:rsid w:val="00FA1E06"/>
    <w:rsid w:val="00FA3C83"/>
    <w:rsid w:val="00FA419F"/>
    <w:rsid w:val="00FA42CD"/>
    <w:rsid w:val="00FA5070"/>
    <w:rsid w:val="00FA52D9"/>
    <w:rsid w:val="00FA5501"/>
    <w:rsid w:val="00FA584F"/>
    <w:rsid w:val="00FA5D08"/>
    <w:rsid w:val="00FA5D3B"/>
    <w:rsid w:val="00FA5F8B"/>
    <w:rsid w:val="00FA6643"/>
    <w:rsid w:val="00FA6972"/>
    <w:rsid w:val="00FB01C3"/>
    <w:rsid w:val="00FB02C8"/>
    <w:rsid w:val="00FB0CD8"/>
    <w:rsid w:val="00FB0D7F"/>
    <w:rsid w:val="00FB12C9"/>
    <w:rsid w:val="00FB13F8"/>
    <w:rsid w:val="00FB2434"/>
    <w:rsid w:val="00FB2637"/>
    <w:rsid w:val="00FB339B"/>
    <w:rsid w:val="00FB3A8C"/>
    <w:rsid w:val="00FB4440"/>
    <w:rsid w:val="00FB4573"/>
    <w:rsid w:val="00FB5835"/>
    <w:rsid w:val="00FB6E34"/>
    <w:rsid w:val="00FB719F"/>
    <w:rsid w:val="00FB7606"/>
    <w:rsid w:val="00FB7854"/>
    <w:rsid w:val="00FB7BB9"/>
    <w:rsid w:val="00FC02F3"/>
    <w:rsid w:val="00FC1110"/>
    <w:rsid w:val="00FC13B0"/>
    <w:rsid w:val="00FC1639"/>
    <w:rsid w:val="00FC18A6"/>
    <w:rsid w:val="00FC199B"/>
    <w:rsid w:val="00FC19FE"/>
    <w:rsid w:val="00FC1FE4"/>
    <w:rsid w:val="00FC24F1"/>
    <w:rsid w:val="00FC2CC3"/>
    <w:rsid w:val="00FC37D9"/>
    <w:rsid w:val="00FC3FC6"/>
    <w:rsid w:val="00FC44C9"/>
    <w:rsid w:val="00FC454E"/>
    <w:rsid w:val="00FC477B"/>
    <w:rsid w:val="00FC5219"/>
    <w:rsid w:val="00FC57F4"/>
    <w:rsid w:val="00FC5DE2"/>
    <w:rsid w:val="00FC6AF7"/>
    <w:rsid w:val="00FC7107"/>
    <w:rsid w:val="00FD0027"/>
    <w:rsid w:val="00FD0E0E"/>
    <w:rsid w:val="00FD1D01"/>
    <w:rsid w:val="00FD2673"/>
    <w:rsid w:val="00FD2BC0"/>
    <w:rsid w:val="00FD3223"/>
    <w:rsid w:val="00FD3868"/>
    <w:rsid w:val="00FD3B30"/>
    <w:rsid w:val="00FD4176"/>
    <w:rsid w:val="00FD4A89"/>
    <w:rsid w:val="00FD59AF"/>
    <w:rsid w:val="00FD7296"/>
    <w:rsid w:val="00FD7A66"/>
    <w:rsid w:val="00FE02D3"/>
    <w:rsid w:val="00FE0835"/>
    <w:rsid w:val="00FE0F06"/>
    <w:rsid w:val="00FE1833"/>
    <w:rsid w:val="00FE2371"/>
    <w:rsid w:val="00FE237C"/>
    <w:rsid w:val="00FE33F2"/>
    <w:rsid w:val="00FE3B4D"/>
    <w:rsid w:val="00FE3DC5"/>
    <w:rsid w:val="00FE457C"/>
    <w:rsid w:val="00FE4606"/>
    <w:rsid w:val="00FE49E6"/>
    <w:rsid w:val="00FE4BA0"/>
    <w:rsid w:val="00FE4D79"/>
    <w:rsid w:val="00FE4E14"/>
    <w:rsid w:val="00FE5C54"/>
    <w:rsid w:val="00FE61CC"/>
    <w:rsid w:val="00FE6C00"/>
    <w:rsid w:val="00FF0096"/>
    <w:rsid w:val="00FF0E9F"/>
    <w:rsid w:val="00FF110A"/>
    <w:rsid w:val="00FF14C9"/>
    <w:rsid w:val="00FF1893"/>
    <w:rsid w:val="00FF1B9B"/>
    <w:rsid w:val="00FF22FC"/>
    <w:rsid w:val="00FF29E5"/>
    <w:rsid w:val="00FF2B9E"/>
    <w:rsid w:val="00FF2C71"/>
    <w:rsid w:val="00FF30DF"/>
    <w:rsid w:val="00FF3603"/>
    <w:rsid w:val="00FF3E9F"/>
    <w:rsid w:val="00FF4A17"/>
    <w:rsid w:val="00FF5212"/>
    <w:rsid w:val="00FF5284"/>
    <w:rsid w:val="00FF6CC8"/>
    <w:rsid w:val="00FF6F49"/>
    <w:rsid w:val="00FF7055"/>
    <w:rsid w:val="00FF787C"/>
    <w:rsid w:val="0122382D"/>
    <w:rsid w:val="01293DA9"/>
    <w:rsid w:val="012F2D88"/>
    <w:rsid w:val="015D3608"/>
    <w:rsid w:val="017E10E7"/>
    <w:rsid w:val="019F64D1"/>
    <w:rsid w:val="01AD6E58"/>
    <w:rsid w:val="01C54019"/>
    <w:rsid w:val="01CE40E6"/>
    <w:rsid w:val="01D55A1A"/>
    <w:rsid w:val="01D61174"/>
    <w:rsid w:val="01E054FE"/>
    <w:rsid w:val="01E233D0"/>
    <w:rsid w:val="01F1040F"/>
    <w:rsid w:val="020B6955"/>
    <w:rsid w:val="021C5D21"/>
    <w:rsid w:val="025A24C3"/>
    <w:rsid w:val="026546F7"/>
    <w:rsid w:val="026A2D18"/>
    <w:rsid w:val="026E3735"/>
    <w:rsid w:val="02910582"/>
    <w:rsid w:val="029E4AED"/>
    <w:rsid w:val="029F3ADD"/>
    <w:rsid w:val="02B0501C"/>
    <w:rsid w:val="03181B0C"/>
    <w:rsid w:val="031B4E40"/>
    <w:rsid w:val="03332F37"/>
    <w:rsid w:val="034F7F0E"/>
    <w:rsid w:val="03781FAC"/>
    <w:rsid w:val="039660D3"/>
    <w:rsid w:val="039E05D4"/>
    <w:rsid w:val="03A640F9"/>
    <w:rsid w:val="03C76717"/>
    <w:rsid w:val="03EF6F34"/>
    <w:rsid w:val="04294C71"/>
    <w:rsid w:val="0451172F"/>
    <w:rsid w:val="045275FB"/>
    <w:rsid w:val="045FCF89"/>
    <w:rsid w:val="04657F2A"/>
    <w:rsid w:val="047F1714"/>
    <w:rsid w:val="047F66F4"/>
    <w:rsid w:val="04AF59BA"/>
    <w:rsid w:val="04C3662A"/>
    <w:rsid w:val="04C4247B"/>
    <w:rsid w:val="04D911EA"/>
    <w:rsid w:val="04E00792"/>
    <w:rsid w:val="04F64C5C"/>
    <w:rsid w:val="0502018E"/>
    <w:rsid w:val="052B5241"/>
    <w:rsid w:val="05374E71"/>
    <w:rsid w:val="05580A62"/>
    <w:rsid w:val="057C1A13"/>
    <w:rsid w:val="05A205E0"/>
    <w:rsid w:val="05A315CE"/>
    <w:rsid w:val="05B5F073"/>
    <w:rsid w:val="05FB603C"/>
    <w:rsid w:val="05FF5AF7"/>
    <w:rsid w:val="060430C5"/>
    <w:rsid w:val="060A533F"/>
    <w:rsid w:val="0635258A"/>
    <w:rsid w:val="063708D8"/>
    <w:rsid w:val="06582070"/>
    <w:rsid w:val="067018E8"/>
    <w:rsid w:val="06811953"/>
    <w:rsid w:val="06844BE8"/>
    <w:rsid w:val="068631B3"/>
    <w:rsid w:val="068F24BA"/>
    <w:rsid w:val="06A3535A"/>
    <w:rsid w:val="06AB6706"/>
    <w:rsid w:val="06AC36C8"/>
    <w:rsid w:val="06C35F54"/>
    <w:rsid w:val="06E66FA8"/>
    <w:rsid w:val="071352AD"/>
    <w:rsid w:val="07192605"/>
    <w:rsid w:val="07523354"/>
    <w:rsid w:val="0759AFA0"/>
    <w:rsid w:val="07700C27"/>
    <w:rsid w:val="07755571"/>
    <w:rsid w:val="07864D45"/>
    <w:rsid w:val="07A93EAC"/>
    <w:rsid w:val="07B268A6"/>
    <w:rsid w:val="07F90EB9"/>
    <w:rsid w:val="07FFA601"/>
    <w:rsid w:val="08015170"/>
    <w:rsid w:val="08053220"/>
    <w:rsid w:val="080B1890"/>
    <w:rsid w:val="08216A66"/>
    <w:rsid w:val="08331D8D"/>
    <w:rsid w:val="08437C85"/>
    <w:rsid w:val="0851293C"/>
    <w:rsid w:val="08A66BE5"/>
    <w:rsid w:val="08C85C3C"/>
    <w:rsid w:val="08DA230A"/>
    <w:rsid w:val="094C61F3"/>
    <w:rsid w:val="094F6260"/>
    <w:rsid w:val="095253D6"/>
    <w:rsid w:val="095350FB"/>
    <w:rsid w:val="09542788"/>
    <w:rsid w:val="09551795"/>
    <w:rsid w:val="09620123"/>
    <w:rsid w:val="09644F4E"/>
    <w:rsid w:val="09682323"/>
    <w:rsid w:val="096D077B"/>
    <w:rsid w:val="097C2F96"/>
    <w:rsid w:val="098DB0F2"/>
    <w:rsid w:val="099B19B5"/>
    <w:rsid w:val="09A172F1"/>
    <w:rsid w:val="09A26A62"/>
    <w:rsid w:val="09A61E5F"/>
    <w:rsid w:val="09C70C02"/>
    <w:rsid w:val="09D957F0"/>
    <w:rsid w:val="09DE26AB"/>
    <w:rsid w:val="09DE38AD"/>
    <w:rsid w:val="0A0449DF"/>
    <w:rsid w:val="0A282FA6"/>
    <w:rsid w:val="0A2E4133"/>
    <w:rsid w:val="0A630C74"/>
    <w:rsid w:val="0A6333D5"/>
    <w:rsid w:val="0A663C81"/>
    <w:rsid w:val="0A956505"/>
    <w:rsid w:val="0A9D0BB0"/>
    <w:rsid w:val="0AA31791"/>
    <w:rsid w:val="0AF61E74"/>
    <w:rsid w:val="0BA54CC0"/>
    <w:rsid w:val="0BB403F1"/>
    <w:rsid w:val="0BB640E3"/>
    <w:rsid w:val="0BC45157"/>
    <w:rsid w:val="0BF06855"/>
    <w:rsid w:val="0BF6509E"/>
    <w:rsid w:val="0C0335B5"/>
    <w:rsid w:val="0C126F67"/>
    <w:rsid w:val="0C176F55"/>
    <w:rsid w:val="0C1E6FBB"/>
    <w:rsid w:val="0C5F060F"/>
    <w:rsid w:val="0C6531BD"/>
    <w:rsid w:val="0C741EBB"/>
    <w:rsid w:val="0C7B784C"/>
    <w:rsid w:val="0C992EB5"/>
    <w:rsid w:val="0C9B762A"/>
    <w:rsid w:val="0CC454DD"/>
    <w:rsid w:val="0CD01C7D"/>
    <w:rsid w:val="0CD456DC"/>
    <w:rsid w:val="0CDE4BF7"/>
    <w:rsid w:val="0CF45352"/>
    <w:rsid w:val="0D1E3ABA"/>
    <w:rsid w:val="0D2A3EE3"/>
    <w:rsid w:val="0D2D23E2"/>
    <w:rsid w:val="0D364744"/>
    <w:rsid w:val="0D4D5CD8"/>
    <w:rsid w:val="0D524D02"/>
    <w:rsid w:val="0D5D20E6"/>
    <w:rsid w:val="0D5E5A0E"/>
    <w:rsid w:val="0D753844"/>
    <w:rsid w:val="0D9C6FC7"/>
    <w:rsid w:val="0DA655A5"/>
    <w:rsid w:val="0DA835E9"/>
    <w:rsid w:val="0DAD6DE0"/>
    <w:rsid w:val="0DC61B75"/>
    <w:rsid w:val="0DC80A11"/>
    <w:rsid w:val="0DD56644"/>
    <w:rsid w:val="0DE14725"/>
    <w:rsid w:val="0DF10BA8"/>
    <w:rsid w:val="0DF73259"/>
    <w:rsid w:val="0DFA61D8"/>
    <w:rsid w:val="0E13516E"/>
    <w:rsid w:val="0E2F0E98"/>
    <w:rsid w:val="0E3791B5"/>
    <w:rsid w:val="0E3B22D8"/>
    <w:rsid w:val="0E4F4825"/>
    <w:rsid w:val="0E822F7F"/>
    <w:rsid w:val="0EA770F3"/>
    <w:rsid w:val="0EB046BE"/>
    <w:rsid w:val="0EB61DC5"/>
    <w:rsid w:val="0EB93BE5"/>
    <w:rsid w:val="0EBF5FC1"/>
    <w:rsid w:val="0EDA482A"/>
    <w:rsid w:val="0F2E241A"/>
    <w:rsid w:val="0F4148AA"/>
    <w:rsid w:val="0F442E9F"/>
    <w:rsid w:val="0F6EFF02"/>
    <w:rsid w:val="0F7C3EB0"/>
    <w:rsid w:val="0FA8554C"/>
    <w:rsid w:val="10365F4D"/>
    <w:rsid w:val="10646D6A"/>
    <w:rsid w:val="109018DB"/>
    <w:rsid w:val="10AD08BB"/>
    <w:rsid w:val="10B92704"/>
    <w:rsid w:val="10EC12FF"/>
    <w:rsid w:val="10F07367"/>
    <w:rsid w:val="11011ADB"/>
    <w:rsid w:val="110214E6"/>
    <w:rsid w:val="1121215D"/>
    <w:rsid w:val="112B0A66"/>
    <w:rsid w:val="112B38C2"/>
    <w:rsid w:val="114A4301"/>
    <w:rsid w:val="114B0D8D"/>
    <w:rsid w:val="114B561C"/>
    <w:rsid w:val="11716BC1"/>
    <w:rsid w:val="11720E4F"/>
    <w:rsid w:val="117B0D8C"/>
    <w:rsid w:val="11A84C26"/>
    <w:rsid w:val="11B408D1"/>
    <w:rsid w:val="11B62570"/>
    <w:rsid w:val="12030398"/>
    <w:rsid w:val="123A5804"/>
    <w:rsid w:val="12522344"/>
    <w:rsid w:val="12973DA9"/>
    <w:rsid w:val="12A0608E"/>
    <w:rsid w:val="12AC07E3"/>
    <w:rsid w:val="12CC17D4"/>
    <w:rsid w:val="12D3552C"/>
    <w:rsid w:val="12F15AF7"/>
    <w:rsid w:val="12F456EE"/>
    <w:rsid w:val="12F91E67"/>
    <w:rsid w:val="131C4EB9"/>
    <w:rsid w:val="13346FD6"/>
    <w:rsid w:val="13487926"/>
    <w:rsid w:val="135933D8"/>
    <w:rsid w:val="1369496F"/>
    <w:rsid w:val="13B56B8D"/>
    <w:rsid w:val="13C0685B"/>
    <w:rsid w:val="13DD2705"/>
    <w:rsid w:val="13DF7498"/>
    <w:rsid w:val="13EA35D8"/>
    <w:rsid w:val="142C739B"/>
    <w:rsid w:val="14793362"/>
    <w:rsid w:val="147E7D64"/>
    <w:rsid w:val="149D5CEF"/>
    <w:rsid w:val="14B62FF7"/>
    <w:rsid w:val="14BA0182"/>
    <w:rsid w:val="14CB43A1"/>
    <w:rsid w:val="14D738E5"/>
    <w:rsid w:val="14F90085"/>
    <w:rsid w:val="1510726C"/>
    <w:rsid w:val="151D4426"/>
    <w:rsid w:val="15435A8D"/>
    <w:rsid w:val="15482BD9"/>
    <w:rsid w:val="15517982"/>
    <w:rsid w:val="157B4C15"/>
    <w:rsid w:val="15B6076B"/>
    <w:rsid w:val="15DD05D3"/>
    <w:rsid w:val="15E6132C"/>
    <w:rsid w:val="15EB32E0"/>
    <w:rsid w:val="15F077A7"/>
    <w:rsid w:val="15FC0A2B"/>
    <w:rsid w:val="15FE6D98"/>
    <w:rsid w:val="162014F5"/>
    <w:rsid w:val="16250073"/>
    <w:rsid w:val="162A5E45"/>
    <w:rsid w:val="165D2BB7"/>
    <w:rsid w:val="167B5F1C"/>
    <w:rsid w:val="16802305"/>
    <w:rsid w:val="16803911"/>
    <w:rsid w:val="16BD53A9"/>
    <w:rsid w:val="16C30C90"/>
    <w:rsid w:val="16DB2DD6"/>
    <w:rsid w:val="16DE55BA"/>
    <w:rsid w:val="16E04712"/>
    <w:rsid w:val="16E42915"/>
    <w:rsid w:val="16FB5932"/>
    <w:rsid w:val="17127A9D"/>
    <w:rsid w:val="17142276"/>
    <w:rsid w:val="17184088"/>
    <w:rsid w:val="17203BAB"/>
    <w:rsid w:val="172B5F75"/>
    <w:rsid w:val="17434347"/>
    <w:rsid w:val="17497C9C"/>
    <w:rsid w:val="1750CD2C"/>
    <w:rsid w:val="17686279"/>
    <w:rsid w:val="1786648E"/>
    <w:rsid w:val="1794B894"/>
    <w:rsid w:val="17AE7FB4"/>
    <w:rsid w:val="17C174F4"/>
    <w:rsid w:val="17E6790D"/>
    <w:rsid w:val="17FD074D"/>
    <w:rsid w:val="17FE7F73"/>
    <w:rsid w:val="1805147A"/>
    <w:rsid w:val="180B66E9"/>
    <w:rsid w:val="1812FC1D"/>
    <w:rsid w:val="18154BEA"/>
    <w:rsid w:val="18204E5B"/>
    <w:rsid w:val="183B0B1C"/>
    <w:rsid w:val="184223A0"/>
    <w:rsid w:val="18424C55"/>
    <w:rsid w:val="185D3A2A"/>
    <w:rsid w:val="186528DC"/>
    <w:rsid w:val="1879CCE4"/>
    <w:rsid w:val="188B60F6"/>
    <w:rsid w:val="188E75F7"/>
    <w:rsid w:val="189A10ED"/>
    <w:rsid w:val="18AB6EB8"/>
    <w:rsid w:val="18AF0717"/>
    <w:rsid w:val="18BF37F2"/>
    <w:rsid w:val="18DA57FE"/>
    <w:rsid w:val="18E14B40"/>
    <w:rsid w:val="18F857A4"/>
    <w:rsid w:val="19046A9D"/>
    <w:rsid w:val="19096EDE"/>
    <w:rsid w:val="192D0BBE"/>
    <w:rsid w:val="192F7FD0"/>
    <w:rsid w:val="195803C5"/>
    <w:rsid w:val="19785047"/>
    <w:rsid w:val="197875F9"/>
    <w:rsid w:val="197F0942"/>
    <w:rsid w:val="19826B9B"/>
    <w:rsid w:val="19842233"/>
    <w:rsid w:val="199B3D11"/>
    <w:rsid w:val="199C56D5"/>
    <w:rsid w:val="19CA40BB"/>
    <w:rsid w:val="19DCB9B4"/>
    <w:rsid w:val="19F6059F"/>
    <w:rsid w:val="1A281B15"/>
    <w:rsid w:val="1A725614"/>
    <w:rsid w:val="1A910F34"/>
    <w:rsid w:val="1ACB2573"/>
    <w:rsid w:val="1AD54D5D"/>
    <w:rsid w:val="1ADA77D0"/>
    <w:rsid w:val="1AE96578"/>
    <w:rsid w:val="1AEB2FF3"/>
    <w:rsid w:val="1AEC1465"/>
    <w:rsid w:val="1AFB4C1C"/>
    <w:rsid w:val="1B013DC0"/>
    <w:rsid w:val="1B1F5A28"/>
    <w:rsid w:val="1B2A6DC6"/>
    <w:rsid w:val="1B4449E1"/>
    <w:rsid w:val="1B4B1B30"/>
    <w:rsid w:val="1B702B1B"/>
    <w:rsid w:val="1B737C64"/>
    <w:rsid w:val="1B7E5583"/>
    <w:rsid w:val="1B7F4248"/>
    <w:rsid w:val="1B952DFB"/>
    <w:rsid w:val="1BA50BD4"/>
    <w:rsid w:val="1BBB6AB2"/>
    <w:rsid w:val="1BCC5AFA"/>
    <w:rsid w:val="1BD903D4"/>
    <w:rsid w:val="1BDE7C44"/>
    <w:rsid w:val="1C03600B"/>
    <w:rsid w:val="1C1AFB36"/>
    <w:rsid w:val="1C4E46C2"/>
    <w:rsid w:val="1C541781"/>
    <w:rsid w:val="1C5E0F6B"/>
    <w:rsid w:val="1C744917"/>
    <w:rsid w:val="1C89479D"/>
    <w:rsid w:val="1C8A3E9F"/>
    <w:rsid w:val="1C960035"/>
    <w:rsid w:val="1C972029"/>
    <w:rsid w:val="1CD05BC4"/>
    <w:rsid w:val="1CE63ED7"/>
    <w:rsid w:val="1CE71C11"/>
    <w:rsid w:val="1CFE593F"/>
    <w:rsid w:val="1D193A25"/>
    <w:rsid w:val="1D1A2377"/>
    <w:rsid w:val="1D2F7E76"/>
    <w:rsid w:val="1D32426F"/>
    <w:rsid w:val="1D781F23"/>
    <w:rsid w:val="1D794EBF"/>
    <w:rsid w:val="1D7B7DA8"/>
    <w:rsid w:val="1D9605E8"/>
    <w:rsid w:val="1D971924"/>
    <w:rsid w:val="1D972BE3"/>
    <w:rsid w:val="1DB11B84"/>
    <w:rsid w:val="1DCA3F6C"/>
    <w:rsid w:val="1E111176"/>
    <w:rsid w:val="1E344572"/>
    <w:rsid w:val="1E5D3C54"/>
    <w:rsid w:val="1E6330A1"/>
    <w:rsid w:val="1E695854"/>
    <w:rsid w:val="1E6D2191"/>
    <w:rsid w:val="1E801C9A"/>
    <w:rsid w:val="1EA66B0C"/>
    <w:rsid w:val="1ED63858"/>
    <w:rsid w:val="1EEE337B"/>
    <w:rsid w:val="1F2F7E5F"/>
    <w:rsid w:val="1F3635E6"/>
    <w:rsid w:val="1F3E4EE6"/>
    <w:rsid w:val="1F400393"/>
    <w:rsid w:val="1F4577B2"/>
    <w:rsid w:val="1F6765E5"/>
    <w:rsid w:val="1F76710D"/>
    <w:rsid w:val="1F930A6A"/>
    <w:rsid w:val="1FB24D13"/>
    <w:rsid w:val="1FBD21FA"/>
    <w:rsid w:val="1FE6504C"/>
    <w:rsid w:val="1FFE2E9C"/>
    <w:rsid w:val="1FFFECFA"/>
    <w:rsid w:val="201401A2"/>
    <w:rsid w:val="20604352"/>
    <w:rsid w:val="20604EE6"/>
    <w:rsid w:val="206854E9"/>
    <w:rsid w:val="206964EC"/>
    <w:rsid w:val="206F591D"/>
    <w:rsid w:val="207260A1"/>
    <w:rsid w:val="207262A5"/>
    <w:rsid w:val="207E695D"/>
    <w:rsid w:val="20857260"/>
    <w:rsid w:val="208B7C4E"/>
    <w:rsid w:val="209E3C90"/>
    <w:rsid w:val="20C9136E"/>
    <w:rsid w:val="20D007D3"/>
    <w:rsid w:val="20DCA170"/>
    <w:rsid w:val="20EE7FD1"/>
    <w:rsid w:val="20F23013"/>
    <w:rsid w:val="21096FC0"/>
    <w:rsid w:val="21134968"/>
    <w:rsid w:val="213B1BF8"/>
    <w:rsid w:val="213D6202"/>
    <w:rsid w:val="214545EB"/>
    <w:rsid w:val="21473D67"/>
    <w:rsid w:val="215F1F87"/>
    <w:rsid w:val="216F0900"/>
    <w:rsid w:val="21814E85"/>
    <w:rsid w:val="21A50F50"/>
    <w:rsid w:val="21B2598F"/>
    <w:rsid w:val="21D64AD0"/>
    <w:rsid w:val="21FDA0F8"/>
    <w:rsid w:val="220F5D8E"/>
    <w:rsid w:val="221357D4"/>
    <w:rsid w:val="22287742"/>
    <w:rsid w:val="225F4A6D"/>
    <w:rsid w:val="226A15E9"/>
    <w:rsid w:val="22965A8F"/>
    <w:rsid w:val="22B4710D"/>
    <w:rsid w:val="22E07D98"/>
    <w:rsid w:val="22FA5E2D"/>
    <w:rsid w:val="23113D7F"/>
    <w:rsid w:val="23374053"/>
    <w:rsid w:val="23453238"/>
    <w:rsid w:val="23556B03"/>
    <w:rsid w:val="235A373D"/>
    <w:rsid w:val="236553F8"/>
    <w:rsid w:val="237D1C0B"/>
    <w:rsid w:val="237D2742"/>
    <w:rsid w:val="238E1366"/>
    <w:rsid w:val="23990239"/>
    <w:rsid w:val="23CD18FD"/>
    <w:rsid w:val="23D27719"/>
    <w:rsid w:val="23FA5FBF"/>
    <w:rsid w:val="244A34AA"/>
    <w:rsid w:val="2467766B"/>
    <w:rsid w:val="24791818"/>
    <w:rsid w:val="24A440F5"/>
    <w:rsid w:val="24AA45E5"/>
    <w:rsid w:val="24D00021"/>
    <w:rsid w:val="24FA393B"/>
    <w:rsid w:val="25175A57"/>
    <w:rsid w:val="252A3907"/>
    <w:rsid w:val="25370E93"/>
    <w:rsid w:val="25371508"/>
    <w:rsid w:val="254817A5"/>
    <w:rsid w:val="254B2DF6"/>
    <w:rsid w:val="256C3D0E"/>
    <w:rsid w:val="257044C7"/>
    <w:rsid w:val="25871950"/>
    <w:rsid w:val="25955D2C"/>
    <w:rsid w:val="25A1685E"/>
    <w:rsid w:val="25BC0AA9"/>
    <w:rsid w:val="25C12D1C"/>
    <w:rsid w:val="25E37B95"/>
    <w:rsid w:val="260E4498"/>
    <w:rsid w:val="261F6263"/>
    <w:rsid w:val="263E74FC"/>
    <w:rsid w:val="26467FAA"/>
    <w:rsid w:val="26684A7A"/>
    <w:rsid w:val="267D7EE3"/>
    <w:rsid w:val="268C0951"/>
    <w:rsid w:val="26964F84"/>
    <w:rsid w:val="26B39F47"/>
    <w:rsid w:val="26B500A4"/>
    <w:rsid w:val="26B634D4"/>
    <w:rsid w:val="26F56A36"/>
    <w:rsid w:val="26F753C7"/>
    <w:rsid w:val="26F96BD1"/>
    <w:rsid w:val="271B5599"/>
    <w:rsid w:val="27461207"/>
    <w:rsid w:val="2755530C"/>
    <w:rsid w:val="27923B46"/>
    <w:rsid w:val="27FE411B"/>
    <w:rsid w:val="27FF817C"/>
    <w:rsid w:val="280F4389"/>
    <w:rsid w:val="281E4EF4"/>
    <w:rsid w:val="28251241"/>
    <w:rsid w:val="282D0C06"/>
    <w:rsid w:val="28401BF8"/>
    <w:rsid w:val="284A12A7"/>
    <w:rsid w:val="286B2DFB"/>
    <w:rsid w:val="288E5CBF"/>
    <w:rsid w:val="28A36B50"/>
    <w:rsid w:val="28A42398"/>
    <w:rsid w:val="28CF7461"/>
    <w:rsid w:val="28E16FD2"/>
    <w:rsid w:val="28F2DC28"/>
    <w:rsid w:val="290C0791"/>
    <w:rsid w:val="290C1969"/>
    <w:rsid w:val="291C5E10"/>
    <w:rsid w:val="295C2603"/>
    <w:rsid w:val="29732371"/>
    <w:rsid w:val="2984072C"/>
    <w:rsid w:val="298463AD"/>
    <w:rsid w:val="298D1E30"/>
    <w:rsid w:val="29B96860"/>
    <w:rsid w:val="29BF6B1B"/>
    <w:rsid w:val="2A0A4DD4"/>
    <w:rsid w:val="2A286BEB"/>
    <w:rsid w:val="2A361C71"/>
    <w:rsid w:val="2A3C72D4"/>
    <w:rsid w:val="2A3F1543"/>
    <w:rsid w:val="2A452166"/>
    <w:rsid w:val="2A55282B"/>
    <w:rsid w:val="2A5F2D12"/>
    <w:rsid w:val="2A954077"/>
    <w:rsid w:val="2AAE1EE3"/>
    <w:rsid w:val="2ADF61A6"/>
    <w:rsid w:val="2AE42A96"/>
    <w:rsid w:val="2AF56752"/>
    <w:rsid w:val="2B0446A6"/>
    <w:rsid w:val="2B092EC5"/>
    <w:rsid w:val="2B0951EE"/>
    <w:rsid w:val="2B0C0A41"/>
    <w:rsid w:val="2B1506AC"/>
    <w:rsid w:val="2B3876F7"/>
    <w:rsid w:val="2B5B71A2"/>
    <w:rsid w:val="2B5B72C2"/>
    <w:rsid w:val="2B6060DD"/>
    <w:rsid w:val="2B901369"/>
    <w:rsid w:val="2B99555E"/>
    <w:rsid w:val="2B9B1C28"/>
    <w:rsid w:val="2BAD09B4"/>
    <w:rsid w:val="2BF031B0"/>
    <w:rsid w:val="2C0D2933"/>
    <w:rsid w:val="2C156D07"/>
    <w:rsid w:val="2C214DB0"/>
    <w:rsid w:val="2C2FC4D7"/>
    <w:rsid w:val="2C547131"/>
    <w:rsid w:val="2C5F09FB"/>
    <w:rsid w:val="2C692F55"/>
    <w:rsid w:val="2C7340FB"/>
    <w:rsid w:val="2CA16A65"/>
    <w:rsid w:val="2CA865F5"/>
    <w:rsid w:val="2CC11F40"/>
    <w:rsid w:val="2D035FD0"/>
    <w:rsid w:val="2D165867"/>
    <w:rsid w:val="2D2F320A"/>
    <w:rsid w:val="2D4BE048"/>
    <w:rsid w:val="2D6D3731"/>
    <w:rsid w:val="2D7C00C2"/>
    <w:rsid w:val="2D86464E"/>
    <w:rsid w:val="2D976F66"/>
    <w:rsid w:val="2DA80F9B"/>
    <w:rsid w:val="2DBE1C35"/>
    <w:rsid w:val="2DEF5452"/>
    <w:rsid w:val="2DF20A94"/>
    <w:rsid w:val="2DF21E7C"/>
    <w:rsid w:val="2DFC7FAB"/>
    <w:rsid w:val="2E0E55C5"/>
    <w:rsid w:val="2E2928EB"/>
    <w:rsid w:val="2E34B4F7"/>
    <w:rsid w:val="2E36435C"/>
    <w:rsid w:val="2E4A1A87"/>
    <w:rsid w:val="2E4B7471"/>
    <w:rsid w:val="2E666D8D"/>
    <w:rsid w:val="2E8D1901"/>
    <w:rsid w:val="2E94605E"/>
    <w:rsid w:val="2E960C99"/>
    <w:rsid w:val="2EBB437C"/>
    <w:rsid w:val="2EBD3EBD"/>
    <w:rsid w:val="2EC32D71"/>
    <w:rsid w:val="2EF20076"/>
    <w:rsid w:val="2F1411DF"/>
    <w:rsid w:val="2F1958CE"/>
    <w:rsid w:val="2F2F0ED5"/>
    <w:rsid w:val="2F3AF7DA"/>
    <w:rsid w:val="2F592560"/>
    <w:rsid w:val="2F66466F"/>
    <w:rsid w:val="2F6B7FDA"/>
    <w:rsid w:val="2F6C5CD9"/>
    <w:rsid w:val="2F6F31DA"/>
    <w:rsid w:val="2F736CAE"/>
    <w:rsid w:val="2F8574C9"/>
    <w:rsid w:val="2F950E14"/>
    <w:rsid w:val="2FA569E4"/>
    <w:rsid w:val="2FCD6B91"/>
    <w:rsid w:val="2FD4A6B2"/>
    <w:rsid w:val="2FED1868"/>
    <w:rsid w:val="30103E85"/>
    <w:rsid w:val="301C4C05"/>
    <w:rsid w:val="302B3E0E"/>
    <w:rsid w:val="30885EE9"/>
    <w:rsid w:val="30A2148D"/>
    <w:rsid w:val="30B060DC"/>
    <w:rsid w:val="30B11C65"/>
    <w:rsid w:val="30B65085"/>
    <w:rsid w:val="30BC2C43"/>
    <w:rsid w:val="30C486A3"/>
    <w:rsid w:val="30F27CA5"/>
    <w:rsid w:val="31187983"/>
    <w:rsid w:val="311E1FCF"/>
    <w:rsid w:val="31245182"/>
    <w:rsid w:val="315D4E55"/>
    <w:rsid w:val="31640FBE"/>
    <w:rsid w:val="317529C9"/>
    <w:rsid w:val="31877E2F"/>
    <w:rsid w:val="3190A69A"/>
    <w:rsid w:val="31CA3035"/>
    <w:rsid w:val="31CC43B2"/>
    <w:rsid w:val="31CC78C9"/>
    <w:rsid w:val="31CCC296"/>
    <w:rsid w:val="31D26FA8"/>
    <w:rsid w:val="3205340A"/>
    <w:rsid w:val="32163EF3"/>
    <w:rsid w:val="321F2E22"/>
    <w:rsid w:val="321F3F64"/>
    <w:rsid w:val="323500B7"/>
    <w:rsid w:val="324D6137"/>
    <w:rsid w:val="325D703D"/>
    <w:rsid w:val="32682D7D"/>
    <w:rsid w:val="32817D9E"/>
    <w:rsid w:val="328D46CD"/>
    <w:rsid w:val="32A45C71"/>
    <w:rsid w:val="32B13693"/>
    <w:rsid w:val="32C94A0E"/>
    <w:rsid w:val="32DB5C5A"/>
    <w:rsid w:val="33007615"/>
    <w:rsid w:val="330E6C93"/>
    <w:rsid w:val="33121674"/>
    <w:rsid w:val="33146E3F"/>
    <w:rsid w:val="33273973"/>
    <w:rsid w:val="332E5A8B"/>
    <w:rsid w:val="335B5AFB"/>
    <w:rsid w:val="336720CB"/>
    <w:rsid w:val="33811616"/>
    <w:rsid w:val="338B3237"/>
    <w:rsid w:val="33966073"/>
    <w:rsid w:val="339858A0"/>
    <w:rsid w:val="339D70BA"/>
    <w:rsid w:val="33DC1FDB"/>
    <w:rsid w:val="33FE6FAA"/>
    <w:rsid w:val="34052FDD"/>
    <w:rsid w:val="34670FD0"/>
    <w:rsid w:val="347256CD"/>
    <w:rsid w:val="34757176"/>
    <w:rsid w:val="3489687B"/>
    <w:rsid w:val="3493168A"/>
    <w:rsid w:val="34CD4FAB"/>
    <w:rsid w:val="34F66488"/>
    <w:rsid w:val="3509215D"/>
    <w:rsid w:val="351B6BA6"/>
    <w:rsid w:val="352823F3"/>
    <w:rsid w:val="352D4829"/>
    <w:rsid w:val="353363D7"/>
    <w:rsid w:val="355818BE"/>
    <w:rsid w:val="35597D7C"/>
    <w:rsid w:val="35674F9C"/>
    <w:rsid w:val="35943AAB"/>
    <w:rsid w:val="3595060B"/>
    <w:rsid w:val="359C6650"/>
    <w:rsid w:val="35A71BFA"/>
    <w:rsid w:val="35C171AF"/>
    <w:rsid w:val="35CB6965"/>
    <w:rsid w:val="35D3F012"/>
    <w:rsid w:val="35F36689"/>
    <w:rsid w:val="35F74A34"/>
    <w:rsid w:val="35FB44E7"/>
    <w:rsid w:val="35FBB13F"/>
    <w:rsid w:val="35FF49AD"/>
    <w:rsid w:val="36092888"/>
    <w:rsid w:val="360F40C4"/>
    <w:rsid w:val="36276B3C"/>
    <w:rsid w:val="363327E2"/>
    <w:rsid w:val="363C6D3A"/>
    <w:rsid w:val="36455615"/>
    <w:rsid w:val="367207F7"/>
    <w:rsid w:val="367955A8"/>
    <w:rsid w:val="368876F4"/>
    <w:rsid w:val="369808CE"/>
    <w:rsid w:val="36C0631D"/>
    <w:rsid w:val="36FF1733"/>
    <w:rsid w:val="3709556C"/>
    <w:rsid w:val="372E1CD4"/>
    <w:rsid w:val="37512327"/>
    <w:rsid w:val="37B26C7D"/>
    <w:rsid w:val="37DD0638"/>
    <w:rsid w:val="37E2704B"/>
    <w:rsid w:val="37E3128C"/>
    <w:rsid w:val="37F11C92"/>
    <w:rsid w:val="38105CA7"/>
    <w:rsid w:val="38187275"/>
    <w:rsid w:val="381B518D"/>
    <w:rsid w:val="38343914"/>
    <w:rsid w:val="384963D2"/>
    <w:rsid w:val="385034E1"/>
    <w:rsid w:val="386961D8"/>
    <w:rsid w:val="386A2970"/>
    <w:rsid w:val="388C17D2"/>
    <w:rsid w:val="38A8391D"/>
    <w:rsid w:val="38BC7B86"/>
    <w:rsid w:val="38FF61C3"/>
    <w:rsid w:val="390533B1"/>
    <w:rsid w:val="39090522"/>
    <w:rsid w:val="390E5B5E"/>
    <w:rsid w:val="391A2090"/>
    <w:rsid w:val="39345129"/>
    <w:rsid w:val="39354609"/>
    <w:rsid w:val="3965673A"/>
    <w:rsid w:val="396D730F"/>
    <w:rsid w:val="39714D17"/>
    <w:rsid w:val="39854B8D"/>
    <w:rsid w:val="39997953"/>
    <w:rsid w:val="39E93251"/>
    <w:rsid w:val="39EE577D"/>
    <w:rsid w:val="39F46867"/>
    <w:rsid w:val="39F8A9D8"/>
    <w:rsid w:val="3A101158"/>
    <w:rsid w:val="3A44426D"/>
    <w:rsid w:val="3A5E7E15"/>
    <w:rsid w:val="3A5EA059"/>
    <w:rsid w:val="3A835D2E"/>
    <w:rsid w:val="3A906074"/>
    <w:rsid w:val="3A9A5DB0"/>
    <w:rsid w:val="3AAB224D"/>
    <w:rsid w:val="3AC42B70"/>
    <w:rsid w:val="3AC9665E"/>
    <w:rsid w:val="3AFC1221"/>
    <w:rsid w:val="3B1237C6"/>
    <w:rsid w:val="3B1A1CF8"/>
    <w:rsid w:val="3B481824"/>
    <w:rsid w:val="3B495256"/>
    <w:rsid w:val="3B895BEE"/>
    <w:rsid w:val="3B896326"/>
    <w:rsid w:val="3B8F6289"/>
    <w:rsid w:val="3B9B230F"/>
    <w:rsid w:val="3B9F1E5A"/>
    <w:rsid w:val="3BB77483"/>
    <w:rsid w:val="3BB911C9"/>
    <w:rsid w:val="3BDC3FD9"/>
    <w:rsid w:val="3BE712FA"/>
    <w:rsid w:val="3BED06EB"/>
    <w:rsid w:val="3BFC5697"/>
    <w:rsid w:val="3BFF153C"/>
    <w:rsid w:val="3C0C283B"/>
    <w:rsid w:val="3C27383F"/>
    <w:rsid w:val="3CC30661"/>
    <w:rsid w:val="3CD718D6"/>
    <w:rsid w:val="3D005A21"/>
    <w:rsid w:val="3D090C0A"/>
    <w:rsid w:val="3D454DBD"/>
    <w:rsid w:val="3D47622A"/>
    <w:rsid w:val="3D509C36"/>
    <w:rsid w:val="3D562701"/>
    <w:rsid w:val="3D6449E9"/>
    <w:rsid w:val="3D653737"/>
    <w:rsid w:val="3D6E6F14"/>
    <w:rsid w:val="3D960ED6"/>
    <w:rsid w:val="3DB106FE"/>
    <w:rsid w:val="3DB95CC6"/>
    <w:rsid w:val="3DBC1BBE"/>
    <w:rsid w:val="3DD33D38"/>
    <w:rsid w:val="3DDAFEB1"/>
    <w:rsid w:val="3DFE6F14"/>
    <w:rsid w:val="3E012A3D"/>
    <w:rsid w:val="3E2B3A2A"/>
    <w:rsid w:val="3E3037F7"/>
    <w:rsid w:val="3E5B3BB6"/>
    <w:rsid w:val="3E6C2F4D"/>
    <w:rsid w:val="3EC51808"/>
    <w:rsid w:val="3EE416DD"/>
    <w:rsid w:val="3EF87873"/>
    <w:rsid w:val="3EF97E2B"/>
    <w:rsid w:val="3F0107CC"/>
    <w:rsid w:val="3F18233A"/>
    <w:rsid w:val="3F32A416"/>
    <w:rsid w:val="3F3860B2"/>
    <w:rsid w:val="3F51D1FD"/>
    <w:rsid w:val="3F607797"/>
    <w:rsid w:val="3F8151CC"/>
    <w:rsid w:val="3FAEA3CE"/>
    <w:rsid w:val="3FC526F6"/>
    <w:rsid w:val="3FC73754"/>
    <w:rsid w:val="3FE80F14"/>
    <w:rsid w:val="3FF52605"/>
    <w:rsid w:val="40016734"/>
    <w:rsid w:val="400ECC79"/>
    <w:rsid w:val="40184354"/>
    <w:rsid w:val="401C156F"/>
    <w:rsid w:val="40311224"/>
    <w:rsid w:val="4032790F"/>
    <w:rsid w:val="40791A14"/>
    <w:rsid w:val="408D37E6"/>
    <w:rsid w:val="409774F8"/>
    <w:rsid w:val="40A038C6"/>
    <w:rsid w:val="40AF10C5"/>
    <w:rsid w:val="40B13163"/>
    <w:rsid w:val="40B80797"/>
    <w:rsid w:val="411574F3"/>
    <w:rsid w:val="411E0FEA"/>
    <w:rsid w:val="413118C5"/>
    <w:rsid w:val="41380023"/>
    <w:rsid w:val="41656898"/>
    <w:rsid w:val="419D0BCB"/>
    <w:rsid w:val="419D2BA6"/>
    <w:rsid w:val="41A76DF6"/>
    <w:rsid w:val="41AF18FC"/>
    <w:rsid w:val="41D341D9"/>
    <w:rsid w:val="41E53943"/>
    <w:rsid w:val="41E977C8"/>
    <w:rsid w:val="42075DE0"/>
    <w:rsid w:val="42144CE7"/>
    <w:rsid w:val="422718E6"/>
    <w:rsid w:val="423F7AD1"/>
    <w:rsid w:val="42655853"/>
    <w:rsid w:val="427930EA"/>
    <w:rsid w:val="428313D8"/>
    <w:rsid w:val="42A95270"/>
    <w:rsid w:val="42ACCF94"/>
    <w:rsid w:val="42B33383"/>
    <w:rsid w:val="42BC1AB6"/>
    <w:rsid w:val="42C634C0"/>
    <w:rsid w:val="42D05032"/>
    <w:rsid w:val="43007EF1"/>
    <w:rsid w:val="431E5D7A"/>
    <w:rsid w:val="432F676C"/>
    <w:rsid w:val="434A15B0"/>
    <w:rsid w:val="43670D8E"/>
    <w:rsid w:val="43832B75"/>
    <w:rsid w:val="439E2535"/>
    <w:rsid w:val="43A53680"/>
    <w:rsid w:val="43AA3C57"/>
    <w:rsid w:val="43BF1B9C"/>
    <w:rsid w:val="43DF68F8"/>
    <w:rsid w:val="44176F60"/>
    <w:rsid w:val="441E2482"/>
    <w:rsid w:val="44273785"/>
    <w:rsid w:val="44395E9E"/>
    <w:rsid w:val="443F2F40"/>
    <w:rsid w:val="4440619C"/>
    <w:rsid w:val="44A67546"/>
    <w:rsid w:val="44A88408"/>
    <w:rsid w:val="44C114B3"/>
    <w:rsid w:val="44F13B70"/>
    <w:rsid w:val="44FA70FA"/>
    <w:rsid w:val="44FB45F8"/>
    <w:rsid w:val="44FF37AE"/>
    <w:rsid w:val="450027C4"/>
    <w:rsid w:val="452A0326"/>
    <w:rsid w:val="45457B0F"/>
    <w:rsid w:val="454E711A"/>
    <w:rsid w:val="45570BED"/>
    <w:rsid w:val="455C5260"/>
    <w:rsid w:val="45756ED0"/>
    <w:rsid w:val="45967887"/>
    <w:rsid w:val="45975FAB"/>
    <w:rsid w:val="459F4DD3"/>
    <w:rsid w:val="45C901F8"/>
    <w:rsid w:val="45C96ACC"/>
    <w:rsid w:val="45D30771"/>
    <w:rsid w:val="45D77F08"/>
    <w:rsid w:val="45FA0CC1"/>
    <w:rsid w:val="460419C7"/>
    <w:rsid w:val="46044DA8"/>
    <w:rsid w:val="460F35DC"/>
    <w:rsid w:val="461E5BF7"/>
    <w:rsid w:val="4625552B"/>
    <w:rsid w:val="46345382"/>
    <w:rsid w:val="463E6452"/>
    <w:rsid w:val="464140A7"/>
    <w:rsid w:val="46452512"/>
    <w:rsid w:val="46487068"/>
    <w:rsid w:val="4653D27C"/>
    <w:rsid w:val="46763998"/>
    <w:rsid w:val="46A36F51"/>
    <w:rsid w:val="46C34E91"/>
    <w:rsid w:val="46E225D0"/>
    <w:rsid w:val="470D62B7"/>
    <w:rsid w:val="47146590"/>
    <w:rsid w:val="4719415E"/>
    <w:rsid w:val="471C139A"/>
    <w:rsid w:val="473A03E9"/>
    <w:rsid w:val="475144A9"/>
    <w:rsid w:val="4777DC4D"/>
    <w:rsid w:val="4788403D"/>
    <w:rsid w:val="47904600"/>
    <w:rsid w:val="47A70DCC"/>
    <w:rsid w:val="47B30F26"/>
    <w:rsid w:val="47BF25DB"/>
    <w:rsid w:val="47C9707B"/>
    <w:rsid w:val="47CA520C"/>
    <w:rsid w:val="47DE55F6"/>
    <w:rsid w:val="47F2136D"/>
    <w:rsid w:val="48042747"/>
    <w:rsid w:val="4806788C"/>
    <w:rsid w:val="481DB895"/>
    <w:rsid w:val="482C6B19"/>
    <w:rsid w:val="483A42A8"/>
    <w:rsid w:val="483B35F4"/>
    <w:rsid w:val="486979BA"/>
    <w:rsid w:val="48903F24"/>
    <w:rsid w:val="48973E7A"/>
    <w:rsid w:val="489B744D"/>
    <w:rsid w:val="48A851DB"/>
    <w:rsid w:val="48B177FD"/>
    <w:rsid w:val="48BB0614"/>
    <w:rsid w:val="48BC5937"/>
    <w:rsid w:val="48C303D3"/>
    <w:rsid w:val="48D80297"/>
    <w:rsid w:val="48E35DD5"/>
    <w:rsid w:val="48ED1CD7"/>
    <w:rsid w:val="493A093D"/>
    <w:rsid w:val="49455763"/>
    <w:rsid w:val="494A2A54"/>
    <w:rsid w:val="494A3079"/>
    <w:rsid w:val="49643E00"/>
    <w:rsid w:val="49871E01"/>
    <w:rsid w:val="499430BC"/>
    <w:rsid w:val="499C5621"/>
    <w:rsid w:val="49B278D4"/>
    <w:rsid w:val="49CC29E2"/>
    <w:rsid w:val="49D607C3"/>
    <w:rsid w:val="49DA5CFC"/>
    <w:rsid w:val="49DD53BC"/>
    <w:rsid w:val="49DF7B37"/>
    <w:rsid w:val="49E20D6B"/>
    <w:rsid w:val="49FE16ED"/>
    <w:rsid w:val="4A1C343B"/>
    <w:rsid w:val="4A296706"/>
    <w:rsid w:val="4A474D67"/>
    <w:rsid w:val="4A553944"/>
    <w:rsid w:val="4A6427C0"/>
    <w:rsid w:val="4A743958"/>
    <w:rsid w:val="4A886F3E"/>
    <w:rsid w:val="4A8F3AF0"/>
    <w:rsid w:val="4A9C3BC3"/>
    <w:rsid w:val="4AAC5F41"/>
    <w:rsid w:val="4AE659BE"/>
    <w:rsid w:val="4AEA1073"/>
    <w:rsid w:val="4B077BE6"/>
    <w:rsid w:val="4B0A535B"/>
    <w:rsid w:val="4B1D5521"/>
    <w:rsid w:val="4B5419D9"/>
    <w:rsid w:val="4B640B17"/>
    <w:rsid w:val="4B9A736A"/>
    <w:rsid w:val="4BCF0A1D"/>
    <w:rsid w:val="4BFE1742"/>
    <w:rsid w:val="4C325D3C"/>
    <w:rsid w:val="4C507F75"/>
    <w:rsid w:val="4C663F32"/>
    <w:rsid w:val="4C78647E"/>
    <w:rsid w:val="4C7F7814"/>
    <w:rsid w:val="4C91413C"/>
    <w:rsid w:val="4C944B52"/>
    <w:rsid w:val="4C9A7D9D"/>
    <w:rsid w:val="4CA3507D"/>
    <w:rsid w:val="4CA70E3B"/>
    <w:rsid w:val="4CBC4C79"/>
    <w:rsid w:val="4CCA149A"/>
    <w:rsid w:val="4CD31B32"/>
    <w:rsid w:val="4CD62697"/>
    <w:rsid w:val="4CF26603"/>
    <w:rsid w:val="4D026DBE"/>
    <w:rsid w:val="4D0A3000"/>
    <w:rsid w:val="4D135BBB"/>
    <w:rsid w:val="4D1436BD"/>
    <w:rsid w:val="4D260C98"/>
    <w:rsid w:val="4D316F65"/>
    <w:rsid w:val="4D4001B9"/>
    <w:rsid w:val="4D5D6FBD"/>
    <w:rsid w:val="4D701A80"/>
    <w:rsid w:val="4D703221"/>
    <w:rsid w:val="4D8D394B"/>
    <w:rsid w:val="4D9826DE"/>
    <w:rsid w:val="4DAF3898"/>
    <w:rsid w:val="4DB4513C"/>
    <w:rsid w:val="4DB61C5A"/>
    <w:rsid w:val="4DB70A32"/>
    <w:rsid w:val="4DBD7BE0"/>
    <w:rsid w:val="4DC23A13"/>
    <w:rsid w:val="4DCA28A4"/>
    <w:rsid w:val="4DD2F401"/>
    <w:rsid w:val="4DD75D5F"/>
    <w:rsid w:val="4DD91DCB"/>
    <w:rsid w:val="4DE21D49"/>
    <w:rsid w:val="4DF83FC8"/>
    <w:rsid w:val="4E025EE1"/>
    <w:rsid w:val="4E0F0BB1"/>
    <w:rsid w:val="4E1A244E"/>
    <w:rsid w:val="4E3301FD"/>
    <w:rsid w:val="4E7F6DAF"/>
    <w:rsid w:val="4EC816AD"/>
    <w:rsid w:val="4EE0180A"/>
    <w:rsid w:val="4EF92FC9"/>
    <w:rsid w:val="4F2F1F79"/>
    <w:rsid w:val="4F691C49"/>
    <w:rsid w:val="4F6B188F"/>
    <w:rsid w:val="4F821FFA"/>
    <w:rsid w:val="4FAC253D"/>
    <w:rsid w:val="4FB22ACB"/>
    <w:rsid w:val="4FE109F2"/>
    <w:rsid w:val="4FF5B4DD"/>
    <w:rsid w:val="50203080"/>
    <w:rsid w:val="50253FAC"/>
    <w:rsid w:val="50417023"/>
    <w:rsid w:val="50468641"/>
    <w:rsid w:val="506F2720"/>
    <w:rsid w:val="50800B0E"/>
    <w:rsid w:val="50851C27"/>
    <w:rsid w:val="508979CB"/>
    <w:rsid w:val="509C7947"/>
    <w:rsid w:val="50A11FD1"/>
    <w:rsid w:val="50A1726D"/>
    <w:rsid w:val="50CC62DB"/>
    <w:rsid w:val="512E7FDE"/>
    <w:rsid w:val="513E0827"/>
    <w:rsid w:val="514B26E8"/>
    <w:rsid w:val="51A900F2"/>
    <w:rsid w:val="51A96AED"/>
    <w:rsid w:val="51AA30CD"/>
    <w:rsid w:val="51BE239E"/>
    <w:rsid w:val="51D8245F"/>
    <w:rsid w:val="51FD233B"/>
    <w:rsid w:val="5203154C"/>
    <w:rsid w:val="52077B39"/>
    <w:rsid w:val="523846F7"/>
    <w:rsid w:val="52510359"/>
    <w:rsid w:val="525267F3"/>
    <w:rsid w:val="526F2375"/>
    <w:rsid w:val="528243F5"/>
    <w:rsid w:val="52871B76"/>
    <w:rsid w:val="528955D2"/>
    <w:rsid w:val="528F7DC4"/>
    <w:rsid w:val="52CA2287"/>
    <w:rsid w:val="52D91969"/>
    <w:rsid w:val="52E4668A"/>
    <w:rsid w:val="53075CD3"/>
    <w:rsid w:val="530B104D"/>
    <w:rsid w:val="5321416F"/>
    <w:rsid w:val="53350FFE"/>
    <w:rsid w:val="53543177"/>
    <w:rsid w:val="5359586F"/>
    <w:rsid w:val="536DDACF"/>
    <w:rsid w:val="539215AA"/>
    <w:rsid w:val="53BF4336"/>
    <w:rsid w:val="53C25709"/>
    <w:rsid w:val="53EF33DB"/>
    <w:rsid w:val="53F66F9F"/>
    <w:rsid w:val="54060837"/>
    <w:rsid w:val="5417111B"/>
    <w:rsid w:val="542E32BD"/>
    <w:rsid w:val="547B0541"/>
    <w:rsid w:val="54AD4386"/>
    <w:rsid w:val="54B4062F"/>
    <w:rsid w:val="54BF6289"/>
    <w:rsid w:val="54C14144"/>
    <w:rsid w:val="54F134E9"/>
    <w:rsid w:val="54FB5594"/>
    <w:rsid w:val="550845CA"/>
    <w:rsid w:val="5516207F"/>
    <w:rsid w:val="55234538"/>
    <w:rsid w:val="552D1470"/>
    <w:rsid w:val="55353481"/>
    <w:rsid w:val="55422DD7"/>
    <w:rsid w:val="555B0EC9"/>
    <w:rsid w:val="556C90DC"/>
    <w:rsid w:val="55720CDC"/>
    <w:rsid w:val="557568D9"/>
    <w:rsid w:val="5576486E"/>
    <w:rsid w:val="5591670B"/>
    <w:rsid w:val="559544D2"/>
    <w:rsid w:val="55AB521C"/>
    <w:rsid w:val="55C47079"/>
    <w:rsid w:val="55E064EA"/>
    <w:rsid w:val="55F3E84C"/>
    <w:rsid w:val="55FC4294"/>
    <w:rsid w:val="56057A5B"/>
    <w:rsid w:val="560D58D7"/>
    <w:rsid w:val="5615224B"/>
    <w:rsid w:val="561B2227"/>
    <w:rsid w:val="56377E42"/>
    <w:rsid w:val="563C5208"/>
    <w:rsid w:val="56571D0F"/>
    <w:rsid w:val="56757271"/>
    <w:rsid w:val="5675FD2A"/>
    <w:rsid w:val="567A219A"/>
    <w:rsid w:val="567C37F3"/>
    <w:rsid w:val="568266E8"/>
    <w:rsid w:val="56886C72"/>
    <w:rsid w:val="56A5281F"/>
    <w:rsid w:val="56C64062"/>
    <w:rsid w:val="56DF63B6"/>
    <w:rsid w:val="56F1257C"/>
    <w:rsid w:val="56F45F9D"/>
    <w:rsid w:val="5719034C"/>
    <w:rsid w:val="572E2F2B"/>
    <w:rsid w:val="573A48D3"/>
    <w:rsid w:val="574C4A39"/>
    <w:rsid w:val="575844BD"/>
    <w:rsid w:val="575A678F"/>
    <w:rsid w:val="575B020A"/>
    <w:rsid w:val="57690A01"/>
    <w:rsid w:val="577D14E3"/>
    <w:rsid w:val="577D323A"/>
    <w:rsid w:val="579318F3"/>
    <w:rsid w:val="57A913EA"/>
    <w:rsid w:val="57BD16DB"/>
    <w:rsid w:val="57C70E37"/>
    <w:rsid w:val="57CF3D3D"/>
    <w:rsid w:val="57E252FC"/>
    <w:rsid w:val="57FF7684"/>
    <w:rsid w:val="580208A6"/>
    <w:rsid w:val="580F3070"/>
    <w:rsid w:val="58151C5B"/>
    <w:rsid w:val="58276FFA"/>
    <w:rsid w:val="589437A4"/>
    <w:rsid w:val="58AF6ED5"/>
    <w:rsid w:val="58F00D5D"/>
    <w:rsid w:val="59030F75"/>
    <w:rsid w:val="59040E36"/>
    <w:rsid w:val="5913207E"/>
    <w:rsid w:val="592F4989"/>
    <w:rsid w:val="593A3C57"/>
    <w:rsid w:val="594D30BE"/>
    <w:rsid w:val="59540FF3"/>
    <w:rsid w:val="596AD8E0"/>
    <w:rsid w:val="59751A42"/>
    <w:rsid w:val="59AA22EE"/>
    <w:rsid w:val="59C212B8"/>
    <w:rsid w:val="59CD10B1"/>
    <w:rsid w:val="59EE7A2D"/>
    <w:rsid w:val="5A09656A"/>
    <w:rsid w:val="5A333D6D"/>
    <w:rsid w:val="5A4733C6"/>
    <w:rsid w:val="5A6E73F5"/>
    <w:rsid w:val="5A72581E"/>
    <w:rsid w:val="5A7C26FF"/>
    <w:rsid w:val="5A8E79D5"/>
    <w:rsid w:val="5AA06DC0"/>
    <w:rsid w:val="5AA53D6A"/>
    <w:rsid w:val="5AA86305"/>
    <w:rsid w:val="5AAF421C"/>
    <w:rsid w:val="5ABF202E"/>
    <w:rsid w:val="5AD02538"/>
    <w:rsid w:val="5ADD61FC"/>
    <w:rsid w:val="5AF1428D"/>
    <w:rsid w:val="5B8206AE"/>
    <w:rsid w:val="5B9F3185"/>
    <w:rsid w:val="5BA01C76"/>
    <w:rsid w:val="5BC30C27"/>
    <w:rsid w:val="5BC649A2"/>
    <w:rsid w:val="5BC812F0"/>
    <w:rsid w:val="5BC914B8"/>
    <w:rsid w:val="5BCC7E00"/>
    <w:rsid w:val="5BD112A2"/>
    <w:rsid w:val="5BEF4492"/>
    <w:rsid w:val="5BFE7A97"/>
    <w:rsid w:val="5C193EA0"/>
    <w:rsid w:val="5C271BDE"/>
    <w:rsid w:val="5C2A4FB1"/>
    <w:rsid w:val="5C833DB5"/>
    <w:rsid w:val="5CC87639"/>
    <w:rsid w:val="5CC87BB9"/>
    <w:rsid w:val="5CDD797B"/>
    <w:rsid w:val="5CE13B0E"/>
    <w:rsid w:val="5CE24235"/>
    <w:rsid w:val="5CE36418"/>
    <w:rsid w:val="5D031820"/>
    <w:rsid w:val="5D636B7E"/>
    <w:rsid w:val="5D660148"/>
    <w:rsid w:val="5D6D7D78"/>
    <w:rsid w:val="5D6E4986"/>
    <w:rsid w:val="5D715F76"/>
    <w:rsid w:val="5D8F5F96"/>
    <w:rsid w:val="5DB314B1"/>
    <w:rsid w:val="5DD67EF1"/>
    <w:rsid w:val="5DEE0993"/>
    <w:rsid w:val="5DFFCE61"/>
    <w:rsid w:val="5E062870"/>
    <w:rsid w:val="5E492D00"/>
    <w:rsid w:val="5E6D6D48"/>
    <w:rsid w:val="5E6E1BE0"/>
    <w:rsid w:val="5EA97D2C"/>
    <w:rsid w:val="5EAB4A69"/>
    <w:rsid w:val="5EB2371A"/>
    <w:rsid w:val="5EB36384"/>
    <w:rsid w:val="5ED2752E"/>
    <w:rsid w:val="5EE26907"/>
    <w:rsid w:val="5F0B47D6"/>
    <w:rsid w:val="5F2142CD"/>
    <w:rsid w:val="5F2F4006"/>
    <w:rsid w:val="5F3F3317"/>
    <w:rsid w:val="5F4B32E1"/>
    <w:rsid w:val="5F5F4273"/>
    <w:rsid w:val="5F6D016D"/>
    <w:rsid w:val="5F7F4822"/>
    <w:rsid w:val="5F8E5689"/>
    <w:rsid w:val="5FA07D73"/>
    <w:rsid w:val="5FA72744"/>
    <w:rsid w:val="5FE674A4"/>
    <w:rsid w:val="5FEC6FFE"/>
    <w:rsid w:val="5FEFAA19"/>
    <w:rsid w:val="5FF72699"/>
    <w:rsid w:val="5FF80306"/>
    <w:rsid w:val="601803B2"/>
    <w:rsid w:val="601D5C2D"/>
    <w:rsid w:val="602F4ED1"/>
    <w:rsid w:val="603A3CF7"/>
    <w:rsid w:val="603E1D0B"/>
    <w:rsid w:val="60490C6B"/>
    <w:rsid w:val="607B21E1"/>
    <w:rsid w:val="60A02470"/>
    <w:rsid w:val="60FF0632"/>
    <w:rsid w:val="610802AA"/>
    <w:rsid w:val="6134245A"/>
    <w:rsid w:val="6173700C"/>
    <w:rsid w:val="617B299F"/>
    <w:rsid w:val="61834713"/>
    <w:rsid w:val="61BC7028"/>
    <w:rsid w:val="61D708D9"/>
    <w:rsid w:val="61DB2786"/>
    <w:rsid w:val="61E05187"/>
    <w:rsid w:val="61E9333E"/>
    <w:rsid w:val="61F5372F"/>
    <w:rsid w:val="61FE3390"/>
    <w:rsid w:val="620CC0F6"/>
    <w:rsid w:val="620F7965"/>
    <w:rsid w:val="6222488D"/>
    <w:rsid w:val="62251E36"/>
    <w:rsid w:val="623B7F26"/>
    <w:rsid w:val="624F4017"/>
    <w:rsid w:val="6254460A"/>
    <w:rsid w:val="626A6167"/>
    <w:rsid w:val="627D11A3"/>
    <w:rsid w:val="62934828"/>
    <w:rsid w:val="62964F2E"/>
    <w:rsid w:val="62AB49EE"/>
    <w:rsid w:val="62B43D7D"/>
    <w:rsid w:val="62F46B62"/>
    <w:rsid w:val="63417E68"/>
    <w:rsid w:val="637C1B81"/>
    <w:rsid w:val="63886AE5"/>
    <w:rsid w:val="63AB5314"/>
    <w:rsid w:val="63DB57E9"/>
    <w:rsid w:val="63E258D0"/>
    <w:rsid w:val="6420D89B"/>
    <w:rsid w:val="64250236"/>
    <w:rsid w:val="64824E34"/>
    <w:rsid w:val="6484617E"/>
    <w:rsid w:val="64AD0BF8"/>
    <w:rsid w:val="64B21332"/>
    <w:rsid w:val="64B96ADD"/>
    <w:rsid w:val="64BB5B29"/>
    <w:rsid w:val="64BC3733"/>
    <w:rsid w:val="64D06574"/>
    <w:rsid w:val="65075088"/>
    <w:rsid w:val="653A7BC3"/>
    <w:rsid w:val="653D23AB"/>
    <w:rsid w:val="65455503"/>
    <w:rsid w:val="654A7465"/>
    <w:rsid w:val="657847A2"/>
    <w:rsid w:val="658833F0"/>
    <w:rsid w:val="65932C6D"/>
    <w:rsid w:val="65AA330C"/>
    <w:rsid w:val="65C439BD"/>
    <w:rsid w:val="65CD534A"/>
    <w:rsid w:val="65F86320"/>
    <w:rsid w:val="66110E9D"/>
    <w:rsid w:val="661E628F"/>
    <w:rsid w:val="66271E91"/>
    <w:rsid w:val="66345DF8"/>
    <w:rsid w:val="6640695A"/>
    <w:rsid w:val="6651611C"/>
    <w:rsid w:val="66812C23"/>
    <w:rsid w:val="66B46E20"/>
    <w:rsid w:val="66E67C92"/>
    <w:rsid w:val="66E856FC"/>
    <w:rsid w:val="66F25108"/>
    <w:rsid w:val="66FEC761"/>
    <w:rsid w:val="675A6CF3"/>
    <w:rsid w:val="67713E2F"/>
    <w:rsid w:val="677820C5"/>
    <w:rsid w:val="67BD0E96"/>
    <w:rsid w:val="67E063AC"/>
    <w:rsid w:val="67E1702A"/>
    <w:rsid w:val="67F50528"/>
    <w:rsid w:val="68282660"/>
    <w:rsid w:val="6834774C"/>
    <w:rsid w:val="68432BF9"/>
    <w:rsid w:val="685470D7"/>
    <w:rsid w:val="685A7FF9"/>
    <w:rsid w:val="685C3679"/>
    <w:rsid w:val="68617C02"/>
    <w:rsid w:val="68736C63"/>
    <w:rsid w:val="68856F05"/>
    <w:rsid w:val="68961EA1"/>
    <w:rsid w:val="68AD4097"/>
    <w:rsid w:val="68ED7F8E"/>
    <w:rsid w:val="69131484"/>
    <w:rsid w:val="697697CB"/>
    <w:rsid w:val="69947AED"/>
    <w:rsid w:val="69A410E3"/>
    <w:rsid w:val="69BB7227"/>
    <w:rsid w:val="69D46BEF"/>
    <w:rsid w:val="69E468AB"/>
    <w:rsid w:val="6A1C7206"/>
    <w:rsid w:val="6A2C7241"/>
    <w:rsid w:val="6A2E0150"/>
    <w:rsid w:val="6A2E360E"/>
    <w:rsid w:val="6A3150F8"/>
    <w:rsid w:val="6A396BFB"/>
    <w:rsid w:val="6A4C763A"/>
    <w:rsid w:val="6A5C7A9F"/>
    <w:rsid w:val="6A673026"/>
    <w:rsid w:val="6A935C0C"/>
    <w:rsid w:val="6A9503D6"/>
    <w:rsid w:val="6A97329E"/>
    <w:rsid w:val="6A9C2D55"/>
    <w:rsid w:val="6ABA55F7"/>
    <w:rsid w:val="6ACD5A50"/>
    <w:rsid w:val="6ACE3477"/>
    <w:rsid w:val="6AD21378"/>
    <w:rsid w:val="6AD6271D"/>
    <w:rsid w:val="6AD70DCB"/>
    <w:rsid w:val="6AD96184"/>
    <w:rsid w:val="6AE04E77"/>
    <w:rsid w:val="6AF291E0"/>
    <w:rsid w:val="6B2A6D6C"/>
    <w:rsid w:val="6B394C44"/>
    <w:rsid w:val="6B452B4D"/>
    <w:rsid w:val="6B522704"/>
    <w:rsid w:val="6B77546E"/>
    <w:rsid w:val="6B7E5F60"/>
    <w:rsid w:val="6B8725B6"/>
    <w:rsid w:val="6B8E1CDF"/>
    <w:rsid w:val="6B930F72"/>
    <w:rsid w:val="6B9607A0"/>
    <w:rsid w:val="6BE55C1B"/>
    <w:rsid w:val="6BFBA1D0"/>
    <w:rsid w:val="6BFFEB77"/>
    <w:rsid w:val="6C4B29F5"/>
    <w:rsid w:val="6C4D0A8A"/>
    <w:rsid w:val="6C664CC3"/>
    <w:rsid w:val="6C6929DB"/>
    <w:rsid w:val="6C6C2273"/>
    <w:rsid w:val="6C6F1ADD"/>
    <w:rsid w:val="6C74788B"/>
    <w:rsid w:val="6CC14B58"/>
    <w:rsid w:val="6CE32481"/>
    <w:rsid w:val="6CE37B54"/>
    <w:rsid w:val="6CEF1274"/>
    <w:rsid w:val="6CF90829"/>
    <w:rsid w:val="6D3F340E"/>
    <w:rsid w:val="6D6554F7"/>
    <w:rsid w:val="6D6A5174"/>
    <w:rsid w:val="6D7E2FC8"/>
    <w:rsid w:val="6D8B7652"/>
    <w:rsid w:val="6D921D6E"/>
    <w:rsid w:val="6D9F2C72"/>
    <w:rsid w:val="6DB5403B"/>
    <w:rsid w:val="6DC2492A"/>
    <w:rsid w:val="6DC46DD7"/>
    <w:rsid w:val="6DC56FF7"/>
    <w:rsid w:val="6DDE11E5"/>
    <w:rsid w:val="6E1A7B70"/>
    <w:rsid w:val="6E287AA4"/>
    <w:rsid w:val="6E289D76"/>
    <w:rsid w:val="6E5264B0"/>
    <w:rsid w:val="6E5C1C6E"/>
    <w:rsid w:val="6E7F63E6"/>
    <w:rsid w:val="6E874E94"/>
    <w:rsid w:val="6E8E4A47"/>
    <w:rsid w:val="6E9077AE"/>
    <w:rsid w:val="6EA37181"/>
    <w:rsid w:val="6EAACD54"/>
    <w:rsid w:val="6EBB54A7"/>
    <w:rsid w:val="6F000F79"/>
    <w:rsid w:val="6F040F02"/>
    <w:rsid w:val="6F33283B"/>
    <w:rsid w:val="6F340A37"/>
    <w:rsid w:val="6F96F2EF"/>
    <w:rsid w:val="6FB77928"/>
    <w:rsid w:val="6FD4182E"/>
    <w:rsid w:val="6FDA68F2"/>
    <w:rsid w:val="702F1FB8"/>
    <w:rsid w:val="70423110"/>
    <w:rsid w:val="70606494"/>
    <w:rsid w:val="7096023A"/>
    <w:rsid w:val="70972072"/>
    <w:rsid w:val="709C2BCE"/>
    <w:rsid w:val="70B202A3"/>
    <w:rsid w:val="70BB2C84"/>
    <w:rsid w:val="70C4AC35"/>
    <w:rsid w:val="70E735E6"/>
    <w:rsid w:val="70EC59BA"/>
    <w:rsid w:val="710B7C69"/>
    <w:rsid w:val="71373388"/>
    <w:rsid w:val="715D7D01"/>
    <w:rsid w:val="717310DE"/>
    <w:rsid w:val="7184521B"/>
    <w:rsid w:val="718C5B7E"/>
    <w:rsid w:val="719A14B2"/>
    <w:rsid w:val="719A4123"/>
    <w:rsid w:val="719E2334"/>
    <w:rsid w:val="71A440DA"/>
    <w:rsid w:val="71A4CD35"/>
    <w:rsid w:val="71D766EE"/>
    <w:rsid w:val="71E51BA4"/>
    <w:rsid w:val="721F1949"/>
    <w:rsid w:val="722D60B8"/>
    <w:rsid w:val="7244382B"/>
    <w:rsid w:val="72533CC7"/>
    <w:rsid w:val="726B16AD"/>
    <w:rsid w:val="727F6200"/>
    <w:rsid w:val="729A1C79"/>
    <w:rsid w:val="729E7935"/>
    <w:rsid w:val="72AA5DF3"/>
    <w:rsid w:val="72AC17C8"/>
    <w:rsid w:val="72BA19A4"/>
    <w:rsid w:val="72C22775"/>
    <w:rsid w:val="72C92C39"/>
    <w:rsid w:val="72D47D4F"/>
    <w:rsid w:val="72EE5880"/>
    <w:rsid w:val="72EE7557"/>
    <w:rsid w:val="72FD6724"/>
    <w:rsid w:val="73033299"/>
    <w:rsid w:val="730B3B0E"/>
    <w:rsid w:val="732C53C0"/>
    <w:rsid w:val="732D3125"/>
    <w:rsid w:val="735027F3"/>
    <w:rsid w:val="736E7C75"/>
    <w:rsid w:val="738324AF"/>
    <w:rsid w:val="73835670"/>
    <w:rsid w:val="739FD38D"/>
    <w:rsid w:val="73D83725"/>
    <w:rsid w:val="73EC79B1"/>
    <w:rsid w:val="73EF052C"/>
    <w:rsid w:val="740C5FC7"/>
    <w:rsid w:val="744466C3"/>
    <w:rsid w:val="745FAB55"/>
    <w:rsid w:val="74647D69"/>
    <w:rsid w:val="747F741C"/>
    <w:rsid w:val="7480151B"/>
    <w:rsid w:val="74951982"/>
    <w:rsid w:val="74C8713C"/>
    <w:rsid w:val="74C9721F"/>
    <w:rsid w:val="74D84A35"/>
    <w:rsid w:val="74F411CA"/>
    <w:rsid w:val="74FF204F"/>
    <w:rsid w:val="74FF3D67"/>
    <w:rsid w:val="75090915"/>
    <w:rsid w:val="75172AB7"/>
    <w:rsid w:val="752F7324"/>
    <w:rsid w:val="75530B22"/>
    <w:rsid w:val="75613F2C"/>
    <w:rsid w:val="7582015D"/>
    <w:rsid w:val="75AE3659"/>
    <w:rsid w:val="75ED08BB"/>
    <w:rsid w:val="75F13B2C"/>
    <w:rsid w:val="75F53933"/>
    <w:rsid w:val="760000B6"/>
    <w:rsid w:val="761B50C6"/>
    <w:rsid w:val="762A53DF"/>
    <w:rsid w:val="76301BD8"/>
    <w:rsid w:val="763A3DE1"/>
    <w:rsid w:val="764D1A11"/>
    <w:rsid w:val="765041B9"/>
    <w:rsid w:val="766A0C3A"/>
    <w:rsid w:val="767030FD"/>
    <w:rsid w:val="767D6821"/>
    <w:rsid w:val="767E5047"/>
    <w:rsid w:val="769C46B7"/>
    <w:rsid w:val="76C70E7F"/>
    <w:rsid w:val="76CE1577"/>
    <w:rsid w:val="76EC3F33"/>
    <w:rsid w:val="76FE1176"/>
    <w:rsid w:val="770C3025"/>
    <w:rsid w:val="77252DFA"/>
    <w:rsid w:val="77656B93"/>
    <w:rsid w:val="7772528F"/>
    <w:rsid w:val="777A1E75"/>
    <w:rsid w:val="7785379A"/>
    <w:rsid w:val="779F6882"/>
    <w:rsid w:val="77B41FEE"/>
    <w:rsid w:val="77D14AC4"/>
    <w:rsid w:val="77EB55A7"/>
    <w:rsid w:val="77EF7D93"/>
    <w:rsid w:val="7830042D"/>
    <w:rsid w:val="7847671C"/>
    <w:rsid w:val="784F4C97"/>
    <w:rsid w:val="7855F2A3"/>
    <w:rsid w:val="785770A3"/>
    <w:rsid w:val="787505AB"/>
    <w:rsid w:val="78933025"/>
    <w:rsid w:val="789707E0"/>
    <w:rsid w:val="789C0F04"/>
    <w:rsid w:val="78B444D2"/>
    <w:rsid w:val="78B546BD"/>
    <w:rsid w:val="78D60962"/>
    <w:rsid w:val="78DF4C9E"/>
    <w:rsid w:val="78E13F1A"/>
    <w:rsid w:val="78FC5F8F"/>
    <w:rsid w:val="790AC62E"/>
    <w:rsid w:val="79122DEB"/>
    <w:rsid w:val="79862CD4"/>
    <w:rsid w:val="798A220E"/>
    <w:rsid w:val="798D7924"/>
    <w:rsid w:val="799D2771"/>
    <w:rsid w:val="79A275FB"/>
    <w:rsid w:val="79C36276"/>
    <w:rsid w:val="79EB1BA8"/>
    <w:rsid w:val="79EC7092"/>
    <w:rsid w:val="79F22BD6"/>
    <w:rsid w:val="7A011C8D"/>
    <w:rsid w:val="7A271172"/>
    <w:rsid w:val="7A494934"/>
    <w:rsid w:val="7A4C305B"/>
    <w:rsid w:val="7AC26606"/>
    <w:rsid w:val="7AD040B1"/>
    <w:rsid w:val="7AF8775E"/>
    <w:rsid w:val="7AFA410D"/>
    <w:rsid w:val="7B1BACFB"/>
    <w:rsid w:val="7B250ED1"/>
    <w:rsid w:val="7B3A74CE"/>
    <w:rsid w:val="7B65013C"/>
    <w:rsid w:val="7B6E5D6D"/>
    <w:rsid w:val="7B760E46"/>
    <w:rsid w:val="7B7E4B65"/>
    <w:rsid w:val="7BD2452E"/>
    <w:rsid w:val="7BD66F14"/>
    <w:rsid w:val="7BFE0FB1"/>
    <w:rsid w:val="7C036015"/>
    <w:rsid w:val="7C106EE6"/>
    <w:rsid w:val="7C126E58"/>
    <w:rsid w:val="7C2D51CA"/>
    <w:rsid w:val="7C414AFC"/>
    <w:rsid w:val="7C491C2E"/>
    <w:rsid w:val="7C800AC5"/>
    <w:rsid w:val="7C9354AA"/>
    <w:rsid w:val="7C992DE9"/>
    <w:rsid w:val="7CEBE7C1"/>
    <w:rsid w:val="7CF457AD"/>
    <w:rsid w:val="7CF74A17"/>
    <w:rsid w:val="7D292D56"/>
    <w:rsid w:val="7D61598A"/>
    <w:rsid w:val="7D73270A"/>
    <w:rsid w:val="7D7B5F30"/>
    <w:rsid w:val="7D944078"/>
    <w:rsid w:val="7DBB3953"/>
    <w:rsid w:val="7DBF23D8"/>
    <w:rsid w:val="7DBFAE7B"/>
    <w:rsid w:val="7DC14354"/>
    <w:rsid w:val="7DCC6399"/>
    <w:rsid w:val="7DDA7C26"/>
    <w:rsid w:val="7DE138F1"/>
    <w:rsid w:val="7DFBDC7C"/>
    <w:rsid w:val="7DFE84AF"/>
    <w:rsid w:val="7DFE94FF"/>
    <w:rsid w:val="7E0424FF"/>
    <w:rsid w:val="7E0455A7"/>
    <w:rsid w:val="7E1A47AD"/>
    <w:rsid w:val="7E1F6B04"/>
    <w:rsid w:val="7E753669"/>
    <w:rsid w:val="7E9335EC"/>
    <w:rsid w:val="7E9967D3"/>
    <w:rsid w:val="7EAC4D97"/>
    <w:rsid w:val="7EAF0FD3"/>
    <w:rsid w:val="7EBA55AE"/>
    <w:rsid w:val="7EC77AA6"/>
    <w:rsid w:val="7EDB5AA0"/>
    <w:rsid w:val="7EE33F90"/>
    <w:rsid w:val="7EED7869"/>
    <w:rsid w:val="7EF6382A"/>
    <w:rsid w:val="7F002CA2"/>
    <w:rsid w:val="7F17586D"/>
    <w:rsid w:val="7F1C63DE"/>
    <w:rsid w:val="7F1D76B5"/>
    <w:rsid w:val="7F2650DD"/>
    <w:rsid w:val="7F35F21C"/>
    <w:rsid w:val="7F4B18A5"/>
    <w:rsid w:val="7F63593A"/>
    <w:rsid w:val="7F653EAE"/>
    <w:rsid w:val="7F6E28D0"/>
    <w:rsid w:val="7F7212FA"/>
    <w:rsid w:val="7F8F01AA"/>
    <w:rsid w:val="7FC14C7B"/>
    <w:rsid w:val="7FC462B3"/>
    <w:rsid w:val="7FD02D25"/>
    <w:rsid w:val="7FE92189"/>
    <w:rsid w:val="7FEC747B"/>
    <w:rsid w:val="7FEE697C"/>
    <w:rsid w:val="7FEF8D96"/>
    <w:rsid w:val="7FFB1336"/>
    <w:rsid w:val="7FFF1EE9"/>
    <w:rsid w:val="822ACC3F"/>
    <w:rsid w:val="825395DE"/>
    <w:rsid w:val="83B2FAEE"/>
    <w:rsid w:val="84620A99"/>
    <w:rsid w:val="85663FC8"/>
    <w:rsid w:val="85B9437C"/>
    <w:rsid w:val="85BBD62C"/>
    <w:rsid w:val="85F59489"/>
    <w:rsid w:val="87253D29"/>
    <w:rsid w:val="8733C81D"/>
    <w:rsid w:val="885822E6"/>
    <w:rsid w:val="88B1D11D"/>
    <w:rsid w:val="89843819"/>
    <w:rsid w:val="8B592168"/>
    <w:rsid w:val="8B697C88"/>
    <w:rsid w:val="8C804491"/>
    <w:rsid w:val="8CD8DE2B"/>
    <w:rsid w:val="8D32239D"/>
    <w:rsid w:val="8DD25939"/>
    <w:rsid w:val="8F6A1F97"/>
    <w:rsid w:val="930FC8AF"/>
    <w:rsid w:val="93CC5D5F"/>
    <w:rsid w:val="93FA1BBB"/>
    <w:rsid w:val="941B6954"/>
    <w:rsid w:val="94C6D139"/>
    <w:rsid w:val="95B66BE1"/>
    <w:rsid w:val="9681E23C"/>
    <w:rsid w:val="981DEA21"/>
    <w:rsid w:val="98FC7A9F"/>
    <w:rsid w:val="9907D66D"/>
    <w:rsid w:val="9B2456CA"/>
    <w:rsid w:val="9BCFAFDC"/>
    <w:rsid w:val="9BF76083"/>
    <w:rsid w:val="9D1CA4C2"/>
    <w:rsid w:val="9F2D15C3"/>
    <w:rsid w:val="9F826028"/>
    <w:rsid w:val="A2CC23F1"/>
    <w:rsid w:val="A32E4DC1"/>
    <w:rsid w:val="A3B1FD4C"/>
    <w:rsid w:val="A5143B26"/>
    <w:rsid w:val="A5962C5C"/>
    <w:rsid w:val="A6A574F5"/>
    <w:rsid w:val="A717EDF4"/>
    <w:rsid w:val="AA115A02"/>
    <w:rsid w:val="AA5528A3"/>
    <w:rsid w:val="AD46DFFE"/>
    <w:rsid w:val="AE726D83"/>
    <w:rsid w:val="AE800DE3"/>
    <w:rsid w:val="B0878764"/>
    <w:rsid w:val="B09BA594"/>
    <w:rsid w:val="B0AA7B40"/>
    <w:rsid w:val="B24D0CED"/>
    <w:rsid w:val="B250AEB2"/>
    <w:rsid w:val="B27623C8"/>
    <w:rsid w:val="B5DA7EBE"/>
    <w:rsid w:val="B6084629"/>
    <w:rsid w:val="B7171184"/>
    <w:rsid w:val="B7EF1A8F"/>
    <w:rsid w:val="B7FFB12B"/>
    <w:rsid w:val="B87B6D1C"/>
    <w:rsid w:val="B8BA4D16"/>
    <w:rsid w:val="BAFB8121"/>
    <w:rsid w:val="BAFB8A96"/>
    <w:rsid w:val="BB4A392D"/>
    <w:rsid w:val="BB768121"/>
    <w:rsid w:val="BB972A9F"/>
    <w:rsid w:val="BD38DC05"/>
    <w:rsid w:val="BDFBAD32"/>
    <w:rsid w:val="BF062D1C"/>
    <w:rsid w:val="BF120EE5"/>
    <w:rsid w:val="BF96C3CC"/>
    <w:rsid w:val="BFE61884"/>
    <w:rsid w:val="C0BF9D0D"/>
    <w:rsid w:val="C0CCF3F1"/>
    <w:rsid w:val="C3161681"/>
    <w:rsid w:val="C6704C00"/>
    <w:rsid w:val="C883280A"/>
    <w:rsid w:val="C8DFFFAA"/>
    <w:rsid w:val="CA73B750"/>
    <w:rsid w:val="CACB2ED8"/>
    <w:rsid w:val="CD18D34F"/>
    <w:rsid w:val="CE48B735"/>
    <w:rsid w:val="CF086C6D"/>
    <w:rsid w:val="CF75DCFF"/>
    <w:rsid w:val="CFDE8A63"/>
    <w:rsid w:val="D00EF9DC"/>
    <w:rsid w:val="D0214A4C"/>
    <w:rsid w:val="D076630A"/>
    <w:rsid w:val="D3D1150E"/>
    <w:rsid w:val="D4552E0D"/>
    <w:rsid w:val="D5776C94"/>
    <w:rsid w:val="D5CC438B"/>
    <w:rsid w:val="D73925B8"/>
    <w:rsid w:val="DBFFBF2A"/>
    <w:rsid w:val="DC2FEF29"/>
    <w:rsid w:val="DD1D0D94"/>
    <w:rsid w:val="DDFF5A71"/>
    <w:rsid w:val="DE734BDC"/>
    <w:rsid w:val="DF1A07D2"/>
    <w:rsid w:val="DF3E6162"/>
    <w:rsid w:val="DFF5CC26"/>
    <w:rsid w:val="DFF766C8"/>
    <w:rsid w:val="E174DED7"/>
    <w:rsid w:val="E1B8FF6D"/>
    <w:rsid w:val="E1DAEA02"/>
    <w:rsid w:val="E26362B0"/>
    <w:rsid w:val="E3838931"/>
    <w:rsid w:val="E489DAB7"/>
    <w:rsid w:val="E68819EC"/>
    <w:rsid w:val="E68FFF54"/>
    <w:rsid w:val="E77BB067"/>
    <w:rsid w:val="E8CCEC34"/>
    <w:rsid w:val="EB6E0376"/>
    <w:rsid w:val="EBA58FE1"/>
    <w:rsid w:val="EBFFBC0C"/>
    <w:rsid w:val="EE20F839"/>
    <w:rsid w:val="EEF7D50E"/>
    <w:rsid w:val="EEFD3EB9"/>
    <w:rsid w:val="EFBF8A7A"/>
    <w:rsid w:val="F040D381"/>
    <w:rsid w:val="F0BFE2C7"/>
    <w:rsid w:val="F14DD2E4"/>
    <w:rsid w:val="F1FF25B6"/>
    <w:rsid w:val="F202046E"/>
    <w:rsid w:val="F4F0CCE4"/>
    <w:rsid w:val="F4FCA6D4"/>
    <w:rsid w:val="F4FD2475"/>
    <w:rsid w:val="F5ADEC2A"/>
    <w:rsid w:val="F5B9E7B9"/>
    <w:rsid w:val="F69094A0"/>
    <w:rsid w:val="F75AA9A5"/>
    <w:rsid w:val="F79FF87D"/>
    <w:rsid w:val="F9974065"/>
    <w:rsid w:val="F9F7D00C"/>
    <w:rsid w:val="FABF8615"/>
    <w:rsid w:val="FBAE2F5E"/>
    <w:rsid w:val="FC5F8ECB"/>
    <w:rsid w:val="FCF614D3"/>
    <w:rsid w:val="FD0928A0"/>
    <w:rsid w:val="FD4E90E8"/>
    <w:rsid w:val="FDEB82BF"/>
    <w:rsid w:val="FE092124"/>
    <w:rsid w:val="FEFB48BA"/>
    <w:rsid w:val="FF312112"/>
    <w:rsid w:val="FF3F4B79"/>
    <w:rsid w:val="FF5D0FEE"/>
    <w:rsid w:val="FFDE40BE"/>
    <w:rsid w:val="FFF7FD35"/>
    <w:rsid w:val="FFFF74A7"/>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qFormat="1"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link w:val="63"/>
    <w:qFormat/>
    <w:uiPriority w:val="0"/>
    <w:pPr>
      <w:keepNext/>
      <w:keepLines/>
      <w:tabs>
        <w:tab w:val="left" w:pos="840"/>
      </w:tabs>
      <w:spacing w:before="220"/>
      <w:jc w:val="center"/>
      <w:outlineLvl w:val="0"/>
    </w:pPr>
    <w:rPr>
      <w:rFonts w:ascii="宋体" w:hAnsi="宋体"/>
      <w:b/>
      <w:bCs/>
      <w:kern w:val="44"/>
      <w:sz w:val="30"/>
      <w:szCs w:val="30"/>
    </w:rPr>
  </w:style>
  <w:style w:type="paragraph" w:styleId="3">
    <w:name w:val="heading 2"/>
    <w:basedOn w:val="1"/>
    <w:next w:val="1"/>
    <w:qFormat/>
    <w:uiPriority w:val="0"/>
    <w:pPr>
      <w:keepNext/>
      <w:keepLines/>
      <w:spacing w:before="260" w:after="260" w:line="416" w:lineRule="auto"/>
      <w:outlineLvl w:val="1"/>
    </w:pPr>
    <w:rPr>
      <w:rFonts w:ascii="Arial" w:hAnsi="Arial" w:eastAsia="黑体"/>
      <w:b/>
      <w:bCs/>
      <w:sz w:val="32"/>
      <w:szCs w:val="32"/>
    </w:rPr>
  </w:style>
  <w:style w:type="paragraph" w:styleId="4">
    <w:name w:val="heading 3"/>
    <w:basedOn w:val="1"/>
    <w:next w:val="5"/>
    <w:qFormat/>
    <w:uiPriority w:val="0"/>
    <w:pPr>
      <w:keepNext/>
      <w:keepLines/>
      <w:spacing w:before="260" w:after="260" w:line="416" w:lineRule="atLeast"/>
      <w:outlineLvl w:val="2"/>
    </w:pPr>
    <w:rPr>
      <w:rFonts w:ascii="Times New Roman" w:hAnsi="Times New Roman"/>
      <w:b/>
      <w:sz w:val="32"/>
    </w:rPr>
  </w:style>
  <w:style w:type="paragraph" w:styleId="7">
    <w:name w:val="heading 4"/>
    <w:basedOn w:val="1"/>
    <w:next w:val="1"/>
    <w:qFormat/>
    <w:uiPriority w:val="0"/>
    <w:pPr>
      <w:keepNext/>
      <w:keepLines/>
      <w:spacing w:before="280" w:after="290" w:line="376" w:lineRule="auto"/>
      <w:outlineLvl w:val="3"/>
    </w:pPr>
    <w:rPr>
      <w:rFonts w:ascii="Arial" w:hAnsi="Arial" w:eastAsia="黑体"/>
      <w:b/>
      <w:sz w:val="28"/>
    </w:rPr>
  </w:style>
  <w:style w:type="paragraph" w:styleId="8">
    <w:name w:val="heading 5"/>
    <w:basedOn w:val="1"/>
    <w:next w:val="1"/>
    <w:qFormat/>
    <w:uiPriority w:val="0"/>
    <w:pPr>
      <w:keepNext/>
      <w:keepLines/>
      <w:spacing w:before="280" w:after="290" w:line="376" w:lineRule="auto"/>
      <w:outlineLvl w:val="4"/>
    </w:pPr>
    <w:rPr>
      <w:rFonts w:ascii="Times New Roman" w:hAnsi="Times New Roman"/>
      <w:b/>
      <w:sz w:val="28"/>
    </w:rPr>
  </w:style>
  <w:style w:type="paragraph" w:styleId="9">
    <w:name w:val="heading 6"/>
    <w:basedOn w:val="1"/>
    <w:next w:val="5"/>
    <w:qFormat/>
    <w:uiPriority w:val="0"/>
    <w:pPr>
      <w:keepNext/>
      <w:keepLines/>
      <w:spacing w:before="240" w:after="64" w:line="320" w:lineRule="auto"/>
      <w:outlineLvl w:val="5"/>
    </w:pPr>
    <w:rPr>
      <w:rFonts w:ascii="Arial" w:hAnsi="Arial" w:eastAsia="黑体"/>
      <w:b/>
      <w:sz w:val="24"/>
    </w:rPr>
  </w:style>
  <w:style w:type="paragraph" w:styleId="10">
    <w:name w:val="heading 7"/>
    <w:basedOn w:val="1"/>
    <w:next w:val="5"/>
    <w:qFormat/>
    <w:uiPriority w:val="0"/>
    <w:pPr>
      <w:keepNext/>
      <w:keepLines/>
      <w:spacing w:before="240" w:after="64" w:line="320" w:lineRule="auto"/>
      <w:outlineLvl w:val="6"/>
    </w:pPr>
    <w:rPr>
      <w:rFonts w:ascii="Times New Roman" w:hAnsi="Times New Roman"/>
      <w:b/>
      <w:sz w:val="24"/>
    </w:rPr>
  </w:style>
  <w:style w:type="paragraph" w:styleId="11">
    <w:name w:val="heading 8"/>
    <w:basedOn w:val="1"/>
    <w:next w:val="5"/>
    <w:qFormat/>
    <w:uiPriority w:val="0"/>
    <w:pPr>
      <w:keepNext/>
      <w:keepLines/>
      <w:spacing w:before="240" w:after="64" w:line="320" w:lineRule="auto"/>
      <w:outlineLvl w:val="7"/>
    </w:pPr>
    <w:rPr>
      <w:rFonts w:ascii="Arial" w:hAnsi="Arial" w:eastAsia="黑体"/>
      <w:sz w:val="24"/>
    </w:rPr>
  </w:style>
  <w:style w:type="paragraph" w:styleId="12">
    <w:name w:val="heading 9"/>
    <w:basedOn w:val="1"/>
    <w:next w:val="5"/>
    <w:qFormat/>
    <w:uiPriority w:val="0"/>
    <w:pPr>
      <w:keepNext/>
      <w:keepLines/>
      <w:spacing w:before="240" w:after="64" w:line="320" w:lineRule="auto"/>
      <w:outlineLvl w:val="8"/>
    </w:pPr>
    <w:rPr>
      <w:rFonts w:ascii="Arial" w:hAnsi="Arial" w:eastAsia="黑体"/>
    </w:rPr>
  </w:style>
  <w:style w:type="character" w:default="1" w:styleId="48">
    <w:name w:val="Default Paragraph Font"/>
    <w:unhideWhenUsed/>
    <w:qFormat/>
    <w:uiPriority w:val="1"/>
  </w:style>
  <w:style w:type="table" w:default="1" w:styleId="46">
    <w:name w:val="Normal Table"/>
    <w:unhideWhenUsed/>
    <w:qFormat/>
    <w:uiPriority w:val="99"/>
    <w:tblPr>
      <w:tblCellMar>
        <w:top w:w="0" w:type="dxa"/>
        <w:left w:w="108" w:type="dxa"/>
        <w:bottom w:w="0" w:type="dxa"/>
        <w:right w:w="108" w:type="dxa"/>
      </w:tblCellMar>
    </w:tblPr>
  </w:style>
  <w:style w:type="paragraph" w:styleId="5">
    <w:name w:val="Normal Indent"/>
    <w:basedOn w:val="1"/>
    <w:next w:val="6"/>
    <w:qFormat/>
    <w:uiPriority w:val="0"/>
    <w:pPr>
      <w:ind w:firstLine="420"/>
    </w:pPr>
    <w:rPr>
      <w:szCs w:val="20"/>
    </w:rPr>
  </w:style>
  <w:style w:type="paragraph" w:styleId="6">
    <w:name w:val="Body Text Indent"/>
    <w:basedOn w:val="1"/>
    <w:link w:val="65"/>
    <w:qFormat/>
    <w:uiPriority w:val="0"/>
    <w:pPr>
      <w:spacing w:after="120"/>
      <w:ind w:left="420" w:leftChars="200"/>
    </w:pPr>
    <w:rPr>
      <w:rFonts w:ascii="Times New Roman" w:hAnsi="Times New Roman"/>
      <w:sz w:val="28"/>
      <w:szCs w:val="20"/>
    </w:rPr>
  </w:style>
  <w:style w:type="paragraph" w:styleId="13">
    <w:name w:val="toc 7"/>
    <w:basedOn w:val="1"/>
    <w:next w:val="1"/>
    <w:qFormat/>
    <w:uiPriority w:val="0"/>
    <w:pPr>
      <w:ind w:left="2040"/>
    </w:pPr>
    <w:rPr>
      <w:rFonts w:ascii="Times New Roman" w:hAnsi="Times New Roman"/>
      <w:sz w:val="18"/>
      <w:szCs w:val="18"/>
    </w:rPr>
  </w:style>
  <w:style w:type="paragraph" w:styleId="14">
    <w:name w:val="List Number"/>
    <w:basedOn w:val="1"/>
    <w:qFormat/>
    <w:uiPriority w:val="0"/>
    <w:pPr>
      <w:widowControl/>
      <w:tabs>
        <w:tab w:val="left" w:pos="454"/>
        <w:tab w:val="left" w:pos="720"/>
        <w:tab w:val="left" w:pos="927"/>
      </w:tabs>
      <w:spacing w:afterLines="50"/>
      <w:ind w:left="454" w:hanging="284"/>
    </w:pPr>
    <w:rPr>
      <w:rFonts w:ascii="Times New Roman" w:hAnsi="Times New Roman"/>
      <w:sz w:val="24"/>
    </w:rPr>
  </w:style>
  <w:style w:type="paragraph" w:styleId="15">
    <w:name w:val="caption"/>
    <w:basedOn w:val="1"/>
    <w:next w:val="1"/>
    <w:qFormat/>
    <w:uiPriority w:val="0"/>
    <w:pPr>
      <w:spacing w:before="152" w:after="160"/>
    </w:pPr>
    <w:rPr>
      <w:rFonts w:ascii="Arial" w:hAnsi="Arial" w:eastAsia="黑体"/>
    </w:rPr>
  </w:style>
  <w:style w:type="paragraph" w:styleId="16">
    <w:name w:val="Document Map"/>
    <w:basedOn w:val="1"/>
    <w:qFormat/>
    <w:uiPriority w:val="0"/>
    <w:pPr>
      <w:shd w:val="clear" w:color="auto" w:fill="000080"/>
    </w:pPr>
    <w:rPr>
      <w:rFonts w:ascii="Times New Roman" w:hAnsi="Times New Roman"/>
    </w:rPr>
  </w:style>
  <w:style w:type="paragraph" w:styleId="17">
    <w:name w:val="annotation text"/>
    <w:basedOn w:val="1"/>
    <w:qFormat/>
    <w:uiPriority w:val="0"/>
    <w:rPr>
      <w:rFonts w:ascii="Times New Roman" w:hAnsi="Times New Roman"/>
    </w:rPr>
  </w:style>
  <w:style w:type="paragraph" w:styleId="18">
    <w:name w:val="Salutation"/>
    <w:basedOn w:val="1"/>
    <w:next w:val="1"/>
    <w:link w:val="64"/>
    <w:qFormat/>
    <w:uiPriority w:val="0"/>
    <w:pPr>
      <w:tabs>
        <w:tab w:val="left" w:pos="600"/>
      </w:tabs>
    </w:pPr>
    <w:rPr>
      <w:rFonts w:ascii="Times New Roman" w:hAnsi="Times New Roman"/>
      <w:sz w:val="24"/>
    </w:rPr>
  </w:style>
  <w:style w:type="paragraph" w:styleId="19">
    <w:name w:val="Body Text 3"/>
    <w:basedOn w:val="1"/>
    <w:qFormat/>
    <w:uiPriority w:val="0"/>
    <w:pPr>
      <w:spacing w:line="640" w:lineRule="exact"/>
    </w:pPr>
    <w:rPr>
      <w:rFonts w:ascii="Times New Roman" w:hAnsi="Times New Roman"/>
      <w:color w:val="000000"/>
      <w:sz w:val="28"/>
    </w:rPr>
  </w:style>
  <w:style w:type="paragraph" w:styleId="20">
    <w:name w:val="Body Text"/>
    <w:basedOn w:val="1"/>
    <w:next w:val="21"/>
    <w:link w:val="62"/>
    <w:qFormat/>
    <w:uiPriority w:val="0"/>
    <w:rPr>
      <w:rFonts w:ascii="Times New Roman" w:hAnsi="Times New Roman"/>
      <w:sz w:val="28"/>
    </w:rPr>
  </w:style>
  <w:style w:type="paragraph" w:styleId="21">
    <w:name w:val="Body Text First Indent"/>
    <w:basedOn w:val="20"/>
    <w:qFormat/>
    <w:uiPriority w:val="0"/>
    <w:pPr>
      <w:ind w:firstLine="420" w:firstLineChars="100"/>
    </w:pPr>
    <w:rPr>
      <w:rFonts w:ascii="Calibri" w:hAnsi="Calibri"/>
    </w:rPr>
  </w:style>
  <w:style w:type="paragraph" w:styleId="22">
    <w:name w:val="List 2"/>
    <w:basedOn w:val="1"/>
    <w:qFormat/>
    <w:uiPriority w:val="0"/>
    <w:pPr>
      <w:ind w:left="100" w:leftChars="200" w:hanging="200" w:hangingChars="200"/>
    </w:pPr>
    <w:rPr>
      <w:rFonts w:ascii="Times New Roman" w:hAnsi="Times New Roman"/>
    </w:rPr>
  </w:style>
  <w:style w:type="paragraph" w:styleId="23">
    <w:name w:val="List Bullet 2"/>
    <w:basedOn w:val="1"/>
    <w:qFormat/>
    <w:uiPriority w:val="0"/>
    <w:pPr>
      <w:numPr>
        <w:ilvl w:val="0"/>
        <w:numId w:val="1"/>
      </w:numPr>
    </w:pPr>
  </w:style>
  <w:style w:type="paragraph" w:styleId="24">
    <w:name w:val="toc 5"/>
    <w:basedOn w:val="1"/>
    <w:next w:val="1"/>
    <w:qFormat/>
    <w:uiPriority w:val="0"/>
    <w:pPr>
      <w:ind w:left="1360"/>
    </w:pPr>
    <w:rPr>
      <w:rFonts w:ascii="Times New Roman" w:hAnsi="Times New Roman"/>
      <w:sz w:val="18"/>
      <w:szCs w:val="18"/>
    </w:rPr>
  </w:style>
  <w:style w:type="paragraph" w:styleId="25">
    <w:name w:val="toc 3"/>
    <w:basedOn w:val="1"/>
    <w:next w:val="1"/>
    <w:qFormat/>
    <w:uiPriority w:val="0"/>
    <w:pPr>
      <w:ind w:left="680"/>
    </w:pPr>
    <w:rPr>
      <w:rFonts w:ascii="Times New Roman" w:hAnsi="Times New Roman"/>
      <w:i/>
      <w:iCs/>
      <w:sz w:val="20"/>
    </w:rPr>
  </w:style>
  <w:style w:type="paragraph" w:styleId="26">
    <w:name w:val="Plain Text"/>
    <w:basedOn w:val="1"/>
    <w:link w:val="66"/>
    <w:qFormat/>
    <w:uiPriority w:val="0"/>
    <w:rPr>
      <w:rFonts w:hint="eastAsia" w:ascii="宋体" w:hAnsi="Courier New"/>
      <w:kern w:val="0"/>
      <w:szCs w:val="21"/>
    </w:rPr>
  </w:style>
  <w:style w:type="paragraph" w:styleId="27">
    <w:name w:val="toc 8"/>
    <w:basedOn w:val="1"/>
    <w:next w:val="1"/>
    <w:qFormat/>
    <w:uiPriority w:val="0"/>
    <w:pPr>
      <w:ind w:left="2380"/>
    </w:pPr>
    <w:rPr>
      <w:rFonts w:ascii="Times New Roman" w:hAnsi="Times New Roman"/>
      <w:sz w:val="18"/>
      <w:szCs w:val="18"/>
    </w:rPr>
  </w:style>
  <w:style w:type="paragraph" w:styleId="28">
    <w:name w:val="Date"/>
    <w:basedOn w:val="1"/>
    <w:next w:val="1"/>
    <w:qFormat/>
    <w:uiPriority w:val="0"/>
    <w:rPr>
      <w:rFonts w:ascii="Times New Roman" w:hAnsi="Times New Roman"/>
      <w:sz w:val="28"/>
    </w:rPr>
  </w:style>
  <w:style w:type="paragraph" w:styleId="29">
    <w:name w:val="Body Text Indent 2"/>
    <w:basedOn w:val="1"/>
    <w:qFormat/>
    <w:uiPriority w:val="0"/>
    <w:pPr>
      <w:spacing w:line="360" w:lineRule="auto"/>
      <w:ind w:firstLine="720"/>
    </w:pPr>
    <w:rPr>
      <w:rFonts w:ascii="Times New Roman" w:hAnsi="Times New Roman"/>
      <w:sz w:val="28"/>
    </w:rPr>
  </w:style>
  <w:style w:type="paragraph" w:styleId="30">
    <w:name w:val="Balloon Text"/>
    <w:basedOn w:val="1"/>
    <w:qFormat/>
    <w:uiPriority w:val="0"/>
    <w:rPr>
      <w:rFonts w:ascii="Times New Roman" w:hAnsi="Times New Roman"/>
      <w:sz w:val="18"/>
      <w:szCs w:val="18"/>
    </w:rPr>
  </w:style>
  <w:style w:type="paragraph" w:styleId="31">
    <w:name w:val="footer"/>
    <w:basedOn w:val="1"/>
    <w:link w:val="67"/>
    <w:qFormat/>
    <w:uiPriority w:val="0"/>
    <w:pPr>
      <w:tabs>
        <w:tab w:val="center" w:pos="4140"/>
        <w:tab w:val="right" w:pos="8300"/>
      </w:tabs>
      <w:snapToGrid w:val="0"/>
      <w:jc w:val="left"/>
    </w:pPr>
    <w:rPr>
      <w:rFonts w:ascii="宋体" w:hAnsi="Times New Roman"/>
      <w:kern w:val="0"/>
      <w:sz w:val="18"/>
      <w:szCs w:val="20"/>
    </w:rPr>
  </w:style>
  <w:style w:type="paragraph" w:styleId="32">
    <w:name w:val="header"/>
    <w:basedOn w:val="1"/>
    <w:link w:val="68"/>
    <w:qFormat/>
    <w:uiPriority w:val="0"/>
    <w:pPr>
      <w:pBdr>
        <w:bottom w:val="single" w:color="auto" w:sz="6" w:space="1"/>
      </w:pBdr>
      <w:tabs>
        <w:tab w:val="center" w:pos="4153"/>
        <w:tab w:val="right" w:pos="8306"/>
      </w:tabs>
      <w:snapToGrid w:val="0"/>
      <w:jc w:val="center"/>
    </w:pPr>
    <w:rPr>
      <w:rFonts w:ascii="宋体" w:hAnsi="Times New Roman"/>
      <w:kern w:val="0"/>
      <w:sz w:val="18"/>
      <w:szCs w:val="20"/>
    </w:rPr>
  </w:style>
  <w:style w:type="paragraph" w:styleId="33">
    <w:name w:val="toc 1"/>
    <w:basedOn w:val="1"/>
    <w:next w:val="1"/>
    <w:qFormat/>
    <w:uiPriority w:val="0"/>
    <w:pPr>
      <w:spacing w:before="120" w:after="120"/>
    </w:pPr>
    <w:rPr>
      <w:rFonts w:ascii="Times New Roman" w:hAnsi="Times New Roman"/>
      <w:b/>
      <w:bCs/>
      <w:caps/>
      <w:sz w:val="20"/>
    </w:rPr>
  </w:style>
  <w:style w:type="paragraph" w:styleId="34">
    <w:name w:val="toc 4"/>
    <w:basedOn w:val="1"/>
    <w:next w:val="1"/>
    <w:qFormat/>
    <w:uiPriority w:val="0"/>
    <w:pPr>
      <w:ind w:left="1020"/>
    </w:pPr>
    <w:rPr>
      <w:rFonts w:ascii="Times New Roman" w:hAnsi="Times New Roman"/>
      <w:sz w:val="18"/>
      <w:szCs w:val="18"/>
    </w:rPr>
  </w:style>
  <w:style w:type="paragraph" w:styleId="35">
    <w:name w:val="List"/>
    <w:basedOn w:val="1"/>
    <w:qFormat/>
    <w:uiPriority w:val="0"/>
    <w:pPr>
      <w:ind w:left="200" w:hanging="200" w:hangingChars="200"/>
    </w:pPr>
    <w:rPr>
      <w:rFonts w:ascii="Times New Roman" w:hAnsi="Times New Roman"/>
    </w:rPr>
  </w:style>
  <w:style w:type="paragraph" w:styleId="36">
    <w:name w:val="footnote text"/>
    <w:basedOn w:val="1"/>
    <w:qFormat/>
    <w:uiPriority w:val="0"/>
    <w:pPr>
      <w:snapToGrid w:val="0"/>
    </w:pPr>
    <w:rPr>
      <w:rFonts w:ascii="Times New Roman" w:hAnsi="Times New Roman"/>
      <w:sz w:val="18"/>
    </w:rPr>
  </w:style>
  <w:style w:type="paragraph" w:styleId="37">
    <w:name w:val="toc 6"/>
    <w:basedOn w:val="1"/>
    <w:next w:val="1"/>
    <w:qFormat/>
    <w:uiPriority w:val="0"/>
    <w:pPr>
      <w:ind w:left="1700"/>
    </w:pPr>
    <w:rPr>
      <w:rFonts w:ascii="Times New Roman" w:hAnsi="Times New Roman"/>
      <w:sz w:val="18"/>
      <w:szCs w:val="18"/>
    </w:rPr>
  </w:style>
  <w:style w:type="paragraph" w:styleId="38">
    <w:name w:val="Body Text Indent 3"/>
    <w:basedOn w:val="1"/>
    <w:qFormat/>
    <w:uiPriority w:val="0"/>
    <w:pPr>
      <w:spacing w:line="360" w:lineRule="auto"/>
      <w:ind w:firstLine="540"/>
    </w:pPr>
    <w:rPr>
      <w:rFonts w:ascii="Times New Roman" w:hAnsi="Times New Roman"/>
      <w:sz w:val="28"/>
    </w:rPr>
  </w:style>
  <w:style w:type="paragraph" w:styleId="39">
    <w:name w:val="toc 2"/>
    <w:basedOn w:val="1"/>
    <w:next w:val="1"/>
    <w:qFormat/>
    <w:uiPriority w:val="0"/>
    <w:pPr>
      <w:tabs>
        <w:tab w:val="right" w:leader="dot" w:pos="9452"/>
      </w:tabs>
      <w:spacing w:line="380" w:lineRule="exact"/>
      <w:ind w:right="-133" w:rightChars="-39"/>
    </w:pPr>
    <w:rPr>
      <w:rFonts w:ascii="Times New Roman" w:hAnsi="Times New Roman"/>
      <w:smallCaps/>
      <w:color w:val="000000"/>
      <w:szCs w:val="21"/>
    </w:rPr>
  </w:style>
  <w:style w:type="paragraph" w:styleId="40">
    <w:name w:val="toc 9"/>
    <w:basedOn w:val="1"/>
    <w:next w:val="1"/>
    <w:qFormat/>
    <w:uiPriority w:val="0"/>
    <w:pPr>
      <w:ind w:left="2720"/>
    </w:pPr>
    <w:rPr>
      <w:rFonts w:ascii="Times New Roman" w:hAnsi="Times New Roman"/>
      <w:sz w:val="18"/>
      <w:szCs w:val="18"/>
    </w:rPr>
  </w:style>
  <w:style w:type="paragraph" w:styleId="41">
    <w:name w:val="Body Text 2"/>
    <w:basedOn w:val="1"/>
    <w:qFormat/>
    <w:uiPriority w:val="0"/>
    <w:rPr>
      <w:rFonts w:ascii="Times New Roman" w:hAnsi="Times New Roman"/>
      <w:sz w:val="28"/>
    </w:rPr>
  </w:style>
  <w:style w:type="paragraph" w:styleId="42">
    <w:name w:val="Normal (Web)"/>
    <w:basedOn w:val="1"/>
    <w:qFormat/>
    <w:uiPriority w:val="0"/>
    <w:pPr>
      <w:widowControl/>
      <w:spacing w:before="100" w:beforeAutospacing="1" w:after="100" w:afterAutospacing="1"/>
    </w:pPr>
    <w:rPr>
      <w:rFonts w:hint="eastAsia" w:ascii="Times New Roman" w:hAnsi="宋体"/>
      <w:sz w:val="24"/>
    </w:rPr>
  </w:style>
  <w:style w:type="paragraph" w:styleId="43">
    <w:name w:val="Title"/>
    <w:basedOn w:val="1"/>
    <w:next w:val="1"/>
    <w:qFormat/>
    <w:uiPriority w:val="0"/>
    <w:pPr>
      <w:spacing w:before="240" w:after="60"/>
      <w:jc w:val="center"/>
      <w:outlineLvl w:val="0"/>
    </w:pPr>
    <w:rPr>
      <w:rFonts w:ascii="Arial" w:hAnsi="Arial" w:cs="Arial"/>
      <w:sz w:val="32"/>
      <w:szCs w:val="32"/>
    </w:rPr>
  </w:style>
  <w:style w:type="paragraph" w:styleId="44">
    <w:name w:val="annotation subject"/>
    <w:basedOn w:val="17"/>
    <w:next w:val="17"/>
    <w:qFormat/>
    <w:uiPriority w:val="0"/>
    <w:rPr>
      <w:b/>
      <w:bCs/>
    </w:rPr>
  </w:style>
  <w:style w:type="paragraph" w:styleId="45">
    <w:name w:val="Body Text First Indent 2"/>
    <w:basedOn w:val="6"/>
    <w:next w:val="1"/>
    <w:link w:val="69"/>
    <w:qFormat/>
    <w:uiPriority w:val="0"/>
    <w:pPr>
      <w:ind w:firstLine="420" w:firstLineChars="200"/>
    </w:pPr>
  </w:style>
  <w:style w:type="table" w:styleId="47">
    <w:name w:val="Table Grid"/>
    <w:basedOn w:val="46"/>
    <w:qFormat/>
    <w:uiPriority w:val="0"/>
    <w:pPr>
      <w:widowControl w:val="0"/>
      <w:autoSpaceDE w:val="0"/>
      <w:autoSpaceDN w:val="0"/>
      <w:adjustRightInd w:val="0"/>
      <w:textAlignment w:val="baseline"/>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49">
    <w:name w:val="Strong"/>
    <w:qFormat/>
    <w:uiPriority w:val="0"/>
    <w:rPr>
      <w:rFonts w:ascii="Times New Roman" w:hAnsi="Times New Roman" w:eastAsia="宋体" w:cs="Times New Roman"/>
      <w:b/>
      <w:bCs/>
    </w:rPr>
  </w:style>
  <w:style w:type="character" w:styleId="50">
    <w:name w:val="page number"/>
    <w:basedOn w:val="48"/>
    <w:qFormat/>
    <w:uiPriority w:val="0"/>
    <w:rPr>
      <w:rFonts w:ascii="Times New Roman" w:hAnsi="Times New Roman" w:eastAsia="宋体" w:cs="Times New Roman"/>
    </w:rPr>
  </w:style>
  <w:style w:type="character" w:styleId="51">
    <w:name w:val="FollowedHyperlink"/>
    <w:qFormat/>
    <w:uiPriority w:val="0"/>
    <w:rPr>
      <w:rFonts w:ascii="Times New Roman" w:hAnsi="Times New Roman" w:eastAsia="宋体" w:cs="Times New Roman"/>
      <w:color w:val="197AFF"/>
      <w:u w:val="none"/>
    </w:rPr>
  </w:style>
  <w:style w:type="character" w:styleId="52">
    <w:name w:val="Emphasis"/>
    <w:qFormat/>
    <w:uiPriority w:val="0"/>
    <w:rPr>
      <w:rFonts w:ascii="Times New Roman" w:hAnsi="Times New Roman" w:eastAsia="宋体" w:cs="Times New Roman"/>
      <w:color w:val="CC0000"/>
    </w:rPr>
  </w:style>
  <w:style w:type="character" w:styleId="53">
    <w:name w:val="HTML Definition"/>
    <w:qFormat/>
    <w:uiPriority w:val="0"/>
    <w:rPr>
      <w:rFonts w:ascii="Times New Roman" w:hAnsi="Times New Roman" w:eastAsia="宋体" w:cs="Times New Roman"/>
      <w:i/>
    </w:rPr>
  </w:style>
  <w:style w:type="character" w:styleId="54">
    <w:name w:val="Hyperlink"/>
    <w:qFormat/>
    <w:uiPriority w:val="0"/>
    <w:rPr>
      <w:rFonts w:ascii="Times New Roman" w:hAnsi="Times New Roman" w:eastAsia="宋体" w:cs="Times New Roman"/>
      <w:color w:val="197AFF"/>
      <w:u w:val="none"/>
    </w:rPr>
  </w:style>
  <w:style w:type="character" w:styleId="55">
    <w:name w:val="HTML Code"/>
    <w:qFormat/>
    <w:uiPriority w:val="0"/>
    <w:rPr>
      <w:rFonts w:ascii="-apple-system" w:hAnsi="-apple-system" w:eastAsia="-apple-system" w:cs="-apple-system"/>
      <w:sz w:val="21"/>
      <w:szCs w:val="21"/>
    </w:rPr>
  </w:style>
  <w:style w:type="character" w:styleId="56">
    <w:name w:val="annotation reference"/>
    <w:qFormat/>
    <w:uiPriority w:val="0"/>
    <w:rPr>
      <w:rFonts w:ascii="Times New Roman" w:hAnsi="Times New Roman" w:eastAsia="宋体" w:cs="Times New Roman"/>
      <w:sz w:val="21"/>
    </w:rPr>
  </w:style>
  <w:style w:type="character" w:styleId="57">
    <w:name w:val="footnote reference"/>
    <w:qFormat/>
    <w:uiPriority w:val="0"/>
    <w:rPr>
      <w:rFonts w:ascii="Times New Roman" w:hAnsi="Times New Roman" w:eastAsia="宋体" w:cs="Times New Roman"/>
      <w:vertAlign w:val="superscript"/>
    </w:rPr>
  </w:style>
  <w:style w:type="character" w:styleId="58">
    <w:name w:val="HTML Keyboard"/>
    <w:qFormat/>
    <w:uiPriority w:val="0"/>
    <w:rPr>
      <w:rFonts w:hint="default" w:ascii="-apple-system" w:hAnsi="-apple-system" w:eastAsia="-apple-system" w:cs="-apple-system"/>
      <w:sz w:val="21"/>
      <w:szCs w:val="21"/>
    </w:rPr>
  </w:style>
  <w:style w:type="character" w:styleId="59">
    <w:name w:val="HTML Sample"/>
    <w:qFormat/>
    <w:uiPriority w:val="0"/>
    <w:rPr>
      <w:rFonts w:hint="default" w:ascii="-apple-system" w:hAnsi="-apple-system" w:eastAsia="-apple-system" w:cs="-apple-system"/>
      <w:sz w:val="21"/>
      <w:szCs w:val="21"/>
    </w:rPr>
  </w:style>
  <w:style w:type="paragraph" w:customStyle="1" w:styleId="60">
    <w:name w:val="BodyText1I2"/>
    <w:basedOn w:val="61"/>
    <w:qFormat/>
    <w:uiPriority w:val="0"/>
    <w:pPr>
      <w:spacing w:after="120" w:line="240" w:lineRule="auto"/>
      <w:ind w:left="420" w:leftChars="200" w:firstLine="420"/>
    </w:pPr>
    <w:rPr>
      <w:rFonts w:ascii="Times New Roman" w:hAnsi="Times New Roman"/>
      <w:sz w:val="28"/>
    </w:rPr>
  </w:style>
  <w:style w:type="paragraph" w:customStyle="1" w:styleId="61">
    <w:name w:val="BodyTextIndent"/>
    <w:basedOn w:val="1"/>
    <w:qFormat/>
    <w:uiPriority w:val="0"/>
    <w:pPr>
      <w:spacing w:line="440" w:lineRule="atLeast"/>
      <w:ind w:firstLine="465" w:firstLineChars="200"/>
    </w:pPr>
    <w:rPr>
      <w:spacing w:val="12"/>
      <w:sz w:val="24"/>
      <w:szCs w:val="20"/>
    </w:rPr>
  </w:style>
  <w:style w:type="character" w:customStyle="1" w:styleId="62">
    <w:name w:val="正文文本 Char"/>
    <w:basedOn w:val="48"/>
    <w:link w:val="20"/>
    <w:qFormat/>
    <w:uiPriority w:val="0"/>
    <w:rPr>
      <w:rFonts w:ascii="Times New Roman" w:hAnsi="Times New Roman"/>
      <w:kern w:val="2"/>
      <w:sz w:val="28"/>
      <w:szCs w:val="24"/>
    </w:rPr>
  </w:style>
  <w:style w:type="character" w:customStyle="1" w:styleId="63">
    <w:name w:val="标题 1 Char"/>
    <w:link w:val="2"/>
    <w:qFormat/>
    <w:uiPriority w:val="0"/>
    <w:rPr>
      <w:rFonts w:ascii="宋体" w:hAnsi="宋体"/>
      <w:b/>
      <w:bCs/>
      <w:kern w:val="44"/>
      <w:sz w:val="30"/>
      <w:szCs w:val="30"/>
    </w:rPr>
  </w:style>
  <w:style w:type="character" w:customStyle="1" w:styleId="64">
    <w:name w:val="称呼 Char"/>
    <w:link w:val="18"/>
    <w:qFormat/>
    <w:uiPriority w:val="0"/>
    <w:rPr>
      <w:rFonts w:ascii="Times New Roman" w:hAnsi="Times New Roman" w:eastAsia="宋体" w:cs="Times New Roman"/>
      <w:kern w:val="2"/>
      <w:sz w:val="24"/>
      <w:szCs w:val="24"/>
    </w:rPr>
  </w:style>
  <w:style w:type="character" w:customStyle="1" w:styleId="65">
    <w:name w:val="正文文本缩进 Char"/>
    <w:link w:val="6"/>
    <w:qFormat/>
    <w:uiPriority w:val="0"/>
    <w:rPr>
      <w:rFonts w:ascii="Times New Roman" w:hAnsi="Times New Roman" w:eastAsia="宋体" w:cs="Times New Roman"/>
      <w:kern w:val="2"/>
      <w:sz w:val="28"/>
    </w:rPr>
  </w:style>
  <w:style w:type="character" w:customStyle="1" w:styleId="66">
    <w:name w:val="纯文本 Char1"/>
    <w:link w:val="26"/>
    <w:qFormat/>
    <w:uiPriority w:val="0"/>
    <w:rPr>
      <w:rFonts w:hint="eastAsia" w:ascii="宋体" w:hAnsi="Courier New" w:eastAsia="宋体" w:cs="Courier New"/>
      <w:sz w:val="21"/>
      <w:szCs w:val="21"/>
    </w:rPr>
  </w:style>
  <w:style w:type="character" w:customStyle="1" w:styleId="67">
    <w:name w:val="页脚 Char"/>
    <w:link w:val="31"/>
    <w:qFormat/>
    <w:uiPriority w:val="0"/>
    <w:rPr>
      <w:rFonts w:ascii="宋体" w:hAnsi="Times New Roman" w:eastAsia="宋体" w:cs="Times New Roman"/>
      <w:sz w:val="18"/>
    </w:rPr>
  </w:style>
  <w:style w:type="character" w:customStyle="1" w:styleId="68">
    <w:name w:val="页眉 Char"/>
    <w:link w:val="32"/>
    <w:qFormat/>
    <w:uiPriority w:val="0"/>
    <w:rPr>
      <w:rFonts w:ascii="宋体" w:hAnsi="Times New Roman" w:eastAsia="宋体" w:cs="Times New Roman"/>
      <w:sz w:val="18"/>
    </w:rPr>
  </w:style>
  <w:style w:type="character" w:customStyle="1" w:styleId="69">
    <w:name w:val="正文首行缩进 2 Char"/>
    <w:link w:val="45"/>
    <w:qFormat/>
    <w:uiPriority w:val="0"/>
    <w:rPr>
      <w:rFonts w:ascii="Times New Roman" w:hAnsi="Times New Roman" w:eastAsia="宋体" w:cs="Times New Roman"/>
      <w:kern w:val="2"/>
      <w:sz w:val="28"/>
    </w:rPr>
  </w:style>
  <w:style w:type="paragraph" w:customStyle="1" w:styleId="70">
    <w:name w:val="C503-正文格式"/>
    <w:basedOn w:val="1"/>
    <w:qFormat/>
    <w:uiPriority w:val="0"/>
    <w:pPr>
      <w:spacing w:line="360" w:lineRule="auto"/>
      <w:ind w:firstLine="480" w:firstLineChars="200"/>
    </w:pPr>
    <w:rPr>
      <w:rFonts w:ascii="Times New Roman" w:hAnsi="Times New Roman" w:cs="宋体"/>
      <w:sz w:val="24"/>
      <w:szCs w:val="20"/>
    </w:rPr>
  </w:style>
  <w:style w:type="paragraph" w:customStyle="1" w:styleId="71">
    <w:name w:val="正文缩进1"/>
    <w:basedOn w:val="1"/>
    <w:qFormat/>
    <w:uiPriority w:val="0"/>
    <w:pPr>
      <w:spacing w:line="300" w:lineRule="auto"/>
      <w:ind w:firstLine="425"/>
    </w:pPr>
    <w:rPr>
      <w:szCs w:val="20"/>
    </w:rPr>
  </w:style>
  <w:style w:type="paragraph" w:customStyle="1" w:styleId="72">
    <w:name w:val="表格文字"/>
    <w:basedOn w:val="1"/>
    <w:next w:val="20"/>
    <w:qFormat/>
    <w:uiPriority w:val="0"/>
    <w:pPr>
      <w:jc w:val="center"/>
    </w:pPr>
    <w:rPr>
      <w:szCs w:val="21"/>
    </w:rPr>
  </w:style>
  <w:style w:type="paragraph" w:customStyle="1" w:styleId="73">
    <w:name w:val="p1"/>
    <w:basedOn w:val="1"/>
    <w:qFormat/>
    <w:uiPriority w:val="0"/>
    <w:pPr>
      <w:spacing w:line="380" w:lineRule="atLeast"/>
      <w:jc w:val="left"/>
    </w:pPr>
    <w:rPr>
      <w:rFonts w:ascii="Helvetica Neue" w:hAnsi="Helvetica Neue" w:eastAsia="Helvetica Neue"/>
      <w:color w:val="000000"/>
      <w:kern w:val="0"/>
      <w:sz w:val="26"/>
      <w:szCs w:val="26"/>
    </w:rPr>
  </w:style>
  <w:style w:type="paragraph" w:customStyle="1" w:styleId="74">
    <w:name w:val="xl35"/>
    <w:basedOn w:val="1"/>
    <w:qFormat/>
    <w:uiPriority w:val="0"/>
    <w:pPr>
      <w:widowControl/>
      <w:pBdr>
        <w:left w:val="single" w:color="auto" w:sz="4" w:space="0"/>
        <w:bottom w:val="single" w:color="auto" w:sz="4" w:space="0"/>
        <w:right w:val="single" w:color="auto" w:sz="4" w:space="0"/>
      </w:pBdr>
      <w:spacing w:before="100" w:beforeAutospacing="1" w:after="100" w:afterAutospacing="1"/>
      <w:textAlignment w:val="center"/>
    </w:pPr>
    <w:rPr>
      <w:rFonts w:ascii="Arial Unicode MS" w:hAnsi="Arial Unicode MS" w:eastAsia="Arial Unicode MS"/>
      <w:sz w:val="24"/>
    </w:rPr>
  </w:style>
  <w:style w:type="paragraph" w:customStyle="1" w:styleId="75">
    <w:name w:val="表格文本"/>
    <w:basedOn w:val="1"/>
    <w:next w:val="1"/>
    <w:qFormat/>
    <w:uiPriority w:val="0"/>
    <w:pPr>
      <w:adjustRightInd w:val="0"/>
      <w:snapToGrid w:val="0"/>
      <w:jc w:val="center"/>
    </w:pPr>
    <w:rPr>
      <w:rFonts w:ascii="Times New Roman" w:hAnsi="Times New Roman"/>
      <w:color w:val="000000"/>
      <w:sz w:val="24"/>
      <w:szCs w:val="21"/>
    </w:rPr>
  </w:style>
  <w:style w:type="paragraph" w:customStyle="1" w:styleId="76">
    <w:name w:val="正文段"/>
    <w:basedOn w:val="1"/>
    <w:qFormat/>
    <w:uiPriority w:val="0"/>
    <w:pPr>
      <w:widowControl/>
      <w:snapToGrid w:val="0"/>
      <w:spacing w:afterLines="50"/>
      <w:ind w:firstLine="200" w:firstLineChars="200"/>
    </w:pPr>
    <w:rPr>
      <w:rFonts w:ascii="Times New Roman" w:hAnsi="Times New Roman"/>
      <w:sz w:val="24"/>
    </w:rPr>
  </w:style>
  <w:style w:type="paragraph" w:customStyle="1" w:styleId="77">
    <w:name w:val="正文－恩普"/>
    <w:basedOn w:val="5"/>
    <w:qFormat/>
    <w:uiPriority w:val="0"/>
    <w:pPr>
      <w:widowControl/>
      <w:spacing w:line="360" w:lineRule="auto"/>
      <w:ind w:firstLine="480" w:firstLineChars="200"/>
      <w:jc w:val="left"/>
    </w:pPr>
    <w:rPr>
      <w:rFonts w:ascii="Times New Roman" w:hAnsi="Times New Roman"/>
      <w:kern w:val="0"/>
      <w:sz w:val="24"/>
    </w:rPr>
  </w:style>
  <w:style w:type="paragraph" w:customStyle="1" w:styleId="78">
    <w:name w:val="默认段落字体 Para Char Char Char Char Char Char Char Char Char1 Char Char Char Char"/>
    <w:basedOn w:val="1"/>
    <w:qFormat/>
    <w:uiPriority w:val="0"/>
    <w:rPr>
      <w:rFonts w:ascii="Tahoma" w:hAnsi="Tahoma"/>
      <w:sz w:val="24"/>
    </w:rPr>
  </w:style>
  <w:style w:type="paragraph" w:customStyle="1" w:styleId="79">
    <w:name w:val="p0"/>
    <w:basedOn w:val="1"/>
    <w:qFormat/>
    <w:uiPriority w:val="0"/>
    <w:pPr>
      <w:widowControl/>
    </w:pPr>
    <w:rPr>
      <w:rFonts w:cs="宋体"/>
      <w:szCs w:val="21"/>
    </w:rPr>
  </w:style>
  <w:style w:type="paragraph" w:customStyle="1" w:styleId="80">
    <w:name w:val="Char"/>
    <w:basedOn w:val="1"/>
    <w:qFormat/>
    <w:uiPriority w:val="0"/>
    <w:rPr>
      <w:rFonts w:ascii="Tahoma" w:hAnsi="Tahoma"/>
      <w:sz w:val="24"/>
    </w:rPr>
  </w:style>
  <w:style w:type="paragraph" w:customStyle="1" w:styleId="81">
    <w:name w:val="列出段落1"/>
    <w:basedOn w:val="1"/>
    <w:qFormat/>
    <w:uiPriority w:val="0"/>
    <w:pPr>
      <w:ind w:firstLine="420" w:firstLineChars="200"/>
    </w:pPr>
    <w:rPr>
      <w:rFonts w:ascii="Times New Roman" w:hAnsi="Times New Roman"/>
      <w:szCs w:val="21"/>
    </w:rPr>
  </w:style>
  <w:style w:type="paragraph" w:customStyle="1" w:styleId="82">
    <w:name w:val="Char Char Char Char"/>
    <w:basedOn w:val="1"/>
    <w:qFormat/>
    <w:uiPriority w:val="0"/>
    <w:rPr>
      <w:rFonts w:ascii="Times New Roman" w:hAnsi="Times New Roman"/>
    </w:rPr>
  </w:style>
  <w:style w:type="paragraph" w:customStyle="1" w:styleId="83">
    <w:name w:val="Default"/>
    <w:qFormat/>
    <w:uiPriority w:val="99"/>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84">
    <w:name w:val="Char Char Char Char Char Char Char Char Char Char Char Char Char Char Char Char"/>
    <w:basedOn w:val="1"/>
    <w:qFormat/>
    <w:uiPriority w:val="0"/>
    <w:pPr>
      <w:tabs>
        <w:tab w:val="left" w:pos="360"/>
      </w:tabs>
    </w:pPr>
    <w:rPr>
      <w:rFonts w:ascii="Times New Roman" w:hAnsi="Times New Roman"/>
    </w:rPr>
  </w:style>
  <w:style w:type="paragraph" w:customStyle="1" w:styleId="85">
    <w:name w:val="Char Char Char Char Char Char Char Char Char Char"/>
    <w:basedOn w:val="1"/>
    <w:qFormat/>
    <w:uiPriority w:val="0"/>
    <w:rPr>
      <w:rFonts w:ascii="Tahoma" w:hAnsi="Tahoma"/>
      <w:sz w:val="24"/>
    </w:rPr>
  </w:style>
  <w:style w:type="paragraph" w:customStyle="1" w:styleId="86">
    <w:name w:val="2正文左侧缩进0.74厘米"/>
    <w:basedOn w:val="1"/>
    <w:qFormat/>
    <w:uiPriority w:val="0"/>
    <w:pPr>
      <w:spacing w:line="400" w:lineRule="exact"/>
      <w:ind w:left="420"/>
    </w:pPr>
    <w:rPr>
      <w:rFonts w:ascii="Times New Roman" w:hAnsi="Times New Roman" w:cs="宋体"/>
      <w:sz w:val="24"/>
      <w:szCs w:val="20"/>
    </w:rPr>
  </w:style>
  <w:style w:type="paragraph" w:customStyle="1" w:styleId="87">
    <w:name w:val="Char2"/>
    <w:basedOn w:val="16"/>
    <w:next w:val="1"/>
    <w:qFormat/>
    <w:uiPriority w:val="0"/>
  </w:style>
  <w:style w:type="paragraph" w:customStyle="1" w:styleId="88">
    <w:name w:val="reader-word-layer"/>
    <w:basedOn w:val="1"/>
    <w:qFormat/>
    <w:uiPriority w:val="0"/>
    <w:pPr>
      <w:widowControl/>
      <w:spacing w:before="100" w:beforeAutospacing="1" w:after="100" w:afterAutospacing="1"/>
    </w:pPr>
    <w:rPr>
      <w:rFonts w:ascii="Times New Roman" w:hAnsi="宋体" w:cs="宋体"/>
      <w:sz w:val="24"/>
    </w:rPr>
  </w:style>
  <w:style w:type="paragraph" w:customStyle="1" w:styleId="89">
    <w:name w:val="样式K"/>
    <w:basedOn w:val="20"/>
    <w:qFormat/>
    <w:uiPriority w:val="0"/>
    <w:rPr>
      <w:rFonts w:ascii="仿宋_GB2312" w:hAnsi="Book Antiqua" w:eastAsia="仿宋_GB2312"/>
      <w:sz w:val="24"/>
    </w:rPr>
  </w:style>
  <w:style w:type="paragraph" w:customStyle="1" w:styleId="90">
    <w:name w:val="表内文字"/>
    <w:basedOn w:val="1"/>
    <w:qFormat/>
    <w:uiPriority w:val="0"/>
    <w:pPr>
      <w:tabs>
        <w:tab w:val="left" w:pos="1418"/>
      </w:tabs>
      <w:spacing w:line="360" w:lineRule="auto"/>
      <w:jc w:val="center"/>
    </w:pPr>
    <w:rPr>
      <w:rFonts w:ascii="仿宋_GB2312" w:hAnsi="Times New Roman" w:eastAsia="仿宋_GB2312"/>
      <w:spacing w:val="-20"/>
      <w:sz w:val="24"/>
    </w:rPr>
  </w:style>
  <w:style w:type="paragraph" w:customStyle="1" w:styleId="91">
    <w:name w:val="默认段落字体 Para Char Char Char Char Char Char Char"/>
    <w:basedOn w:val="1"/>
    <w:qFormat/>
    <w:uiPriority w:val="0"/>
    <w:rPr>
      <w:rFonts w:ascii="Tahoma" w:hAnsi="Tahoma"/>
      <w:sz w:val="24"/>
    </w:rPr>
  </w:style>
  <w:style w:type="paragraph" w:customStyle="1" w:styleId="92">
    <w:name w:val="2"/>
    <w:basedOn w:val="1"/>
    <w:next w:val="20"/>
    <w:qFormat/>
    <w:uiPriority w:val="0"/>
    <w:rPr>
      <w:rFonts w:ascii="Times New Roman" w:hAnsi="Times New Roman"/>
      <w:sz w:val="28"/>
    </w:rPr>
  </w:style>
  <w:style w:type="paragraph" w:customStyle="1" w:styleId="93">
    <w:name w:val="Heading2"/>
    <w:basedOn w:val="1"/>
    <w:next w:val="1"/>
    <w:qFormat/>
    <w:uiPriority w:val="0"/>
    <w:pPr>
      <w:keepNext/>
      <w:keepLines/>
      <w:spacing w:before="340" w:after="340" w:line="415" w:lineRule="auto"/>
      <w:textAlignment w:val="baseline"/>
    </w:pPr>
    <w:rPr>
      <w:rFonts w:ascii="Arial" w:hAnsi="Arial" w:eastAsia="黑体"/>
      <w:b/>
      <w:bCs/>
      <w:sz w:val="32"/>
      <w:szCs w:val="32"/>
    </w:rPr>
  </w:style>
  <w:style w:type="paragraph" w:customStyle="1" w:styleId="94">
    <w:name w:val="Char Char2 Char"/>
    <w:basedOn w:val="1"/>
    <w:qFormat/>
    <w:uiPriority w:val="0"/>
    <w:rPr>
      <w:rFonts w:ascii="Times New Roman" w:hAnsi="宋体"/>
      <w:b/>
      <w:sz w:val="28"/>
      <w:szCs w:val="28"/>
    </w:rPr>
  </w:style>
  <w:style w:type="character" w:customStyle="1" w:styleId="95">
    <w:name w:val="hour_am"/>
    <w:qFormat/>
    <w:uiPriority w:val="0"/>
    <w:rPr>
      <w:rFonts w:ascii="Times New Roman" w:hAnsi="Times New Roman" w:eastAsia="宋体" w:cs="Times New Roman"/>
    </w:rPr>
  </w:style>
  <w:style w:type="character" w:customStyle="1" w:styleId="96">
    <w:name w:val="hover9"/>
    <w:qFormat/>
    <w:uiPriority w:val="0"/>
    <w:rPr>
      <w:rFonts w:ascii="Times New Roman" w:hAnsi="Times New Roman" w:eastAsia="宋体" w:cs="Times New Roman"/>
      <w:shd w:val="clear" w:color="auto" w:fill="EEEEEE"/>
    </w:rPr>
  </w:style>
  <w:style w:type="character" w:customStyle="1" w:styleId="97">
    <w:name w:val="s1"/>
    <w:qFormat/>
    <w:uiPriority w:val="0"/>
    <w:rPr>
      <w:rFonts w:ascii="Helvetica Neue" w:hAnsi="Helvetica Neue" w:eastAsia="Helvetica Neue" w:cs="Helvetica Neue"/>
      <w:sz w:val="24"/>
      <w:szCs w:val="24"/>
    </w:rPr>
  </w:style>
  <w:style w:type="character" w:customStyle="1" w:styleId="98">
    <w:name w:val="纯文本 Char"/>
    <w:qFormat/>
    <w:uiPriority w:val="0"/>
    <w:rPr>
      <w:rFonts w:ascii="宋体" w:hAnsi="Courier New" w:eastAsia="宋体" w:cs="Courier New"/>
      <w:sz w:val="34"/>
      <w:szCs w:val="21"/>
      <w:lang w:val="en-US" w:eastAsia="zh-CN" w:bidi="ar-SA"/>
    </w:rPr>
  </w:style>
  <w:style w:type="character" w:customStyle="1" w:styleId="99">
    <w:name w:val="15"/>
    <w:qFormat/>
    <w:uiPriority w:val="0"/>
    <w:rPr>
      <w:rFonts w:hint="default" w:ascii="Times New Roman" w:hAnsi="Times New Roman" w:eastAsia="宋体" w:cs="Times New Roman"/>
      <w:color w:val="000000"/>
      <w:sz w:val="21"/>
      <w:szCs w:val="21"/>
    </w:rPr>
  </w:style>
  <w:style w:type="character" w:customStyle="1" w:styleId="100">
    <w:name w:val="old"/>
    <w:qFormat/>
    <w:uiPriority w:val="0"/>
    <w:rPr>
      <w:rFonts w:ascii="Times New Roman" w:hAnsi="Times New Roman" w:eastAsia="宋体" w:cs="Times New Roman"/>
      <w:color w:val="999999"/>
    </w:rPr>
  </w:style>
  <w:style w:type="character" w:customStyle="1" w:styleId="101">
    <w:name w:val="font21"/>
    <w:qFormat/>
    <w:uiPriority w:val="0"/>
    <w:rPr>
      <w:rFonts w:hint="eastAsia" w:ascii="宋体" w:hAnsi="宋体" w:eastAsia="宋体" w:cs="Times New Roman"/>
      <w:color w:val="000000"/>
      <w:sz w:val="22"/>
      <w:szCs w:val="22"/>
      <w:u w:val="none"/>
    </w:rPr>
  </w:style>
  <w:style w:type="character" w:customStyle="1" w:styleId="102">
    <w:name w:val="NormalCharacter"/>
    <w:qFormat/>
    <w:uiPriority w:val="0"/>
    <w:rPr>
      <w:rFonts w:ascii="Calibri" w:hAnsi="Calibri" w:eastAsia="宋体" w:cs="Times New Roman"/>
      <w:kern w:val="2"/>
      <w:sz w:val="21"/>
      <w:szCs w:val="24"/>
      <w:lang w:val="en-US" w:eastAsia="zh-CN" w:bidi="ar-SA"/>
    </w:rPr>
  </w:style>
  <w:style w:type="character" w:customStyle="1" w:styleId="103">
    <w:name w:val="hour_pm"/>
    <w:qFormat/>
    <w:uiPriority w:val="0"/>
    <w:rPr>
      <w:rFonts w:ascii="Times New Roman" w:hAnsi="Times New Roman" w:eastAsia="宋体" w:cs="Times New Roman"/>
    </w:rPr>
  </w:style>
  <w:style w:type="character" w:customStyle="1" w:styleId="104">
    <w:name w:val="apple-converted-space"/>
    <w:qFormat/>
    <w:uiPriority w:val="0"/>
    <w:rPr>
      <w:rFonts w:ascii="Times New Roman" w:hAnsi="Times New Roman" w:eastAsia="宋体" w:cs="Times New Roman"/>
    </w:rPr>
  </w:style>
  <w:style w:type="paragraph" w:customStyle="1" w:styleId="105">
    <w:name w:val="Table Paragraph"/>
    <w:basedOn w:val="1"/>
    <w:qFormat/>
    <w:uiPriority w:val="1"/>
    <w:rPr>
      <w:rFonts w:ascii="宋体" w:hAnsi="宋体" w:cs="宋体"/>
      <w:lang w:val="zh-CN" w:bidi="zh-CN"/>
    </w:rPr>
  </w:style>
  <w:style w:type="paragraph" w:styleId="106">
    <w:name w:val="List Paragraph"/>
    <w:basedOn w:val="1"/>
    <w:link w:val="107"/>
    <w:qFormat/>
    <w:uiPriority w:val="34"/>
    <w:pPr>
      <w:ind w:firstLine="420" w:firstLineChars="200"/>
    </w:pPr>
  </w:style>
  <w:style w:type="character" w:customStyle="1" w:styleId="107">
    <w:name w:val="列出段落 Char"/>
    <w:link w:val="106"/>
    <w:qFormat/>
    <w:uiPriority w:val="34"/>
    <w:rPr>
      <w:rFonts w:ascii="Calibri" w:hAnsi="Calibri"/>
      <w:kern w:val="2"/>
      <w:sz w:val="21"/>
      <w:szCs w:val="24"/>
    </w:rPr>
  </w:style>
  <w:style w:type="paragraph" w:customStyle="1" w:styleId="108">
    <w:name w:val="序号1."/>
    <w:basedOn w:val="1"/>
    <w:qFormat/>
    <w:uiPriority w:val="0"/>
    <w:pPr>
      <w:numPr>
        <w:ilvl w:val="0"/>
        <w:numId w:val="2"/>
      </w:numPr>
      <w:ind w:firstLine="0"/>
    </w:pPr>
  </w:style>
  <w:style w:type="paragraph" w:customStyle="1" w:styleId="109">
    <w:name w:val="北咨方案正文"/>
    <w:basedOn w:val="1"/>
    <w:link w:val="110"/>
    <w:qFormat/>
    <w:uiPriority w:val="0"/>
    <w:pPr>
      <w:ind w:firstLine="480"/>
    </w:pPr>
    <w:rPr>
      <w:rFonts w:ascii="Times New Roman" w:hAnsi="Times New Roman"/>
      <w:color w:val="000000"/>
      <w:kern w:val="0"/>
      <w:sz w:val="20"/>
      <w:szCs w:val="21"/>
    </w:rPr>
  </w:style>
  <w:style w:type="character" w:customStyle="1" w:styleId="110">
    <w:name w:val="北咨方案正文 Char"/>
    <w:link w:val="109"/>
    <w:qFormat/>
    <w:locked/>
    <w:uiPriority w:val="0"/>
    <w:rPr>
      <w:color w:val="000000"/>
      <w:szCs w:val="21"/>
    </w:rPr>
  </w:style>
  <w:style w:type="paragraph" w:customStyle="1" w:styleId="111">
    <w:name w:val="段"/>
    <w:next w:val="1"/>
    <w:qFormat/>
    <w:uiPriority w:val="0"/>
    <w:pPr>
      <w:autoSpaceDE w:val="0"/>
      <w:autoSpaceDN w:val="0"/>
      <w:ind w:firstLine="200" w:firstLineChars="200"/>
      <w:jc w:val="both"/>
    </w:pPr>
    <w:rPr>
      <w:rFonts w:ascii="宋体" w:hAnsi="Times New Roman" w:eastAsia="Times New Roman" w:cs="Times New Roman"/>
      <w:sz w:val="21"/>
      <w:lang w:val="en-US" w:eastAsia="zh-CN" w:bidi="ar-SA"/>
    </w:rPr>
  </w:style>
  <w:style w:type="paragraph" w:customStyle="1" w:styleId="112">
    <w:name w:val="样式 样式 正文文本缩进 3 + (西文) Calibri (中文) 仿宋_GB2312 四号 非加粗 首行缩进:  2 字符...."/>
    <w:basedOn w:val="1"/>
    <w:qFormat/>
    <w:uiPriority w:val="0"/>
    <w:pPr>
      <w:widowControl/>
      <w:spacing w:line="360" w:lineRule="auto"/>
      <w:ind w:firstLine="200" w:firstLineChars="200"/>
      <w:jc w:val="left"/>
    </w:pPr>
    <w:rPr>
      <w:rFonts w:cs="宋体"/>
      <w:kern w:val="0"/>
      <w:sz w:val="24"/>
    </w:rPr>
  </w:style>
  <w:style w:type="character" w:customStyle="1" w:styleId="113">
    <w:name w:val="font01"/>
    <w:basedOn w:val="48"/>
    <w:qFormat/>
    <w:uiPriority w:val="0"/>
    <w:rPr>
      <w:rFonts w:hint="eastAsia" w:ascii="宋体" w:hAnsi="宋体" w:eastAsia="宋体" w:cs="宋体"/>
      <w:color w:val="FF0000"/>
      <w:sz w:val="20"/>
      <w:szCs w:val="20"/>
      <w:u w:val="none"/>
    </w:rPr>
  </w:style>
  <w:style w:type="character" w:customStyle="1" w:styleId="114">
    <w:name w:val="font51"/>
    <w:basedOn w:val="48"/>
    <w:qFormat/>
    <w:uiPriority w:val="0"/>
    <w:rPr>
      <w:rFonts w:hint="eastAsia" w:ascii="宋体" w:hAnsi="宋体" w:eastAsia="宋体" w:cs="宋体"/>
      <w:color w:val="000000"/>
      <w:sz w:val="20"/>
      <w:szCs w:val="20"/>
      <w:u w:val="none"/>
    </w:rPr>
  </w:style>
  <w:style w:type="paragraph" w:customStyle="1" w:styleId="115">
    <w:name w:val="本文件正文"/>
    <w:basedOn w:val="1"/>
    <w:link w:val="116"/>
    <w:qFormat/>
    <w:uiPriority w:val="0"/>
    <w:pPr>
      <w:spacing w:line="600" w:lineRule="exact"/>
      <w:ind w:firstLine="640" w:firstLineChars="200"/>
    </w:pPr>
    <w:rPr>
      <w:rFonts w:ascii="仿宋_GB2312" w:hAnsi="Times New Roman" w:eastAsia="仿宋_GB2312" w:cs="仿宋_GB2312"/>
      <w:sz w:val="32"/>
      <w:szCs w:val="32"/>
    </w:rPr>
  </w:style>
  <w:style w:type="character" w:customStyle="1" w:styleId="116">
    <w:name w:val="本文件正文 字符"/>
    <w:basedOn w:val="48"/>
    <w:link w:val="115"/>
    <w:qFormat/>
    <w:uiPriority w:val="0"/>
    <w:rPr>
      <w:rFonts w:ascii="仿宋_GB2312" w:eastAsia="仿宋_GB2312" w:cs="仿宋_GB2312"/>
      <w:kern w:val="2"/>
      <w:sz w:val="32"/>
      <w:szCs w:val="32"/>
    </w:rPr>
  </w:style>
  <w:style w:type="paragraph" w:customStyle="1" w:styleId="117">
    <w:name w:val="正文_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18">
    <w:name w:val="样式1"/>
    <w:basedOn w:val="1"/>
    <w:qFormat/>
    <w:uiPriority w:val="99"/>
    <w:pPr>
      <w:jc w:val="center"/>
    </w:pPr>
  </w:style>
</w:styles>
</file>

<file path=word/_rels/document.xml.rels><?xml version="1.0" encoding="UTF-8" standalone="yes"?>
<Relationships xmlns="http://schemas.openxmlformats.org/package/2006/relationships"><Relationship Id="rId9" Type="http://schemas.openxmlformats.org/officeDocument/2006/relationships/footer" Target="footer7.xml"/><Relationship Id="rId8" Type="http://schemas.openxmlformats.org/officeDocument/2006/relationships/footer" Target="footer6.xml"/><Relationship Id="rId7" Type="http://schemas.openxmlformats.org/officeDocument/2006/relationships/footer" Target="footer5.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theme" Target="theme/theme1.xml"/><Relationship Id="rId14" Type="http://schemas.openxmlformats.org/officeDocument/2006/relationships/footer" Target="footer10.xml"/><Relationship Id="rId13" Type="http://schemas.openxmlformats.org/officeDocument/2006/relationships/footer" Target="footer9.xml"/><Relationship Id="rId12" Type="http://schemas.openxmlformats.org/officeDocument/2006/relationships/header" Target="header2.xml"/><Relationship Id="rId11" Type="http://schemas.openxmlformats.org/officeDocument/2006/relationships/header" Target="header1.xml"/><Relationship Id="rId10" Type="http://schemas.openxmlformats.org/officeDocument/2006/relationships/footer" Target="footer8.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shenduxitong</Company>
  <Pages>56</Pages>
  <Words>27024</Words>
  <Characters>28402</Characters>
  <Lines>254</Lines>
  <Paragraphs>71</Paragraphs>
  <TotalTime>0</TotalTime>
  <ScaleCrop>false</ScaleCrop>
  <LinksUpToDate>false</LinksUpToDate>
  <CharactersWithSpaces>28929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2021-05-12T03:15:00Z</dcterms:created>
  <dc:creator>Administrator</dc:creator>
  <cp:lastModifiedBy>金华天逸</cp:lastModifiedBy>
  <cp:lastPrinted>2021-05-18T01:59:00Z</cp:lastPrinted>
  <dcterms:modified xsi:type="dcterms:W3CDTF">2025-02-27T08:26:27Z</dcterms:modified>
  <cp:revision>250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DEF2998B40364307B3F70D5E48525F37_13</vt:lpwstr>
  </property>
  <property fmtid="{D5CDD505-2E9C-101B-9397-08002B2CF9AE}" pid="4" name="KSOTemplateDocerSaveRecord">
    <vt:lpwstr>eyJoZGlkIjoiMzMzOTI5NTA5MDIxZjJjMGMwNWI2YTYxM2I3Y2M0MmEiLCJ1c2VySWQiOiI0OTk5NDUzNjQifQ==</vt:lpwstr>
  </property>
</Properties>
</file>